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1</w:t>
      </w:r>
    </w:p>
    <w:p>
      <w:pPr>
        <w:spacing w:after="0" w:line="35"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5"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WASHINGTON, D.C. 20549</w:t>
      </w:r>
    </w:p>
    <w:p>
      <w:pPr>
        <w:spacing w:after="0" w:line="161" w:lineRule="exact"/>
        <w:rPr>
          <w:sz w:val="24"/>
          <w:szCs w:val="24"/>
          <w:color w:val="auto"/>
        </w:rPr>
      </w:pPr>
    </w:p>
    <w:p>
      <w:pPr>
        <w:ind w:left="2900"/>
        <w:spacing w:after="0"/>
        <w:rPr>
          <w:sz w:val="20"/>
          <w:szCs w:val="20"/>
          <w:color w:val="auto"/>
        </w:rPr>
      </w:pPr>
      <w:r>
        <w:rPr>
          <w:rFonts w:ascii="Courier New" w:cs="Courier New" w:eastAsia="Courier New" w:hAnsi="Courier New"/>
          <w:sz w:val="16"/>
          <w:szCs w:val="16"/>
          <w:color w:val="auto"/>
        </w:rPr>
        <w:t>SCHEDULE 14D-1</w:t>
      </w:r>
    </w:p>
    <w:p>
      <w:pPr>
        <w:spacing w:after="0" w:line="35" w:lineRule="exact"/>
        <w:rPr>
          <w:sz w:val="24"/>
          <w:szCs w:val="24"/>
          <w:color w:val="auto"/>
        </w:rPr>
      </w:pPr>
    </w:p>
    <w:p>
      <w:pPr>
        <w:ind w:left="1160"/>
        <w:spacing w:after="0"/>
        <w:rPr>
          <w:sz w:val="20"/>
          <w:szCs w:val="20"/>
          <w:color w:val="auto"/>
        </w:rPr>
      </w:pPr>
      <w:r>
        <w:rPr>
          <w:rFonts w:ascii="Courier New" w:cs="Courier New" w:eastAsia="Courier New" w:hAnsi="Courier New"/>
          <w:sz w:val="16"/>
          <w:szCs w:val="16"/>
          <w:color w:val="auto"/>
        </w:rPr>
        <w:t>TENDER OFFER STATEMENT PURSUANT TO SECTION 14(d)(1)</w:t>
      </w:r>
    </w:p>
    <w:p>
      <w:pPr>
        <w:spacing w:after="0" w:line="5" w:lineRule="exact"/>
        <w:rPr>
          <w:sz w:val="24"/>
          <w:szCs w:val="24"/>
          <w:color w:val="auto"/>
        </w:rPr>
      </w:pPr>
    </w:p>
    <w:p>
      <w:pPr>
        <w:ind w:left="1740"/>
        <w:spacing w:after="0"/>
        <w:rPr>
          <w:sz w:val="20"/>
          <w:szCs w:val="20"/>
          <w:color w:val="auto"/>
        </w:rPr>
      </w:pPr>
      <w:r>
        <w:rPr>
          <w:rFonts w:ascii="Courier New" w:cs="Courier New" w:eastAsia="Courier New" w:hAnsi="Courier New"/>
          <w:sz w:val="16"/>
          <w:szCs w:val="16"/>
          <w:color w:val="auto"/>
        </w:rPr>
        <w:t>OF THE SECURITIES EXCHANGE ACT OF 1934</w:t>
      </w:r>
    </w:p>
    <w:p>
      <w:pPr>
        <w:spacing w:after="0" w:line="161" w:lineRule="exact"/>
        <w:rPr>
          <w:sz w:val="24"/>
          <w:szCs w:val="24"/>
          <w:color w:val="auto"/>
        </w:rPr>
      </w:pPr>
    </w:p>
    <w:p>
      <w:pPr>
        <w:jc w:val="center"/>
        <w:ind w:right="2679"/>
        <w:spacing w:after="0"/>
        <w:rPr>
          <w:sz w:val="20"/>
          <w:szCs w:val="20"/>
          <w:color w:val="auto"/>
        </w:rPr>
      </w:pPr>
      <w:r>
        <w:rPr>
          <w:rFonts w:ascii="Courier New" w:cs="Courier New" w:eastAsia="Courier New" w:hAnsi="Courier New"/>
          <w:sz w:val="16"/>
          <w:szCs w:val="16"/>
          <w:color w:val="auto"/>
        </w:rPr>
        <w:t>INTEGRATED SENSOR SOLUTIONS, INC.</w:t>
      </w:r>
    </w:p>
    <w:p>
      <w:pPr>
        <w:spacing w:after="0" w:line="35" w:lineRule="exact"/>
        <w:rPr>
          <w:sz w:val="24"/>
          <w:szCs w:val="24"/>
          <w:color w:val="auto"/>
        </w:rPr>
      </w:pPr>
    </w:p>
    <w:p>
      <w:pPr>
        <w:jc w:val="center"/>
        <w:ind w:right="2679"/>
        <w:spacing w:after="0"/>
        <w:rPr>
          <w:sz w:val="20"/>
          <w:szCs w:val="20"/>
          <w:color w:val="auto"/>
        </w:rPr>
      </w:pPr>
      <w:r>
        <w:rPr>
          <w:rFonts w:ascii="Courier New" w:cs="Courier New" w:eastAsia="Courier New" w:hAnsi="Courier New"/>
          <w:sz w:val="16"/>
          <w:szCs w:val="16"/>
          <w:color w:val="auto"/>
        </w:rPr>
        <w:t>(Name of Subject Company)</w:t>
      </w:r>
    </w:p>
    <w:p>
      <w:pPr>
        <w:spacing w:after="0" w:line="161"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SENSOR ACQUISITION CORPORATION</w:t>
      </w:r>
    </w:p>
    <w:p>
      <w:pPr>
        <w:spacing w:after="0" w:line="35"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TEXAS INSTRUMENTS INCORPORATED</w:t>
      </w:r>
    </w:p>
    <w:p>
      <w:pPr>
        <w:spacing w:after="0" w:line="5"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(Bidder)</w:t>
      </w:r>
    </w:p>
    <w:p>
      <w:pPr>
        <w:spacing w:after="0" w:line="161"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COMMON STOCK, $.001 PAR VALUE</w:t>
      </w:r>
    </w:p>
    <w:p>
      <w:pPr>
        <w:spacing w:after="0" w:line="35" w:lineRule="exact"/>
        <w:rPr>
          <w:sz w:val="24"/>
          <w:szCs w:val="24"/>
          <w:color w:val="auto"/>
        </w:rPr>
      </w:pPr>
    </w:p>
    <w:p>
      <w:pPr>
        <w:ind w:left="2120"/>
        <w:spacing w:after="0"/>
        <w:rPr>
          <w:sz w:val="20"/>
          <w:szCs w:val="20"/>
          <w:color w:val="auto"/>
        </w:rPr>
      </w:pPr>
      <w:r>
        <w:rPr>
          <w:rFonts w:ascii="Courier New" w:cs="Courier New" w:eastAsia="Courier New" w:hAnsi="Courier New"/>
          <w:sz w:val="16"/>
          <w:szCs w:val="16"/>
          <w:color w:val="auto"/>
        </w:rPr>
        <w:t>(Title of Class of Securities)</w:t>
      </w:r>
    </w:p>
    <w:p>
      <w:pPr>
        <w:spacing w:after="0" w:line="161" w:lineRule="exact"/>
        <w:rPr>
          <w:sz w:val="24"/>
          <w:szCs w:val="24"/>
          <w:color w:val="auto"/>
        </w:rPr>
      </w:pPr>
    </w:p>
    <w:p>
      <w:pPr>
        <w:jc w:val="center"/>
        <w:ind w:right="2679"/>
        <w:spacing w:after="0"/>
        <w:rPr>
          <w:sz w:val="20"/>
          <w:szCs w:val="20"/>
          <w:color w:val="auto"/>
        </w:rPr>
      </w:pPr>
      <w:r>
        <w:rPr>
          <w:rFonts w:ascii="Courier New" w:cs="Courier New" w:eastAsia="Courier New" w:hAnsi="Courier New"/>
          <w:sz w:val="16"/>
          <w:szCs w:val="16"/>
          <w:color w:val="auto"/>
        </w:rPr>
        <w:t>45814M102</w:t>
      </w:r>
    </w:p>
    <w:p>
      <w:pPr>
        <w:spacing w:after="0" w:line="35" w:lineRule="exact"/>
        <w:rPr>
          <w:sz w:val="24"/>
          <w:szCs w:val="24"/>
          <w:color w:val="auto"/>
        </w:rPr>
      </w:pPr>
    </w:p>
    <w:p>
      <w:pPr>
        <w:jc w:val="center"/>
        <w:ind w:right="2679"/>
        <w:spacing w:after="0"/>
        <w:rPr>
          <w:sz w:val="20"/>
          <w:szCs w:val="20"/>
          <w:color w:val="auto"/>
        </w:rPr>
      </w:pPr>
      <w:r>
        <w:rPr>
          <w:rFonts w:ascii="Courier New" w:cs="Courier New" w:eastAsia="Courier New" w:hAnsi="Courier New"/>
          <w:sz w:val="16"/>
          <w:szCs w:val="16"/>
          <w:color w:val="auto"/>
        </w:rPr>
        <w:t>(CUSIP Number of Class of Securities)</w:t>
      </w:r>
    </w:p>
    <w:p>
      <w:pPr>
        <w:spacing w:after="0" w:line="161" w:lineRule="exact"/>
        <w:rPr>
          <w:sz w:val="24"/>
          <w:szCs w:val="24"/>
          <w:color w:val="auto"/>
        </w:rPr>
      </w:pPr>
    </w:p>
    <w:p>
      <w:pPr>
        <w:ind w:left="2420"/>
        <w:spacing w:after="0"/>
        <w:rPr>
          <w:sz w:val="20"/>
          <w:szCs w:val="20"/>
          <w:color w:val="auto"/>
        </w:rPr>
      </w:pPr>
      <w:r>
        <w:rPr>
          <w:rFonts w:ascii="Courier New" w:cs="Courier New" w:eastAsia="Courier New" w:hAnsi="Courier New"/>
          <w:sz w:val="16"/>
          <w:szCs w:val="16"/>
          <w:color w:val="auto"/>
        </w:rPr>
        <w:t>Richard J. Agnich, Esq.</w:t>
      </w:r>
    </w:p>
    <w:p>
      <w:pPr>
        <w:spacing w:after="0" w:line="35" w:lineRule="exact"/>
        <w:rPr>
          <w:sz w:val="24"/>
          <w:szCs w:val="24"/>
          <w:color w:val="auto"/>
        </w:rPr>
      </w:pPr>
    </w:p>
    <w:p>
      <w:pPr>
        <w:ind w:left="2120"/>
        <w:spacing w:after="0"/>
        <w:rPr>
          <w:sz w:val="20"/>
          <w:szCs w:val="20"/>
          <w:color w:val="auto"/>
        </w:rPr>
      </w:pPr>
      <w:r>
        <w:rPr>
          <w:rFonts w:ascii="Courier New" w:cs="Courier New" w:eastAsia="Courier New" w:hAnsi="Courier New"/>
          <w:sz w:val="16"/>
          <w:szCs w:val="16"/>
          <w:color w:val="auto"/>
        </w:rPr>
        <w:t>TEXAS INSTRUMENTS INCORPORATED</w:t>
      </w:r>
    </w:p>
    <w:p>
      <w:pPr>
        <w:spacing w:after="0" w:line="5" w:lineRule="exact"/>
        <w:rPr>
          <w:sz w:val="24"/>
          <w:szCs w:val="24"/>
          <w:color w:val="auto"/>
        </w:rPr>
      </w:pPr>
    </w:p>
    <w:p>
      <w:pPr>
        <w:ind w:left="2320"/>
        <w:spacing w:after="0"/>
        <w:rPr>
          <w:sz w:val="20"/>
          <w:szCs w:val="20"/>
          <w:color w:val="auto"/>
        </w:rPr>
      </w:pPr>
      <w:r>
        <w:rPr>
          <w:rFonts w:ascii="Courier New" w:cs="Courier New" w:eastAsia="Courier New" w:hAnsi="Courier New"/>
          <w:sz w:val="16"/>
          <w:szCs w:val="16"/>
          <w:color w:val="auto"/>
        </w:rPr>
        <w:t>8505 Forest Lane, M/S 8658</w:t>
      </w:r>
    </w:p>
    <w:p>
      <w:pPr>
        <w:spacing w:after="0" w:line="5" w:lineRule="exact"/>
        <w:rPr>
          <w:sz w:val="24"/>
          <w:szCs w:val="24"/>
          <w:color w:val="auto"/>
        </w:rPr>
      </w:pPr>
    </w:p>
    <w:p>
      <w:pPr>
        <w:ind w:left="2600"/>
        <w:spacing w:after="0"/>
        <w:rPr>
          <w:sz w:val="20"/>
          <w:szCs w:val="20"/>
          <w:color w:val="auto"/>
        </w:rPr>
      </w:pPr>
      <w:r>
        <w:rPr>
          <w:rFonts w:ascii="Courier New" w:cs="Courier New" w:eastAsia="Courier New" w:hAnsi="Courier New"/>
          <w:sz w:val="16"/>
          <w:szCs w:val="16"/>
          <w:color w:val="auto"/>
        </w:rPr>
        <w:t>Dallas, Texas 75243</w:t>
      </w:r>
    </w:p>
    <w:p>
      <w:pPr>
        <w:spacing w:after="0" w:line="5" w:lineRule="exact"/>
        <w:rPr>
          <w:sz w:val="24"/>
          <w:szCs w:val="24"/>
          <w:color w:val="auto"/>
        </w:rPr>
      </w:pPr>
    </w:p>
    <w:p>
      <w:pPr>
        <w:ind w:left="2900"/>
        <w:spacing w:after="0"/>
        <w:rPr>
          <w:sz w:val="20"/>
          <w:szCs w:val="20"/>
          <w:color w:val="auto"/>
        </w:rPr>
      </w:pPr>
      <w:r>
        <w:rPr>
          <w:rFonts w:ascii="Courier New" w:cs="Courier New" w:eastAsia="Courier New" w:hAnsi="Courier New"/>
          <w:sz w:val="16"/>
          <w:szCs w:val="16"/>
          <w:color w:val="auto"/>
        </w:rPr>
        <w:t>(972) 480-5050</w:t>
      </w:r>
    </w:p>
    <w:p>
      <w:pPr>
        <w:spacing w:after="0" w:line="5"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6"/>
          <w:szCs w:val="16"/>
          <w:color w:val="auto"/>
        </w:rPr>
        <w:t>(Name, Address and Telephone Number of Person</w:t>
      </w:r>
    </w:p>
    <w:p>
      <w:pPr>
        <w:spacing w:after="0" w:line="5"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Authorized to Receive Notices and Communications on Behalf of Bidders)</w:t>
      </w:r>
    </w:p>
    <w:p>
      <w:pPr>
        <w:spacing w:after="0" w:line="161"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COPY TO:</w:t>
      </w:r>
    </w:p>
    <w:p>
      <w:pPr>
        <w:spacing w:after="0" w:line="191"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R. SCOTT COHEN, ESQ.</w:t>
      </w:r>
    </w:p>
    <w:p>
      <w:pPr>
        <w:spacing w:after="0" w:line="35"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WEIL, GOTSHAL &amp; MANGES LLP</w:t>
      </w:r>
    </w:p>
    <w:p>
      <w:pPr>
        <w:spacing w:after="0" w:line="5"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100 CRESCENT COURT, SUITE 1300</w:t>
      </w:r>
    </w:p>
    <w:p>
      <w:pPr>
        <w:spacing w:after="0" w:line="5"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DALLAS, TEXAS 75201-6950</w:t>
      </w:r>
    </w:p>
    <w:p>
      <w:pPr>
        <w:spacing w:after="0" w:line="5"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214-746-7738</w:t>
      </w:r>
    </w:p>
    <w:p>
      <w:pPr>
        <w:spacing w:after="0" w:line="161" w:lineRule="exact"/>
        <w:rPr>
          <w:sz w:val="24"/>
          <w:szCs w:val="24"/>
          <w:color w:val="auto"/>
        </w:rPr>
      </w:pPr>
    </w:p>
    <w:p>
      <w:pPr>
        <w:ind w:left="2420"/>
        <w:spacing w:after="0"/>
        <w:rPr>
          <w:sz w:val="20"/>
          <w:szCs w:val="20"/>
          <w:color w:val="auto"/>
        </w:rPr>
      </w:pPr>
      <w:r>
        <w:rPr>
          <w:rFonts w:ascii="Courier New" w:cs="Courier New" w:eastAsia="Courier New" w:hAnsi="Courier New"/>
          <w:sz w:val="16"/>
          <w:szCs w:val="16"/>
          <w:color w:val="auto"/>
        </w:rPr>
        <w:t>CALCULATION OF FILING FEE</w:t>
      </w:r>
    </w:p>
    <w:p>
      <w:pPr>
        <w:spacing w:after="0" w:line="35" w:lineRule="exact"/>
        <w:rPr>
          <w:sz w:val="24"/>
          <w:szCs w:val="24"/>
          <w:color w:val="auto"/>
        </w:rPr>
      </w:pPr>
    </w:p>
    <w:p>
      <w:pPr>
        <w:ind w:left="1640"/>
        <w:spacing w:after="0"/>
        <w:rPr>
          <w:sz w:val="20"/>
          <w:szCs w:val="20"/>
          <w:color w:val="auto"/>
        </w:rPr>
      </w:pPr>
      <w:r>
        <w:rPr>
          <w:rFonts w:ascii="Courier New" w:cs="Courier New" w:eastAsia="Courier New" w:hAnsi="Courier New"/>
          <w:sz w:val="16"/>
          <w:szCs w:val="16"/>
          <w:color w:val="auto"/>
        </w:rPr>
        <w:t>TRANSACTION VALUATION* $65,896,726</w:t>
      </w:r>
    </w:p>
    <w:p>
      <w:pPr>
        <w:spacing w:after="0" w:line="5" w:lineRule="exact"/>
        <w:rPr>
          <w:sz w:val="24"/>
          <w:szCs w:val="24"/>
          <w:color w:val="auto"/>
        </w:rPr>
      </w:pPr>
    </w:p>
    <w:p>
      <w:pPr>
        <w:ind w:left="1920"/>
        <w:spacing w:after="0"/>
        <w:rPr>
          <w:sz w:val="20"/>
          <w:szCs w:val="20"/>
          <w:color w:val="auto"/>
        </w:rPr>
      </w:pPr>
      <w:r>
        <w:rPr>
          <w:rFonts w:ascii="Courier New" w:cs="Courier New" w:eastAsia="Courier New" w:hAnsi="Courier New"/>
          <w:sz w:val="16"/>
          <w:szCs w:val="16"/>
          <w:color w:val="auto"/>
        </w:rPr>
        <w:t>AMOUNT OF FILING FEE $13,180.00</w:t>
      </w:r>
    </w:p>
    <w:p>
      <w:pPr>
        <w:sectPr>
          <w:pgSz w:w="11900" w:h="16838" w:orient="portrait"/>
          <w:cols w:equalWidth="0" w:num="1">
            <w:col w:w="9919"/>
          </w:cols>
          <w:pgMar w:left="540" w:top="211" w:right="1440" w:bottom="1440" w:gutter="0" w:footer="0" w:header="0"/>
        </w:sectPr>
      </w:pPr>
    </w:p>
    <w:bookmarkStart w:id="1" w:name="page2"/>
    <w:bookmarkEnd w:id="1"/>
    <w:p>
      <w:pPr>
        <w:ind w:left="300"/>
        <w:spacing w:after="0"/>
        <w:rPr>
          <w:sz w:val="20"/>
          <w:szCs w:val="20"/>
          <w:color w:val="auto"/>
        </w:rPr>
      </w:pPr>
      <w:r>
        <w:rPr>
          <w:rFonts w:ascii="Courier New" w:cs="Courier New" w:eastAsia="Courier New" w:hAnsi="Courier New"/>
          <w:sz w:val="16"/>
          <w:szCs w:val="16"/>
          <w:color w:val="auto"/>
        </w:rPr>
        <w:t>2</w:t>
      </w:r>
    </w:p>
    <w:p>
      <w:pPr>
        <w:spacing w:after="0" w:line="191" w:lineRule="exact"/>
        <w:rPr>
          <w:sz w:val="20"/>
          <w:szCs w:val="20"/>
          <w:color w:val="auto"/>
        </w:rPr>
      </w:pPr>
    </w:p>
    <w:p>
      <w:pPr>
        <w:ind w:right="2759" w:firstLine="871"/>
        <w:spacing w:after="0" w:line="266" w:lineRule="auto"/>
        <w:tabs>
          <w:tab w:leader="none" w:pos="106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for purposes of calculating the amount of the filing fee only. The amount assumes the purchase of (i) 7,713,082 shares of common</w:t>
      </w:r>
    </w:p>
    <w:p>
      <w:pPr>
        <w:ind w:right="2459"/>
        <w:spacing w:after="0" w:line="26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stock, $.001 par value (the "Shares"), of Integrated Sensor Solutions, Inc. (the "Company") at a price per Share of $8.05 in cash (the "Offer Price") and (ii) the cancellation and settlement with respect to (a) 728,248 options granted under the Company's stock option plans and (b) 58,566 warrants. Such number of shares, options and warrants represents all of the shares, options and warrants outstanding as of April 28, 1999 (except for those warrants to be cancelled and terminated without payment of any consideration).</w:t>
      </w:r>
    </w:p>
    <w:p>
      <w:pPr>
        <w:spacing w:after="0" w:line="86" w:lineRule="exact"/>
        <w:rPr>
          <w:sz w:val="20"/>
          <w:szCs w:val="20"/>
          <w:color w:val="auto"/>
        </w:rPr>
      </w:pPr>
    </w:p>
    <w:p>
      <w:pPr>
        <w:ind w:right="2459" w:firstLine="872"/>
        <w:spacing w:after="0" w:line="276" w:lineRule="auto"/>
        <w:rPr>
          <w:sz w:val="20"/>
          <w:szCs w:val="20"/>
          <w:color w:val="auto"/>
        </w:rPr>
      </w:pPr>
      <w:r>
        <w:rPr>
          <w:rFonts w:ascii="Courier New" w:cs="Courier New" w:eastAsia="Courier New" w:hAnsi="Courier New"/>
          <w:sz w:val="16"/>
          <w:szCs w:val="16"/>
          <w:color w:val="auto"/>
        </w:rPr>
        <w:t>[ ] Check box if any part of the fee is offset as provided by Rule 0-11(a)(2) and identify the filing with which the offsetting fee was previously paid. Identify the previous filing by registration statement number, or the form or schedule and the date of its filing. Amount previously paid: none. Form or registration no.: n/a Filing party: n/a Date filed: n/a</w:t>
      </w:r>
    </w:p>
    <w:p>
      <w:pPr>
        <w:spacing w:after="0" w:line="200" w:lineRule="exact"/>
        <w:rPr>
          <w:sz w:val="20"/>
          <w:szCs w:val="20"/>
          <w:color w:val="auto"/>
        </w:rPr>
      </w:pPr>
    </w:p>
    <w:p>
      <w:pPr>
        <w:spacing w:after="0" w:line="24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73" w:right="1440" w:bottom="1440" w:gutter="0" w:footer="0" w:header="0"/>
        </w:sectPr>
      </w:pPr>
    </w:p>
    <w:bookmarkStart w:id="2" w:name="page3"/>
    <w:bookmarkEnd w:id="2"/>
    <w:p>
      <w:pPr>
        <w:ind w:left="301"/>
        <w:spacing w:after="0"/>
        <w:rPr>
          <w:sz w:val="20"/>
          <w:szCs w:val="20"/>
          <w:color w:val="auto"/>
        </w:rPr>
      </w:pPr>
      <w:r>
        <w:rPr>
          <w:rFonts w:ascii="Courier New" w:cs="Courier New" w:eastAsia="Courier New" w:hAnsi="Courier New"/>
          <w:sz w:val="16"/>
          <w:szCs w:val="16"/>
          <w:color w:val="auto"/>
        </w:rPr>
        <w:t>3</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TENDER OFFER</w:t>
      </w:r>
    </w:p>
    <w:p>
      <w:pPr>
        <w:spacing w:after="0" w:line="191" w:lineRule="exact"/>
        <w:rPr>
          <w:sz w:val="20"/>
          <w:szCs w:val="20"/>
          <w:color w:val="auto"/>
        </w:rPr>
      </w:pPr>
    </w:p>
    <w:p>
      <w:pPr>
        <w:ind w:left="1" w:right="2459" w:firstLine="872"/>
        <w:spacing w:after="0" w:line="257" w:lineRule="auto"/>
        <w:rPr>
          <w:sz w:val="20"/>
          <w:szCs w:val="20"/>
          <w:color w:val="auto"/>
        </w:rPr>
      </w:pPr>
      <w:r>
        <w:rPr>
          <w:rFonts w:ascii="Courier New" w:cs="Courier New" w:eastAsia="Courier New" w:hAnsi="Courier New"/>
          <w:sz w:val="16"/>
          <w:szCs w:val="16"/>
          <w:color w:val="auto"/>
        </w:rPr>
        <w:t>This Tender Offer Statement on Schedule 14D-1 is filed by Sensor Acquisition Corporation, a Delaware corporation (the "Purchaser"), and Texas Instruments Incorporated, a Delaware corporation and the sole stockholder of the Purchaser ("Parent"), relating to the offer by the Purchaser to purchase all outstanding shares of common stock, par value $.001 per share (the "Shares"), of Integrated Sensor Solutions, Inc., a Delaware corporation, at $8.05 per Share, net to the seller in cash, on the terms and subject to the conditions set forth in the Offer to Purchase dated May 7, 1999 (the "Offer to Purchase") and in the related Letter of Transmittal, copies of which are attached hereto as Exhibits 99(a)(1) and 99(a)(2), respectively (which, as amended or supplemented from time to time, together constitute the "Offer"). The item numbers and responses thereto below are in accordance with the requirements of Schedule 14D-1.</w:t>
      </w:r>
    </w:p>
    <w:p>
      <w:pPr>
        <w:spacing w:after="0" w:line="93" w:lineRule="exact"/>
        <w:rPr>
          <w:sz w:val="20"/>
          <w:szCs w:val="20"/>
          <w:color w:val="auto"/>
        </w:rPr>
      </w:pPr>
    </w:p>
    <w:p>
      <w:pPr>
        <w:ind w:left="1"/>
        <w:spacing w:after="0"/>
        <w:tabs>
          <w:tab w:leader="none" w:pos="124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6"/>
          <w:szCs w:val="16"/>
          <w:color w:val="auto"/>
        </w:rPr>
        <w:t>SECURITY AND SUBJECT COMPANY</w:t>
      </w:r>
    </w:p>
    <w:p>
      <w:pPr>
        <w:spacing w:after="0" w:line="191" w:lineRule="exact"/>
        <w:rPr>
          <w:sz w:val="20"/>
          <w:szCs w:val="20"/>
          <w:color w:val="auto"/>
        </w:rPr>
      </w:pPr>
    </w:p>
    <w:p>
      <w:pPr>
        <w:ind w:left="1" w:right="2859" w:firstLine="871"/>
        <w:spacing w:after="0" w:line="287" w:lineRule="auto"/>
        <w:tabs>
          <w:tab w:leader="none" w:pos="12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of the subject company is Integrated Sensor Solutions, Inc., a Delaware corporation (the "Company"). The address of the Company's principal executive offices is 625 River Oaks Parkway, San Jose, California 95134.</w:t>
      </w:r>
    </w:p>
    <w:p>
      <w:pPr>
        <w:spacing w:after="0" w:line="64" w:lineRule="exact"/>
        <w:rPr>
          <w:rFonts w:ascii="Courier New" w:cs="Courier New" w:eastAsia="Courier New" w:hAnsi="Courier New"/>
          <w:sz w:val="16"/>
          <w:szCs w:val="16"/>
          <w:color w:val="auto"/>
        </w:rPr>
      </w:pPr>
    </w:p>
    <w:p>
      <w:pPr>
        <w:ind w:left="1" w:right="3039" w:firstLine="871"/>
        <w:spacing w:after="0" w:line="367" w:lineRule="auto"/>
        <w:tabs>
          <w:tab w:leader="none" w:pos="12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set forth in the Introduction of the Offer to Purchase is incorporated herein by reference.</w:t>
      </w:r>
    </w:p>
    <w:p>
      <w:pPr>
        <w:spacing w:after="0" w:line="4" w:lineRule="exact"/>
        <w:rPr>
          <w:rFonts w:ascii="Courier New" w:cs="Courier New" w:eastAsia="Courier New" w:hAnsi="Courier New"/>
          <w:sz w:val="16"/>
          <w:szCs w:val="16"/>
          <w:color w:val="auto"/>
        </w:rPr>
      </w:pPr>
    </w:p>
    <w:p>
      <w:pPr>
        <w:ind w:left="1" w:right="2759" w:firstLine="871"/>
        <w:spacing w:after="0" w:line="307" w:lineRule="auto"/>
        <w:tabs>
          <w:tab w:leader="none" w:pos="12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set forth in Section 6 - "Price Range of Shares; Dividends On the Shares" of the Offer to Purchase is incorporated herein by reference.</w:t>
      </w:r>
    </w:p>
    <w:p>
      <w:pPr>
        <w:spacing w:after="0" w:line="50" w:lineRule="exact"/>
        <w:rPr>
          <w:sz w:val="20"/>
          <w:szCs w:val="20"/>
          <w:color w:val="auto"/>
        </w:rPr>
      </w:pPr>
    </w:p>
    <w:p>
      <w:pPr>
        <w:ind w:left="1"/>
        <w:spacing w:after="0"/>
        <w:tabs>
          <w:tab w:leader="none" w:pos="124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191" w:lineRule="exact"/>
        <w:rPr>
          <w:sz w:val="20"/>
          <w:szCs w:val="20"/>
          <w:color w:val="auto"/>
        </w:rPr>
      </w:pPr>
    </w:p>
    <w:p>
      <w:pPr>
        <w:jc w:val="both"/>
        <w:ind w:left="1" w:right="2559" w:firstLine="872"/>
        <w:spacing w:after="0" w:line="287" w:lineRule="auto"/>
        <w:rPr>
          <w:sz w:val="20"/>
          <w:szCs w:val="20"/>
          <w:color w:val="auto"/>
        </w:rPr>
      </w:pPr>
      <w:r>
        <w:rPr>
          <w:rFonts w:ascii="Courier New" w:cs="Courier New" w:eastAsia="Courier New" w:hAnsi="Courier New"/>
          <w:sz w:val="16"/>
          <w:szCs w:val="16"/>
          <w:color w:val="auto"/>
        </w:rPr>
        <w:t>(a)-(d), (g) This Statement is filed by the Purchaser and Parent. The information set forth in the Introduction, in Section 9 - "Certain Information Concerning the Purchaser and Parent" and in Schedule I of the Offer to Purchase is incorporated herein by reference.</w:t>
      </w:r>
    </w:p>
    <w:p>
      <w:pPr>
        <w:spacing w:after="0" w:line="65" w:lineRule="exact"/>
        <w:rPr>
          <w:sz w:val="20"/>
          <w:szCs w:val="20"/>
          <w:color w:val="auto"/>
        </w:rPr>
      </w:pPr>
    </w:p>
    <w:p>
      <w:pPr>
        <w:ind w:left="1" w:right="2559" w:firstLine="872"/>
        <w:spacing w:after="0" w:line="256" w:lineRule="auto"/>
        <w:rPr>
          <w:sz w:val="20"/>
          <w:szCs w:val="20"/>
          <w:color w:val="auto"/>
        </w:rPr>
      </w:pPr>
      <w:r>
        <w:rPr>
          <w:rFonts w:ascii="Courier New" w:cs="Courier New" w:eastAsia="Courier New" w:hAnsi="Courier New"/>
          <w:sz w:val="16"/>
          <w:szCs w:val="16"/>
          <w:color w:val="auto"/>
        </w:rPr>
        <w:t>(e)-(f) During the last five years, neither the Purchaser nor Parent nor, to their knowledge, any of the persons listed in Schedule I (Directors and Executive Officers) to the Offer to Purchase, (i) has been convicted in a criminal proceeding (excluding traffic violations or similar misdemeanors) or</w:t>
      </w:r>
    </w:p>
    <w:p>
      <w:pPr>
        <w:spacing w:after="0" w:line="2" w:lineRule="exact"/>
        <w:rPr>
          <w:sz w:val="20"/>
          <w:szCs w:val="20"/>
          <w:color w:val="auto"/>
        </w:rPr>
      </w:pPr>
    </w:p>
    <w:p>
      <w:pPr>
        <w:ind w:left="1" w:right="2459" w:hanging="1"/>
        <w:spacing w:after="0" w:line="267" w:lineRule="auto"/>
        <w:tabs>
          <w:tab w:leader="none" w:pos="48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been a party to a civil proceeding of a judicial or administrative body of competent jurisdiction and as a result of such proceeding was or is subject to a judgment, decree, or final order enjoining future violations of, or prohibiting activities subject to, federal or state securities laws or finding any violation of such laws.</w:t>
      </w:r>
    </w:p>
    <w:p>
      <w:pPr>
        <w:spacing w:after="0" w:line="80" w:lineRule="exact"/>
        <w:rPr>
          <w:sz w:val="20"/>
          <w:szCs w:val="20"/>
          <w:color w:val="auto"/>
        </w:rPr>
      </w:pPr>
    </w:p>
    <w:p>
      <w:pPr>
        <w:ind w:left="1261" w:right="3039" w:hanging="1259"/>
        <w:spacing w:after="0" w:line="367" w:lineRule="auto"/>
        <w:tabs>
          <w:tab w:leader="none" w:pos="124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6"/>
          <w:szCs w:val="16"/>
          <w:color w:val="auto"/>
        </w:rPr>
        <w:t>PAST CONTACTS, TRANSACTIONS, OR NEGOTIATIONS WITH THE SUBJECT COMPANY</w:t>
      </w:r>
    </w:p>
    <w:p>
      <w:pPr>
        <w:spacing w:after="0" w:line="5" w:lineRule="exact"/>
        <w:rPr>
          <w:sz w:val="20"/>
          <w:szCs w:val="20"/>
          <w:color w:val="auto"/>
        </w:rPr>
      </w:pPr>
    </w:p>
    <w:p>
      <w:pPr>
        <w:ind w:left="1" w:right="2759" w:firstLine="871"/>
        <w:spacing w:after="0" w:line="307" w:lineRule="auto"/>
        <w:tabs>
          <w:tab w:leader="none" w:pos="12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set forth in Section 9 - "Certain Information Concerning the Purchaser and Parent" of the Offer to Purchase is incorporated herein by reference.</w:t>
      </w:r>
    </w:p>
    <w:p>
      <w:pPr>
        <w:spacing w:after="0" w:line="49" w:lineRule="exact"/>
        <w:rPr>
          <w:rFonts w:ascii="Courier New" w:cs="Courier New" w:eastAsia="Courier New" w:hAnsi="Courier New"/>
          <w:sz w:val="16"/>
          <w:szCs w:val="16"/>
          <w:color w:val="auto"/>
        </w:rPr>
      </w:pPr>
    </w:p>
    <w:p>
      <w:pPr>
        <w:ind w:left="1" w:right="2459" w:firstLine="871"/>
        <w:spacing w:after="0" w:line="276" w:lineRule="auto"/>
        <w:tabs>
          <w:tab w:leader="none" w:pos="12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set forth in Section 11 - "Background of the Offer; Contacts with the Company" and in Section 12 - "Purpose of the Offer and the Merger; Plans for the Company; Merger Agreement; Stockholders Agreement; Confidentiality Agreement; Other Matters" of the Offer to Purchase is incorporated herein by reference.</w:t>
      </w:r>
    </w:p>
    <w:p>
      <w:pPr>
        <w:spacing w:after="0" w:line="262"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0"/>
          </w:cols>
          <w:pgMar w:left="239" w:top="273" w:right="1440" w:bottom="1440" w:gutter="0" w:footer="0" w:header="0"/>
        </w:sectPr>
      </w:pPr>
    </w:p>
    <w:bookmarkStart w:id="3" w:name="page4"/>
    <w:bookmarkEnd w:id="3"/>
    <w:p>
      <w:pPr>
        <w:ind w:left="301"/>
        <w:spacing w:after="0"/>
        <w:rPr>
          <w:sz w:val="20"/>
          <w:szCs w:val="20"/>
          <w:color w:val="auto"/>
        </w:rPr>
      </w:pPr>
      <w:r>
        <w:rPr>
          <w:rFonts w:ascii="Courier New" w:cs="Courier New" w:eastAsia="Courier New" w:hAnsi="Courier New"/>
          <w:sz w:val="16"/>
          <w:szCs w:val="16"/>
          <w:color w:val="auto"/>
        </w:rPr>
        <w:t>4</w:t>
      </w:r>
    </w:p>
    <w:p>
      <w:pPr>
        <w:spacing w:after="0" w:line="191" w:lineRule="exact"/>
        <w:rPr>
          <w:sz w:val="20"/>
          <w:szCs w:val="20"/>
          <w:color w:val="auto"/>
        </w:rPr>
      </w:pPr>
    </w:p>
    <w:p>
      <w:pPr>
        <w:ind w:left="1"/>
        <w:spacing w:after="0"/>
        <w:tabs>
          <w:tab w:leader="none" w:pos="124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191" w:lineRule="exact"/>
        <w:rPr>
          <w:sz w:val="20"/>
          <w:szCs w:val="20"/>
          <w:color w:val="auto"/>
        </w:rPr>
      </w:pPr>
    </w:p>
    <w:p>
      <w:pPr>
        <w:ind w:left="1" w:right="2859" w:firstLine="871"/>
        <w:spacing w:after="0" w:line="367" w:lineRule="auto"/>
        <w:tabs>
          <w:tab w:leader="none" w:pos="12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set forth in Section 10 - "Source and Amount of Funds" of the Offer to Purchase is incorporated herein by reference.</w:t>
      </w:r>
    </w:p>
    <w:p>
      <w:pPr>
        <w:spacing w:after="0" w:line="4" w:lineRule="exact"/>
        <w:rPr>
          <w:rFonts w:ascii="Courier New" w:cs="Courier New" w:eastAsia="Courier New" w:hAnsi="Courier New"/>
          <w:sz w:val="16"/>
          <w:szCs w:val="16"/>
          <w:color w:val="auto"/>
        </w:rPr>
      </w:pPr>
    </w:p>
    <w:p>
      <w:pPr>
        <w:ind w:left="1261" w:hanging="389"/>
        <w:spacing w:after="0"/>
        <w:tabs>
          <w:tab w:leader="none" w:pos="126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91" w:lineRule="exact"/>
        <w:rPr>
          <w:rFonts w:ascii="Courier New" w:cs="Courier New" w:eastAsia="Courier New" w:hAnsi="Courier New"/>
          <w:sz w:val="16"/>
          <w:szCs w:val="16"/>
          <w:color w:val="auto"/>
        </w:rPr>
      </w:pPr>
    </w:p>
    <w:p>
      <w:pPr>
        <w:ind w:left="1261" w:hanging="389"/>
        <w:spacing w:after="0"/>
        <w:tabs>
          <w:tab w:leader="none" w:pos="126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91" w:lineRule="exact"/>
        <w:rPr>
          <w:sz w:val="20"/>
          <w:szCs w:val="20"/>
          <w:color w:val="auto"/>
        </w:rPr>
      </w:pPr>
    </w:p>
    <w:p>
      <w:pPr>
        <w:ind w:left="1"/>
        <w:spacing w:after="0"/>
        <w:tabs>
          <w:tab w:leader="none" w:pos="124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6"/>
          <w:szCs w:val="16"/>
          <w:color w:val="auto"/>
        </w:rPr>
        <w:t>PURPOSE OF THE TENDER OFFER AND PLANS OR PROPOSALS OF THE BIDDERS</w:t>
      </w:r>
    </w:p>
    <w:p>
      <w:pPr>
        <w:spacing w:after="0" w:line="191" w:lineRule="exact"/>
        <w:rPr>
          <w:sz w:val="20"/>
          <w:szCs w:val="20"/>
          <w:color w:val="auto"/>
        </w:rPr>
      </w:pPr>
    </w:p>
    <w:p>
      <w:pPr>
        <w:ind w:left="1" w:right="2459" w:firstLine="872"/>
        <w:spacing w:after="0" w:line="270" w:lineRule="auto"/>
        <w:rPr>
          <w:sz w:val="20"/>
          <w:szCs w:val="20"/>
          <w:color w:val="auto"/>
        </w:rPr>
      </w:pPr>
      <w:r>
        <w:rPr>
          <w:rFonts w:ascii="Courier New" w:cs="Courier New" w:eastAsia="Courier New" w:hAnsi="Courier New"/>
          <w:sz w:val="16"/>
          <w:szCs w:val="16"/>
          <w:color w:val="auto"/>
        </w:rPr>
        <w:t>(a)-(g) The information set forth in the Introduction, in Section 7 - "Effect of the Offer on the Market for the Shares; NASDAQ Trading; and Exchange Act Registration; Margin Securities" and in Section 12 - "Purpose of the Offer and the Merger; Plans for the Company; Merger Agreement; Stockholders Agreement; Confidentiality Agreement; Other Matters" of the Offer to Purchase is incorporated herein by reference.</w:t>
      </w:r>
    </w:p>
    <w:p>
      <w:pPr>
        <w:spacing w:after="0" w:line="81" w:lineRule="exact"/>
        <w:rPr>
          <w:sz w:val="20"/>
          <w:szCs w:val="20"/>
          <w:color w:val="auto"/>
        </w:rPr>
      </w:pPr>
    </w:p>
    <w:p>
      <w:pPr>
        <w:ind w:left="1"/>
        <w:spacing w:after="0"/>
        <w:tabs>
          <w:tab w:leader="none" w:pos="124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6"/>
          <w:szCs w:val="16"/>
          <w:color w:val="auto"/>
        </w:rPr>
        <w:t>INTEREST IN SECURITIES OF THE SUBJECT COMPANY</w:t>
      </w:r>
    </w:p>
    <w:p>
      <w:pPr>
        <w:spacing w:after="0" w:line="191"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(a)-(b) The information set forth in the Introduction and in Section 12</w:t>
      </w:r>
    </w:p>
    <w:p>
      <w:pPr>
        <w:spacing w:after="0" w:line="35" w:lineRule="exact"/>
        <w:rPr>
          <w:sz w:val="20"/>
          <w:szCs w:val="20"/>
          <w:color w:val="auto"/>
        </w:rPr>
      </w:pPr>
    </w:p>
    <w:p>
      <w:pPr>
        <w:ind w:left="1" w:right="2279" w:hanging="1"/>
        <w:spacing w:after="0" w:line="246" w:lineRule="auto"/>
        <w:tabs>
          <w:tab w:leader="none" w:pos="19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"Purpose of the Offer and the Merger; Plans for the Company; Merger Agreement; Stockholders Agreement; Confidentiality Agreement; Other Matters" of the Offer</w:t>
      </w:r>
    </w:p>
    <w:p>
      <w:pPr>
        <w:spacing w:after="0" w:line="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to Purchase is incorporated herein by reference.</w:t>
      </w:r>
    </w:p>
    <w:p>
      <w:pPr>
        <w:spacing w:after="0" w:line="161" w:lineRule="exact"/>
        <w:rPr>
          <w:sz w:val="20"/>
          <w:szCs w:val="20"/>
          <w:color w:val="auto"/>
        </w:rPr>
      </w:pPr>
    </w:p>
    <w:p>
      <w:pPr>
        <w:ind w:left="1261" w:right="2959" w:hanging="1259"/>
        <w:spacing w:after="0" w:line="367" w:lineRule="auto"/>
        <w:tabs>
          <w:tab w:leader="none" w:pos="1240"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6"/>
          <w:szCs w:val="16"/>
          <w:color w:val="auto"/>
        </w:rPr>
        <w:t>CONTRACTS, ARRANGEMENTS, UNDERSTANDINGS, OR RELATIONSHIPS WITH RESPECT TO THE SUBJECT COMPANY'S SECURITIES</w:t>
      </w:r>
    </w:p>
    <w:p>
      <w:pPr>
        <w:spacing w:after="0" w:line="5" w:lineRule="exact"/>
        <w:rPr>
          <w:sz w:val="20"/>
          <w:szCs w:val="20"/>
          <w:color w:val="auto"/>
        </w:rPr>
      </w:pPr>
    </w:p>
    <w:p>
      <w:pPr>
        <w:ind w:left="1" w:right="2659" w:firstLine="872"/>
        <w:spacing w:after="0" w:line="276" w:lineRule="auto"/>
        <w:rPr>
          <w:sz w:val="20"/>
          <w:szCs w:val="20"/>
          <w:color w:val="auto"/>
        </w:rPr>
      </w:pPr>
      <w:r>
        <w:rPr>
          <w:rFonts w:ascii="Courier New" w:cs="Courier New" w:eastAsia="Courier New" w:hAnsi="Courier New"/>
          <w:sz w:val="16"/>
          <w:szCs w:val="16"/>
          <w:color w:val="auto"/>
        </w:rPr>
        <w:t>The information set forth in the Introduction, in Section 11 - "Background of the Offer; Contacts with the Company," and in Section 12 - "Purpose of the Offer and the Merger; Plans for the Company; Merger Agreement; Stockholders Agreement; Confidentiality Agreement; Other Matters" of the Offer to Purchase is incorporated herein by reference.</w:t>
      </w:r>
    </w:p>
    <w:p>
      <w:pPr>
        <w:spacing w:after="0" w:line="76" w:lineRule="exact"/>
        <w:rPr>
          <w:sz w:val="20"/>
          <w:szCs w:val="20"/>
          <w:color w:val="auto"/>
        </w:rPr>
      </w:pPr>
    </w:p>
    <w:p>
      <w:pPr>
        <w:ind w:left="1"/>
        <w:spacing w:after="0"/>
        <w:tabs>
          <w:tab w:leader="none" w:pos="1240"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6"/>
          <w:szCs w:val="16"/>
          <w:color w:val="auto"/>
        </w:rPr>
        <w:t>PERSONS RETAINED, EMPLOYED, OR TO BE COMPENSATED</w:t>
      </w:r>
    </w:p>
    <w:p>
      <w:pPr>
        <w:spacing w:after="0" w:line="191" w:lineRule="exact"/>
        <w:rPr>
          <w:sz w:val="20"/>
          <w:szCs w:val="20"/>
          <w:color w:val="auto"/>
        </w:rPr>
      </w:pPr>
    </w:p>
    <w:p>
      <w:pPr>
        <w:ind w:left="1" w:right="2759" w:firstLine="872"/>
        <w:spacing w:after="0" w:line="307" w:lineRule="auto"/>
        <w:rPr>
          <w:sz w:val="20"/>
          <w:szCs w:val="20"/>
          <w:color w:val="auto"/>
        </w:rPr>
      </w:pPr>
      <w:r>
        <w:rPr>
          <w:rFonts w:ascii="Courier New" w:cs="Courier New" w:eastAsia="Courier New" w:hAnsi="Courier New"/>
          <w:sz w:val="16"/>
          <w:szCs w:val="16"/>
          <w:color w:val="auto"/>
        </w:rPr>
        <w:t>The information set forth in the Introduction, in Section 16 - "Fees and Expenses" and in Section 17 "Miscellaneous" of the Offer to Purchase is incorporated herein by reference.</w:t>
      </w:r>
    </w:p>
    <w:p>
      <w:pPr>
        <w:spacing w:after="0" w:line="50" w:lineRule="exact"/>
        <w:rPr>
          <w:sz w:val="20"/>
          <w:szCs w:val="20"/>
          <w:color w:val="auto"/>
        </w:rPr>
      </w:pPr>
    </w:p>
    <w:p>
      <w:pPr>
        <w:ind w:left="1"/>
        <w:spacing w:after="0"/>
        <w:tabs>
          <w:tab w:leader="none" w:pos="1240" w:val="left"/>
        </w:tabs>
        <w:rPr>
          <w:sz w:val="20"/>
          <w:szCs w:val="20"/>
          <w:color w:val="auto"/>
        </w:rPr>
      </w:pPr>
      <w:r>
        <w:rPr>
          <w:rFonts w:ascii="Courier New" w:cs="Courier New" w:eastAsia="Courier New" w:hAnsi="Courier New"/>
          <w:sz w:val="16"/>
          <w:szCs w:val="16"/>
          <w:color w:val="auto"/>
        </w:rPr>
        <w:t>ITEM 9.</w:t>
      </w:r>
      <w:r>
        <w:rPr>
          <w:sz w:val="20"/>
          <w:szCs w:val="20"/>
          <w:color w:val="auto"/>
        </w:rPr>
        <w:tab/>
      </w:r>
      <w:r>
        <w:rPr>
          <w:rFonts w:ascii="Courier New" w:cs="Courier New" w:eastAsia="Courier New" w:hAnsi="Courier New"/>
          <w:sz w:val="16"/>
          <w:szCs w:val="16"/>
          <w:color w:val="auto"/>
        </w:rPr>
        <w:t>FINANCIAL STATEMENTS OF CERTAIN BIDDER[S]</w:t>
      </w:r>
    </w:p>
    <w:p>
      <w:pPr>
        <w:spacing w:after="0" w:line="191"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Not applicable.</w:t>
      </w:r>
    </w:p>
    <w:p>
      <w:pPr>
        <w:spacing w:after="0" w:line="191" w:lineRule="exact"/>
        <w:rPr>
          <w:sz w:val="20"/>
          <w:szCs w:val="20"/>
          <w:color w:val="auto"/>
        </w:rPr>
      </w:pPr>
    </w:p>
    <w:p>
      <w:pPr>
        <w:ind w:left="1"/>
        <w:spacing w:after="0"/>
        <w:tabs>
          <w:tab w:leader="none" w:pos="1240" w:val="left"/>
        </w:tabs>
        <w:rPr>
          <w:sz w:val="20"/>
          <w:szCs w:val="20"/>
          <w:color w:val="auto"/>
        </w:rPr>
      </w:pPr>
      <w:r>
        <w:rPr>
          <w:rFonts w:ascii="Courier New" w:cs="Courier New" w:eastAsia="Courier New" w:hAnsi="Courier New"/>
          <w:sz w:val="16"/>
          <w:szCs w:val="16"/>
          <w:color w:val="auto"/>
        </w:rPr>
        <w:t>ITEM 10.</w:t>
      </w:r>
      <w:r>
        <w:rPr>
          <w:sz w:val="20"/>
          <w:szCs w:val="20"/>
          <w:color w:val="auto"/>
        </w:rPr>
        <w:tab/>
      </w:r>
      <w:r>
        <w:rPr>
          <w:rFonts w:ascii="Courier New" w:cs="Courier New" w:eastAsia="Courier New" w:hAnsi="Courier New"/>
          <w:sz w:val="16"/>
          <w:szCs w:val="16"/>
          <w:color w:val="auto"/>
        </w:rPr>
        <w:t>ADDITIONAL INFORMATION</w:t>
      </w:r>
    </w:p>
    <w:p>
      <w:pPr>
        <w:spacing w:after="0" w:line="191" w:lineRule="exact"/>
        <w:rPr>
          <w:sz w:val="20"/>
          <w:szCs w:val="20"/>
          <w:color w:val="auto"/>
        </w:rPr>
      </w:pPr>
    </w:p>
    <w:p>
      <w:pPr>
        <w:ind w:left="1" w:right="2559" w:firstLine="871"/>
        <w:spacing w:after="0" w:line="276" w:lineRule="auto"/>
        <w:tabs>
          <w:tab w:leader="none" w:pos="12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set forth in the Introduction, in Section 9 - "Certain Information Concerning the Purchaser and Parent," in Section 11 - "Background of the Offer; Contacts with the Company," and in Section 12 - "Purpose of the Offer, and the Merger; Plans for the Company; Merger Agreement; Stockholders Agreement; Confidentiality Agreement; Other Matters"</w:t>
      </w:r>
    </w:p>
    <w:p>
      <w:pPr>
        <w:spacing w:after="0" w:line="262"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0"/>
          </w:cols>
          <w:pgMar w:left="239" w:top="273" w:right="1440"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6"/>
          <w:szCs w:val="16"/>
          <w:color w:val="auto"/>
        </w:rPr>
        <w:t>5</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Offer to Purchase is incorporated herein by reference.</w:t>
      </w:r>
    </w:p>
    <w:p>
      <w:pPr>
        <w:spacing w:after="0" w:line="161" w:lineRule="exact"/>
        <w:rPr>
          <w:sz w:val="20"/>
          <w:szCs w:val="20"/>
          <w:color w:val="auto"/>
        </w:rPr>
      </w:pPr>
    </w:p>
    <w:p>
      <w:pPr>
        <w:ind w:right="2959" w:firstLine="872"/>
        <w:spacing w:after="0" w:line="276" w:lineRule="auto"/>
        <w:rPr>
          <w:sz w:val="20"/>
          <w:szCs w:val="20"/>
          <w:color w:val="auto"/>
        </w:rPr>
      </w:pPr>
      <w:r>
        <w:rPr>
          <w:rFonts w:ascii="Courier New" w:cs="Courier New" w:eastAsia="Courier New" w:hAnsi="Courier New"/>
          <w:sz w:val="16"/>
          <w:szCs w:val="16"/>
          <w:color w:val="auto"/>
        </w:rPr>
        <w:t>(b)-(c) The information set forth in Section 12 - "Purpose of the Offer and the Merger; Plans for the Company; Merger Agreement; Stockholders Agreement; Confidentiality Agreement; Other Matters" and in Section 15 - "Certain Legal Matters" of the Offer to Purchase is incorporated herein by reference.</w:t>
      </w:r>
    </w:p>
    <w:p>
      <w:pPr>
        <w:spacing w:after="0" w:line="76" w:lineRule="exact"/>
        <w:rPr>
          <w:sz w:val="20"/>
          <w:szCs w:val="20"/>
          <w:color w:val="auto"/>
        </w:rPr>
      </w:pPr>
    </w:p>
    <w:p>
      <w:pPr>
        <w:ind w:right="2759" w:firstLine="871"/>
        <w:spacing w:after="0" w:line="307" w:lineRule="auto"/>
        <w:tabs>
          <w:tab w:leader="none" w:pos="12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set forth in Section 7 - "Effect of the Offer on the Market for the Shares; NASDAQ Trading; Exchange Act Registration; Margin Securities" of the Offer to Purchase is incorporated herein by reference.</w:t>
      </w:r>
    </w:p>
    <w:p>
      <w:pPr>
        <w:spacing w:after="0" w:line="49" w:lineRule="exact"/>
        <w:rPr>
          <w:rFonts w:ascii="Courier New" w:cs="Courier New" w:eastAsia="Courier New" w:hAnsi="Courier New"/>
          <w:sz w:val="16"/>
          <w:szCs w:val="16"/>
          <w:color w:val="auto"/>
        </w:rPr>
      </w:pPr>
    </w:p>
    <w:p>
      <w:pPr>
        <w:ind w:left="1260" w:hanging="389"/>
        <w:spacing w:after="0"/>
        <w:tabs>
          <w:tab w:leader="none" w:pos="12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91" w:lineRule="exact"/>
        <w:rPr>
          <w:rFonts w:ascii="Courier New" w:cs="Courier New" w:eastAsia="Courier New" w:hAnsi="Courier New"/>
          <w:sz w:val="16"/>
          <w:szCs w:val="16"/>
          <w:color w:val="auto"/>
        </w:rPr>
      </w:pPr>
    </w:p>
    <w:p>
      <w:pPr>
        <w:ind w:right="2659" w:firstLine="871"/>
        <w:spacing w:after="0" w:line="307" w:lineRule="auto"/>
        <w:tabs>
          <w:tab w:leader="none" w:pos="12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set forth in the Offer to Purchase and the Letter of Transmittal, copies of which are attached hereto as Exhibits (a)(1) and (a)(2), respectively, is incorporated herein by reference.</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11. MATERIAL TO BE FILED AS EXHIBITS</w:t>
      </w:r>
    </w:p>
    <w:p>
      <w:pPr>
        <w:spacing w:after="0" w:line="191"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99(a)(1) Offer to Purchase, dated May 7, 1999.</w:t>
      </w:r>
    </w:p>
    <w:p>
      <w:pPr>
        <w:spacing w:after="0" w:line="191"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99(a)(2) Letter of Transmittal.</w:t>
      </w:r>
    </w:p>
    <w:p>
      <w:pPr>
        <w:spacing w:after="0" w:line="191"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99(a)(3) Notice of Guaranteed Delivery.</w:t>
      </w:r>
    </w:p>
    <w:p>
      <w:pPr>
        <w:spacing w:after="0" w:line="191" w:lineRule="exact"/>
        <w:rPr>
          <w:sz w:val="20"/>
          <w:szCs w:val="20"/>
          <w:color w:val="auto"/>
        </w:rPr>
      </w:pPr>
    </w:p>
    <w:p>
      <w:pPr>
        <w:ind w:right="2659" w:firstLine="678"/>
        <w:spacing w:after="0" w:line="367" w:lineRule="auto"/>
        <w:rPr>
          <w:sz w:val="20"/>
          <w:szCs w:val="20"/>
          <w:color w:val="auto"/>
        </w:rPr>
      </w:pPr>
      <w:r>
        <w:rPr>
          <w:rFonts w:ascii="Courier New" w:cs="Courier New" w:eastAsia="Courier New" w:hAnsi="Courier New"/>
          <w:sz w:val="16"/>
          <w:szCs w:val="16"/>
          <w:color w:val="auto"/>
        </w:rPr>
        <w:t>99(a)(4) Letter to Brokers, Dealers, Commercial Banks, Trust Companies, and Other Nominees.</w:t>
      </w:r>
    </w:p>
    <w:p>
      <w:pPr>
        <w:spacing w:after="0" w:line="5" w:lineRule="exact"/>
        <w:rPr>
          <w:sz w:val="20"/>
          <w:szCs w:val="20"/>
          <w:color w:val="auto"/>
        </w:rPr>
      </w:pPr>
    </w:p>
    <w:p>
      <w:pPr>
        <w:ind w:right="2459" w:firstLine="678"/>
        <w:spacing w:after="0" w:line="367" w:lineRule="auto"/>
        <w:rPr>
          <w:sz w:val="20"/>
          <w:szCs w:val="20"/>
          <w:color w:val="auto"/>
        </w:rPr>
      </w:pPr>
      <w:r>
        <w:rPr>
          <w:rFonts w:ascii="Courier New" w:cs="Courier New" w:eastAsia="Courier New" w:hAnsi="Courier New"/>
          <w:sz w:val="16"/>
          <w:szCs w:val="16"/>
          <w:color w:val="auto"/>
        </w:rPr>
        <w:t>99(a)(5) Letter to Clients for use by Brokers, Dealers, Commercial Banks, Trust Companies, and Other Nominees.</w:t>
      </w:r>
    </w:p>
    <w:p>
      <w:pPr>
        <w:spacing w:after="0" w:line="5" w:lineRule="exact"/>
        <w:rPr>
          <w:sz w:val="20"/>
          <w:szCs w:val="20"/>
          <w:color w:val="auto"/>
        </w:rPr>
      </w:pPr>
    </w:p>
    <w:p>
      <w:pPr>
        <w:ind w:right="2659" w:firstLine="678"/>
        <w:spacing w:after="0" w:line="367" w:lineRule="auto"/>
        <w:rPr>
          <w:sz w:val="20"/>
          <w:szCs w:val="20"/>
          <w:color w:val="auto"/>
        </w:rPr>
      </w:pPr>
      <w:r>
        <w:rPr>
          <w:rFonts w:ascii="Courier New" w:cs="Courier New" w:eastAsia="Courier New" w:hAnsi="Courier New"/>
          <w:sz w:val="16"/>
          <w:szCs w:val="16"/>
          <w:color w:val="auto"/>
        </w:rPr>
        <w:t>99(a)(6) Guidelines for Certification of Taxpayer Identification Number on Substitute Form W-9.</w:t>
      </w:r>
    </w:p>
    <w:p>
      <w:pPr>
        <w:spacing w:after="0" w:line="5"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99(a)(7) Form of Summary Advertisement, dated May 7, 1999.</w:t>
      </w:r>
    </w:p>
    <w:p>
      <w:pPr>
        <w:spacing w:after="0" w:line="191"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99(a)(8) Text of Press Release, dated May 3, 1999.</w:t>
      </w:r>
    </w:p>
    <w:p>
      <w:pPr>
        <w:spacing w:after="0" w:line="191" w:lineRule="exact"/>
        <w:rPr>
          <w:sz w:val="20"/>
          <w:szCs w:val="20"/>
          <w:color w:val="auto"/>
        </w:rPr>
      </w:pPr>
    </w:p>
    <w:p>
      <w:pPr>
        <w:ind w:right="2859" w:firstLine="678"/>
        <w:spacing w:after="0" w:line="367" w:lineRule="auto"/>
        <w:rPr>
          <w:sz w:val="20"/>
          <w:szCs w:val="20"/>
          <w:color w:val="auto"/>
        </w:rPr>
      </w:pPr>
      <w:r>
        <w:rPr>
          <w:rFonts w:ascii="Courier New" w:cs="Courier New" w:eastAsia="Courier New" w:hAnsi="Courier New"/>
          <w:sz w:val="16"/>
          <w:szCs w:val="16"/>
          <w:color w:val="auto"/>
        </w:rPr>
        <w:t>99(c)(1) Agreement and Plan of Merger dated as of May 3, 1999, by and among Parent, the Purchaser and the Company.</w:t>
      </w:r>
    </w:p>
    <w:p>
      <w:pPr>
        <w:spacing w:after="0" w:line="5" w:lineRule="exact"/>
        <w:rPr>
          <w:sz w:val="20"/>
          <w:szCs w:val="20"/>
          <w:color w:val="auto"/>
        </w:rPr>
      </w:pPr>
    </w:p>
    <w:p>
      <w:pPr>
        <w:ind w:right="2459" w:firstLine="678"/>
        <w:spacing w:after="0" w:line="287" w:lineRule="auto"/>
        <w:rPr>
          <w:sz w:val="20"/>
          <w:szCs w:val="20"/>
          <w:color w:val="auto"/>
        </w:rPr>
      </w:pPr>
      <w:r>
        <w:rPr>
          <w:rFonts w:ascii="Courier New" w:cs="Courier New" w:eastAsia="Courier New" w:hAnsi="Courier New"/>
          <w:sz w:val="16"/>
          <w:szCs w:val="16"/>
          <w:color w:val="auto"/>
        </w:rPr>
        <w:t>99(c)(2) Stockholders Agreement dated as of May 3, 1999, by and among the Purchaser, Manher D. Naik, Donald Paulus, Ramesh Sirsi, David Satterfield, Nagano Keiki Co., Ltd., Breed Technologies, Inc., WK Technology Funds, and Vinod K. Sood, Sood Family Trust dated 5/14/90.</w:t>
      </w:r>
    </w:p>
    <w:p>
      <w:pPr>
        <w:spacing w:after="0" w:line="65" w:lineRule="exact"/>
        <w:rPr>
          <w:sz w:val="20"/>
          <w:szCs w:val="20"/>
          <w:color w:val="auto"/>
        </w:rPr>
      </w:pPr>
    </w:p>
    <w:p>
      <w:pPr>
        <w:ind w:right="2959" w:firstLine="678"/>
        <w:spacing w:after="0" w:line="367" w:lineRule="auto"/>
        <w:rPr>
          <w:sz w:val="20"/>
          <w:szCs w:val="20"/>
          <w:color w:val="auto"/>
        </w:rPr>
      </w:pPr>
      <w:r>
        <w:rPr>
          <w:rFonts w:ascii="Courier New" w:cs="Courier New" w:eastAsia="Courier New" w:hAnsi="Courier New"/>
          <w:sz w:val="16"/>
          <w:szCs w:val="16"/>
          <w:color w:val="auto"/>
        </w:rPr>
        <w:t>99(c)(3) Confidentiality Agreement dated as of March 2, 1999, by and between Parent and the Company.</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73"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6</w:t>
      </w:r>
    </w:p>
    <w:p>
      <w:pPr>
        <w:spacing w:after="0" w:line="191" w:lineRule="exact"/>
        <w:rPr>
          <w:sz w:val="20"/>
          <w:szCs w:val="20"/>
          <w:color w:val="auto"/>
        </w:rPr>
      </w:pPr>
    </w:p>
    <w:p>
      <w:pPr>
        <w:ind w:left="960" w:hanging="389"/>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w:t>
      </w:r>
    </w:p>
    <w:p>
      <w:pPr>
        <w:spacing w:after="0" w:line="191" w:lineRule="exact"/>
        <w:rPr>
          <w:rFonts w:ascii="Courier New" w:cs="Courier New" w:eastAsia="Courier New" w:hAnsi="Courier New"/>
          <w:sz w:val="16"/>
          <w:szCs w:val="16"/>
          <w:color w:val="auto"/>
        </w:rPr>
      </w:pPr>
    </w:p>
    <w:p>
      <w:pPr>
        <w:ind w:left="960" w:hanging="389"/>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91" w:lineRule="exact"/>
        <w:rPr>
          <w:rFonts w:ascii="Courier New" w:cs="Courier New" w:eastAsia="Courier New" w:hAnsi="Courier New"/>
          <w:sz w:val="16"/>
          <w:szCs w:val="16"/>
          <w:color w:val="auto"/>
        </w:rPr>
      </w:pPr>
    </w:p>
    <w:p>
      <w:pPr>
        <w:ind w:left="960" w:hanging="389"/>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w:t>
      </w:r>
    </w:p>
    <w:p>
      <w:pPr>
        <w:spacing w:after="0" w:line="378" w:lineRule="exact"/>
        <w:rPr>
          <w:sz w:val="20"/>
          <w:szCs w:val="20"/>
          <w:color w:val="auto"/>
        </w:rPr>
      </w:pPr>
    </w:p>
    <w:p>
      <w:pPr>
        <w:jc w:val="right"/>
        <w:ind w:right="6339"/>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919"/>
          </w:cols>
          <w:pgMar w:left="540" w:top="273" w:right="1440"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6"/>
          <w:szCs w:val="16"/>
          <w:color w:val="auto"/>
        </w:rPr>
        <w:t>7</w:t>
      </w:r>
    </w:p>
    <w:p>
      <w:pPr>
        <w:spacing w:after="0" w:line="19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SIGNATURES</w:t>
      </w:r>
    </w:p>
    <w:p>
      <w:pPr>
        <w:spacing w:after="0" w:line="191" w:lineRule="exact"/>
        <w:rPr>
          <w:sz w:val="20"/>
          <w:szCs w:val="20"/>
          <w:color w:val="auto"/>
        </w:rPr>
      </w:pPr>
    </w:p>
    <w:p>
      <w:pPr>
        <w:jc w:val="both"/>
        <w:ind w:right="2759" w:firstLine="872"/>
        <w:spacing w:after="0" w:line="307" w:lineRule="auto"/>
        <w:rPr>
          <w:sz w:val="20"/>
          <w:szCs w:val="20"/>
          <w:color w:val="auto"/>
        </w:rPr>
      </w:pPr>
      <w:r>
        <w:rPr>
          <w:rFonts w:ascii="Courier New" w:cs="Courier New" w:eastAsia="Courier New" w:hAnsi="Courier New"/>
          <w:sz w:val="16"/>
          <w:szCs w:val="16"/>
          <w:color w:val="auto"/>
        </w:rPr>
        <w:t>After due inquiry and to the best of their knowledge and belief, the undersigned certify that the information set forth in this statement is true, complete and correct.</w:t>
      </w:r>
    </w:p>
    <w:p>
      <w:pPr>
        <w:spacing w:after="0" w:line="50"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Dated: May 7, 1999</w:t>
      </w:r>
    </w:p>
    <w:p>
      <w:pPr>
        <w:spacing w:after="0" w:line="191"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SENSOR ACQUISITION CORPORATION</w:t>
      </w:r>
    </w:p>
    <w:p>
      <w:pPr>
        <w:spacing w:after="0" w:line="378"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6"/>
          <w:szCs w:val="16"/>
          <w:color w:val="auto"/>
        </w:rPr>
        <w:t>By: /s/ MARTHA N. SULLIVAN</w:t>
      </w:r>
    </w:p>
    <w:p>
      <w:pPr>
        <w:spacing w:after="0" w:line="3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980"/>
        <w:spacing w:after="0"/>
        <w:tabs>
          <w:tab w:leader="none" w:pos="4720" w:val="left"/>
        </w:tabs>
        <w:rPr>
          <w:sz w:val="20"/>
          <w:szCs w:val="20"/>
          <w:color w:val="auto"/>
        </w:rPr>
      </w:pPr>
      <w:r>
        <w:rPr>
          <w:rFonts w:ascii="Courier New" w:cs="Courier New" w:eastAsia="Courier New" w:hAnsi="Courier New"/>
          <w:sz w:val="16"/>
          <w:szCs w:val="16"/>
          <w:color w:val="auto"/>
        </w:rPr>
        <w:t>Name:</w:t>
        <w:tab/>
        <w:t>Martha N. Sullivan</w:t>
      </w:r>
    </w:p>
    <w:p>
      <w:pPr>
        <w:spacing w:after="0" w:line="5" w:lineRule="exact"/>
        <w:rPr>
          <w:sz w:val="20"/>
          <w:szCs w:val="20"/>
          <w:color w:val="auto"/>
        </w:rPr>
      </w:pPr>
    </w:p>
    <w:p>
      <w:pPr>
        <w:ind w:left="3980"/>
        <w:spacing w:after="0"/>
        <w:tabs>
          <w:tab w:leader="none" w:pos="4720" w:val="left"/>
        </w:tabs>
        <w:rPr>
          <w:sz w:val="20"/>
          <w:szCs w:val="20"/>
          <w:color w:val="auto"/>
        </w:rPr>
      </w:pPr>
      <w:r>
        <w:rPr>
          <w:rFonts w:ascii="Courier New" w:cs="Courier New" w:eastAsia="Courier New" w:hAnsi="Courier New"/>
          <w:sz w:val="16"/>
          <w:szCs w:val="16"/>
          <w:color w:val="auto"/>
        </w:rPr>
        <w:t>Title:</w:t>
        <w:tab/>
        <w:t>President</w:t>
      </w:r>
    </w:p>
    <w:p>
      <w:pPr>
        <w:spacing w:after="0" w:line="348"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TEXAS INSTRUMENTS INCORPORATED</w:t>
      </w:r>
    </w:p>
    <w:p>
      <w:pPr>
        <w:spacing w:after="0" w:line="378"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By: /s/ RICHARD K. TEMPLETON</w:t>
      </w:r>
    </w:p>
    <w:p>
      <w:pPr>
        <w:spacing w:after="0" w:line="3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980"/>
        <w:spacing w:after="0"/>
        <w:tabs>
          <w:tab w:leader="none" w:pos="4720" w:val="left"/>
        </w:tabs>
        <w:rPr>
          <w:sz w:val="20"/>
          <w:szCs w:val="20"/>
          <w:color w:val="auto"/>
        </w:rPr>
      </w:pPr>
      <w:r>
        <w:rPr>
          <w:rFonts w:ascii="Courier New" w:cs="Courier New" w:eastAsia="Courier New" w:hAnsi="Courier New"/>
          <w:sz w:val="16"/>
          <w:szCs w:val="16"/>
          <w:color w:val="auto"/>
        </w:rPr>
        <w:t>Name:</w:t>
        <w:tab/>
        <w:t>Richard K. Templeton</w:t>
      </w:r>
    </w:p>
    <w:p>
      <w:pPr>
        <w:spacing w:after="0" w:line="5" w:lineRule="exact"/>
        <w:rPr>
          <w:sz w:val="20"/>
          <w:szCs w:val="20"/>
          <w:color w:val="auto"/>
        </w:rPr>
      </w:pPr>
    </w:p>
    <w:p>
      <w:pPr>
        <w:ind w:left="3980"/>
        <w:spacing w:after="0"/>
        <w:tabs>
          <w:tab w:leader="none" w:pos="4720" w:val="left"/>
        </w:tabs>
        <w:rPr>
          <w:sz w:val="20"/>
          <w:szCs w:val="20"/>
          <w:color w:val="auto"/>
        </w:rPr>
      </w:pPr>
      <w:r>
        <w:rPr>
          <w:rFonts w:ascii="Courier New" w:cs="Courier New" w:eastAsia="Courier New" w:hAnsi="Courier New"/>
          <w:sz w:val="16"/>
          <w:szCs w:val="16"/>
          <w:color w:val="auto"/>
        </w:rPr>
        <w:t>Title:</w:t>
        <w:tab/>
        <w:t>Executive Vice President</w:t>
      </w:r>
    </w:p>
    <w:p>
      <w:pPr>
        <w:spacing w:after="0" w:line="34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73" w:right="1440" w:bottom="144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6"/>
          <w:szCs w:val="16"/>
          <w:color w:val="auto"/>
        </w:rPr>
        <w:t>8</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400" w:type="dxa"/>
            <w:vAlign w:val="bottom"/>
          </w:tcPr>
          <w:p>
            <w:pPr>
              <w:spacing w:after="0"/>
              <w:rPr>
                <w:sz w:val="23"/>
                <w:szCs w:val="23"/>
                <w:color w:val="auto"/>
              </w:rPr>
            </w:pPr>
          </w:p>
        </w:tc>
        <w:tc>
          <w:tcPr>
            <w:tcW w:w="7800" w:type="dxa"/>
            <w:vAlign w:val="bottom"/>
          </w:tcPr>
          <w:p>
            <w:pPr>
              <w:ind w:left="1900"/>
              <w:spacing w:after="0"/>
              <w:rPr>
                <w:sz w:val="20"/>
                <w:szCs w:val="20"/>
                <w:color w:val="auto"/>
              </w:rPr>
            </w:pPr>
            <w:r>
              <w:rPr>
                <w:rFonts w:ascii="Courier New" w:cs="Courier New" w:eastAsia="Courier New" w:hAnsi="Courier New"/>
                <w:sz w:val="16"/>
                <w:szCs w:val="16"/>
                <w:color w:val="auto"/>
              </w:rPr>
              <w:t>EXHIBIT INDEX</w:t>
            </w:r>
          </w:p>
        </w:tc>
        <w:tc>
          <w:tcPr>
            <w:tcW w:w="0" w:type="dxa"/>
            <w:vAlign w:val="bottom"/>
          </w:tcPr>
          <w:p>
            <w:pPr>
              <w:spacing w:after="0"/>
              <w:rPr>
                <w:sz w:val="1"/>
                <w:szCs w:val="1"/>
                <w:color w:val="auto"/>
              </w:rPr>
            </w:pPr>
          </w:p>
        </w:tc>
      </w:tr>
      <w:tr>
        <w:trPr>
          <w:trHeight w:val="659"/>
        </w:trPr>
        <w:tc>
          <w:tcPr>
            <w:tcW w:w="140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7800" w:type="dxa"/>
            <w:vAlign w:val="bottom"/>
          </w:tcPr>
          <w:p>
            <w:pPr>
              <w:ind w:left="6840"/>
              <w:spacing w:after="0"/>
              <w:rPr>
                <w:sz w:val="20"/>
                <w:szCs w:val="20"/>
                <w:color w:val="auto"/>
              </w:rPr>
            </w:pPr>
            <w:r>
              <w:rPr>
                <w:rFonts w:ascii="Courier New" w:cs="Courier New" w:eastAsia="Courier New" w:hAnsi="Courier New"/>
                <w:sz w:val="16"/>
                <w:szCs w:val="16"/>
                <w:color w:val="auto"/>
              </w:rPr>
              <w:t>PAGE NO.</w:t>
            </w:r>
          </w:p>
        </w:tc>
        <w:tc>
          <w:tcPr>
            <w:tcW w:w="0" w:type="dxa"/>
            <w:vAlign w:val="bottom"/>
          </w:tcPr>
          <w:p>
            <w:pPr>
              <w:spacing w:after="0"/>
              <w:rPr>
                <w:sz w:val="1"/>
                <w:szCs w:val="1"/>
                <w:color w:val="auto"/>
              </w:rPr>
            </w:pPr>
          </w:p>
        </w:tc>
      </w:tr>
      <w:tr>
        <w:trPr>
          <w:trHeight w:val="273"/>
        </w:trPr>
        <w:tc>
          <w:tcPr>
            <w:tcW w:w="14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7800" w:type="dxa"/>
            <w:vAlign w:val="bottom"/>
          </w:tcPr>
          <w:p>
            <w:pPr>
              <w:ind w:left="7020"/>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473"/>
        </w:trPr>
        <w:tc>
          <w:tcPr>
            <w:tcW w:w="1400" w:type="dxa"/>
            <w:vAlign w:val="bottom"/>
          </w:tcPr>
          <w:p>
            <w:pPr>
              <w:spacing w:after="0"/>
              <w:rPr>
                <w:sz w:val="20"/>
                <w:szCs w:val="20"/>
                <w:color w:val="auto"/>
              </w:rPr>
            </w:pPr>
            <w:r>
              <w:rPr>
                <w:rFonts w:ascii="Courier New" w:cs="Courier New" w:eastAsia="Courier New" w:hAnsi="Courier New"/>
                <w:sz w:val="16"/>
                <w:szCs w:val="16"/>
                <w:color w:val="auto"/>
              </w:rPr>
              <w:t>99(a)(1)</w:t>
            </w:r>
          </w:p>
        </w:tc>
        <w:tc>
          <w:tcPr>
            <w:tcW w:w="7800" w:type="dxa"/>
            <w:vAlign w:val="bottom"/>
          </w:tcPr>
          <w:p>
            <w:pPr>
              <w:ind w:left="540"/>
              <w:spacing w:after="0"/>
              <w:rPr>
                <w:sz w:val="20"/>
                <w:szCs w:val="20"/>
                <w:color w:val="auto"/>
              </w:rPr>
            </w:pPr>
            <w:r>
              <w:rPr>
                <w:rFonts w:ascii="Courier New" w:cs="Courier New" w:eastAsia="Courier New" w:hAnsi="Courier New"/>
                <w:sz w:val="16"/>
                <w:szCs w:val="16"/>
                <w:color w:val="auto"/>
              </w:rPr>
              <w:t>Offer to Purchase, dated May 7, 1999.</w:t>
            </w:r>
          </w:p>
        </w:tc>
        <w:tc>
          <w:tcPr>
            <w:tcW w:w="0" w:type="dxa"/>
            <w:vAlign w:val="bottom"/>
          </w:tcPr>
          <w:p>
            <w:pPr>
              <w:spacing w:after="0"/>
              <w:rPr>
                <w:sz w:val="1"/>
                <w:szCs w:val="1"/>
                <w:color w:val="auto"/>
              </w:rPr>
            </w:pP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99(a)(2)</w:t>
            </w:r>
          </w:p>
        </w:tc>
        <w:tc>
          <w:tcPr>
            <w:tcW w:w="7800" w:type="dxa"/>
            <w:vAlign w:val="bottom"/>
          </w:tcPr>
          <w:p>
            <w:pPr>
              <w:ind w:left="540"/>
              <w:spacing w:after="0"/>
              <w:rPr>
                <w:sz w:val="20"/>
                <w:szCs w:val="20"/>
                <w:color w:val="auto"/>
              </w:rPr>
            </w:pPr>
            <w:r>
              <w:rPr>
                <w:rFonts w:ascii="Courier New" w:cs="Courier New" w:eastAsia="Courier New" w:hAnsi="Courier New"/>
                <w:sz w:val="16"/>
                <w:szCs w:val="16"/>
                <w:color w:val="auto"/>
              </w:rPr>
              <w:t>Letter of Transmittal.</w:t>
            </w:r>
          </w:p>
        </w:tc>
        <w:tc>
          <w:tcPr>
            <w:tcW w:w="0" w:type="dxa"/>
            <w:vAlign w:val="bottom"/>
          </w:tcPr>
          <w:p>
            <w:pPr>
              <w:spacing w:after="0"/>
              <w:rPr>
                <w:sz w:val="1"/>
                <w:szCs w:val="1"/>
                <w:color w:val="auto"/>
              </w:rPr>
            </w:pP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99(a)(3)</w:t>
            </w:r>
          </w:p>
        </w:tc>
        <w:tc>
          <w:tcPr>
            <w:tcW w:w="7800" w:type="dxa"/>
            <w:vAlign w:val="bottom"/>
          </w:tcPr>
          <w:p>
            <w:pPr>
              <w:ind w:left="540"/>
              <w:spacing w:after="0"/>
              <w:rPr>
                <w:sz w:val="20"/>
                <w:szCs w:val="20"/>
                <w:color w:val="auto"/>
              </w:rPr>
            </w:pPr>
            <w:r>
              <w:rPr>
                <w:rFonts w:ascii="Courier New" w:cs="Courier New" w:eastAsia="Courier New" w:hAnsi="Courier New"/>
                <w:sz w:val="16"/>
                <w:szCs w:val="16"/>
                <w:color w:val="auto"/>
              </w:rPr>
              <w:t>Notice of Guaranteed Delivery.</w:t>
            </w:r>
          </w:p>
        </w:tc>
        <w:tc>
          <w:tcPr>
            <w:tcW w:w="0" w:type="dxa"/>
            <w:vAlign w:val="bottom"/>
          </w:tcPr>
          <w:p>
            <w:pPr>
              <w:spacing w:after="0"/>
              <w:rPr>
                <w:sz w:val="1"/>
                <w:szCs w:val="1"/>
                <w:color w:val="auto"/>
              </w:rPr>
            </w:pP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99(a)(4)</w:t>
            </w:r>
          </w:p>
        </w:tc>
        <w:tc>
          <w:tcPr>
            <w:tcW w:w="7800" w:type="dxa"/>
            <w:vAlign w:val="bottom"/>
          </w:tcPr>
          <w:p>
            <w:pPr>
              <w:ind w:left="540"/>
              <w:spacing w:after="0"/>
              <w:rPr>
                <w:sz w:val="20"/>
                <w:szCs w:val="20"/>
                <w:color w:val="auto"/>
              </w:rPr>
            </w:pPr>
            <w:r>
              <w:rPr>
                <w:rFonts w:ascii="Courier New" w:cs="Courier New" w:eastAsia="Courier New" w:hAnsi="Courier New"/>
                <w:sz w:val="16"/>
                <w:szCs w:val="16"/>
                <w:color w:val="auto"/>
              </w:rPr>
              <w:t>Letter to Brokers, Dealers, Commercial Banks, Trust Companies,</w:t>
            </w:r>
          </w:p>
        </w:tc>
        <w:tc>
          <w:tcPr>
            <w:tcW w:w="0" w:type="dxa"/>
            <w:vAlign w:val="bottom"/>
          </w:tcPr>
          <w:p>
            <w:pPr>
              <w:spacing w:after="0"/>
              <w:rPr>
                <w:sz w:val="1"/>
                <w:szCs w:val="1"/>
                <w:color w:val="auto"/>
              </w:rPr>
            </w:pPr>
          </w:p>
        </w:tc>
      </w:tr>
      <w:tr>
        <w:trPr>
          <w:trHeight w:val="186"/>
        </w:trPr>
        <w:tc>
          <w:tcPr>
            <w:tcW w:w="1400" w:type="dxa"/>
            <w:vAlign w:val="bottom"/>
            <w:vMerge w:val="restart"/>
          </w:tcPr>
          <w:p>
            <w:pPr>
              <w:spacing w:after="0"/>
              <w:rPr>
                <w:sz w:val="20"/>
                <w:szCs w:val="20"/>
                <w:color w:val="auto"/>
              </w:rPr>
            </w:pPr>
            <w:r>
              <w:rPr>
                <w:rFonts w:ascii="Courier New" w:cs="Courier New" w:eastAsia="Courier New" w:hAnsi="Courier New"/>
                <w:sz w:val="16"/>
                <w:szCs w:val="16"/>
                <w:color w:val="auto"/>
              </w:rPr>
              <w:t>99(a)(5)</w:t>
            </w:r>
          </w:p>
        </w:tc>
        <w:tc>
          <w:tcPr>
            <w:tcW w:w="7800" w:type="dxa"/>
            <w:vAlign w:val="bottom"/>
          </w:tcPr>
          <w:p>
            <w:pPr>
              <w:ind w:left="540"/>
              <w:spacing w:after="0"/>
              <w:rPr>
                <w:sz w:val="20"/>
                <w:szCs w:val="20"/>
                <w:color w:val="auto"/>
              </w:rPr>
            </w:pPr>
            <w:r>
              <w:rPr>
                <w:rFonts w:ascii="Courier New" w:cs="Courier New" w:eastAsia="Courier New" w:hAnsi="Courier New"/>
                <w:sz w:val="16"/>
                <w:szCs w:val="16"/>
                <w:color w:val="auto"/>
              </w:rPr>
              <w:t>and Other Nominees.</w:t>
            </w:r>
          </w:p>
        </w:tc>
        <w:tc>
          <w:tcPr>
            <w:tcW w:w="0" w:type="dxa"/>
            <w:vAlign w:val="bottom"/>
          </w:tcPr>
          <w:p>
            <w:pPr>
              <w:spacing w:after="0"/>
              <w:rPr>
                <w:sz w:val="1"/>
                <w:szCs w:val="1"/>
                <w:color w:val="auto"/>
              </w:rPr>
            </w:pPr>
          </w:p>
        </w:tc>
      </w:tr>
      <w:tr>
        <w:trPr>
          <w:trHeight w:val="186"/>
        </w:trPr>
        <w:tc>
          <w:tcPr>
            <w:tcW w:w="1400" w:type="dxa"/>
            <w:vAlign w:val="bottom"/>
            <w:vMerge w:val="continue"/>
          </w:tcPr>
          <w:p>
            <w:pPr>
              <w:spacing w:after="0"/>
              <w:rPr>
                <w:sz w:val="16"/>
                <w:szCs w:val="16"/>
                <w:color w:val="auto"/>
              </w:rPr>
            </w:pPr>
          </w:p>
        </w:tc>
        <w:tc>
          <w:tcPr>
            <w:tcW w:w="7800" w:type="dxa"/>
            <w:vAlign w:val="bottom"/>
          </w:tcPr>
          <w:p>
            <w:pPr>
              <w:ind w:left="540"/>
              <w:spacing w:after="0"/>
              <w:rPr>
                <w:sz w:val="20"/>
                <w:szCs w:val="20"/>
                <w:color w:val="auto"/>
              </w:rPr>
            </w:pPr>
            <w:r>
              <w:rPr>
                <w:rFonts w:ascii="Courier New" w:cs="Courier New" w:eastAsia="Courier New" w:hAnsi="Courier New"/>
                <w:sz w:val="16"/>
                <w:szCs w:val="16"/>
                <w:color w:val="auto"/>
              </w:rPr>
              <w:t>Letter to Clients for use by Brokers, Dealers, Commercial Banks,</w:t>
            </w:r>
          </w:p>
        </w:tc>
        <w:tc>
          <w:tcPr>
            <w:tcW w:w="0" w:type="dxa"/>
            <w:vAlign w:val="bottom"/>
          </w:tcPr>
          <w:p>
            <w:pPr>
              <w:spacing w:after="0"/>
              <w:rPr>
                <w:sz w:val="1"/>
                <w:szCs w:val="1"/>
                <w:color w:val="auto"/>
              </w:rPr>
            </w:pPr>
          </w:p>
        </w:tc>
      </w:tr>
      <w:tr>
        <w:trPr>
          <w:trHeight w:val="186"/>
        </w:trPr>
        <w:tc>
          <w:tcPr>
            <w:tcW w:w="1400" w:type="dxa"/>
            <w:vAlign w:val="bottom"/>
            <w:vMerge w:val="restart"/>
          </w:tcPr>
          <w:p>
            <w:pPr>
              <w:spacing w:after="0"/>
              <w:rPr>
                <w:sz w:val="20"/>
                <w:szCs w:val="20"/>
                <w:color w:val="auto"/>
              </w:rPr>
            </w:pPr>
            <w:r>
              <w:rPr>
                <w:rFonts w:ascii="Courier New" w:cs="Courier New" w:eastAsia="Courier New" w:hAnsi="Courier New"/>
                <w:sz w:val="16"/>
                <w:szCs w:val="16"/>
                <w:color w:val="auto"/>
              </w:rPr>
              <w:t>99(a)(6)</w:t>
            </w:r>
          </w:p>
        </w:tc>
        <w:tc>
          <w:tcPr>
            <w:tcW w:w="7800" w:type="dxa"/>
            <w:vAlign w:val="bottom"/>
          </w:tcPr>
          <w:p>
            <w:pPr>
              <w:ind w:left="540"/>
              <w:spacing w:after="0"/>
              <w:rPr>
                <w:sz w:val="20"/>
                <w:szCs w:val="20"/>
                <w:color w:val="auto"/>
              </w:rPr>
            </w:pPr>
            <w:r>
              <w:rPr>
                <w:rFonts w:ascii="Courier New" w:cs="Courier New" w:eastAsia="Courier New" w:hAnsi="Courier New"/>
                <w:sz w:val="16"/>
                <w:szCs w:val="16"/>
                <w:color w:val="auto"/>
              </w:rPr>
              <w:t>Trust Companies, and Other Nominees.</w:t>
            </w:r>
          </w:p>
        </w:tc>
        <w:tc>
          <w:tcPr>
            <w:tcW w:w="0" w:type="dxa"/>
            <w:vAlign w:val="bottom"/>
          </w:tcPr>
          <w:p>
            <w:pPr>
              <w:spacing w:after="0"/>
              <w:rPr>
                <w:sz w:val="1"/>
                <w:szCs w:val="1"/>
                <w:color w:val="auto"/>
              </w:rPr>
            </w:pPr>
          </w:p>
        </w:tc>
      </w:tr>
      <w:tr>
        <w:trPr>
          <w:trHeight w:val="186"/>
        </w:trPr>
        <w:tc>
          <w:tcPr>
            <w:tcW w:w="1400" w:type="dxa"/>
            <w:vAlign w:val="bottom"/>
            <w:vMerge w:val="continue"/>
          </w:tcPr>
          <w:p>
            <w:pPr>
              <w:spacing w:after="0"/>
              <w:rPr>
                <w:sz w:val="16"/>
                <w:szCs w:val="16"/>
                <w:color w:val="auto"/>
              </w:rPr>
            </w:pPr>
          </w:p>
        </w:tc>
        <w:tc>
          <w:tcPr>
            <w:tcW w:w="7800" w:type="dxa"/>
            <w:vAlign w:val="bottom"/>
          </w:tcPr>
          <w:p>
            <w:pPr>
              <w:ind w:left="540"/>
              <w:spacing w:after="0"/>
              <w:rPr>
                <w:sz w:val="20"/>
                <w:szCs w:val="20"/>
                <w:color w:val="auto"/>
              </w:rPr>
            </w:pPr>
            <w:r>
              <w:rPr>
                <w:rFonts w:ascii="Courier New" w:cs="Courier New" w:eastAsia="Courier New" w:hAnsi="Courier New"/>
                <w:sz w:val="16"/>
                <w:szCs w:val="16"/>
                <w:color w:val="auto"/>
              </w:rPr>
              <w:t>Guidelines for Certification of Taxpayer Identification Number on</w:t>
            </w:r>
          </w:p>
        </w:tc>
        <w:tc>
          <w:tcPr>
            <w:tcW w:w="0" w:type="dxa"/>
            <w:vAlign w:val="bottom"/>
          </w:tcPr>
          <w:p>
            <w:pPr>
              <w:spacing w:after="0"/>
              <w:rPr>
                <w:sz w:val="1"/>
                <w:szCs w:val="1"/>
                <w:color w:val="auto"/>
              </w:rPr>
            </w:pPr>
          </w:p>
        </w:tc>
      </w:tr>
      <w:tr>
        <w:trPr>
          <w:trHeight w:val="186"/>
        </w:trPr>
        <w:tc>
          <w:tcPr>
            <w:tcW w:w="1400" w:type="dxa"/>
            <w:vAlign w:val="bottom"/>
            <w:vMerge w:val="restart"/>
          </w:tcPr>
          <w:p>
            <w:pPr>
              <w:spacing w:after="0"/>
              <w:rPr>
                <w:sz w:val="20"/>
                <w:szCs w:val="20"/>
                <w:color w:val="auto"/>
              </w:rPr>
            </w:pPr>
            <w:r>
              <w:rPr>
                <w:rFonts w:ascii="Courier New" w:cs="Courier New" w:eastAsia="Courier New" w:hAnsi="Courier New"/>
                <w:sz w:val="16"/>
                <w:szCs w:val="16"/>
                <w:color w:val="auto"/>
              </w:rPr>
              <w:t>99(a)(7)</w:t>
            </w:r>
          </w:p>
        </w:tc>
        <w:tc>
          <w:tcPr>
            <w:tcW w:w="7800" w:type="dxa"/>
            <w:vAlign w:val="bottom"/>
          </w:tcPr>
          <w:p>
            <w:pPr>
              <w:ind w:left="540"/>
              <w:spacing w:after="0"/>
              <w:rPr>
                <w:sz w:val="20"/>
                <w:szCs w:val="20"/>
                <w:color w:val="auto"/>
              </w:rPr>
            </w:pPr>
            <w:r>
              <w:rPr>
                <w:rFonts w:ascii="Courier New" w:cs="Courier New" w:eastAsia="Courier New" w:hAnsi="Courier New"/>
                <w:sz w:val="16"/>
                <w:szCs w:val="16"/>
                <w:color w:val="auto"/>
              </w:rPr>
              <w:t>Substitute Form W-9.</w:t>
            </w:r>
          </w:p>
        </w:tc>
        <w:tc>
          <w:tcPr>
            <w:tcW w:w="0" w:type="dxa"/>
            <w:vAlign w:val="bottom"/>
          </w:tcPr>
          <w:p>
            <w:pPr>
              <w:spacing w:after="0"/>
              <w:rPr>
                <w:sz w:val="1"/>
                <w:szCs w:val="1"/>
                <w:color w:val="auto"/>
              </w:rPr>
            </w:pPr>
          </w:p>
        </w:tc>
      </w:tr>
      <w:tr>
        <w:trPr>
          <w:trHeight w:val="186"/>
        </w:trPr>
        <w:tc>
          <w:tcPr>
            <w:tcW w:w="1400" w:type="dxa"/>
            <w:vAlign w:val="bottom"/>
            <w:vMerge w:val="continue"/>
          </w:tcPr>
          <w:p>
            <w:pPr>
              <w:spacing w:after="0"/>
              <w:rPr>
                <w:sz w:val="16"/>
                <w:szCs w:val="16"/>
                <w:color w:val="auto"/>
              </w:rPr>
            </w:pPr>
          </w:p>
        </w:tc>
        <w:tc>
          <w:tcPr>
            <w:tcW w:w="7800" w:type="dxa"/>
            <w:vAlign w:val="bottom"/>
          </w:tcPr>
          <w:p>
            <w:pPr>
              <w:ind w:left="540"/>
              <w:spacing w:after="0"/>
              <w:rPr>
                <w:sz w:val="20"/>
                <w:szCs w:val="20"/>
                <w:color w:val="auto"/>
              </w:rPr>
            </w:pPr>
            <w:r>
              <w:rPr>
                <w:rFonts w:ascii="Courier New" w:cs="Courier New" w:eastAsia="Courier New" w:hAnsi="Courier New"/>
                <w:sz w:val="16"/>
                <w:szCs w:val="16"/>
                <w:color w:val="auto"/>
              </w:rPr>
              <w:t>Form of Summary Advertisement, dated May 7, 1999.</w:t>
            </w:r>
          </w:p>
        </w:tc>
        <w:tc>
          <w:tcPr>
            <w:tcW w:w="0" w:type="dxa"/>
            <w:vAlign w:val="bottom"/>
          </w:tcPr>
          <w:p>
            <w:pPr>
              <w:spacing w:after="0"/>
              <w:rPr>
                <w:sz w:val="1"/>
                <w:szCs w:val="1"/>
                <w:color w:val="auto"/>
              </w:rPr>
            </w:pP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99(a)(8)</w:t>
            </w:r>
          </w:p>
        </w:tc>
        <w:tc>
          <w:tcPr>
            <w:tcW w:w="7800" w:type="dxa"/>
            <w:vAlign w:val="bottom"/>
          </w:tcPr>
          <w:p>
            <w:pPr>
              <w:ind w:left="540"/>
              <w:spacing w:after="0"/>
              <w:rPr>
                <w:sz w:val="20"/>
                <w:szCs w:val="20"/>
                <w:color w:val="auto"/>
              </w:rPr>
            </w:pPr>
            <w:r>
              <w:rPr>
                <w:rFonts w:ascii="Courier New" w:cs="Courier New" w:eastAsia="Courier New" w:hAnsi="Courier New"/>
                <w:sz w:val="16"/>
                <w:szCs w:val="16"/>
                <w:color w:val="auto"/>
              </w:rPr>
              <w:t>Text of Press Release, dated May 3, 1999.</w:t>
            </w:r>
          </w:p>
        </w:tc>
        <w:tc>
          <w:tcPr>
            <w:tcW w:w="0" w:type="dxa"/>
            <w:vAlign w:val="bottom"/>
          </w:tcPr>
          <w:p>
            <w:pPr>
              <w:spacing w:after="0"/>
              <w:rPr>
                <w:sz w:val="1"/>
                <w:szCs w:val="1"/>
                <w:color w:val="auto"/>
              </w:rPr>
            </w:pP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99(c)(1)</w:t>
            </w:r>
          </w:p>
        </w:tc>
        <w:tc>
          <w:tcPr>
            <w:tcW w:w="7800" w:type="dxa"/>
            <w:vAlign w:val="bottom"/>
          </w:tcPr>
          <w:p>
            <w:pPr>
              <w:ind w:left="540"/>
              <w:spacing w:after="0"/>
              <w:rPr>
                <w:sz w:val="20"/>
                <w:szCs w:val="20"/>
                <w:color w:val="auto"/>
              </w:rPr>
            </w:pPr>
            <w:r>
              <w:rPr>
                <w:rFonts w:ascii="Courier New" w:cs="Courier New" w:eastAsia="Courier New" w:hAnsi="Courier New"/>
                <w:sz w:val="16"/>
                <w:szCs w:val="16"/>
                <w:color w:val="auto"/>
              </w:rPr>
              <w:t>Agreement and Plan of Merger dated as of May 3, 1999, by and</w:t>
            </w:r>
          </w:p>
        </w:tc>
        <w:tc>
          <w:tcPr>
            <w:tcW w:w="0" w:type="dxa"/>
            <w:vAlign w:val="bottom"/>
          </w:tcPr>
          <w:p>
            <w:pPr>
              <w:spacing w:after="0"/>
              <w:rPr>
                <w:sz w:val="1"/>
                <w:szCs w:val="1"/>
                <w:color w:val="auto"/>
              </w:rPr>
            </w:pPr>
          </w:p>
        </w:tc>
      </w:tr>
      <w:tr>
        <w:trPr>
          <w:trHeight w:val="186"/>
        </w:trPr>
        <w:tc>
          <w:tcPr>
            <w:tcW w:w="1400" w:type="dxa"/>
            <w:vAlign w:val="bottom"/>
            <w:vMerge w:val="restart"/>
          </w:tcPr>
          <w:p>
            <w:pPr>
              <w:spacing w:after="0"/>
              <w:rPr>
                <w:sz w:val="20"/>
                <w:szCs w:val="20"/>
                <w:color w:val="auto"/>
              </w:rPr>
            </w:pPr>
            <w:r>
              <w:rPr>
                <w:rFonts w:ascii="Courier New" w:cs="Courier New" w:eastAsia="Courier New" w:hAnsi="Courier New"/>
                <w:sz w:val="16"/>
                <w:szCs w:val="16"/>
                <w:color w:val="auto"/>
              </w:rPr>
              <w:t>99(c)(2)</w:t>
            </w:r>
          </w:p>
        </w:tc>
        <w:tc>
          <w:tcPr>
            <w:tcW w:w="7800" w:type="dxa"/>
            <w:vAlign w:val="bottom"/>
          </w:tcPr>
          <w:p>
            <w:pPr>
              <w:ind w:left="540"/>
              <w:spacing w:after="0"/>
              <w:rPr>
                <w:sz w:val="20"/>
                <w:szCs w:val="20"/>
                <w:color w:val="auto"/>
              </w:rPr>
            </w:pPr>
            <w:r>
              <w:rPr>
                <w:rFonts w:ascii="Courier New" w:cs="Courier New" w:eastAsia="Courier New" w:hAnsi="Courier New"/>
                <w:sz w:val="16"/>
                <w:szCs w:val="16"/>
                <w:color w:val="auto"/>
              </w:rPr>
              <w:t>among Parent, the Purchaser and the Company.</w:t>
            </w:r>
          </w:p>
        </w:tc>
        <w:tc>
          <w:tcPr>
            <w:tcW w:w="0" w:type="dxa"/>
            <w:vAlign w:val="bottom"/>
          </w:tcPr>
          <w:p>
            <w:pPr>
              <w:spacing w:after="0"/>
              <w:rPr>
                <w:sz w:val="1"/>
                <w:szCs w:val="1"/>
                <w:color w:val="auto"/>
              </w:rPr>
            </w:pPr>
          </w:p>
        </w:tc>
      </w:tr>
      <w:tr>
        <w:trPr>
          <w:trHeight w:val="186"/>
        </w:trPr>
        <w:tc>
          <w:tcPr>
            <w:tcW w:w="1400" w:type="dxa"/>
            <w:vAlign w:val="bottom"/>
            <w:vMerge w:val="continue"/>
          </w:tcPr>
          <w:p>
            <w:pPr>
              <w:spacing w:after="0"/>
              <w:rPr>
                <w:sz w:val="16"/>
                <w:szCs w:val="16"/>
                <w:color w:val="auto"/>
              </w:rPr>
            </w:pPr>
          </w:p>
        </w:tc>
        <w:tc>
          <w:tcPr>
            <w:tcW w:w="7800" w:type="dxa"/>
            <w:vAlign w:val="bottom"/>
          </w:tcPr>
          <w:p>
            <w:pPr>
              <w:ind w:left="540"/>
              <w:spacing w:after="0"/>
              <w:rPr>
                <w:sz w:val="20"/>
                <w:szCs w:val="20"/>
                <w:color w:val="auto"/>
              </w:rPr>
            </w:pPr>
            <w:r>
              <w:rPr>
                <w:rFonts w:ascii="Courier New" w:cs="Courier New" w:eastAsia="Courier New" w:hAnsi="Courier New"/>
                <w:sz w:val="16"/>
                <w:szCs w:val="16"/>
                <w:color w:val="auto"/>
              </w:rPr>
              <w:t>Stockholders Agreement dated as of May 3, 1999, by and among</w:t>
            </w:r>
          </w:p>
        </w:tc>
        <w:tc>
          <w:tcPr>
            <w:tcW w:w="0" w:type="dxa"/>
            <w:vAlign w:val="bottom"/>
          </w:tcPr>
          <w:p>
            <w:pPr>
              <w:spacing w:after="0"/>
              <w:rPr>
                <w:sz w:val="1"/>
                <w:szCs w:val="1"/>
                <w:color w:val="auto"/>
              </w:rPr>
            </w:pPr>
          </w:p>
        </w:tc>
      </w:tr>
      <w:tr>
        <w:trPr>
          <w:trHeight w:val="186"/>
        </w:trPr>
        <w:tc>
          <w:tcPr>
            <w:tcW w:w="1400" w:type="dxa"/>
            <w:vAlign w:val="bottom"/>
          </w:tcPr>
          <w:p>
            <w:pPr>
              <w:spacing w:after="0"/>
              <w:rPr>
                <w:sz w:val="16"/>
                <w:szCs w:val="16"/>
                <w:color w:val="auto"/>
              </w:rPr>
            </w:pPr>
          </w:p>
        </w:tc>
        <w:tc>
          <w:tcPr>
            <w:tcW w:w="7800" w:type="dxa"/>
            <w:vAlign w:val="bottom"/>
          </w:tcPr>
          <w:p>
            <w:pPr>
              <w:ind w:left="540"/>
              <w:spacing w:after="0"/>
              <w:rPr>
                <w:sz w:val="20"/>
                <w:szCs w:val="20"/>
                <w:color w:val="auto"/>
              </w:rPr>
            </w:pPr>
            <w:r>
              <w:rPr>
                <w:rFonts w:ascii="Courier New" w:cs="Courier New" w:eastAsia="Courier New" w:hAnsi="Courier New"/>
                <w:sz w:val="16"/>
                <w:szCs w:val="16"/>
                <w:color w:val="auto"/>
              </w:rPr>
              <w:t>the Purchaser, Manher D. Naik, Donald Paulus, Ramesh Sirsi,</w:t>
            </w:r>
          </w:p>
        </w:tc>
        <w:tc>
          <w:tcPr>
            <w:tcW w:w="0" w:type="dxa"/>
            <w:vAlign w:val="bottom"/>
          </w:tcPr>
          <w:p>
            <w:pPr>
              <w:spacing w:after="0"/>
              <w:rPr>
                <w:sz w:val="1"/>
                <w:szCs w:val="1"/>
                <w:color w:val="auto"/>
              </w:rPr>
            </w:pPr>
          </w:p>
        </w:tc>
      </w:tr>
      <w:tr>
        <w:trPr>
          <w:trHeight w:val="186"/>
        </w:trPr>
        <w:tc>
          <w:tcPr>
            <w:tcW w:w="1400" w:type="dxa"/>
            <w:vAlign w:val="bottom"/>
          </w:tcPr>
          <w:p>
            <w:pPr>
              <w:spacing w:after="0"/>
              <w:rPr>
                <w:sz w:val="16"/>
                <w:szCs w:val="16"/>
                <w:color w:val="auto"/>
              </w:rPr>
            </w:pPr>
          </w:p>
        </w:tc>
        <w:tc>
          <w:tcPr>
            <w:tcW w:w="7800" w:type="dxa"/>
            <w:vAlign w:val="bottom"/>
          </w:tcPr>
          <w:p>
            <w:pPr>
              <w:ind w:left="540"/>
              <w:spacing w:after="0"/>
              <w:rPr>
                <w:sz w:val="20"/>
                <w:szCs w:val="20"/>
                <w:color w:val="auto"/>
              </w:rPr>
            </w:pPr>
            <w:r>
              <w:rPr>
                <w:rFonts w:ascii="Courier New" w:cs="Courier New" w:eastAsia="Courier New" w:hAnsi="Courier New"/>
                <w:sz w:val="16"/>
                <w:szCs w:val="16"/>
                <w:color w:val="auto"/>
              </w:rPr>
              <w:t>David Satterfield, Nagano Keiki Co., Ltd, Breed Technologies,</w:t>
            </w:r>
          </w:p>
        </w:tc>
        <w:tc>
          <w:tcPr>
            <w:tcW w:w="0" w:type="dxa"/>
            <w:vAlign w:val="bottom"/>
          </w:tcPr>
          <w:p>
            <w:pPr>
              <w:spacing w:after="0"/>
              <w:rPr>
                <w:sz w:val="1"/>
                <w:szCs w:val="1"/>
                <w:color w:val="auto"/>
              </w:rPr>
            </w:pPr>
          </w:p>
        </w:tc>
      </w:tr>
      <w:tr>
        <w:trPr>
          <w:trHeight w:val="186"/>
        </w:trPr>
        <w:tc>
          <w:tcPr>
            <w:tcW w:w="1400" w:type="dxa"/>
            <w:vAlign w:val="bottom"/>
          </w:tcPr>
          <w:p>
            <w:pPr>
              <w:spacing w:after="0"/>
              <w:rPr>
                <w:sz w:val="16"/>
                <w:szCs w:val="16"/>
                <w:color w:val="auto"/>
              </w:rPr>
            </w:pPr>
          </w:p>
        </w:tc>
        <w:tc>
          <w:tcPr>
            <w:tcW w:w="7800" w:type="dxa"/>
            <w:vAlign w:val="bottom"/>
          </w:tcPr>
          <w:p>
            <w:pPr>
              <w:ind w:left="540"/>
              <w:spacing w:after="0"/>
              <w:rPr>
                <w:sz w:val="20"/>
                <w:szCs w:val="20"/>
                <w:color w:val="auto"/>
              </w:rPr>
            </w:pPr>
            <w:r>
              <w:rPr>
                <w:rFonts w:ascii="Courier New" w:cs="Courier New" w:eastAsia="Courier New" w:hAnsi="Courier New"/>
                <w:sz w:val="16"/>
                <w:szCs w:val="16"/>
                <w:color w:val="auto"/>
              </w:rPr>
              <w:t>Inc., WK Technology Funds, and Vinod K. Sood, Sood Family Trust</w:t>
            </w:r>
          </w:p>
        </w:tc>
        <w:tc>
          <w:tcPr>
            <w:tcW w:w="0" w:type="dxa"/>
            <w:vAlign w:val="bottom"/>
          </w:tcPr>
          <w:p>
            <w:pPr>
              <w:spacing w:after="0"/>
              <w:rPr>
                <w:sz w:val="1"/>
                <w:szCs w:val="1"/>
                <w:color w:val="auto"/>
              </w:rPr>
            </w:pPr>
          </w:p>
        </w:tc>
      </w:tr>
      <w:tr>
        <w:trPr>
          <w:trHeight w:val="186"/>
        </w:trPr>
        <w:tc>
          <w:tcPr>
            <w:tcW w:w="1400" w:type="dxa"/>
            <w:vAlign w:val="bottom"/>
            <w:vMerge w:val="restart"/>
          </w:tcPr>
          <w:p>
            <w:pPr>
              <w:spacing w:after="0"/>
              <w:rPr>
                <w:sz w:val="20"/>
                <w:szCs w:val="20"/>
                <w:color w:val="auto"/>
              </w:rPr>
            </w:pPr>
            <w:r>
              <w:rPr>
                <w:rFonts w:ascii="Courier New" w:cs="Courier New" w:eastAsia="Courier New" w:hAnsi="Courier New"/>
                <w:sz w:val="16"/>
                <w:szCs w:val="16"/>
                <w:color w:val="auto"/>
              </w:rPr>
              <w:t>99(c)(3)</w:t>
            </w:r>
          </w:p>
        </w:tc>
        <w:tc>
          <w:tcPr>
            <w:tcW w:w="7800" w:type="dxa"/>
            <w:vAlign w:val="bottom"/>
          </w:tcPr>
          <w:p>
            <w:pPr>
              <w:ind w:left="540"/>
              <w:spacing w:after="0"/>
              <w:rPr>
                <w:sz w:val="20"/>
                <w:szCs w:val="20"/>
                <w:color w:val="auto"/>
              </w:rPr>
            </w:pPr>
            <w:r>
              <w:rPr>
                <w:rFonts w:ascii="Courier New" w:cs="Courier New" w:eastAsia="Courier New" w:hAnsi="Courier New"/>
                <w:sz w:val="16"/>
                <w:szCs w:val="16"/>
                <w:color w:val="auto"/>
              </w:rPr>
              <w:t>dated 5/14/90</w:t>
            </w:r>
          </w:p>
        </w:tc>
        <w:tc>
          <w:tcPr>
            <w:tcW w:w="0" w:type="dxa"/>
            <w:vAlign w:val="bottom"/>
          </w:tcPr>
          <w:p>
            <w:pPr>
              <w:spacing w:after="0"/>
              <w:rPr>
                <w:sz w:val="1"/>
                <w:szCs w:val="1"/>
                <w:color w:val="auto"/>
              </w:rPr>
            </w:pPr>
          </w:p>
        </w:tc>
      </w:tr>
      <w:tr>
        <w:trPr>
          <w:trHeight w:val="186"/>
        </w:trPr>
        <w:tc>
          <w:tcPr>
            <w:tcW w:w="1400" w:type="dxa"/>
            <w:vAlign w:val="bottom"/>
            <w:vMerge w:val="continue"/>
          </w:tcPr>
          <w:p>
            <w:pPr>
              <w:spacing w:after="0"/>
              <w:rPr>
                <w:sz w:val="16"/>
                <w:szCs w:val="16"/>
                <w:color w:val="auto"/>
              </w:rPr>
            </w:pPr>
          </w:p>
        </w:tc>
        <w:tc>
          <w:tcPr>
            <w:tcW w:w="7800" w:type="dxa"/>
            <w:vAlign w:val="bottom"/>
          </w:tcPr>
          <w:p>
            <w:pPr>
              <w:ind w:left="540"/>
              <w:spacing w:after="0"/>
              <w:rPr>
                <w:sz w:val="20"/>
                <w:szCs w:val="20"/>
                <w:color w:val="auto"/>
              </w:rPr>
            </w:pPr>
            <w:r>
              <w:rPr>
                <w:rFonts w:ascii="Courier New" w:cs="Courier New" w:eastAsia="Courier New" w:hAnsi="Courier New"/>
                <w:sz w:val="16"/>
                <w:szCs w:val="16"/>
                <w:color w:val="auto"/>
              </w:rPr>
              <w:t>Confidentiality Agreement dated as of March 2, 1999, by and</w:t>
            </w:r>
          </w:p>
        </w:tc>
        <w:tc>
          <w:tcPr>
            <w:tcW w:w="0" w:type="dxa"/>
            <w:vAlign w:val="bottom"/>
          </w:tcPr>
          <w:p>
            <w:pPr>
              <w:spacing w:after="0"/>
              <w:rPr>
                <w:sz w:val="1"/>
                <w:szCs w:val="1"/>
                <w:color w:val="auto"/>
              </w:rPr>
            </w:pPr>
          </w:p>
        </w:tc>
      </w:tr>
      <w:tr>
        <w:trPr>
          <w:trHeight w:val="273"/>
        </w:trPr>
        <w:tc>
          <w:tcPr>
            <w:tcW w:w="1400" w:type="dxa"/>
            <w:vAlign w:val="bottom"/>
          </w:tcPr>
          <w:p>
            <w:pPr>
              <w:spacing w:after="0"/>
              <w:rPr>
                <w:sz w:val="23"/>
                <w:szCs w:val="23"/>
                <w:color w:val="auto"/>
              </w:rPr>
            </w:pPr>
          </w:p>
        </w:tc>
        <w:tc>
          <w:tcPr>
            <w:tcW w:w="7800" w:type="dxa"/>
            <w:vAlign w:val="bottom"/>
          </w:tcPr>
          <w:p>
            <w:pPr>
              <w:ind w:left="540"/>
              <w:spacing w:after="0"/>
              <w:rPr>
                <w:sz w:val="20"/>
                <w:szCs w:val="20"/>
                <w:color w:val="auto"/>
              </w:rPr>
            </w:pPr>
            <w:r>
              <w:rPr>
                <w:rFonts w:ascii="Courier New" w:cs="Courier New" w:eastAsia="Courier New" w:hAnsi="Courier New"/>
                <w:sz w:val="16"/>
                <w:szCs w:val="16"/>
                <w:color w:val="auto"/>
              </w:rPr>
              <w:t>between Parent and the Company.</w:t>
            </w:r>
          </w:p>
        </w:tc>
        <w:tc>
          <w:tcPr>
            <w:tcW w:w="0" w:type="dxa"/>
            <w:vAlign w:val="bottom"/>
          </w:tcPr>
          <w:p>
            <w:pPr>
              <w:spacing w:after="0"/>
              <w:rPr>
                <w:sz w:val="1"/>
                <w:szCs w:val="1"/>
                <w:color w:val="auto"/>
              </w:rPr>
            </w:pPr>
          </w:p>
        </w:tc>
      </w:tr>
      <w:tr>
        <w:trPr>
          <w:trHeight w:val="745"/>
        </w:trPr>
        <w:tc>
          <w:tcPr>
            <w:tcW w:w="1400" w:type="dxa"/>
            <w:vAlign w:val="bottom"/>
          </w:tcPr>
          <w:p>
            <w:pPr>
              <w:spacing w:after="0"/>
              <w:rPr>
                <w:sz w:val="24"/>
                <w:szCs w:val="24"/>
                <w:color w:val="auto"/>
              </w:rPr>
            </w:pPr>
          </w:p>
        </w:tc>
        <w:tc>
          <w:tcPr>
            <w:tcW w:w="7800" w:type="dxa"/>
            <w:vAlign w:val="bottom"/>
          </w:tcPr>
          <w:p>
            <w:pPr>
              <w:ind w:left="2380"/>
              <w:spacing w:after="0"/>
              <w:rPr>
                <w:sz w:val="20"/>
                <w:szCs w:val="20"/>
                <w:color w:val="auto"/>
              </w:rPr>
            </w:pPr>
            <w:r>
              <w:rPr>
                <w:rFonts w:ascii="Courier New" w:cs="Courier New" w:eastAsia="Courier New" w:hAnsi="Courier New"/>
                <w:sz w:val="16"/>
                <w:szCs w:val="16"/>
                <w:color w:val="auto"/>
              </w:rPr>
              <w:t>8</w:t>
            </w:r>
          </w:p>
        </w:tc>
        <w:tc>
          <w:tcPr>
            <w:tcW w:w="0" w:type="dxa"/>
            <w:vAlign w:val="bottom"/>
          </w:tcPr>
          <w:p>
            <w:pPr>
              <w:spacing w:after="0"/>
              <w:rPr>
                <w:sz w:val="1"/>
                <w:szCs w:val="1"/>
                <w:color w:val="auto"/>
              </w:rPr>
            </w:pPr>
          </w:p>
        </w:tc>
      </w:tr>
    </w:tbl>
    <w:p>
      <w:pPr>
        <w:sectPr>
          <w:pgSz w:w="11900" w:h="16838" w:orient="portrait"/>
          <w:cols w:equalWidth="0" w:num="1">
            <w:col w:w="10219"/>
          </w:cols>
          <w:pgMar w:left="240" w:top="273" w:right="1440" w:bottom="1440" w:gutter="0" w:footer="0" w:header="0"/>
        </w:sectPr>
      </w:pPr>
    </w:p>
    <w:bookmarkStart w:id="8" w:name="page9"/>
    <w:bookmarkEnd w:id="8"/>
    <w:p>
      <w:pPr>
        <w:ind w:left="300"/>
        <w:spacing w:after="0"/>
        <w:rPr>
          <w:sz w:val="20"/>
          <w:szCs w:val="20"/>
          <w:color w:val="auto"/>
        </w:rPr>
      </w:pPr>
      <w:r>
        <w:rPr>
          <w:rFonts w:ascii="Courier New" w:cs="Courier New" w:eastAsia="Courier New" w:hAnsi="Courier New"/>
          <w:sz w:val="16"/>
          <w:szCs w:val="16"/>
          <w:color w:val="auto"/>
        </w:rPr>
        <w:t>1</w:t>
      </w:r>
    </w:p>
    <w:p>
      <w:pPr>
        <w:spacing w:after="0" w:line="191"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EXHIBIT 99(a)(1)</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OFFER TO PURCHASE FOR CASH</w:t>
      </w:r>
    </w:p>
    <w:p>
      <w:pPr>
        <w:spacing w:after="0" w:line="3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ALL OUTSTANDING SHARES OF COMMON STOCK</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OF</w:t>
      </w:r>
    </w:p>
    <w:p>
      <w:pPr>
        <w:spacing w:after="0" w:line="16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INTEGRATED SENSOR SOLUTIONS, INC.</w:t>
      </w:r>
    </w:p>
    <w:p>
      <w:pPr>
        <w:spacing w:after="0" w:line="3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AT</w:t>
      </w:r>
    </w:p>
    <w:p>
      <w:pPr>
        <w:spacing w:after="0" w:line="16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$8.05 NET PER SHARE</w:t>
      </w:r>
    </w:p>
    <w:p>
      <w:pPr>
        <w:spacing w:after="0" w:line="3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BY</w:t>
      </w:r>
    </w:p>
    <w:p>
      <w:pPr>
        <w:spacing w:after="0" w:line="16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SENSOR ACQUISITION CORPORATION</w:t>
      </w:r>
    </w:p>
    <w:p>
      <w:pPr>
        <w:spacing w:after="0" w:line="3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 DIRECT WHOLLY-OWNED SUBSIDIARY</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OF</w:t>
      </w:r>
    </w:p>
    <w:p>
      <w:pPr>
        <w:spacing w:after="0" w:line="16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TEXAS INSTRUMENTS INCORPORATED</w:t>
      </w:r>
    </w:p>
    <w:p>
      <w:pPr>
        <w:spacing w:after="0" w:line="3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center"/>
        <w:ind w:right="2459"/>
        <w:spacing w:after="0" w:line="246" w:lineRule="auto"/>
        <w:rPr>
          <w:sz w:val="20"/>
          <w:szCs w:val="20"/>
          <w:color w:val="auto"/>
        </w:rPr>
      </w:pPr>
      <w:r>
        <w:rPr>
          <w:rFonts w:ascii="Courier New" w:cs="Courier New" w:eastAsia="Courier New" w:hAnsi="Courier New"/>
          <w:sz w:val="16"/>
          <w:szCs w:val="16"/>
          <w:color w:val="auto"/>
        </w:rPr>
        <w:t>THE OFFER AND WITHDRAWAL RIGHTS WILL EXPIRE AT 12:00 MIDNIGHT, NEW YORK CITY TIME, ON FRIDAY, JUNE 4, 1999, UNLESS THE OFFER IS EXTENDED.</w:t>
      </w:r>
    </w:p>
    <w:p>
      <w:pPr>
        <w:spacing w:after="0" w:line="2"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center"/>
        <w:ind w:right="2559"/>
        <w:spacing w:after="0" w:line="267" w:lineRule="auto"/>
        <w:rPr>
          <w:sz w:val="20"/>
          <w:szCs w:val="20"/>
          <w:color w:val="auto"/>
        </w:rPr>
      </w:pPr>
      <w:r>
        <w:rPr>
          <w:rFonts w:ascii="Courier New" w:cs="Courier New" w:eastAsia="Courier New" w:hAnsi="Courier New"/>
          <w:sz w:val="16"/>
          <w:szCs w:val="16"/>
          <w:color w:val="auto"/>
        </w:rPr>
        <w:t>THE OFFER IS CONDITIONED UPON, AMONG OTHER THINGS, THERE BEING VALIDLY TENDERED AND NOT WITHDRAWN PRIOR TO THE EXPIRATION OF THE OFFER A NUMBER OF SHARES (AS DEFINED HEREIN) WHICH CONSTITUTES AT LEAST A MAJORITY OF THE SHARES OUTSTANDING ON A FULLY DILUTED BASIS. THE OFFER IS ALSO SUBJECT TO OTHER TERMS AND CONDITIONS. SEE SECTIONS 1 AND 14.</w:t>
      </w:r>
    </w:p>
    <w:p>
      <w:pPr>
        <w:spacing w:after="0" w:line="80"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w:t>
      </w:r>
    </w:p>
    <w:p>
      <w:pPr>
        <w:spacing w:after="0" w:line="35" w:lineRule="exact"/>
        <w:rPr>
          <w:sz w:val="20"/>
          <w:szCs w:val="20"/>
          <w:color w:val="auto"/>
        </w:rPr>
      </w:pPr>
    </w:p>
    <w:p>
      <w:pPr>
        <w:jc w:val="center"/>
        <w:ind w:right="2559"/>
        <w:spacing w:after="0" w:line="262" w:lineRule="auto"/>
        <w:rPr>
          <w:sz w:val="20"/>
          <w:szCs w:val="20"/>
          <w:color w:val="auto"/>
        </w:rPr>
      </w:pPr>
      <w:r>
        <w:rPr>
          <w:rFonts w:ascii="Courier New" w:cs="Courier New" w:eastAsia="Courier New" w:hAnsi="Courier New"/>
          <w:sz w:val="16"/>
          <w:szCs w:val="16"/>
          <w:color w:val="auto"/>
        </w:rPr>
        <w:t>THE BOARD OF DIRECTORS OF INTEGRATED SENSOR SOLUTIONS, INC. (THE "COMPANY") HAS UNANIMOUSLY APPROVED THE MERGER AGREEMENT, THE OFFER, AND THE MERGER (EACH AS DEFINED HEREIN), AND HAS DETERMINED THAT THE OFFER AND THE MERGER ARE FAIR TO, ADVISABLE, AND IN THE BEST INTERESTS OF, THE COMPANY'S STOCKHOLDERS, AND UNANIMOUSLY RECOMMENDS THAT THE COMPANY'S STOCKHOLDERS ACCEPT THE OFFER AND TENDER THEIR SHARES IN THE OFFER.</w:t>
      </w:r>
    </w:p>
    <w:p>
      <w:pPr>
        <w:spacing w:after="0" w:line="87"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w:t>
      </w:r>
    </w:p>
    <w:p>
      <w:pPr>
        <w:spacing w:after="0" w:line="35"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IMPORTANT</w:t>
      </w:r>
    </w:p>
    <w:p>
      <w:pPr>
        <w:spacing w:after="0" w:line="161" w:lineRule="exact"/>
        <w:rPr>
          <w:sz w:val="20"/>
          <w:szCs w:val="20"/>
          <w:color w:val="auto"/>
        </w:rPr>
      </w:pPr>
    </w:p>
    <w:p>
      <w:pPr>
        <w:ind w:right="2459" w:firstLine="484"/>
        <w:spacing w:after="0" w:line="256" w:lineRule="auto"/>
        <w:rPr>
          <w:sz w:val="20"/>
          <w:szCs w:val="20"/>
          <w:color w:val="auto"/>
        </w:rPr>
      </w:pPr>
      <w:r>
        <w:rPr>
          <w:rFonts w:ascii="Courier New" w:cs="Courier New" w:eastAsia="Courier New" w:hAnsi="Courier New"/>
          <w:sz w:val="16"/>
          <w:szCs w:val="16"/>
          <w:color w:val="auto"/>
        </w:rPr>
        <w:t>Any stockholder desiring to tender all or any portion of his or her shares of common stock, par value $.001 per share, of the Company (the "Shares") should either (i) complete and sign the Letter of Transmittal (or a facsimile thereof) in accordance with the instructions in the Letter of Transmittal and mail or deliver it together with the certificate(s) evidencing tendered Shares, and any other required documents, to the Depositary, or tender such Shares pursuant to the procedures for book-entry transfer set forth in Section 3, or (ii) request such stockholder's broker, dealer, commercial bank, trust company, or other nominee to effect the transaction for such stockholder. A stockholder whose Shares are registered in the name of a broker, dealer, commercial bank, trust company, or other nominee must contact such broker, dealer, commercial bank, trust company, or other nominee if such stockholder desires to tender such Shares.</w:t>
      </w:r>
    </w:p>
    <w:p>
      <w:pPr>
        <w:spacing w:after="0" w:line="96" w:lineRule="exact"/>
        <w:rPr>
          <w:sz w:val="20"/>
          <w:szCs w:val="20"/>
          <w:color w:val="auto"/>
        </w:rPr>
      </w:pPr>
    </w:p>
    <w:p>
      <w:pPr>
        <w:ind w:right="2559" w:firstLine="484"/>
        <w:spacing w:after="0" w:line="276" w:lineRule="auto"/>
        <w:rPr>
          <w:sz w:val="20"/>
          <w:szCs w:val="20"/>
          <w:color w:val="auto"/>
        </w:rPr>
      </w:pPr>
      <w:r>
        <w:rPr>
          <w:rFonts w:ascii="Courier New" w:cs="Courier New" w:eastAsia="Courier New" w:hAnsi="Courier New"/>
          <w:sz w:val="16"/>
          <w:szCs w:val="16"/>
          <w:color w:val="auto"/>
        </w:rPr>
        <w:t>Any stockholder who desires to tender Shares and whose certificates evidencing such Shares are not immediately available or who cannot comply with the procedures for book-entry transfer described in this Offer to Purchase on a timely basis may tender such Shares by following the procedures for guaranteed delivery set forth in Section 3.</w:t>
      </w:r>
    </w:p>
    <w:p>
      <w:pPr>
        <w:spacing w:after="0" w:line="76" w:lineRule="exact"/>
        <w:rPr>
          <w:sz w:val="20"/>
          <w:szCs w:val="20"/>
          <w:color w:val="auto"/>
        </w:rPr>
      </w:pPr>
    </w:p>
    <w:p>
      <w:pPr>
        <w:ind w:right="2459" w:firstLine="484"/>
        <w:spacing w:after="0" w:line="253" w:lineRule="auto"/>
        <w:rPr>
          <w:sz w:val="20"/>
          <w:szCs w:val="20"/>
          <w:color w:val="auto"/>
        </w:rPr>
      </w:pPr>
      <w:r>
        <w:rPr>
          <w:rFonts w:ascii="Courier New" w:cs="Courier New" w:eastAsia="Courier New" w:hAnsi="Courier New"/>
          <w:sz w:val="16"/>
          <w:szCs w:val="16"/>
          <w:color w:val="auto"/>
        </w:rPr>
        <w:t>Questions and requests for assistance or for additional copies of this Offer to Purchase, the Letter of Transmittal, the Notice of Guaranteed Delivery and other tender offer materials may be directed to the Information Agent at its address and telephone number set forth on the back cover of this Offer to Purchase. A stockholder may also contact brokers, dealers, commercial banks, trust companies and other nominees for assistance concerning the Offer.</w:t>
      </w:r>
    </w:p>
    <w:p>
      <w:pPr>
        <w:spacing w:after="0" w:line="2"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THE INFORMATION AGENT FOR THE OFFER IS:</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[GEORGESON &amp; CO, INC. LOGO]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7, 1999</w:t>
      </w:r>
    </w:p>
    <w:p>
      <w:pPr>
        <w:sectPr>
          <w:pgSz w:w="11900" w:h="16838" w:orient="portrait"/>
          <w:cols w:equalWidth="0" w:num="1">
            <w:col w:w="10219"/>
          </w:cols>
          <w:pgMar w:left="240" w:top="112" w:right="1440" w:bottom="1440" w:gutter="0" w:footer="0" w:header="0"/>
        </w:sectPr>
      </w:pPr>
    </w:p>
    <w:bookmarkStart w:id="9" w:name="page10"/>
    <w:bookmarkEnd w:id="9"/>
    <w:p>
      <w:pPr>
        <w:ind w:left="301"/>
        <w:spacing w:after="0"/>
        <w:rPr>
          <w:sz w:val="20"/>
          <w:szCs w:val="20"/>
          <w:color w:val="auto"/>
        </w:rPr>
      </w:pPr>
      <w:r>
        <w:rPr>
          <w:rFonts w:ascii="Courier New" w:cs="Courier New" w:eastAsia="Courier New" w:hAnsi="Courier New"/>
          <w:sz w:val="16"/>
          <w:szCs w:val="16"/>
          <w:color w:val="auto"/>
        </w:rPr>
        <w:t>2</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273"/>
        </w:trPr>
        <w:tc>
          <w:tcPr>
            <w:tcW w:w="340" w:type="dxa"/>
            <w:vAlign w:val="bottom"/>
          </w:tcPr>
          <w:p>
            <w:pPr>
              <w:spacing w:after="0"/>
              <w:rPr>
                <w:sz w:val="23"/>
                <w:szCs w:val="23"/>
                <w:color w:val="auto"/>
              </w:rPr>
            </w:pPr>
          </w:p>
        </w:tc>
        <w:tc>
          <w:tcPr>
            <w:tcW w:w="6100" w:type="dxa"/>
            <w:vAlign w:val="bottom"/>
          </w:tcPr>
          <w:p>
            <w:pPr>
              <w:ind w:left="2660"/>
              <w:spacing w:after="0"/>
              <w:rPr>
                <w:sz w:val="20"/>
                <w:szCs w:val="20"/>
                <w:color w:val="auto"/>
              </w:rPr>
            </w:pPr>
            <w:r>
              <w:rPr>
                <w:rFonts w:ascii="Courier New" w:cs="Courier New" w:eastAsia="Courier New" w:hAnsi="Courier New"/>
                <w:sz w:val="16"/>
                <w:szCs w:val="16"/>
                <w:color w:val="auto"/>
              </w:rPr>
              <w:t>TABLE OF CONTENTS</w:t>
            </w:r>
          </w:p>
        </w:tc>
        <w:tc>
          <w:tcPr>
            <w:tcW w:w="540" w:type="dxa"/>
            <w:vAlign w:val="bottom"/>
          </w:tcPr>
          <w:p>
            <w:pPr>
              <w:spacing w:after="0"/>
              <w:rPr>
                <w:sz w:val="23"/>
                <w:szCs w:val="23"/>
                <w:color w:val="auto"/>
              </w:rPr>
            </w:pPr>
          </w:p>
        </w:tc>
      </w:tr>
      <w:tr>
        <w:trPr>
          <w:trHeight w:val="659"/>
        </w:trPr>
        <w:tc>
          <w:tcPr>
            <w:tcW w:w="34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273"/>
        </w:trPr>
        <w:tc>
          <w:tcPr>
            <w:tcW w:w="340" w:type="dxa"/>
            <w:vAlign w:val="bottom"/>
          </w:tcPr>
          <w:p>
            <w:pPr>
              <w:spacing w:after="0"/>
              <w:rPr>
                <w:sz w:val="23"/>
                <w:szCs w:val="23"/>
                <w:color w:val="auto"/>
              </w:rPr>
            </w:pPr>
          </w:p>
        </w:tc>
        <w:tc>
          <w:tcPr>
            <w:tcW w:w="6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287"/>
        </w:trPr>
        <w:tc>
          <w:tcPr>
            <w:tcW w:w="6440" w:type="dxa"/>
            <w:vAlign w:val="bottom"/>
            <w:gridSpan w:val="2"/>
          </w:tcPr>
          <w:p>
            <w:pPr>
              <w:spacing w:after="0"/>
              <w:rPr>
                <w:sz w:val="20"/>
                <w:szCs w:val="20"/>
                <w:color w:val="auto"/>
              </w:rPr>
            </w:pPr>
            <w:r>
              <w:rPr>
                <w:rFonts w:ascii="Courier New" w:cs="Courier New" w:eastAsia="Courier New" w:hAnsi="Courier New"/>
                <w:sz w:val="16"/>
                <w:szCs w:val="16"/>
                <w:color w:val="auto"/>
              </w:rPr>
              <w:t>INTRODUCTION.....................................................</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w:t>
            </w:r>
          </w:p>
        </w:tc>
      </w:tr>
      <w:tr>
        <w:trPr>
          <w:trHeight w:val="186"/>
        </w:trPr>
        <w:tc>
          <w:tcPr>
            <w:tcW w:w="340" w:type="dxa"/>
            <w:vAlign w:val="bottom"/>
          </w:tcPr>
          <w:p>
            <w:pPr>
              <w:spacing w:after="0"/>
              <w:rPr>
                <w:sz w:val="20"/>
                <w:szCs w:val="20"/>
                <w:color w:val="auto"/>
              </w:rPr>
            </w:pPr>
            <w:r>
              <w:rPr>
                <w:rFonts w:ascii="Courier New" w:cs="Courier New" w:eastAsia="Courier New" w:hAnsi="Courier New"/>
                <w:sz w:val="16"/>
                <w:szCs w:val="16"/>
                <w:color w:val="auto"/>
              </w:rPr>
              <w:t>1.</w:t>
            </w:r>
          </w:p>
        </w:tc>
        <w:tc>
          <w:tcPr>
            <w:tcW w:w="6100" w:type="dxa"/>
            <w:vAlign w:val="bottom"/>
          </w:tcPr>
          <w:p>
            <w:pPr>
              <w:ind w:left="140"/>
              <w:spacing w:after="0"/>
              <w:rPr>
                <w:sz w:val="20"/>
                <w:szCs w:val="20"/>
                <w:color w:val="auto"/>
              </w:rPr>
            </w:pPr>
            <w:r>
              <w:rPr>
                <w:rFonts w:ascii="Courier New" w:cs="Courier New" w:eastAsia="Courier New" w:hAnsi="Courier New"/>
                <w:sz w:val="16"/>
                <w:szCs w:val="16"/>
                <w:color w:val="auto"/>
              </w:rPr>
              <w:t>TERMS OF THE OFFER..........................................</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w:t>
            </w:r>
          </w:p>
        </w:tc>
      </w:tr>
      <w:tr>
        <w:trPr>
          <w:trHeight w:val="186"/>
        </w:trPr>
        <w:tc>
          <w:tcPr>
            <w:tcW w:w="340" w:type="dxa"/>
            <w:vAlign w:val="bottom"/>
          </w:tcPr>
          <w:p>
            <w:pPr>
              <w:spacing w:after="0"/>
              <w:rPr>
                <w:sz w:val="20"/>
                <w:szCs w:val="20"/>
                <w:color w:val="auto"/>
              </w:rPr>
            </w:pPr>
            <w:r>
              <w:rPr>
                <w:rFonts w:ascii="Courier New" w:cs="Courier New" w:eastAsia="Courier New" w:hAnsi="Courier New"/>
                <w:sz w:val="16"/>
                <w:szCs w:val="16"/>
                <w:color w:val="auto"/>
              </w:rPr>
              <w:t>2.</w:t>
            </w:r>
          </w:p>
        </w:tc>
        <w:tc>
          <w:tcPr>
            <w:tcW w:w="6100" w:type="dxa"/>
            <w:vAlign w:val="bottom"/>
          </w:tcPr>
          <w:p>
            <w:pPr>
              <w:ind w:left="140"/>
              <w:spacing w:after="0"/>
              <w:rPr>
                <w:sz w:val="20"/>
                <w:szCs w:val="20"/>
                <w:color w:val="auto"/>
              </w:rPr>
            </w:pPr>
            <w:r>
              <w:rPr>
                <w:rFonts w:ascii="Courier New" w:cs="Courier New" w:eastAsia="Courier New" w:hAnsi="Courier New"/>
                <w:sz w:val="16"/>
                <w:szCs w:val="16"/>
                <w:color w:val="auto"/>
              </w:rPr>
              <w:t>ACCEPTANCE FOR PAYMENT AND PAYMENT FOR SHARES...............</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w:t>
            </w:r>
          </w:p>
        </w:tc>
      </w:tr>
      <w:tr>
        <w:trPr>
          <w:trHeight w:val="186"/>
        </w:trPr>
        <w:tc>
          <w:tcPr>
            <w:tcW w:w="340" w:type="dxa"/>
            <w:vAlign w:val="bottom"/>
          </w:tcPr>
          <w:p>
            <w:pPr>
              <w:spacing w:after="0"/>
              <w:rPr>
                <w:sz w:val="20"/>
                <w:szCs w:val="20"/>
                <w:color w:val="auto"/>
              </w:rPr>
            </w:pPr>
            <w:r>
              <w:rPr>
                <w:rFonts w:ascii="Courier New" w:cs="Courier New" w:eastAsia="Courier New" w:hAnsi="Courier New"/>
                <w:sz w:val="16"/>
                <w:szCs w:val="16"/>
                <w:color w:val="auto"/>
              </w:rPr>
              <w:t>3.</w:t>
            </w:r>
          </w:p>
        </w:tc>
        <w:tc>
          <w:tcPr>
            <w:tcW w:w="6100" w:type="dxa"/>
            <w:vAlign w:val="bottom"/>
          </w:tcPr>
          <w:p>
            <w:pPr>
              <w:ind w:left="140"/>
              <w:spacing w:after="0"/>
              <w:rPr>
                <w:sz w:val="20"/>
                <w:szCs w:val="20"/>
                <w:color w:val="auto"/>
              </w:rPr>
            </w:pPr>
            <w:r>
              <w:rPr>
                <w:rFonts w:ascii="Courier New" w:cs="Courier New" w:eastAsia="Courier New" w:hAnsi="Courier New"/>
                <w:sz w:val="16"/>
                <w:szCs w:val="16"/>
                <w:color w:val="auto"/>
              </w:rPr>
              <w:t>PROCEDURES FOR TENDERING SHARES.............................</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w:t>
            </w:r>
          </w:p>
        </w:tc>
      </w:tr>
      <w:tr>
        <w:trPr>
          <w:trHeight w:val="186"/>
        </w:trPr>
        <w:tc>
          <w:tcPr>
            <w:tcW w:w="340" w:type="dxa"/>
            <w:vAlign w:val="bottom"/>
          </w:tcPr>
          <w:p>
            <w:pPr>
              <w:spacing w:after="0"/>
              <w:rPr>
                <w:sz w:val="20"/>
                <w:szCs w:val="20"/>
                <w:color w:val="auto"/>
              </w:rPr>
            </w:pPr>
            <w:r>
              <w:rPr>
                <w:rFonts w:ascii="Courier New" w:cs="Courier New" w:eastAsia="Courier New" w:hAnsi="Courier New"/>
                <w:sz w:val="16"/>
                <w:szCs w:val="16"/>
                <w:color w:val="auto"/>
              </w:rPr>
              <w:t>4.</w:t>
            </w:r>
          </w:p>
        </w:tc>
        <w:tc>
          <w:tcPr>
            <w:tcW w:w="6100" w:type="dxa"/>
            <w:vAlign w:val="bottom"/>
          </w:tcPr>
          <w:p>
            <w:pPr>
              <w:ind w:left="140"/>
              <w:spacing w:after="0"/>
              <w:rPr>
                <w:sz w:val="20"/>
                <w:szCs w:val="20"/>
                <w:color w:val="auto"/>
              </w:rPr>
            </w:pPr>
            <w:r>
              <w:rPr>
                <w:rFonts w:ascii="Courier New" w:cs="Courier New" w:eastAsia="Courier New" w:hAnsi="Courier New"/>
                <w:sz w:val="16"/>
                <w:szCs w:val="16"/>
                <w:color w:val="auto"/>
              </w:rPr>
              <w:t>WITHDRAWAL RIGHTS...........................................</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w:t>
            </w:r>
          </w:p>
        </w:tc>
      </w:tr>
      <w:tr>
        <w:trPr>
          <w:trHeight w:val="186"/>
        </w:trPr>
        <w:tc>
          <w:tcPr>
            <w:tcW w:w="340" w:type="dxa"/>
            <w:vAlign w:val="bottom"/>
          </w:tcPr>
          <w:p>
            <w:pPr>
              <w:spacing w:after="0"/>
              <w:rPr>
                <w:sz w:val="20"/>
                <w:szCs w:val="20"/>
                <w:color w:val="auto"/>
              </w:rPr>
            </w:pPr>
            <w:r>
              <w:rPr>
                <w:rFonts w:ascii="Courier New" w:cs="Courier New" w:eastAsia="Courier New" w:hAnsi="Courier New"/>
                <w:sz w:val="16"/>
                <w:szCs w:val="16"/>
                <w:color w:val="auto"/>
              </w:rPr>
              <w:t>5.</w:t>
            </w:r>
          </w:p>
        </w:tc>
        <w:tc>
          <w:tcPr>
            <w:tcW w:w="6100" w:type="dxa"/>
            <w:vAlign w:val="bottom"/>
          </w:tcPr>
          <w:p>
            <w:pPr>
              <w:ind w:left="140"/>
              <w:spacing w:after="0"/>
              <w:rPr>
                <w:sz w:val="20"/>
                <w:szCs w:val="20"/>
                <w:color w:val="auto"/>
              </w:rPr>
            </w:pPr>
            <w:r>
              <w:rPr>
                <w:rFonts w:ascii="Courier New" w:cs="Courier New" w:eastAsia="Courier New" w:hAnsi="Courier New"/>
                <w:sz w:val="16"/>
                <w:szCs w:val="16"/>
                <w:color w:val="auto"/>
              </w:rPr>
              <w:t>CERTAIN FEDERAL INCOME TAX CONSEQUENCES.....................</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w:t>
            </w:r>
          </w:p>
        </w:tc>
      </w:tr>
      <w:tr>
        <w:trPr>
          <w:trHeight w:val="216"/>
        </w:trPr>
        <w:tc>
          <w:tcPr>
            <w:tcW w:w="340" w:type="dxa"/>
            <w:vAlign w:val="bottom"/>
          </w:tcPr>
          <w:p>
            <w:pPr>
              <w:spacing w:after="0"/>
              <w:rPr>
                <w:sz w:val="20"/>
                <w:szCs w:val="20"/>
                <w:color w:val="auto"/>
              </w:rPr>
            </w:pPr>
            <w:r>
              <w:rPr>
                <w:rFonts w:ascii="Courier New" w:cs="Courier New" w:eastAsia="Courier New" w:hAnsi="Courier New"/>
                <w:sz w:val="16"/>
                <w:szCs w:val="16"/>
                <w:color w:val="auto"/>
              </w:rPr>
              <w:t>6.</w:t>
            </w:r>
          </w:p>
        </w:tc>
        <w:tc>
          <w:tcPr>
            <w:tcW w:w="6100" w:type="dxa"/>
            <w:vAlign w:val="bottom"/>
          </w:tcPr>
          <w:p>
            <w:pPr>
              <w:ind w:left="140"/>
              <w:spacing w:after="0"/>
              <w:rPr>
                <w:sz w:val="20"/>
                <w:szCs w:val="20"/>
                <w:color w:val="auto"/>
              </w:rPr>
            </w:pPr>
            <w:r>
              <w:rPr>
                <w:rFonts w:ascii="Courier New" w:cs="Courier New" w:eastAsia="Courier New" w:hAnsi="Courier New"/>
                <w:sz w:val="16"/>
                <w:szCs w:val="16"/>
                <w:color w:val="auto"/>
              </w:rPr>
              <w:t>PRICE RANGE OF SHARES; DIVIDENDS ON THE SHARES..............</w:t>
            </w:r>
          </w:p>
        </w:tc>
        <w:tc>
          <w:tcPr>
            <w:tcW w:w="5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w:t>
            </w:r>
          </w:p>
        </w:tc>
      </w:tr>
    </w:tbl>
    <w:p>
      <w:pPr>
        <w:ind w:left="481" w:hanging="481"/>
        <w:spacing w:after="0"/>
        <w:tabs>
          <w:tab w:leader="none" w:pos="4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THE OFFER ON THE MARKET FOR THE SHARES; NASDAQ</w:t>
      </w:r>
    </w:p>
    <w:p>
      <w:pPr>
        <w:spacing w:after="0" w:line="5" w:lineRule="exact"/>
        <w:rPr>
          <w:sz w:val="20"/>
          <w:szCs w:val="20"/>
          <w:color w:val="auto"/>
        </w:rPr>
      </w:pPr>
    </w:p>
    <w:p>
      <w:pPr>
        <w:ind w:left="481"/>
        <w:spacing w:after="0"/>
        <w:tabs>
          <w:tab w:leader="dot" w:pos="6660" w:val="left"/>
        </w:tabs>
        <w:rPr>
          <w:sz w:val="20"/>
          <w:szCs w:val="20"/>
          <w:color w:val="auto"/>
        </w:rPr>
      </w:pPr>
      <w:r>
        <w:rPr>
          <w:rFonts w:ascii="Courier New" w:cs="Courier New" w:eastAsia="Courier New" w:hAnsi="Courier New"/>
          <w:sz w:val="16"/>
          <w:szCs w:val="16"/>
          <w:color w:val="auto"/>
        </w:rPr>
        <w:t>TRADING; EXCHANGE ACT REGISTRATION; MARGIN SECURITIES</w:t>
      </w:r>
      <w:r>
        <w:rPr>
          <w:sz w:val="20"/>
          <w:szCs w:val="20"/>
          <w:color w:val="auto"/>
        </w:rPr>
        <w:tab/>
      </w:r>
      <w:r>
        <w:rPr>
          <w:rFonts w:ascii="Courier New" w:cs="Courier New" w:eastAsia="Courier New" w:hAnsi="Courier New"/>
          <w:sz w:val="16"/>
          <w:szCs w:val="16"/>
          <w:color w:val="auto"/>
        </w:rPr>
        <w:t>10</w:t>
      </w:r>
    </w:p>
    <w:p>
      <w:pPr>
        <w:spacing w:after="0" w:line="5" w:lineRule="exact"/>
        <w:rPr>
          <w:sz w:val="20"/>
          <w:szCs w:val="20"/>
          <w:color w:val="auto"/>
        </w:rPr>
      </w:pPr>
    </w:p>
    <w:p>
      <w:pPr>
        <w:ind w:left="1"/>
        <w:spacing w:after="0"/>
        <w:tabs>
          <w:tab w:leader="none" w:pos="460" w:val="left"/>
          <w:tab w:leader="dot" w:pos="6660" w:val="left"/>
        </w:tabs>
        <w:rPr>
          <w:sz w:val="20"/>
          <w:szCs w:val="20"/>
          <w:color w:val="auto"/>
        </w:rPr>
      </w:pPr>
      <w:r>
        <w:rPr>
          <w:rFonts w:ascii="Courier New" w:cs="Courier New" w:eastAsia="Courier New" w:hAnsi="Courier New"/>
          <w:sz w:val="16"/>
          <w:szCs w:val="16"/>
          <w:color w:val="auto"/>
        </w:rPr>
        <w:t>8.</w:t>
        <w:tab/>
        <w:t>CERTAIN INFORMATION CONCERNING THE COMPANY</w:t>
      </w:r>
      <w:r>
        <w:rPr>
          <w:sz w:val="20"/>
          <w:szCs w:val="20"/>
          <w:color w:val="auto"/>
        </w:rPr>
        <w:tab/>
      </w:r>
      <w:r>
        <w:rPr>
          <w:rFonts w:ascii="Courier New" w:cs="Courier New" w:eastAsia="Courier New" w:hAnsi="Courier New"/>
          <w:sz w:val="16"/>
          <w:szCs w:val="16"/>
          <w:color w:val="auto"/>
        </w:rPr>
        <w:t>10</w:t>
      </w:r>
    </w:p>
    <w:p>
      <w:pPr>
        <w:spacing w:after="0" w:line="5" w:lineRule="exact"/>
        <w:rPr>
          <w:sz w:val="20"/>
          <w:szCs w:val="20"/>
          <w:color w:val="auto"/>
        </w:rPr>
      </w:pPr>
    </w:p>
    <w:p>
      <w:pPr>
        <w:ind w:left="1"/>
        <w:spacing w:after="0"/>
        <w:tabs>
          <w:tab w:leader="none" w:pos="460" w:val="left"/>
          <w:tab w:leader="dot" w:pos="6660" w:val="left"/>
        </w:tabs>
        <w:rPr>
          <w:sz w:val="20"/>
          <w:szCs w:val="20"/>
          <w:color w:val="auto"/>
        </w:rPr>
      </w:pPr>
      <w:r>
        <w:rPr>
          <w:rFonts w:ascii="Courier New" w:cs="Courier New" w:eastAsia="Courier New" w:hAnsi="Courier New"/>
          <w:sz w:val="16"/>
          <w:szCs w:val="16"/>
          <w:color w:val="auto"/>
        </w:rPr>
        <w:t>9.</w:t>
        <w:tab/>
        <w:t>CERTAIN INFORMATION CONCERNING THE PURCHASER AND PARENT</w:t>
      </w:r>
      <w:r>
        <w:rPr>
          <w:sz w:val="20"/>
          <w:szCs w:val="20"/>
          <w:color w:val="auto"/>
        </w:rPr>
        <w:tab/>
      </w:r>
      <w:r>
        <w:rPr>
          <w:rFonts w:ascii="Courier New" w:cs="Courier New" w:eastAsia="Courier New" w:hAnsi="Courier New"/>
          <w:sz w:val="16"/>
          <w:szCs w:val="16"/>
          <w:color w:val="auto"/>
        </w:rPr>
        <w:t>12</w:t>
      </w:r>
    </w:p>
    <w:p>
      <w:pPr>
        <w:spacing w:after="0" w:line="5" w:lineRule="exact"/>
        <w:rPr>
          <w:sz w:val="20"/>
          <w:szCs w:val="20"/>
          <w:color w:val="auto"/>
        </w:rPr>
      </w:pPr>
    </w:p>
    <w:p>
      <w:pPr>
        <w:ind w:left="1"/>
        <w:spacing w:after="0"/>
        <w:tabs>
          <w:tab w:leader="none" w:pos="460" w:val="left"/>
          <w:tab w:leader="dot" w:pos="6660" w:val="left"/>
        </w:tabs>
        <w:rPr>
          <w:sz w:val="20"/>
          <w:szCs w:val="20"/>
          <w:color w:val="auto"/>
        </w:rPr>
      </w:pPr>
      <w:r>
        <w:rPr>
          <w:rFonts w:ascii="Courier New" w:cs="Courier New" w:eastAsia="Courier New" w:hAnsi="Courier New"/>
          <w:sz w:val="16"/>
          <w:szCs w:val="16"/>
          <w:color w:val="auto"/>
        </w:rPr>
        <w:t>10.</w:t>
        <w:tab/>
        <w:t>SOURCE AND AMOUNT OF FUNDS</w:t>
      </w:r>
      <w:r>
        <w:rPr>
          <w:sz w:val="20"/>
          <w:szCs w:val="20"/>
          <w:color w:val="auto"/>
        </w:rPr>
        <w:tab/>
      </w:r>
      <w:r>
        <w:rPr>
          <w:rFonts w:ascii="Courier New" w:cs="Courier New" w:eastAsia="Courier New" w:hAnsi="Courier New"/>
          <w:sz w:val="16"/>
          <w:szCs w:val="16"/>
          <w:color w:val="auto"/>
        </w:rPr>
        <w:t>13</w:t>
      </w:r>
    </w:p>
    <w:p>
      <w:pPr>
        <w:spacing w:after="0" w:line="5" w:lineRule="exact"/>
        <w:rPr>
          <w:sz w:val="20"/>
          <w:szCs w:val="20"/>
          <w:color w:val="auto"/>
        </w:rPr>
      </w:pPr>
    </w:p>
    <w:p>
      <w:pPr>
        <w:ind w:left="1"/>
        <w:spacing w:after="0"/>
        <w:tabs>
          <w:tab w:leader="none" w:pos="460" w:val="left"/>
          <w:tab w:leader="dot" w:pos="6660" w:val="left"/>
        </w:tabs>
        <w:rPr>
          <w:sz w:val="20"/>
          <w:szCs w:val="20"/>
          <w:color w:val="auto"/>
        </w:rPr>
      </w:pPr>
      <w:r>
        <w:rPr>
          <w:rFonts w:ascii="Courier New" w:cs="Courier New" w:eastAsia="Courier New" w:hAnsi="Courier New"/>
          <w:sz w:val="16"/>
          <w:szCs w:val="16"/>
          <w:color w:val="auto"/>
        </w:rPr>
        <w:t>11.</w:t>
        <w:tab/>
        <w:t>BACKGROUND OF THE OFFER; CONTACTS WITH THE COMPANY</w:t>
      </w:r>
      <w:r>
        <w:rPr>
          <w:sz w:val="20"/>
          <w:szCs w:val="20"/>
          <w:color w:val="auto"/>
        </w:rPr>
        <w:tab/>
      </w:r>
      <w:r>
        <w:rPr>
          <w:rFonts w:ascii="Courier New" w:cs="Courier New" w:eastAsia="Courier New" w:hAnsi="Courier New"/>
          <w:sz w:val="16"/>
          <w:szCs w:val="16"/>
          <w:color w:val="auto"/>
        </w:rPr>
        <w:t>13</w:t>
      </w:r>
    </w:p>
    <w:p>
      <w:pPr>
        <w:spacing w:after="0" w:line="5" w:lineRule="exact"/>
        <w:rPr>
          <w:sz w:val="20"/>
          <w:szCs w:val="20"/>
          <w:color w:val="auto"/>
        </w:rPr>
      </w:pPr>
    </w:p>
    <w:p>
      <w:pPr>
        <w:ind w:left="481" w:right="4019" w:hanging="481"/>
        <w:spacing w:after="0" w:line="246" w:lineRule="auto"/>
        <w:tabs>
          <w:tab w:leader="none" w:pos="4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 OF THE OFFER AND THE MERGER; PLANS FOR THE COMPANY; MERGER AGREEMENT; STOCKHOLDERS AGREEMENT; CONFIDENTIALITY</w:t>
      </w:r>
    </w:p>
    <w:p>
      <w:pPr>
        <w:spacing w:after="0" w:line="1" w:lineRule="exact"/>
        <w:rPr>
          <w:sz w:val="20"/>
          <w:szCs w:val="20"/>
          <w:color w:val="auto"/>
        </w:rPr>
      </w:pPr>
    </w:p>
    <w:p>
      <w:pPr>
        <w:ind w:left="481"/>
        <w:spacing w:after="0"/>
        <w:tabs>
          <w:tab w:leader="dot" w:pos="6660" w:val="left"/>
        </w:tabs>
        <w:rPr>
          <w:sz w:val="20"/>
          <w:szCs w:val="20"/>
          <w:color w:val="auto"/>
        </w:rPr>
      </w:pPr>
      <w:r>
        <w:rPr>
          <w:rFonts w:ascii="Courier New" w:cs="Courier New" w:eastAsia="Courier New" w:hAnsi="Courier New"/>
          <w:sz w:val="16"/>
          <w:szCs w:val="16"/>
          <w:color w:val="auto"/>
        </w:rPr>
        <w:t>AGREEMENT; OTHER MATTERS</w:t>
      </w:r>
      <w:r>
        <w:rPr>
          <w:sz w:val="20"/>
          <w:szCs w:val="20"/>
          <w:color w:val="auto"/>
        </w:rPr>
        <w:tab/>
      </w:r>
      <w:r>
        <w:rPr>
          <w:rFonts w:ascii="Courier New" w:cs="Courier New" w:eastAsia="Courier New" w:hAnsi="Courier New"/>
          <w:sz w:val="16"/>
          <w:szCs w:val="16"/>
          <w:color w:val="auto"/>
        </w:rPr>
        <w:t>14</w:t>
      </w:r>
    </w:p>
    <w:p>
      <w:pPr>
        <w:spacing w:after="0" w:line="5" w:lineRule="exact"/>
        <w:rPr>
          <w:sz w:val="20"/>
          <w:szCs w:val="20"/>
          <w:color w:val="auto"/>
        </w:rPr>
      </w:pPr>
    </w:p>
    <w:p>
      <w:pPr>
        <w:ind w:left="1"/>
        <w:spacing w:after="0"/>
        <w:tabs>
          <w:tab w:leader="none" w:pos="460" w:val="left"/>
          <w:tab w:leader="dot" w:pos="6660" w:val="left"/>
        </w:tabs>
        <w:rPr>
          <w:sz w:val="20"/>
          <w:szCs w:val="20"/>
          <w:color w:val="auto"/>
        </w:rPr>
      </w:pPr>
      <w:r>
        <w:rPr>
          <w:rFonts w:ascii="Courier New" w:cs="Courier New" w:eastAsia="Courier New" w:hAnsi="Courier New"/>
          <w:sz w:val="16"/>
          <w:szCs w:val="16"/>
          <w:color w:val="auto"/>
        </w:rPr>
        <w:t>13.</w:t>
        <w:tab/>
        <w:t>DIVIDENDS AND DISTRIBUTIONS</w:t>
      </w:r>
      <w:r>
        <w:rPr>
          <w:sz w:val="20"/>
          <w:szCs w:val="20"/>
          <w:color w:val="auto"/>
        </w:rPr>
        <w:tab/>
      </w:r>
      <w:r>
        <w:rPr>
          <w:rFonts w:ascii="Courier New" w:cs="Courier New" w:eastAsia="Courier New" w:hAnsi="Courier New"/>
          <w:sz w:val="16"/>
          <w:szCs w:val="16"/>
          <w:color w:val="auto"/>
        </w:rPr>
        <w:t>27</w:t>
      </w:r>
    </w:p>
    <w:p>
      <w:pPr>
        <w:spacing w:after="0" w:line="5" w:lineRule="exact"/>
        <w:rPr>
          <w:sz w:val="20"/>
          <w:szCs w:val="20"/>
          <w:color w:val="auto"/>
        </w:rPr>
      </w:pPr>
    </w:p>
    <w:p>
      <w:pPr>
        <w:ind w:left="1"/>
        <w:spacing w:after="0"/>
        <w:tabs>
          <w:tab w:leader="none" w:pos="460" w:val="left"/>
          <w:tab w:leader="dot" w:pos="6660" w:val="left"/>
        </w:tabs>
        <w:rPr>
          <w:sz w:val="20"/>
          <w:szCs w:val="20"/>
          <w:color w:val="auto"/>
        </w:rPr>
      </w:pPr>
      <w:r>
        <w:rPr>
          <w:rFonts w:ascii="Courier New" w:cs="Courier New" w:eastAsia="Courier New" w:hAnsi="Courier New"/>
          <w:sz w:val="16"/>
          <w:szCs w:val="16"/>
          <w:color w:val="auto"/>
        </w:rPr>
        <w:t>14.</w:t>
        <w:tab/>
        <w:t>CONDITIONS TO THE OFFER</w:t>
      </w:r>
      <w:r>
        <w:rPr>
          <w:sz w:val="20"/>
          <w:szCs w:val="20"/>
          <w:color w:val="auto"/>
        </w:rPr>
        <w:tab/>
      </w:r>
      <w:r>
        <w:rPr>
          <w:rFonts w:ascii="Courier New" w:cs="Courier New" w:eastAsia="Courier New" w:hAnsi="Courier New"/>
          <w:sz w:val="16"/>
          <w:szCs w:val="16"/>
          <w:color w:val="auto"/>
        </w:rPr>
        <w:t>28</w:t>
      </w:r>
    </w:p>
    <w:p>
      <w:pPr>
        <w:spacing w:after="0" w:line="5" w:lineRule="exact"/>
        <w:rPr>
          <w:sz w:val="20"/>
          <w:szCs w:val="20"/>
          <w:color w:val="auto"/>
        </w:rPr>
      </w:pPr>
    </w:p>
    <w:p>
      <w:pPr>
        <w:ind w:left="1"/>
        <w:spacing w:after="0"/>
        <w:tabs>
          <w:tab w:leader="none" w:pos="460" w:val="left"/>
          <w:tab w:leader="dot" w:pos="6660" w:val="left"/>
        </w:tabs>
        <w:rPr>
          <w:sz w:val="20"/>
          <w:szCs w:val="20"/>
          <w:color w:val="auto"/>
        </w:rPr>
      </w:pPr>
      <w:r>
        <w:rPr>
          <w:rFonts w:ascii="Courier New" w:cs="Courier New" w:eastAsia="Courier New" w:hAnsi="Courier New"/>
          <w:sz w:val="16"/>
          <w:szCs w:val="16"/>
          <w:color w:val="auto"/>
        </w:rPr>
        <w:t>15.</w:t>
        <w:tab/>
        <w:t>CERTAIN LEGAL MATTERS</w:t>
      </w:r>
      <w:r>
        <w:rPr>
          <w:sz w:val="20"/>
          <w:szCs w:val="20"/>
          <w:color w:val="auto"/>
        </w:rPr>
        <w:tab/>
      </w:r>
      <w:r>
        <w:rPr>
          <w:rFonts w:ascii="Courier New" w:cs="Courier New" w:eastAsia="Courier New" w:hAnsi="Courier New"/>
          <w:sz w:val="16"/>
          <w:szCs w:val="16"/>
          <w:color w:val="auto"/>
        </w:rPr>
        <w:t>29</w:t>
      </w:r>
    </w:p>
    <w:p>
      <w:pPr>
        <w:spacing w:after="0" w:line="5" w:lineRule="exact"/>
        <w:rPr>
          <w:sz w:val="20"/>
          <w:szCs w:val="20"/>
          <w:color w:val="auto"/>
        </w:rPr>
      </w:pPr>
    </w:p>
    <w:p>
      <w:pPr>
        <w:ind w:left="1"/>
        <w:spacing w:after="0"/>
        <w:tabs>
          <w:tab w:leader="none" w:pos="460" w:val="left"/>
          <w:tab w:leader="dot" w:pos="6660" w:val="left"/>
        </w:tabs>
        <w:rPr>
          <w:sz w:val="20"/>
          <w:szCs w:val="20"/>
          <w:color w:val="auto"/>
        </w:rPr>
      </w:pPr>
      <w:r>
        <w:rPr>
          <w:rFonts w:ascii="Courier New" w:cs="Courier New" w:eastAsia="Courier New" w:hAnsi="Courier New"/>
          <w:sz w:val="16"/>
          <w:szCs w:val="16"/>
          <w:color w:val="auto"/>
        </w:rPr>
        <w:t>16.</w:t>
        <w:tab/>
        <w:t>FEES AND EXPENSES</w:t>
      </w:r>
      <w:r>
        <w:rPr>
          <w:sz w:val="20"/>
          <w:szCs w:val="20"/>
          <w:color w:val="auto"/>
        </w:rPr>
        <w:tab/>
      </w:r>
      <w:r>
        <w:rPr>
          <w:rFonts w:ascii="Courier New" w:cs="Courier New" w:eastAsia="Courier New" w:hAnsi="Courier New"/>
          <w:sz w:val="16"/>
          <w:szCs w:val="16"/>
          <w:color w:val="auto"/>
        </w:rPr>
        <w:t>31</w:t>
      </w:r>
    </w:p>
    <w:p>
      <w:pPr>
        <w:spacing w:after="0" w:line="5" w:lineRule="exact"/>
        <w:rPr>
          <w:sz w:val="20"/>
          <w:szCs w:val="20"/>
          <w:color w:val="auto"/>
        </w:rPr>
      </w:pPr>
    </w:p>
    <w:p>
      <w:pPr>
        <w:ind w:left="1"/>
        <w:spacing w:after="0"/>
        <w:tabs>
          <w:tab w:leader="none" w:pos="460" w:val="left"/>
          <w:tab w:leader="dot" w:pos="6660" w:val="left"/>
        </w:tabs>
        <w:rPr>
          <w:sz w:val="20"/>
          <w:szCs w:val="20"/>
          <w:color w:val="auto"/>
        </w:rPr>
      </w:pPr>
      <w:r>
        <w:rPr>
          <w:rFonts w:ascii="Courier New" w:cs="Courier New" w:eastAsia="Courier New" w:hAnsi="Courier New"/>
          <w:sz w:val="16"/>
          <w:szCs w:val="16"/>
          <w:color w:val="auto"/>
        </w:rPr>
        <w:t>17.</w:t>
        <w:tab/>
        <w:t>MISCELLANEOUS</w:t>
      </w:r>
      <w:r>
        <w:rPr>
          <w:sz w:val="20"/>
          <w:szCs w:val="20"/>
          <w:color w:val="auto"/>
        </w:rPr>
        <w:tab/>
      </w:r>
      <w:r>
        <w:rPr>
          <w:rFonts w:ascii="Courier New" w:cs="Courier New" w:eastAsia="Courier New" w:hAnsi="Courier New"/>
          <w:sz w:val="16"/>
          <w:szCs w:val="16"/>
          <w:color w:val="auto"/>
        </w:rPr>
        <w:t>31</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SCHEDULE I -- INFORMATION CONCERNING DIRECTORS AND EXECUTIVE</w:t>
      </w:r>
    </w:p>
    <w:p>
      <w:pPr>
        <w:spacing w:after="0" w:line="5" w:lineRule="exact"/>
        <w:rPr>
          <w:sz w:val="20"/>
          <w:szCs w:val="20"/>
          <w:color w:val="auto"/>
        </w:rPr>
      </w:pPr>
    </w:p>
    <w:p>
      <w:pPr>
        <w:ind w:left="1361"/>
        <w:spacing w:after="0"/>
        <w:tabs>
          <w:tab w:leader="dot" w:pos="6560" w:val="left"/>
        </w:tabs>
        <w:rPr>
          <w:sz w:val="20"/>
          <w:szCs w:val="20"/>
          <w:color w:val="auto"/>
        </w:rPr>
      </w:pPr>
      <w:r>
        <w:rPr>
          <w:rFonts w:ascii="Courier New" w:cs="Courier New" w:eastAsia="Courier New" w:hAnsi="Courier New"/>
          <w:sz w:val="16"/>
          <w:szCs w:val="16"/>
          <w:color w:val="auto"/>
        </w:rPr>
        <w:t>OFFICERS OF PARENT AND THE PURCHASER</w:t>
      </w:r>
      <w:r>
        <w:rPr>
          <w:sz w:val="20"/>
          <w:szCs w:val="20"/>
          <w:color w:val="auto"/>
        </w:rPr>
        <w:tab/>
      </w:r>
      <w:r>
        <w:rPr>
          <w:rFonts w:ascii="Courier New" w:cs="Courier New" w:eastAsia="Courier New" w:hAnsi="Courier New"/>
          <w:sz w:val="16"/>
          <w:szCs w:val="16"/>
          <w:color w:val="auto"/>
        </w:rPr>
        <w:t>I-1</w:t>
      </w:r>
    </w:p>
    <w:p>
      <w:pPr>
        <w:spacing w:after="0" w:line="348" w:lineRule="exact"/>
        <w:rPr>
          <w:sz w:val="20"/>
          <w:szCs w:val="20"/>
          <w:color w:val="auto"/>
        </w:rPr>
      </w:pPr>
    </w:p>
    <w:p>
      <w:pPr>
        <w:ind w:left="3881"/>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20"/>
          </w:cols>
          <w:pgMar w:left="239" w:top="273" w:right="1440" w:bottom="1440" w:gutter="0" w:footer="0" w:header="0"/>
        </w:sectPr>
      </w:pPr>
    </w:p>
    <w:bookmarkStart w:id="10" w:name="page11"/>
    <w:bookmarkEnd w:id="10"/>
    <w:p>
      <w:pPr>
        <w:ind w:left="300"/>
        <w:spacing w:after="0"/>
        <w:rPr>
          <w:sz w:val="20"/>
          <w:szCs w:val="20"/>
          <w:color w:val="auto"/>
        </w:rPr>
      </w:pPr>
      <w:r>
        <w:rPr>
          <w:rFonts w:ascii="Courier New" w:cs="Courier New" w:eastAsia="Courier New" w:hAnsi="Courier New"/>
          <w:sz w:val="16"/>
          <w:szCs w:val="16"/>
          <w:color w:val="auto"/>
        </w:rPr>
        <w:t>3</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HOLDERS OF COMMON STOCK OF</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INTEGRATED SENSOR SOLUTIONS, INC.:</w:t>
      </w:r>
    </w:p>
    <w:p>
      <w:pPr>
        <w:spacing w:after="0" w:line="16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INTRODUCTION</w:t>
      </w:r>
    </w:p>
    <w:p>
      <w:pPr>
        <w:spacing w:after="0" w:line="191" w:lineRule="exact"/>
        <w:rPr>
          <w:sz w:val="20"/>
          <w:szCs w:val="20"/>
          <w:color w:val="auto"/>
        </w:rPr>
      </w:pPr>
    </w:p>
    <w:p>
      <w:pPr>
        <w:ind w:right="2459" w:firstLine="484"/>
        <w:spacing w:after="0" w:line="260" w:lineRule="auto"/>
        <w:rPr>
          <w:sz w:val="20"/>
          <w:szCs w:val="20"/>
          <w:color w:val="auto"/>
        </w:rPr>
      </w:pPr>
      <w:r>
        <w:rPr>
          <w:rFonts w:ascii="Courier New" w:cs="Courier New" w:eastAsia="Courier New" w:hAnsi="Courier New"/>
          <w:sz w:val="16"/>
          <w:szCs w:val="16"/>
          <w:color w:val="auto"/>
        </w:rPr>
        <w:t>Sensor Acquisition Corporation, a Delaware corporation (the "Purchaser"), and a direct wholly-owned subsidiary of Texas Instruments Incorporated, a Delaware corporation ("Parent"), hereby offers to purchase all outstanding shares (the "Shares") of common stock, par value $.001 per share (the "Company Common Stock"), of Integrated Sensor Solutions, Inc., a Delaware corporation (the "Company"), at $8.05 per Share, net to the seller in cash (the "Offer Price"), without interest, upon the terms and subject to the conditions set forth in this Offer to Purchase and in the related Letter of Transmittal (which, together with any amendments or supplements thereto, collectively constitute the "Offer").</w:t>
      </w:r>
    </w:p>
    <w:p>
      <w:pPr>
        <w:spacing w:after="0" w:line="86" w:lineRule="exact"/>
        <w:rPr>
          <w:sz w:val="20"/>
          <w:szCs w:val="20"/>
          <w:color w:val="auto"/>
        </w:rPr>
      </w:pPr>
    </w:p>
    <w:p>
      <w:pPr>
        <w:ind w:right="2659" w:firstLine="484"/>
        <w:spacing w:after="0" w:line="264" w:lineRule="auto"/>
        <w:rPr>
          <w:sz w:val="20"/>
          <w:szCs w:val="20"/>
          <w:color w:val="auto"/>
        </w:rPr>
      </w:pPr>
      <w:r>
        <w:rPr>
          <w:rFonts w:ascii="Courier New" w:cs="Courier New" w:eastAsia="Courier New" w:hAnsi="Courier New"/>
          <w:sz w:val="16"/>
          <w:szCs w:val="16"/>
          <w:color w:val="auto"/>
        </w:rPr>
        <w:t>Tendering stockholders will not be obligated to pay brokerage fees or commissions or, except as set forth in Instruction 6 of the Letter of Transmittal, stock transfer taxes on the purchase of Shares by the Purchaser pursuant to the Offer. The Purchaser will pay all reasonable fees and expenses of ChaseMellon Shareholder Services, L.L.C., which is acting as the depositary (the "Depositary"), and Georgeson &amp; Company Inc., which is acting as the information agent (the "Information Agent"), incurred in connection with the Offer. See Section 16.</w:t>
      </w:r>
    </w:p>
    <w:p>
      <w:pPr>
        <w:spacing w:after="0" w:line="82" w:lineRule="exact"/>
        <w:rPr>
          <w:sz w:val="20"/>
          <w:szCs w:val="20"/>
          <w:color w:val="auto"/>
        </w:rPr>
      </w:pPr>
    </w:p>
    <w:p>
      <w:pPr>
        <w:ind w:right="2459" w:firstLine="484"/>
        <w:spacing w:after="0" w:line="276" w:lineRule="auto"/>
        <w:rPr>
          <w:sz w:val="20"/>
          <w:szCs w:val="20"/>
          <w:color w:val="auto"/>
        </w:rPr>
      </w:pPr>
      <w:r>
        <w:rPr>
          <w:rFonts w:ascii="Courier New" w:cs="Courier New" w:eastAsia="Courier New" w:hAnsi="Courier New"/>
          <w:sz w:val="16"/>
          <w:szCs w:val="16"/>
          <w:color w:val="auto"/>
        </w:rPr>
        <w:t>The Offer is conditioned upon, among other things, there having been validly tendered and not withdrawn prior to the expiration of the Offer a number of Shares which, together with any Shares beneficially owned by Parent or the Purchaser, represent at least a majority of the Shares outstanding on a fully diluted basis (the "Minimum Condition"). See Section 14.</w:t>
      </w:r>
    </w:p>
    <w:p>
      <w:pPr>
        <w:spacing w:after="0" w:line="76" w:lineRule="exact"/>
        <w:rPr>
          <w:sz w:val="20"/>
          <w:szCs w:val="20"/>
          <w:color w:val="auto"/>
        </w:rPr>
      </w:pPr>
    </w:p>
    <w:p>
      <w:pPr>
        <w:ind w:right="2459" w:firstLine="484"/>
        <w:spacing w:after="0" w:line="256" w:lineRule="auto"/>
        <w:rPr>
          <w:sz w:val="20"/>
          <w:szCs w:val="20"/>
          <w:color w:val="auto"/>
        </w:rPr>
      </w:pPr>
      <w:r>
        <w:rPr>
          <w:rFonts w:ascii="Courier New" w:cs="Courier New" w:eastAsia="Courier New" w:hAnsi="Courier New"/>
          <w:sz w:val="16"/>
          <w:szCs w:val="16"/>
          <w:color w:val="auto"/>
        </w:rPr>
        <w:t>The Offer is being made pursuant to an Agreement and Plan of Merger, dated as of May 3, 1999 (the "Merger Agreement"), by and among the Company, Parent, and the Purchaser. The Merger Agreement provides that, among other things, following the consummation of the Offer and the satisfaction or waiver of the other conditions set forth in the Merger Agreement, the Purchaser will be merged with and into the Company (the "Merger"). Following the Merger, the Company will continue as the surviving corporation and will be a direct wholly-owned subsidiary of Parent. At the effective time of the Merger (the "Effective Time"), each outstanding Share (other than Shares owned by Parent, the Purchaser or any of their respective affiliates and Shares held by stockholders who have demanded and perfected dissenter's rights under the Delaware General Corporation Law, as amended (the "DGCL")), will be converted into the right to receive the Offer Price in cash, without interest (referred to herein as the "Merger Consideration"). See Section 12.</w:t>
      </w:r>
    </w:p>
    <w:p>
      <w:pPr>
        <w:spacing w:after="0" w:line="89" w:lineRule="exact"/>
        <w:rPr>
          <w:sz w:val="20"/>
          <w:szCs w:val="20"/>
          <w:color w:val="auto"/>
        </w:rPr>
      </w:pPr>
    </w:p>
    <w:p>
      <w:pPr>
        <w:ind w:right="2459" w:firstLine="484"/>
        <w:spacing w:after="0" w:line="276" w:lineRule="auto"/>
        <w:rPr>
          <w:sz w:val="20"/>
          <w:szCs w:val="20"/>
          <w:color w:val="auto"/>
        </w:rPr>
      </w:pPr>
      <w:r>
        <w:rPr>
          <w:rFonts w:ascii="Courier New" w:cs="Courier New" w:eastAsia="Courier New" w:hAnsi="Courier New"/>
          <w:sz w:val="16"/>
          <w:szCs w:val="16"/>
          <w:color w:val="auto"/>
        </w:rPr>
        <w:t>THE BOARD OF DIRECTORS OF THE COMPANY (THE "COMPANY BOARD") HAS UNANIMOUSLY APPROVED THE MERGER AGREEMENT, THE OFFER, AND THE MERGER, AND HAS DETERMINED THAT THE OFFER AND THE MERGER ARE FAIR TO, ADVISABLE, AND IN THE BEST INTERESTS OF, THE COMPANY'S STOCKHOLDERS, AND UNANIMOUSLY RECOMMENDS THAT THE COMPANY'S STOCKHOLDERS ACCEPT THE OFFER AND TENDER THEIR SHARES IN THE OFFER.</w:t>
      </w:r>
    </w:p>
    <w:p>
      <w:pPr>
        <w:spacing w:after="0" w:line="76" w:lineRule="exact"/>
        <w:rPr>
          <w:sz w:val="20"/>
          <w:szCs w:val="20"/>
          <w:color w:val="auto"/>
        </w:rPr>
      </w:pPr>
    </w:p>
    <w:p>
      <w:pPr>
        <w:ind w:right="2459" w:firstLine="484"/>
        <w:spacing w:after="0" w:line="252" w:lineRule="auto"/>
        <w:rPr>
          <w:sz w:val="20"/>
          <w:szCs w:val="20"/>
          <w:color w:val="auto"/>
        </w:rPr>
      </w:pPr>
      <w:r>
        <w:rPr>
          <w:rFonts w:ascii="Courier New" w:cs="Courier New" w:eastAsia="Courier New" w:hAnsi="Courier New"/>
          <w:sz w:val="16"/>
          <w:szCs w:val="16"/>
          <w:color w:val="auto"/>
        </w:rPr>
        <w:t>Cruttenden Roth Incorporated ("CRI"), the Company's financial advisor, has delivered to the Company Board its written opinion, dated May 3, 1999, that, as of such date and based upon and subject to the matters set forth therein, the cash consideration to be received by the Company's stockholders (other than Parent and its affiliates) pursuant to the Offer and the Merger are fair, from a financial point of view, to such stockholders. A copy of the opinion of CRI is contained in the Company's Solicitation/Recommendation Statement on Schedule</w:t>
      </w:r>
    </w:p>
    <w:p>
      <w:pPr>
        <w:spacing w:after="0" w:line="2" w:lineRule="exact"/>
        <w:rPr>
          <w:sz w:val="20"/>
          <w:szCs w:val="20"/>
          <w:color w:val="auto"/>
        </w:rPr>
      </w:pPr>
    </w:p>
    <w:p>
      <w:pPr>
        <w:ind w:right="2459"/>
        <w:spacing w:after="0" w:line="287" w:lineRule="auto"/>
        <w:rPr>
          <w:sz w:val="20"/>
          <w:szCs w:val="20"/>
          <w:color w:val="auto"/>
        </w:rPr>
      </w:pPr>
      <w:r>
        <w:rPr>
          <w:rFonts w:ascii="Courier New" w:cs="Courier New" w:eastAsia="Courier New" w:hAnsi="Courier New"/>
          <w:sz w:val="16"/>
          <w:szCs w:val="16"/>
          <w:color w:val="auto"/>
        </w:rPr>
        <w:t>14D-9 (the "Schedule 14D-9") filed with the Securities and Exchange Commission (the "Commission") in connection with the Offer. A copy of the Schedule 14D-9 is being furnished to the Company's stockholders herewith.</w:t>
      </w:r>
    </w:p>
    <w:p>
      <w:pPr>
        <w:spacing w:after="0" w:line="65" w:lineRule="exact"/>
        <w:rPr>
          <w:sz w:val="20"/>
          <w:szCs w:val="20"/>
          <w:color w:val="auto"/>
        </w:rPr>
      </w:pPr>
    </w:p>
    <w:p>
      <w:pPr>
        <w:ind w:right="2459" w:firstLine="484"/>
        <w:spacing w:after="0" w:line="270" w:lineRule="auto"/>
        <w:rPr>
          <w:sz w:val="20"/>
          <w:szCs w:val="20"/>
          <w:color w:val="auto"/>
        </w:rPr>
      </w:pPr>
      <w:r>
        <w:rPr>
          <w:rFonts w:ascii="Courier New" w:cs="Courier New" w:eastAsia="Courier New" w:hAnsi="Courier New"/>
          <w:sz w:val="16"/>
          <w:szCs w:val="16"/>
          <w:color w:val="auto"/>
        </w:rPr>
        <w:t>The Merger Agreement provides that, as promptly as practicable after the satisfaction or waiver of the conditions to the Offer, the Purchaser will accept for payment and pay for all Shares validly tendered pursuant to the Offer, which could be as early as immediately following 12:00 Midnight, New York City time, on Friday, June 4, 1999; provided that, if, immediately prior to the latest expiration date of the Offer permitted by</w:t>
      </w:r>
    </w:p>
    <w:p>
      <w:pPr>
        <w:sectPr>
          <w:pgSz w:w="11900" w:h="16838" w:orient="portrait"/>
          <w:cols w:equalWidth="0" w:num="1">
            <w:col w:w="10219"/>
          </w:cols>
          <w:pgMar w:left="240" w:top="273" w:right="1440" w:bottom="1440" w:gutter="0" w:footer="0" w:header="0"/>
        </w:sectPr>
      </w:pPr>
    </w:p>
    <w:bookmarkStart w:id="11" w:name="page12"/>
    <w:bookmarkEnd w:id="11"/>
    <w:p>
      <w:pPr>
        <w:ind w:left="300"/>
        <w:spacing w:after="0"/>
        <w:rPr>
          <w:sz w:val="20"/>
          <w:szCs w:val="20"/>
          <w:color w:val="auto"/>
        </w:rPr>
      </w:pPr>
      <w:r>
        <w:rPr>
          <w:rFonts w:ascii="Courier New" w:cs="Courier New" w:eastAsia="Courier New" w:hAnsi="Courier New"/>
          <w:sz w:val="16"/>
          <w:szCs w:val="16"/>
          <w:color w:val="auto"/>
        </w:rPr>
        <w:t>4</w:t>
      </w:r>
    </w:p>
    <w:p>
      <w:pPr>
        <w:spacing w:after="0" w:line="191"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the Merger Agreement, the number of Shares validly tendered and not withdrawn pursuant to the Offer is less than 90% of the outstanding Shares, the Purchaser may extend the Offer for a period not to exceed 20 business days and, on the terms of, and subject to the satisfaction or waiver of the conditions to, the Offer, shall accept for payment and pay for Shares validly tendered as promptly as practicable after the expiration of such period. The Merger Agreement provides that if all of the conditions to the Offer are not satisfied or waived on the initial expiration date of the Offer, or any extension thereof, then, provided that all such conditions are reasonably capable of being satisfied prior to October 31, 1999, Parent and the Purchaser shall extend the Offer from time to time until such conditions are satisfied or waived, provided that Parent and the Purchaser shall not be required to extend the Offer beyond October 31, 1999. In addition, the Offer Price may be increased and the Offer may be extended to the extent required by law in connection with such increase, in each case without the consent of the Company. The Offer will not remain open following the time Shares are accepted for payment. As used in this Offer to Purchase, "business day" has the meaning set forth in Rule 14d-1 under the Securities Exchange Act of 1934, as amended (the "Exchange Act").</w:t>
      </w:r>
    </w:p>
    <w:p>
      <w:pPr>
        <w:spacing w:after="0" w:line="101" w:lineRule="exact"/>
        <w:rPr>
          <w:sz w:val="20"/>
          <w:szCs w:val="20"/>
          <w:color w:val="auto"/>
        </w:rPr>
      </w:pPr>
    </w:p>
    <w:p>
      <w:pPr>
        <w:ind w:right="2459" w:firstLine="484"/>
        <w:spacing w:after="0" w:line="253" w:lineRule="auto"/>
        <w:rPr>
          <w:sz w:val="20"/>
          <w:szCs w:val="20"/>
          <w:color w:val="auto"/>
        </w:rPr>
      </w:pPr>
      <w:r>
        <w:rPr>
          <w:rFonts w:ascii="Courier New" w:cs="Courier New" w:eastAsia="Courier New" w:hAnsi="Courier New"/>
          <w:sz w:val="16"/>
          <w:szCs w:val="16"/>
          <w:color w:val="auto"/>
        </w:rPr>
        <w:t>The Merger Agreement provides that promptly after (i) the purchase of and payment for Shares by the Purchaser and its affiliates as a result of which the Purchaser and its affiliates own beneficially at least a majority of the outstanding Shares and (ii) compliance with Section 14(f) of the Exchange Act and Rule 14f-1 promulgated thereunder, whichever occurs later, Parent shall be entitled to designate such number of directors, rounded up to the next whole number, on the Company Board as will give Parent representation on the Company Board equal to the product of the total number of directors on the Company Board multiplied by the percentage that the aggregate number of Shares beneficially owned by the Purchaser, Parent, and any of their affiliates (including Shares accepted for payment) bears to the total number of Shares then outstanding. Pursuant to the Merger Agreement, the Company has agreed to either increase the size of the Company Board or secure the resignations of such number of its incumbent directors as is necessary to enable Parent's designees to be so elected and to cause Parent's designees to be elected as directors of the Company. Notwithstanding the foregoing, Parent, the Purchaser and the Company have agreed to use their respective reasonable best efforts to ensure that, until the Effective Time, the Company Board shall continue to have at least two Continuing Directors as defined under "Merger Agreement" in Section 12.</w:t>
      </w:r>
    </w:p>
    <w:p>
      <w:pPr>
        <w:spacing w:after="0" w:line="97" w:lineRule="exact"/>
        <w:rPr>
          <w:sz w:val="20"/>
          <w:szCs w:val="20"/>
          <w:color w:val="auto"/>
        </w:rPr>
      </w:pPr>
    </w:p>
    <w:p>
      <w:pPr>
        <w:ind w:right="2459" w:firstLine="484"/>
        <w:spacing w:after="0" w:line="253" w:lineRule="auto"/>
        <w:rPr>
          <w:sz w:val="20"/>
          <w:szCs w:val="20"/>
          <w:color w:val="auto"/>
        </w:rPr>
      </w:pPr>
      <w:r>
        <w:rPr>
          <w:rFonts w:ascii="Courier New" w:cs="Courier New" w:eastAsia="Courier New" w:hAnsi="Courier New"/>
          <w:sz w:val="16"/>
          <w:szCs w:val="16"/>
          <w:color w:val="auto"/>
        </w:rPr>
        <w:t>Concurrently with the execution of the Merger Agreement, the Purchaser entered into a Stockholders Agreement dated as of May 3, 1999 (the "Stockholders Agreement") with Manher D. Naik, Donald Paulus, Ramesh Sirsi, David Satterfield, Nagano Keiki Co., Ltd., Breed Technologies, Inc., WK Technology Funds, and Vinod K. Sood, Sood Family Trust dated 5/14/90 (collectively, the "Selling Stockholders"), who own, in the aggregate, 1,948,480 shares (or approximately</w:t>
      </w:r>
    </w:p>
    <w:p>
      <w:pPr>
        <w:spacing w:after="0" w:line="2" w:lineRule="exact"/>
        <w:rPr>
          <w:sz w:val="20"/>
          <w:szCs w:val="20"/>
          <w:color w:val="auto"/>
        </w:rPr>
      </w:pPr>
    </w:p>
    <w:p>
      <w:pPr>
        <w:jc w:val="both"/>
        <w:ind w:right="2659"/>
        <w:spacing w:after="0" w:line="246" w:lineRule="auto"/>
        <w:rPr>
          <w:sz w:val="20"/>
          <w:szCs w:val="20"/>
          <w:color w:val="auto"/>
        </w:rPr>
      </w:pPr>
      <w:r>
        <w:rPr>
          <w:rFonts w:ascii="Courier New" w:cs="Courier New" w:eastAsia="Courier New" w:hAnsi="Courier New"/>
          <w:sz w:val="16"/>
          <w:szCs w:val="16"/>
          <w:color w:val="auto"/>
        </w:rPr>
        <w:t>22.3% of the outstanding Shares calculated on a fully-diluted basis). Pursuant to the Stockholders Agreement, the Selling Stockholders have agreed to validly tender and not withdraw all Shares beneficially owned by them into the Offer.</w:t>
      </w:r>
    </w:p>
    <w:p>
      <w:pPr>
        <w:spacing w:after="0" w:line="2" w:lineRule="exact"/>
        <w:rPr>
          <w:sz w:val="20"/>
          <w:szCs w:val="20"/>
          <w:color w:val="auto"/>
        </w:rPr>
      </w:pPr>
    </w:p>
    <w:p>
      <w:pPr>
        <w:ind w:right="2459"/>
        <w:spacing w:after="0" w:line="254" w:lineRule="auto"/>
        <w:rPr>
          <w:sz w:val="20"/>
          <w:szCs w:val="20"/>
          <w:color w:val="auto"/>
        </w:rPr>
      </w:pPr>
      <w:r>
        <w:rPr>
          <w:rFonts w:ascii="Courier New" w:cs="Courier New" w:eastAsia="Courier New" w:hAnsi="Courier New"/>
          <w:sz w:val="16"/>
          <w:szCs w:val="16"/>
          <w:color w:val="auto"/>
        </w:rPr>
        <w:t>Pursuant to the Stockholders Agreement, each Selling Stockholder has also agreed to (i) vote all Shares that such Selling Stockholder is entitled to vote to approve and adopt the Merger Agreement, the Merger and all agreements relating thereto and (ii) not vote any Shares that such Selling Stockholder is entitled to vote in favor of any competing acquisition proposals in respect of the Company or any extraordinary transactions involving the Company (such as the reorganization, recapitalization, liquidation, or winding up of the Company). Each Selling Stockholder has also granted the Purchaser an irrevocable proxy pursuant to the Stockholders Agreement to vote the Shares beneficially owned by such Selling Stockholder in the manner contemplated in the foregoing sentence. See "Stockholders Agreement" in Section 12.</w:t>
      </w:r>
    </w:p>
    <w:p>
      <w:pPr>
        <w:spacing w:after="0" w:line="96" w:lineRule="exact"/>
        <w:rPr>
          <w:sz w:val="20"/>
          <w:szCs w:val="20"/>
          <w:color w:val="auto"/>
        </w:rPr>
      </w:pPr>
    </w:p>
    <w:p>
      <w:pPr>
        <w:ind w:right="2459" w:firstLine="484"/>
        <w:spacing w:after="0" w:line="256" w:lineRule="auto"/>
        <w:rPr>
          <w:sz w:val="20"/>
          <w:szCs w:val="20"/>
          <w:color w:val="auto"/>
        </w:rPr>
      </w:pPr>
      <w:r>
        <w:rPr>
          <w:rFonts w:ascii="Courier New" w:cs="Courier New" w:eastAsia="Courier New" w:hAnsi="Courier New"/>
          <w:sz w:val="16"/>
          <w:szCs w:val="16"/>
          <w:color w:val="auto"/>
        </w:rPr>
        <w:t>The consummation of the Merger is subject to the satisfaction or waiver of certain conditions, including, if required by law, the approval and adoption of the Merger Agreement by the requisite vote of the Company's stockholders. See Section 12. Under the DGCL, the affirmative vote of the holders of a majority of the outstanding Shares is required to approve and adopt the Merger Agreement. Consequently, if the Purchaser acquires (pursuant to the Offer or otherwise) at least a majority of the then outstanding Shares, the Purchaser will have sufficient voting power to approve and adopt the Merger Agreement without the vote of any other stockholder. If the Purchaser acquires at least 90% of the outstanding Shares (pursuant to the Offer or otherwise), the Purchaser will be able to effect the Merger pursuant to the "short form" merger provisions of Section 253 of the DGCL, without prior notice to, or any action by, any other stockholder. Parent has agreed</w:t>
      </w:r>
    </w:p>
    <w:p>
      <w:pPr>
        <w:sectPr>
          <w:pgSz w:w="11900" w:h="16838" w:orient="portrait"/>
          <w:cols w:equalWidth="0" w:num="1">
            <w:col w:w="10219"/>
          </w:cols>
          <w:pgMar w:left="240" w:top="273" w:right="1440" w:bottom="1440" w:gutter="0" w:footer="0" w:header="0"/>
        </w:sectPr>
      </w:pPr>
    </w:p>
    <w:p>
      <w:pPr>
        <w:spacing w:after="0" w:line="96"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73" w:right="1440" w:bottom="1440" w:gutter="0" w:footer="0" w:header="0"/>
          <w:type w:val="continuous"/>
        </w:sectPr>
      </w:pPr>
    </w:p>
    <w:bookmarkStart w:id="12" w:name="page13"/>
    <w:bookmarkEnd w:id="12"/>
    <w:p>
      <w:pPr>
        <w:ind w:left="300"/>
        <w:spacing w:after="0"/>
        <w:rPr>
          <w:sz w:val="20"/>
          <w:szCs w:val="20"/>
          <w:color w:val="auto"/>
        </w:rPr>
      </w:pPr>
      <w:r>
        <w:rPr>
          <w:rFonts w:ascii="Courier New" w:cs="Courier New" w:eastAsia="Courier New" w:hAnsi="Courier New"/>
          <w:sz w:val="16"/>
          <w:szCs w:val="16"/>
          <w:color w:val="auto"/>
        </w:rPr>
        <w:t>5</w:t>
      </w:r>
    </w:p>
    <w:p>
      <w:pPr>
        <w:spacing w:after="0" w:line="191" w:lineRule="exact"/>
        <w:rPr>
          <w:sz w:val="20"/>
          <w:szCs w:val="20"/>
          <w:color w:val="auto"/>
        </w:rPr>
      </w:pPr>
    </w:p>
    <w:p>
      <w:pPr>
        <w:jc w:val="both"/>
        <w:ind w:right="2559"/>
        <w:spacing w:after="0" w:line="307" w:lineRule="auto"/>
        <w:rPr>
          <w:sz w:val="20"/>
          <w:szCs w:val="20"/>
          <w:color w:val="auto"/>
        </w:rPr>
      </w:pPr>
      <w:r>
        <w:rPr>
          <w:rFonts w:ascii="Courier New" w:cs="Courier New" w:eastAsia="Courier New" w:hAnsi="Courier New"/>
          <w:sz w:val="16"/>
          <w:szCs w:val="16"/>
          <w:color w:val="auto"/>
        </w:rPr>
        <w:t>to vote, or cause to be voted, all Shares owned by Parent, the Purchaser or any of their subsidiaries and affiliates in favor of the approval of the Merger and the adoption of the Merger Agreement.</w:t>
      </w:r>
    </w:p>
    <w:p>
      <w:pPr>
        <w:spacing w:after="0" w:line="50" w:lineRule="exact"/>
        <w:rPr>
          <w:sz w:val="20"/>
          <w:szCs w:val="20"/>
          <w:color w:val="auto"/>
        </w:rPr>
      </w:pPr>
    </w:p>
    <w:p>
      <w:pPr>
        <w:ind w:right="2459" w:firstLine="484"/>
        <w:spacing w:after="0" w:line="259" w:lineRule="auto"/>
        <w:rPr>
          <w:sz w:val="20"/>
          <w:szCs w:val="20"/>
          <w:color w:val="auto"/>
        </w:rPr>
      </w:pPr>
      <w:r>
        <w:rPr>
          <w:rFonts w:ascii="Courier New" w:cs="Courier New" w:eastAsia="Courier New" w:hAnsi="Courier New"/>
          <w:sz w:val="16"/>
          <w:szCs w:val="16"/>
          <w:color w:val="auto"/>
        </w:rPr>
        <w:t>According to the Company, as of April 28, 1999, there were 7,713,082 Shares issued and outstanding, 728,248 Shares reserved for issuance upon the exercise of outstanding options granted under the Company's stock option plans and</w:t>
      </w:r>
    </w:p>
    <w:p>
      <w:pPr>
        <w:spacing w:after="0" w:line="2" w:lineRule="exact"/>
        <w:rPr>
          <w:sz w:val="20"/>
          <w:szCs w:val="20"/>
          <w:color w:val="auto"/>
        </w:rPr>
      </w:pPr>
    </w:p>
    <w:p>
      <w:pPr>
        <w:ind w:right="2659"/>
        <w:spacing w:after="0" w:line="267" w:lineRule="auto"/>
        <w:rPr>
          <w:sz w:val="20"/>
          <w:szCs w:val="20"/>
          <w:color w:val="auto"/>
        </w:rPr>
      </w:pPr>
      <w:r>
        <w:rPr>
          <w:rFonts w:ascii="Courier New" w:cs="Courier New" w:eastAsia="Courier New" w:hAnsi="Courier New"/>
          <w:sz w:val="16"/>
          <w:szCs w:val="16"/>
          <w:color w:val="auto"/>
        </w:rPr>
        <w:t>308,566 Shares reserved for issuance upon the exercise of outstanding warrants to purchase Company Common Stock. For purposes of the Offer, "fully diluted basis" assumes that all options and warrants are exercised for Shares. Based upon the foregoing information, the Minimum Condition would be satisfied if 4,374,949 Shares were validly tendered.</w:t>
      </w:r>
    </w:p>
    <w:p>
      <w:pPr>
        <w:spacing w:after="0" w:line="80" w:lineRule="exact"/>
        <w:rPr>
          <w:sz w:val="20"/>
          <w:szCs w:val="20"/>
          <w:color w:val="auto"/>
        </w:rPr>
      </w:pPr>
    </w:p>
    <w:p>
      <w:pPr>
        <w:ind w:right="2459" w:firstLine="484"/>
        <w:spacing w:after="0" w:line="307" w:lineRule="auto"/>
        <w:rPr>
          <w:sz w:val="20"/>
          <w:szCs w:val="20"/>
          <w:color w:val="auto"/>
        </w:rPr>
      </w:pPr>
      <w:r>
        <w:rPr>
          <w:rFonts w:ascii="Courier New" w:cs="Courier New" w:eastAsia="Courier New" w:hAnsi="Courier New"/>
          <w:sz w:val="16"/>
          <w:szCs w:val="16"/>
          <w:color w:val="auto"/>
        </w:rPr>
        <w:t>THIS OFFER TO PURCHASE AND THE RELATED LETTER OF TRANSMITTAL CONTAIN IMPORTANT INFORMATION WHICH SHOULD BE READ CAREFULLY BEFORE ANY DECISION IS MADE IN RESPECT OF THE OFFER.</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TERMS OF THE OFFER</w:t>
      </w:r>
    </w:p>
    <w:p>
      <w:pPr>
        <w:spacing w:after="0" w:line="191" w:lineRule="exact"/>
        <w:rPr>
          <w:sz w:val="20"/>
          <w:szCs w:val="20"/>
          <w:color w:val="auto"/>
        </w:rPr>
      </w:pPr>
    </w:p>
    <w:p>
      <w:pPr>
        <w:ind w:right="2459" w:firstLine="484"/>
        <w:spacing w:after="0" w:line="260" w:lineRule="auto"/>
        <w:rPr>
          <w:sz w:val="20"/>
          <w:szCs w:val="20"/>
          <w:color w:val="auto"/>
        </w:rPr>
      </w:pPr>
      <w:r>
        <w:rPr>
          <w:rFonts w:ascii="Courier New" w:cs="Courier New" w:eastAsia="Courier New" w:hAnsi="Courier New"/>
          <w:sz w:val="16"/>
          <w:szCs w:val="16"/>
          <w:color w:val="auto"/>
        </w:rPr>
        <w:t>Upon the terms and subject to the conditions of the Offer (including, if the Offer is extended or amended, the terms and conditions of any extension or amendment), the Purchaser will accept for payment and pay for all Shares which are validly tendered prior to the Expiration Date and not withdrawn in accordance with Section 4. The term "Expiration Date" means 12:00 Midnight, New York City time, on Friday, June 4, 1999, unless and until the Purchaser (subject to the terms of the Merger Agreement) shall have extended the period of time during which the Offer is open, in which event the term "Expiration Date" shall mean the latest time and date at which the Offer, as so extended by the Purchaser, shall expire.</w:t>
      </w:r>
    </w:p>
    <w:p>
      <w:pPr>
        <w:spacing w:after="0" w:line="86" w:lineRule="exact"/>
        <w:rPr>
          <w:sz w:val="20"/>
          <w:szCs w:val="20"/>
          <w:color w:val="auto"/>
        </w:rPr>
      </w:pPr>
    </w:p>
    <w:p>
      <w:pPr>
        <w:ind w:right="2459" w:firstLine="484"/>
        <w:spacing w:after="0" w:line="249" w:lineRule="auto"/>
        <w:rPr>
          <w:sz w:val="20"/>
          <w:szCs w:val="20"/>
          <w:color w:val="auto"/>
        </w:rPr>
      </w:pPr>
      <w:r>
        <w:rPr>
          <w:rFonts w:ascii="Courier New" w:cs="Courier New" w:eastAsia="Courier New" w:hAnsi="Courier New"/>
          <w:sz w:val="16"/>
          <w:szCs w:val="16"/>
          <w:color w:val="auto"/>
        </w:rPr>
        <w:t>The Offer is conditioned upon, among other things, satisfaction of the Minimum Condition. See Section 14, which sets forth in full the conditions to the Offer. If the Minimum Condition is not satisfied or any or all of the other events set forth in Section 14 shall have occurred prior to the Expiration Date, the Purchaser reserves the right (but shall not be obligated) to, subject to the terms of the Merger Agreement, (i) decline to purchase any of the Shares tendered in the Offer and terminate the Offer and return all tendered Shares to the tendering stockholders, (ii) waive any or all conditions to the Offer, to the extent permitted by applicable law and the provisions of the Merger Agreement, and, subject to complying with applicable rules and regulations of the Commission, purchase all Shares validly tendered, (iii) extend the Offer and, subject to the right of stockholders to withdraw Shares until the Expiration Date, retain the Shares which have been tendered during the period or periods for which the Offer is extended or (iv) amend the Offer. The Merger Agreement provides that the Purchaser will not, without the prior written consent of the Company, decrease the Offer Price, decrease the number of Shares sought in the Offer, amend or waive the Minimum Condition, change the form of the consideration offered for the Shares, amend any other term or condition of the Offer in any manner adverse to the holders of Shares, impose additional conditions to the Offer or extend the Expiration Date. Notwithstanding the foregoing, the Merger Agreement provides that if all of the conditions to the Offer are not satisfied or waived on the initial expiration date of the Offer, or any extension thereof, then, provided that all such conditions are reasonably capable of being satisfied prior to October 31, 1999, Parent and the Purchaser shall extend the Offer from time to time until such conditions are satisfied or waived, provided that Parent and the Purchaser shall not be required to extend the Offer beyond October 31, 1999. Also, notwithstanding that the Purchaser has agreed to accept for payment and pay for all Shares validly tendered pursuant to the Offer as promptly as practicable after the satisfaction or waiver of the conditions to the Offer, if, immediately prior to the latest expiration date of the Offer permitted by the Merger Agreement, the number of Shares validly tendered and not withdrawn pursuant to the Offer is less than 90% of the outstanding Shares, the Purchaser may extend the Offer for a period not to exceed 20 business days and, on the terms of, and subject to the satisfaction or waiver of the conditions to, the Offer, shall accept for payment and pay for Shares validly tendered as promptly as practicable after the expiration of such period. In addition, the Offer Price may be increased and the Offer may be extended to the extent required by law in connection with such increase, in each case without the consent of the Company.</w:t>
      </w:r>
    </w:p>
    <w:p>
      <w:pPr>
        <w:spacing w:after="0" w:line="120" w:lineRule="exact"/>
        <w:rPr>
          <w:sz w:val="20"/>
          <w:szCs w:val="20"/>
          <w:color w:val="auto"/>
        </w:rPr>
      </w:pPr>
    </w:p>
    <w:p>
      <w:pPr>
        <w:ind w:right="2559" w:firstLine="484"/>
        <w:spacing w:after="0" w:line="307" w:lineRule="auto"/>
        <w:rPr>
          <w:sz w:val="20"/>
          <w:szCs w:val="20"/>
          <w:color w:val="auto"/>
        </w:rPr>
      </w:pPr>
      <w:r>
        <w:rPr>
          <w:rFonts w:ascii="Courier New" w:cs="Courier New" w:eastAsia="Courier New" w:hAnsi="Courier New"/>
          <w:sz w:val="16"/>
          <w:szCs w:val="16"/>
          <w:color w:val="auto"/>
        </w:rPr>
        <w:t>The Purchaser expressly reserves the right, in its sole discretion, at any time or from time to time, subject to the terms of the Merger Agreement and regardless of whether or not any of the events set forth in</w:t>
      </w:r>
    </w:p>
    <w:p>
      <w:pPr>
        <w:sectPr>
          <w:pgSz w:w="11900" w:h="16838" w:orient="portrait"/>
          <w:cols w:equalWidth="0" w:num="1">
            <w:col w:w="10219"/>
          </w:cols>
          <w:pgMar w:left="240" w:top="273" w:right="1440" w:bottom="1440" w:gutter="0" w:footer="0" w:header="0"/>
        </w:sectPr>
      </w:pPr>
    </w:p>
    <w:p>
      <w:pPr>
        <w:spacing w:after="0" w:line="50"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73" w:right="1440" w:bottom="1440" w:gutter="0" w:footer="0" w:header="0"/>
          <w:type w:val="continuous"/>
        </w:sectPr>
      </w:pPr>
    </w:p>
    <w:bookmarkStart w:id="13" w:name="page14"/>
    <w:bookmarkEnd w:id="13"/>
    <w:p>
      <w:pPr>
        <w:ind w:left="300"/>
        <w:spacing w:after="0"/>
        <w:rPr>
          <w:sz w:val="20"/>
          <w:szCs w:val="20"/>
          <w:color w:val="auto"/>
        </w:rPr>
      </w:pPr>
      <w:r>
        <w:rPr>
          <w:rFonts w:ascii="Courier New" w:cs="Courier New" w:eastAsia="Courier New" w:hAnsi="Courier New"/>
          <w:sz w:val="16"/>
          <w:szCs w:val="16"/>
          <w:color w:val="auto"/>
        </w:rPr>
        <w:t>6</w:t>
      </w:r>
    </w:p>
    <w:p>
      <w:pPr>
        <w:spacing w:after="0" w:line="191" w:lineRule="exact"/>
        <w:rPr>
          <w:sz w:val="20"/>
          <w:szCs w:val="20"/>
          <w:color w:val="auto"/>
        </w:rPr>
      </w:pPr>
    </w:p>
    <w:p>
      <w:pPr>
        <w:ind w:right="2459"/>
        <w:spacing w:after="0" w:line="255" w:lineRule="auto"/>
        <w:rPr>
          <w:sz w:val="20"/>
          <w:szCs w:val="20"/>
          <w:color w:val="auto"/>
        </w:rPr>
      </w:pPr>
      <w:r>
        <w:rPr>
          <w:rFonts w:ascii="Courier New" w:cs="Courier New" w:eastAsia="Courier New" w:hAnsi="Courier New"/>
          <w:sz w:val="16"/>
          <w:szCs w:val="16"/>
          <w:color w:val="auto"/>
        </w:rPr>
        <w:t>Section 14 shall have occurred, (i) to extend the period of time during which the Offer is open and thereby delay acceptance for payment of, and the payment for, any Shares, by giving oral or written notice of such extension to the Depositary and (ii) to amend the Offer in any respect by giving oral or written notice of such amendment to the Depositary. The rights reserved by the Purchaser in this paragraph are in addition to the Purchaser's rights to terminate the Offer pursuant to Section 14. Any extension, amendment, or termination will be followed as promptly as practicable by public announcement thereof, the announcement in the case of an extension to be issued no later than 9:00 a.m., New York City time, on the next business day after the previously scheduled Expiration Date in accordance with Rules 14d-4(c), 14d-6(d), and 14e-1(d) under the Exchange Act. Without limiting the obligation of the Purchaser under such rules or the manner in which the Purchaser may choose to make any public announcement, the Purchaser currently intends to make announcements by issuing a press release to the Dow Jones News Service.</w:t>
      </w:r>
    </w:p>
    <w:p>
      <w:pPr>
        <w:spacing w:after="0" w:line="93" w:lineRule="exact"/>
        <w:rPr>
          <w:sz w:val="20"/>
          <w:szCs w:val="20"/>
          <w:color w:val="auto"/>
        </w:rPr>
      </w:pPr>
    </w:p>
    <w:p>
      <w:pPr>
        <w:ind w:right="2459" w:firstLine="484"/>
        <w:spacing w:after="0" w:line="256" w:lineRule="auto"/>
        <w:rPr>
          <w:sz w:val="20"/>
          <w:szCs w:val="20"/>
          <w:color w:val="auto"/>
        </w:rPr>
      </w:pPr>
      <w:r>
        <w:rPr>
          <w:rFonts w:ascii="Courier New" w:cs="Courier New" w:eastAsia="Courier New" w:hAnsi="Courier New"/>
          <w:sz w:val="16"/>
          <w:szCs w:val="16"/>
          <w:color w:val="auto"/>
        </w:rPr>
        <w:t>If the Purchaser extends the Offer, or if the Purchaser (whether before or after its acceptance for payment of Shares) is delayed in its purchase of or payment for Shares or is unable to pay for Shares pursuant to the Offer for any reason, then, without prejudice to the Purchaser's rights under the Offer, the Depositary may retain tendered Shares on behalf of the Purchaser, and such Shares may not be withdrawn except to the extent tendering stockholders are entitled to withdrawal rights as described in Section 4. However, the ability of the Purchaser to delay the payment for Shares which the Purchaser has accepted for payment is limited by Rule 14e-1(c) under the Exchange Act, which requires that a bidder pay the consideration offered or return the securities deposited by or on behalf of holders of securities promptly after the termination or withdrawal of the Offer. THE PURCHASER SHALL NOT HAVE ANY OBLIGATION TO PAY INTEREST ON THE PURCHASE PRICE FOR TENDERED SHARES, WHETHER OR NOT THE PURCHASER EXERCISES ITS RIGHT TO EXTEND THE OFFER.</w:t>
      </w:r>
    </w:p>
    <w:p>
      <w:pPr>
        <w:spacing w:after="0" w:line="89" w:lineRule="exact"/>
        <w:rPr>
          <w:sz w:val="20"/>
          <w:szCs w:val="20"/>
          <w:color w:val="auto"/>
        </w:rPr>
      </w:pPr>
    </w:p>
    <w:p>
      <w:pPr>
        <w:ind w:right="2459" w:firstLine="484"/>
        <w:spacing w:after="0" w:line="254" w:lineRule="auto"/>
        <w:rPr>
          <w:sz w:val="20"/>
          <w:szCs w:val="20"/>
          <w:color w:val="auto"/>
        </w:rPr>
      </w:pPr>
      <w:r>
        <w:rPr>
          <w:rFonts w:ascii="Courier New" w:cs="Courier New" w:eastAsia="Courier New" w:hAnsi="Courier New"/>
          <w:sz w:val="16"/>
          <w:szCs w:val="16"/>
          <w:color w:val="auto"/>
        </w:rPr>
        <w:t>If the Purchaser makes a material change in the terms of the Offer or the information concerning the Offer or waives a material condition of the Offer (including the Minimum Condition, subject to the Merger Agreement), the Purchaser will disseminate additional tender offer materials and extend the Offer to the extent required by Rules 14d-4(c) and 14d-6(d) under the Exchange Act. The minimum period during which the Offer must remain open following material changes in the terms of the Offer or information concerning the Offer, other than a change in price or a change in percentage of securities sought, will depend upon the facts and circumstances, including the relative materiality of the terms or information. In respect of a change in price or a change in percentage of securities sought, a minimum ten business day period is required to allow for adequate dissemination to stockholders and investor response. If, prior to the Expiration Date, the Purchaser should decide to increase the price per Share being offered in the Offer, such increase will be applicable to all stockholders whose Shares are accepted for payment pursuant to the Offer. The Merger Agreement provides that, without the Company's consent, the Purchaser will not decrease the price or the number of Shares sought in the Offer.</w:t>
      </w:r>
    </w:p>
    <w:p>
      <w:pPr>
        <w:spacing w:after="0" w:line="93" w:lineRule="exact"/>
        <w:rPr>
          <w:sz w:val="20"/>
          <w:szCs w:val="20"/>
          <w:color w:val="auto"/>
        </w:rPr>
      </w:pPr>
    </w:p>
    <w:p>
      <w:pPr>
        <w:ind w:right="2459" w:firstLine="484"/>
        <w:spacing w:after="0" w:line="261" w:lineRule="auto"/>
        <w:rPr>
          <w:sz w:val="20"/>
          <w:szCs w:val="20"/>
          <w:color w:val="auto"/>
        </w:rPr>
      </w:pPr>
      <w:r>
        <w:rPr>
          <w:rFonts w:ascii="Courier New" w:cs="Courier New" w:eastAsia="Courier New" w:hAnsi="Courier New"/>
          <w:sz w:val="16"/>
          <w:szCs w:val="16"/>
          <w:color w:val="auto"/>
        </w:rPr>
        <w:t>The Company has provided to the Purchaser its list of stockholders and security position listings for the purpose of disseminating the Offer to holders of Shares. This Offer to Purchase and the related Letter of Transmittal and other relevant materials will be mailed to record holders of Shares and furnished to brokers, dealers, commercial banks, trust companies, and similar persons whose names, or the names of whose nominees, appear on the stockholder list or, if applicable, who are listed as participants in a clearing agency's security position listing, for subsequent transmittal to beneficial owners of Shares.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ACCEPTANCE FOR PAYMENT AND PAYMENT FOR SHARES</w:t>
      </w:r>
    </w:p>
    <w:p>
      <w:pPr>
        <w:spacing w:after="0" w:line="191" w:lineRule="exact"/>
        <w:rPr>
          <w:sz w:val="20"/>
          <w:szCs w:val="20"/>
          <w:color w:val="auto"/>
        </w:rPr>
      </w:pPr>
    </w:p>
    <w:p>
      <w:pPr>
        <w:ind w:right="2459" w:firstLine="484"/>
        <w:spacing w:after="0" w:line="250" w:lineRule="auto"/>
        <w:rPr>
          <w:sz w:val="20"/>
          <w:szCs w:val="20"/>
          <w:color w:val="auto"/>
        </w:rPr>
      </w:pPr>
      <w:r>
        <w:rPr>
          <w:rFonts w:ascii="Courier New" w:cs="Courier New" w:eastAsia="Courier New" w:hAnsi="Courier New"/>
          <w:sz w:val="16"/>
          <w:szCs w:val="16"/>
          <w:color w:val="auto"/>
        </w:rPr>
        <w:t>Upon the terms and subject to the conditions of the Offer (including, if the Offer is extended or amended, the terms and conditions of any extension or amendment), the Purchaser will purchase, by accepting for payment, and will pay for, all Shares validly tendered prior to the Expiration Date (and not properly withdrawn in accordance with Section 4) as promptly as practicable after the later to occur of (i) the Expiration Date and (ii) the satisfaction or waiver of the conditions set forth in Section 14. Subject to the applicable rules of the Commission and the terms of the Merger Agreement, the Purchaser expressly reserves the right to delay acceptance for payment of, or payment for, Shares in order to comply, in whole or in part, with any applicable law, including the Hart-Scott-Rodino Antitrust Improvements Act of 1976, as amended (the "HSR Act"). See Sections 14 and 15.</w:t>
      </w:r>
    </w:p>
    <w:p>
      <w:pPr>
        <w:sectPr>
          <w:pgSz w:w="11900" w:h="16838" w:orient="portrait"/>
          <w:cols w:equalWidth="0" w:num="1">
            <w:col w:w="10219"/>
          </w:cols>
          <w:pgMar w:left="240" w:top="273" w:right="1440" w:bottom="1440" w:gutter="0" w:footer="0" w:header="0"/>
        </w:sectPr>
      </w:pP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73" w:right="1440" w:bottom="1440" w:gutter="0" w:footer="0" w:header="0"/>
          <w:type w:val="continuous"/>
        </w:sectPr>
      </w:pPr>
    </w:p>
    <w:bookmarkStart w:id="14" w:name="page15"/>
    <w:bookmarkEnd w:id="14"/>
    <w:p>
      <w:pPr>
        <w:ind w:left="301"/>
        <w:spacing w:after="0"/>
        <w:rPr>
          <w:sz w:val="20"/>
          <w:szCs w:val="20"/>
          <w:color w:val="auto"/>
        </w:rPr>
      </w:pPr>
      <w:r>
        <w:rPr>
          <w:rFonts w:ascii="Courier New" w:cs="Courier New" w:eastAsia="Courier New" w:hAnsi="Courier New"/>
          <w:sz w:val="16"/>
          <w:szCs w:val="16"/>
          <w:color w:val="auto"/>
        </w:rPr>
        <w:t>7</w:t>
      </w:r>
    </w:p>
    <w:p>
      <w:pPr>
        <w:spacing w:after="0" w:line="191" w:lineRule="exact"/>
        <w:rPr>
          <w:sz w:val="20"/>
          <w:szCs w:val="20"/>
          <w:color w:val="auto"/>
        </w:rPr>
      </w:pPr>
    </w:p>
    <w:p>
      <w:pPr>
        <w:ind w:left="1" w:right="2459" w:firstLine="484"/>
        <w:spacing w:after="0" w:line="261" w:lineRule="auto"/>
        <w:rPr>
          <w:sz w:val="20"/>
          <w:szCs w:val="20"/>
          <w:color w:val="auto"/>
        </w:rPr>
      </w:pPr>
      <w:r>
        <w:rPr>
          <w:rFonts w:ascii="Courier New" w:cs="Courier New" w:eastAsia="Courier New" w:hAnsi="Courier New"/>
          <w:sz w:val="16"/>
          <w:szCs w:val="16"/>
          <w:color w:val="auto"/>
        </w:rPr>
        <w:t>In all cases, payment for Shares purchased pursuant to the Offer will be made only after timely receipt by the Depositary of (i) certificates evidencing such Shares ("Stock Certificates") or timely confirmation of a book-entry transfer (a "Book-Entry Confirmation") of such Shares into the Depositary's account at The Depository Trust Company (the "Book-Entry Transfer Facility") pursuant to the procedures set forth in Section 3, (ii) a properly completed and duly executed Letter of Transmittal (or facsimile thereof) or, in the case of a book-entry transfer, an Agent's Message (as defined below), and (iii) any other documents required by the Letter of Transmittal.</w:t>
      </w:r>
    </w:p>
    <w:p>
      <w:pPr>
        <w:spacing w:after="0" w:line="89" w:lineRule="exact"/>
        <w:rPr>
          <w:sz w:val="20"/>
          <w:szCs w:val="20"/>
          <w:color w:val="auto"/>
        </w:rPr>
      </w:pPr>
    </w:p>
    <w:p>
      <w:pPr>
        <w:ind w:left="1" w:right="2559" w:firstLine="484"/>
        <w:spacing w:after="0" w:line="266" w:lineRule="auto"/>
        <w:rPr>
          <w:sz w:val="20"/>
          <w:szCs w:val="20"/>
          <w:color w:val="auto"/>
        </w:rPr>
      </w:pPr>
      <w:r>
        <w:rPr>
          <w:rFonts w:ascii="Courier New" w:cs="Courier New" w:eastAsia="Courier New" w:hAnsi="Courier New"/>
          <w:sz w:val="16"/>
          <w:szCs w:val="16"/>
          <w:color w:val="auto"/>
        </w:rPr>
        <w:t>The term "Agent's Message" means a message, transmitted by the Book-Entry Transfer Facility to, and received by, the Depositary and forming a part of the Book-Entry Confirmation, which states that the Book-Entry Transfer Facility has received an express acknowledgment from the participant in the Book-Entry Transfer Facility tendering the Shares that such participant has received and agrees to be bound by the terms of the Letter of Transmittal and that the Purchaser may enforce such agreement against the participant.</w:t>
      </w:r>
    </w:p>
    <w:p>
      <w:pPr>
        <w:spacing w:after="0" w:line="85" w:lineRule="exact"/>
        <w:rPr>
          <w:sz w:val="20"/>
          <w:szCs w:val="20"/>
          <w:color w:val="auto"/>
        </w:rPr>
      </w:pPr>
    </w:p>
    <w:p>
      <w:pPr>
        <w:ind w:left="1" w:right="2459" w:firstLine="484"/>
        <w:spacing w:after="0" w:line="254" w:lineRule="auto"/>
        <w:rPr>
          <w:sz w:val="20"/>
          <w:szCs w:val="20"/>
          <w:color w:val="auto"/>
        </w:rPr>
      </w:pPr>
      <w:r>
        <w:rPr>
          <w:rFonts w:ascii="Courier New" w:cs="Courier New" w:eastAsia="Courier New" w:hAnsi="Courier New"/>
          <w:sz w:val="16"/>
          <w:szCs w:val="16"/>
          <w:color w:val="auto"/>
        </w:rPr>
        <w:t>For purposes of the Offer, the Purchaser will be deemed to have accepted for payment, and thereby purchased, tendered Shares if, as, and when the Purchaser gives oral or written notice to the Depositary of the Purchaser's acceptance of such Shares for payment. In all cases, payment for Shares accepted pursuant to the Offer will be made by deposit of the purchase price with the Depositary, which will act as agent for tendering stockholders for the purpose of receiving payments from the Purchaser and transmitting payments to such tendering stockholders. If, for any reason, acceptance for payment of any Shares tendered pursuant to the Offer is delayed, or the Purchaser is unable to accept for payment Shares tendered pursuant to the Offer, then, without prejudice to the Purchaser's rights under Section 14, the Depositary may, nevertheless, on behalf of the Purchaser, retain tendered Shares, and such Shares may not be withdrawn, except to the extent that the tendering stockholders are entitled to withdrawal rights as described in Section 4 and as otherwise required by Rule 14e-1(c) under the Exchange Act. UNDER NO CIRCUMSTANCES WILL INTEREST ON THE PURCHASE PRICE FOR SHARES BE PAID BY THE PURCHASER, REGARDLESS OF ANY DELAY IN MAKING SUCH PAYMENT.</w:t>
      </w:r>
    </w:p>
    <w:p>
      <w:pPr>
        <w:spacing w:after="0" w:line="93" w:lineRule="exact"/>
        <w:rPr>
          <w:sz w:val="20"/>
          <w:szCs w:val="20"/>
          <w:color w:val="auto"/>
        </w:rPr>
      </w:pPr>
    </w:p>
    <w:p>
      <w:pPr>
        <w:ind w:left="1" w:right="2759" w:firstLine="484"/>
        <w:spacing w:after="0" w:line="276" w:lineRule="auto"/>
        <w:rPr>
          <w:sz w:val="20"/>
          <w:szCs w:val="20"/>
          <w:color w:val="auto"/>
        </w:rPr>
      </w:pPr>
      <w:r>
        <w:rPr>
          <w:rFonts w:ascii="Courier New" w:cs="Courier New" w:eastAsia="Courier New" w:hAnsi="Courier New"/>
          <w:sz w:val="16"/>
          <w:szCs w:val="16"/>
          <w:color w:val="auto"/>
        </w:rPr>
        <w:t>Upon the deposit of funds with the Depositary for the purpose of making payments to tendering stockholders, the Purchaser's obligation to make such payment shall be satisfied and tendering stockholders must thereafter look solely to the Depositary for payment of amounts owed to them by reason of the acceptance for payment of Shares pursuant to the Offer.</w:t>
      </w:r>
    </w:p>
    <w:p>
      <w:pPr>
        <w:spacing w:after="0" w:line="76" w:lineRule="exact"/>
        <w:rPr>
          <w:sz w:val="20"/>
          <w:szCs w:val="20"/>
          <w:color w:val="auto"/>
        </w:rPr>
      </w:pPr>
    </w:p>
    <w:p>
      <w:pPr>
        <w:ind w:left="1" w:right="2459" w:firstLine="484"/>
        <w:spacing w:after="0" w:line="261" w:lineRule="auto"/>
        <w:rPr>
          <w:sz w:val="20"/>
          <w:szCs w:val="20"/>
          <w:color w:val="auto"/>
        </w:rPr>
      </w:pPr>
      <w:r>
        <w:rPr>
          <w:rFonts w:ascii="Courier New" w:cs="Courier New" w:eastAsia="Courier New" w:hAnsi="Courier New"/>
          <w:sz w:val="16"/>
          <w:szCs w:val="16"/>
          <w:color w:val="auto"/>
        </w:rPr>
        <w:t>If any tendered Shares are not accepted pursuant to the Offer for any reason, or if Stock Certificates are submitted evidencing more Shares than are tendered, Stock Certificates evidencing Shares not purchased or tendered will be returned, without expense to the tendering stockholder (or in the case of Shares tendered by book-entry transfer into the Depositary's account at the Book-Entry Transfer Facility pursuant to the procedures set forth in Section 3, such Shares will be credited to an account maintained at the Book-Entry Transfer Facility), as promptly as practicable after the expiration, termination, or withdrawal of the Offer.</w:t>
      </w:r>
    </w:p>
    <w:p>
      <w:pPr>
        <w:spacing w:after="0" w:line="89" w:lineRule="exact"/>
        <w:rPr>
          <w:sz w:val="20"/>
          <w:szCs w:val="20"/>
          <w:color w:val="auto"/>
        </w:rPr>
      </w:pPr>
    </w:p>
    <w:p>
      <w:pPr>
        <w:ind w:left="1" w:right="2559" w:firstLine="484"/>
        <w:spacing w:after="0" w:line="266" w:lineRule="auto"/>
        <w:rPr>
          <w:sz w:val="20"/>
          <w:szCs w:val="20"/>
          <w:color w:val="auto"/>
        </w:rPr>
      </w:pPr>
      <w:r>
        <w:rPr>
          <w:rFonts w:ascii="Courier New" w:cs="Courier New" w:eastAsia="Courier New" w:hAnsi="Courier New"/>
          <w:sz w:val="16"/>
          <w:szCs w:val="16"/>
          <w:color w:val="auto"/>
        </w:rPr>
        <w:t>The Purchaser reserves the right to transfer or assign, in whole at any time or in part from time to time, to Parent or to one or more of its affiliates, the right to purchase all or a portion of the Shares tendered pursuant to the Offer, but any such transfer or assignment will not relieve the Purchaser of its obligations under the Offer and will in no way prejudice the rights of tendering stockholders to receive payment for Shares validly tendered and accepted for payment pursuant to the Offer.</w:t>
      </w:r>
    </w:p>
    <w:p>
      <w:pPr>
        <w:spacing w:after="0" w:line="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3. PROCEDURES FOR TENDERING SHARES</w:t>
      </w:r>
    </w:p>
    <w:p>
      <w:pPr>
        <w:spacing w:after="0" w:line="191" w:lineRule="exact"/>
        <w:rPr>
          <w:sz w:val="20"/>
          <w:szCs w:val="20"/>
          <w:color w:val="auto"/>
        </w:rPr>
      </w:pPr>
    </w:p>
    <w:p>
      <w:pPr>
        <w:ind w:left="1" w:right="2459" w:firstLine="484"/>
        <w:spacing w:after="0" w:line="250" w:lineRule="auto"/>
        <w:rPr>
          <w:sz w:val="20"/>
          <w:szCs w:val="20"/>
          <w:color w:val="auto"/>
        </w:rPr>
      </w:pPr>
      <w:r>
        <w:rPr>
          <w:rFonts w:ascii="Courier New" w:cs="Courier New" w:eastAsia="Courier New" w:hAnsi="Courier New"/>
          <w:sz w:val="16"/>
          <w:szCs w:val="16"/>
          <w:color w:val="auto"/>
        </w:rPr>
        <w:t>Valid Tender. For Shares to be validly tendered pursuant to the Offer, a properly completed and duly executed Letter of Transmittal (or facsimile thereof), with any required signature guarantees, or an Agent's Message (in the case of any book-entry transfer), and any other required documents, must be received by the Depositary at its address set forth on the back cover of this Offer to Purchase prior to the Expiration Date. In addition, either (i) the Stock Certificates evidencing Shares must be received by the Depositary along with the Letter of Transmittal or Shares must be tendered pursuant to the procedures for book-entry transfer described below and a Book-Entry Confirmation must be received by the Depositary, in each case prior to the Expiration Date or</w:t>
      </w:r>
    </w:p>
    <w:p>
      <w:pPr>
        <w:spacing w:after="0" w:line="5" w:lineRule="exact"/>
        <w:rPr>
          <w:sz w:val="20"/>
          <w:szCs w:val="20"/>
          <w:color w:val="auto"/>
        </w:rPr>
      </w:pPr>
    </w:p>
    <w:p>
      <w:pPr>
        <w:ind w:left="1" w:right="2659" w:hanging="1"/>
        <w:spacing w:after="0" w:line="246" w:lineRule="auto"/>
        <w:tabs>
          <w:tab w:leader="none" w:pos="48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tendering stockholder must comply with the guaranteed delivery procedures described below. No alternative, conditional, or contingent tenders will be accepted.</w:t>
      </w:r>
    </w:p>
    <w:p>
      <w:pPr>
        <w:sectPr>
          <w:pgSz w:w="11900" w:h="16838" w:orient="portrait"/>
          <w:cols w:equalWidth="0" w:num="1">
            <w:col w:w="10220"/>
          </w:cols>
          <w:pgMar w:left="239" w:top="273" w:right="1440" w:bottom="1440" w:gutter="0" w:footer="0" w:header="0"/>
        </w:sectPr>
      </w:pPr>
    </w:p>
    <w:p>
      <w:pPr>
        <w:spacing w:after="0" w:line="2" w:lineRule="exact"/>
        <w:rPr>
          <w:sz w:val="20"/>
          <w:szCs w:val="20"/>
          <w:color w:val="auto"/>
        </w:rPr>
      </w:pPr>
    </w:p>
    <w:p>
      <w:pPr>
        <w:ind w:left="3881"/>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0"/>
          </w:cols>
          <w:pgMar w:left="239" w:top="273" w:right="1440" w:bottom="1440" w:gutter="0" w:footer="0" w:header="0"/>
          <w:type w:val="continuous"/>
        </w:sectPr>
      </w:pPr>
    </w:p>
    <w:bookmarkStart w:id="15" w:name="page16"/>
    <w:bookmarkEnd w:id="15"/>
    <w:p>
      <w:pPr>
        <w:ind w:left="300"/>
        <w:spacing w:after="0"/>
        <w:rPr>
          <w:sz w:val="20"/>
          <w:szCs w:val="20"/>
          <w:color w:val="auto"/>
        </w:rPr>
      </w:pPr>
      <w:r>
        <w:rPr>
          <w:rFonts w:ascii="Courier New" w:cs="Courier New" w:eastAsia="Courier New" w:hAnsi="Courier New"/>
          <w:sz w:val="16"/>
          <w:szCs w:val="16"/>
          <w:color w:val="auto"/>
        </w:rPr>
        <w:t>8</w:t>
      </w:r>
    </w:p>
    <w:p>
      <w:pPr>
        <w:spacing w:after="0" w:line="191" w:lineRule="exact"/>
        <w:rPr>
          <w:sz w:val="20"/>
          <w:szCs w:val="20"/>
          <w:color w:val="auto"/>
        </w:rPr>
      </w:pPr>
    </w:p>
    <w:p>
      <w:pPr>
        <w:ind w:right="2459" w:firstLine="484"/>
        <w:spacing w:after="0" w:line="253" w:lineRule="auto"/>
        <w:rPr>
          <w:sz w:val="20"/>
          <w:szCs w:val="20"/>
          <w:color w:val="auto"/>
        </w:rPr>
      </w:pPr>
      <w:r>
        <w:rPr>
          <w:rFonts w:ascii="Courier New" w:cs="Courier New" w:eastAsia="Courier New" w:hAnsi="Courier New"/>
          <w:sz w:val="16"/>
          <w:szCs w:val="16"/>
          <w:color w:val="auto"/>
        </w:rPr>
        <w:t>Book-Entry Transfer. The Depositary will establish an account in respect of the Shares at the Book-Entry Transfer Facility for purposes of the Offer within two business days after the date of this Offer to Purchase, and any financial institution that is a participant in the Book-Entry Transfer Facility's system may make book-entry delivery of Shares by causing the Book-Entry Transfer Facility to transfer such Shares into the Depositary's account at the Book-Entry Transfer Facility in accordance with the Book-Entry Transfer Facility's procedures for transfer. However, although delivery of Shares may be effected through book-entry transfer at the Book-Entry Transfer Facility, the Letter of Transmittal (or facsimile thereof), properly completed and duly executed and with any required signature guarantees, or an Agent's Message in connection with a book-entry delivery of Shares, and any other required documents, must, in any case, be transmitted to and received by the Depositary at its address set forth on the back cover of this Offer to Purchase prior to the Expiration Date or the tendering stockholder must comply with the guaranteed delivery procedures described below. DELIVERY OF DOCUMENTS TO THE BOOK-ENTRY TRANSFER FACILITY IN ACCORDANCE WITH THE BOOK-ENTRY TRANSFER FACILITY'S PROCEDURES DOES NOT CONSTITUTE DELIVERY TO THE DEPOSITARY.</w:t>
      </w:r>
    </w:p>
    <w:p>
      <w:pPr>
        <w:spacing w:after="0" w:line="101" w:lineRule="exact"/>
        <w:rPr>
          <w:sz w:val="20"/>
          <w:szCs w:val="20"/>
          <w:color w:val="auto"/>
        </w:rPr>
      </w:pPr>
    </w:p>
    <w:p>
      <w:pPr>
        <w:ind w:right="2559" w:firstLine="484"/>
        <w:spacing w:after="0" w:line="260" w:lineRule="auto"/>
        <w:rPr>
          <w:sz w:val="20"/>
          <w:szCs w:val="20"/>
          <w:color w:val="auto"/>
        </w:rPr>
      </w:pPr>
      <w:r>
        <w:rPr>
          <w:rFonts w:ascii="Courier New" w:cs="Courier New" w:eastAsia="Courier New" w:hAnsi="Courier New"/>
          <w:sz w:val="16"/>
          <w:szCs w:val="16"/>
          <w:color w:val="auto"/>
        </w:rPr>
        <w:t>Signature Guarantees. Signatures on all Letters of Transmittal must be guaranteed by a financial institution (including most commercial banks, savings and loan associations, and brokerage houses) that is a participant in the Security Transfer Agents Medallion Program, the New York Stock Exchange Medallion Signature Guarantee Program, or the Stock Exchange Medallion Program (each, an "Eligible Institution"), unless the Shares tendered thereby are tendered (i) by a registered holder of Shares who has not completed either the box entitled "Special Delivery Instructions" or the box entitled "Special Payment Instructions" on the Letter of Transmittal, or (ii) for the account of an Eligible Institution. See Instruction 1 of the Letter of Transmittal.</w:t>
      </w:r>
    </w:p>
    <w:p>
      <w:pPr>
        <w:spacing w:after="0" w:line="86" w:lineRule="exact"/>
        <w:rPr>
          <w:sz w:val="20"/>
          <w:szCs w:val="20"/>
          <w:color w:val="auto"/>
        </w:rPr>
      </w:pPr>
    </w:p>
    <w:p>
      <w:pPr>
        <w:ind w:right="2459" w:firstLine="484"/>
        <w:spacing w:after="0" w:line="261" w:lineRule="auto"/>
        <w:rPr>
          <w:sz w:val="20"/>
          <w:szCs w:val="20"/>
          <w:color w:val="auto"/>
        </w:rPr>
      </w:pPr>
      <w:r>
        <w:rPr>
          <w:rFonts w:ascii="Courier New" w:cs="Courier New" w:eastAsia="Courier New" w:hAnsi="Courier New"/>
          <w:sz w:val="16"/>
          <w:szCs w:val="16"/>
          <w:color w:val="auto"/>
        </w:rPr>
        <w:t>If a Stock Certificate is registered in the name of a person other than the person whose signature appears on the Letter of Transmittal, or if payment is to be made, or a Stock Certificate not accepted for payment or not tendered is to be returned, to a person other than the registered holder(s), then the Stock Certificate must be endorsed or accompanied by appropriate stock powers, in either case signed exactly as the name(s) of the registered holder(s) appear on the Stock Certificate, with the signature(s) on such Stock Certificate or stock powers guaranteed as described above. See Instructions 1 and 5 of the Letter of Transmittal.</w:t>
      </w:r>
    </w:p>
    <w:p>
      <w:pPr>
        <w:spacing w:after="0" w:line="89" w:lineRule="exact"/>
        <w:rPr>
          <w:sz w:val="20"/>
          <w:szCs w:val="20"/>
          <w:color w:val="auto"/>
        </w:rPr>
      </w:pPr>
    </w:p>
    <w:p>
      <w:pPr>
        <w:ind w:right="2459" w:firstLine="484"/>
        <w:spacing w:after="0" w:line="270" w:lineRule="auto"/>
        <w:rPr>
          <w:sz w:val="20"/>
          <w:szCs w:val="20"/>
          <w:color w:val="auto"/>
        </w:rPr>
      </w:pPr>
      <w:r>
        <w:rPr>
          <w:rFonts w:ascii="Courier New" w:cs="Courier New" w:eastAsia="Courier New" w:hAnsi="Courier New"/>
          <w:sz w:val="16"/>
          <w:szCs w:val="16"/>
          <w:color w:val="auto"/>
        </w:rPr>
        <w:t>Guaranteed Delivery. If a stockholder desires to tender Shares pursuant to the Offer and such stockholder's Stock Certificates are not immediately available or time will not permit all required documents to reach the Depositary prior to the Expiration Date, or the procedures for book-entry transfer cannot be completed on a timely basis, such Shares may nevertheless be tendered if all the following conditions are satisfied:</w:t>
      </w:r>
    </w:p>
    <w:p>
      <w:pPr>
        <w:spacing w:after="0" w:line="81" w:lineRule="exact"/>
        <w:rPr>
          <w:sz w:val="20"/>
          <w:szCs w:val="20"/>
          <w:color w:val="auto"/>
        </w:rPr>
      </w:pPr>
    </w:p>
    <w:p>
      <w:pPr>
        <w:ind w:left="1360" w:hanging="392"/>
        <w:spacing w:after="0"/>
        <w:tabs>
          <w:tab w:leader="none" w:pos="13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tender is made by or through an Eligible Institution;</w:t>
      </w:r>
    </w:p>
    <w:p>
      <w:pPr>
        <w:spacing w:after="0" w:line="191" w:lineRule="exact"/>
        <w:rPr>
          <w:rFonts w:ascii="Courier New" w:cs="Courier New" w:eastAsia="Courier New" w:hAnsi="Courier New"/>
          <w:sz w:val="16"/>
          <w:szCs w:val="16"/>
          <w:color w:val="auto"/>
        </w:rPr>
      </w:pPr>
    </w:p>
    <w:p>
      <w:pPr>
        <w:ind w:left="480" w:right="2559" w:firstLine="488"/>
        <w:spacing w:after="0" w:line="287" w:lineRule="auto"/>
        <w:tabs>
          <w:tab w:leader="none" w:pos="1449"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properly completed and duly executed Notice of Guaranteed Delivery, substantially in the form provided by the Purchaser herewith, is received by the Depositary prior to the Expiration Date as provided below; and</w:t>
      </w:r>
    </w:p>
    <w:p>
      <w:pPr>
        <w:spacing w:after="0" w:line="64" w:lineRule="exact"/>
        <w:rPr>
          <w:rFonts w:ascii="Courier New" w:cs="Courier New" w:eastAsia="Courier New" w:hAnsi="Courier New"/>
          <w:sz w:val="16"/>
          <w:szCs w:val="16"/>
          <w:color w:val="auto"/>
        </w:rPr>
      </w:pPr>
    </w:p>
    <w:p>
      <w:pPr>
        <w:ind w:left="480" w:right="2459" w:firstLine="488"/>
        <w:spacing w:after="0" w:line="264" w:lineRule="auto"/>
        <w:tabs>
          <w:tab w:leader="none" w:pos="1546"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 Certificates for all tendered Shares, in proper form for transfer (or a Book-Entry Confirmation), together with a properly completed and duly executed Letter of Transmittal (or facsimile thereof), with any required signature guarantees (or, in the case of a book-entry transfer, an Agent's Message), and any other documents required by the Letter of Transmittal, are received by the Depositary within three New York Stock Exchange (the "NYSE") trading days after the date of execution of the Notice of Guaranteed Delivery.</w:t>
      </w:r>
    </w:p>
    <w:p>
      <w:pPr>
        <w:spacing w:after="0" w:line="82" w:lineRule="exact"/>
        <w:rPr>
          <w:sz w:val="20"/>
          <w:szCs w:val="20"/>
          <w:color w:val="auto"/>
        </w:rPr>
      </w:pPr>
    </w:p>
    <w:p>
      <w:pPr>
        <w:ind w:right="2559" w:firstLine="484"/>
        <w:spacing w:after="0" w:line="287" w:lineRule="auto"/>
        <w:rPr>
          <w:sz w:val="20"/>
          <w:szCs w:val="20"/>
          <w:color w:val="auto"/>
        </w:rPr>
      </w:pPr>
      <w:r>
        <w:rPr>
          <w:rFonts w:ascii="Courier New" w:cs="Courier New" w:eastAsia="Courier New" w:hAnsi="Courier New"/>
          <w:sz w:val="16"/>
          <w:szCs w:val="16"/>
          <w:color w:val="auto"/>
        </w:rPr>
        <w:t>The Notice of Guaranteed Delivery may be delivered by hand or transmitted by telegram, facsimile transmission, or mail to the Depositary and must include a guarantee by an Eligible Institution in the form set forth in the Notice of Guaranteed Delivery.</w:t>
      </w:r>
    </w:p>
    <w:p>
      <w:pPr>
        <w:spacing w:after="0" w:line="65" w:lineRule="exact"/>
        <w:rPr>
          <w:sz w:val="20"/>
          <w:szCs w:val="20"/>
          <w:color w:val="auto"/>
        </w:rPr>
      </w:pPr>
    </w:p>
    <w:p>
      <w:pPr>
        <w:ind w:right="2559" w:firstLine="484"/>
        <w:spacing w:after="0" w:line="276" w:lineRule="auto"/>
        <w:rPr>
          <w:sz w:val="20"/>
          <w:szCs w:val="20"/>
          <w:color w:val="auto"/>
        </w:rPr>
      </w:pPr>
      <w:r>
        <w:rPr>
          <w:rFonts w:ascii="Courier New" w:cs="Courier New" w:eastAsia="Courier New" w:hAnsi="Courier New"/>
          <w:sz w:val="16"/>
          <w:szCs w:val="16"/>
          <w:color w:val="auto"/>
        </w:rPr>
        <w:t>THE METHOD OF DELIVERY OF STOCK CERTIFICATES, THE LETTER OF TRANSMITTAL, AND ANY OTHER REQUIRED DOCUMENTS, INCLUDING DELIVERY THROUGH THE BOOK-ENTRY TRANSFER FACILITY, IS AT THE OPTION AND RISK OF THE TENDERING STOCKHOLDER AND THE DELIVERY WILL BE DEEMED MADE ONLY WHEN ACTUALLY RECEIVED BY THE DEPOSITARY. IF</w:t>
      </w:r>
    </w:p>
    <w:p>
      <w:pPr>
        <w:sectPr>
          <w:pgSz w:w="11900" w:h="16838" w:orient="portrait"/>
          <w:cols w:equalWidth="0" w:num="1">
            <w:col w:w="10219"/>
          </w:cols>
          <w:pgMar w:left="240" w:top="273" w:right="1440" w:bottom="1440" w:gutter="0" w:footer="0" w:header="0"/>
        </w:sectPr>
      </w:pPr>
    </w:p>
    <w:p>
      <w:pPr>
        <w:spacing w:after="0" w:line="76"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73" w:right="1440" w:bottom="1440" w:gutter="0" w:footer="0" w:header="0"/>
          <w:type w:val="continuous"/>
        </w:sectPr>
      </w:pPr>
    </w:p>
    <w:bookmarkStart w:id="16" w:name="page17"/>
    <w:bookmarkEnd w:id="16"/>
    <w:p>
      <w:pPr>
        <w:ind w:left="300"/>
        <w:spacing w:after="0"/>
        <w:rPr>
          <w:sz w:val="20"/>
          <w:szCs w:val="20"/>
          <w:color w:val="auto"/>
        </w:rPr>
      </w:pPr>
      <w:r>
        <w:rPr>
          <w:rFonts w:ascii="Courier New" w:cs="Courier New" w:eastAsia="Courier New" w:hAnsi="Courier New"/>
          <w:sz w:val="16"/>
          <w:szCs w:val="16"/>
          <w:color w:val="auto"/>
        </w:rPr>
        <w:t>9</w:t>
      </w:r>
    </w:p>
    <w:p>
      <w:pPr>
        <w:spacing w:after="0" w:line="191" w:lineRule="exact"/>
        <w:rPr>
          <w:sz w:val="20"/>
          <w:szCs w:val="20"/>
          <w:color w:val="auto"/>
        </w:rPr>
      </w:pPr>
    </w:p>
    <w:p>
      <w:pPr>
        <w:ind w:right="2859"/>
        <w:spacing w:after="0" w:line="307" w:lineRule="auto"/>
        <w:rPr>
          <w:sz w:val="20"/>
          <w:szCs w:val="20"/>
          <w:color w:val="auto"/>
        </w:rPr>
      </w:pPr>
      <w:r>
        <w:rPr>
          <w:rFonts w:ascii="Courier New" w:cs="Courier New" w:eastAsia="Courier New" w:hAnsi="Courier New"/>
          <w:sz w:val="16"/>
          <w:szCs w:val="16"/>
          <w:color w:val="auto"/>
        </w:rPr>
        <w:t>DELIVERY IS BY MAIL, REGISTERED MAIL WITH RETURN RECEIPT REQUESTED, PROPERLY INSURED, IS RECOMMENDED. IN ALL CASES, SUFFICIENT TIME SHOULD BE ALLOWED TO ENSURE TIMELY DELIVERY.</w:t>
      </w:r>
    </w:p>
    <w:p>
      <w:pPr>
        <w:spacing w:after="0" w:line="50" w:lineRule="exact"/>
        <w:rPr>
          <w:sz w:val="20"/>
          <w:szCs w:val="20"/>
          <w:color w:val="auto"/>
        </w:rPr>
      </w:pPr>
    </w:p>
    <w:p>
      <w:pPr>
        <w:ind w:right="2459" w:firstLine="484"/>
        <w:spacing w:after="0" w:line="266" w:lineRule="auto"/>
        <w:rPr>
          <w:sz w:val="20"/>
          <w:szCs w:val="20"/>
          <w:color w:val="auto"/>
        </w:rPr>
      </w:pPr>
      <w:r>
        <w:rPr>
          <w:rFonts w:ascii="Courier New" w:cs="Courier New" w:eastAsia="Courier New" w:hAnsi="Courier New"/>
          <w:sz w:val="16"/>
          <w:szCs w:val="16"/>
          <w:color w:val="auto"/>
        </w:rPr>
        <w:t>Notwithstanding any other provision hereof, payment for Shares purchased pursuant to the Offer will in all cases be made only after timely receipt by the Depositary of (i) Stock Certificates evidencing such Shares or a Book-Entry Confirmation of the delivery of such Shares, (ii) a Letter of Transmittal (or facsimile thereof), properly completed and duly executed, with any required signature guarantees (or, in the case of a book-entry transfer, an Agent's Message) and (iii) any other documents required by the Letter of Transmittal.</w:t>
      </w:r>
    </w:p>
    <w:p>
      <w:pPr>
        <w:spacing w:after="0" w:line="85" w:lineRule="exact"/>
        <w:rPr>
          <w:sz w:val="20"/>
          <w:szCs w:val="20"/>
          <w:color w:val="auto"/>
        </w:rPr>
      </w:pPr>
    </w:p>
    <w:p>
      <w:pPr>
        <w:ind w:right="2459" w:firstLine="484"/>
        <w:spacing w:after="0" w:line="257" w:lineRule="auto"/>
        <w:rPr>
          <w:sz w:val="20"/>
          <w:szCs w:val="20"/>
          <w:color w:val="auto"/>
        </w:rPr>
      </w:pPr>
      <w:r>
        <w:rPr>
          <w:rFonts w:ascii="Courier New" w:cs="Courier New" w:eastAsia="Courier New" w:hAnsi="Courier New"/>
          <w:sz w:val="16"/>
          <w:szCs w:val="16"/>
          <w:color w:val="auto"/>
        </w:rPr>
        <w:t>BACKUP FEDERAL INCOME TAX WITHHOLDING. TO PREVENT BACKUP FEDERAL INCOME TAX WITHHOLDING IN RESPECT OF PAYMENT OF THE PURCHASE PRICE FOR SHARES PURCHASED PURSUANT TO THE OFFER, EACH TENDERING STOCKHOLDER NOT OTHERWISE EXEMPT FROM BACKUP WITHHOLDING MUST PROVIDE THE DEPOSITARY WITH SUCH STOCKHOLDER'S CORRECT TAXPAYER IDENTIFICATION NUMBER AND CERTIFY THAT SUCH STOCKHOLDER IS NOT SUBJECT TO BACKUP FEDERAL INCOME TAX WITHHOLDING BY COMPLETING THE SUBSTITUTE FORM W-9 INCLUDED IN THE LETTER OF TRANSMITTAL. IF BACKUP WITHHOLDING APPLIES IN RESPECT OF A STOCKHOLDER, THE DEPOSITARY IS REQUIRED TO WITHHOLD 31% OF ANY PAYMENTS MADE TO SUCH STOCKHOLDER. SEE INSTRUCTION 10 OF THE LETTER OF TRANSMITTAL. BACKUP WITHHOLDING IS NOT AN ADDITIONAL TAX AND MAY BE CLAIMED AS A CREDIT AGAINST THE FEDERAL INCOME TAX LIABILITY OF A STOCKHOLDER, PROVIDED THE REQUIRED INFORMATION IS FURNISHED TO THE INTERNAL REVENUE SERVICE.</w:t>
      </w:r>
    </w:p>
    <w:p>
      <w:pPr>
        <w:spacing w:after="0" w:line="93" w:lineRule="exact"/>
        <w:rPr>
          <w:sz w:val="20"/>
          <w:szCs w:val="20"/>
          <w:color w:val="auto"/>
        </w:rPr>
      </w:pPr>
    </w:p>
    <w:p>
      <w:pPr>
        <w:ind w:right="2459" w:firstLine="484"/>
        <w:spacing w:after="0" w:line="254" w:lineRule="auto"/>
        <w:rPr>
          <w:sz w:val="20"/>
          <w:szCs w:val="20"/>
          <w:color w:val="auto"/>
        </w:rPr>
      </w:pPr>
      <w:r>
        <w:rPr>
          <w:rFonts w:ascii="Courier New" w:cs="Courier New" w:eastAsia="Courier New" w:hAnsi="Courier New"/>
          <w:sz w:val="16"/>
          <w:szCs w:val="16"/>
          <w:color w:val="auto"/>
        </w:rPr>
        <w:t>Determination of Validity. All questions as to the validity, form, eligibility (including time of receipt), and acceptance for payment of any tendered Shares pursuant to any of the procedures described above will be determined by the Purchaser, in its sole discretion, whose determination will be final and binding on all parties. The Purchaser reserves the absolute right to reject any or all tenders of any Shares determined by it not to be in proper form or if the acceptance for payment of, or payment for, such Shares may, in the opinion of the Purchaser's counsel, be unlawful. The Purchaser also reserves the absolute right, in its sole discretion, subject to the Merger Agreement, to waive any of the conditions of the Offer or any defect or irregularity in any tender in respect of Shares of any particular stockholder, and the Purchaser's interpretation of the terms and conditions of the Offer (including the Letter of Transmittal and the instructions thereto) will be final and binding. None of the Purchaser, Parent, the Depositary, the Information Agent, or any other person will be under any duty to give notification of any defects or irregularities in tenders or will incur any liability for failure to give any such notification.</w:t>
      </w:r>
    </w:p>
    <w:p>
      <w:pPr>
        <w:spacing w:after="0" w:line="99" w:lineRule="exact"/>
        <w:rPr>
          <w:sz w:val="20"/>
          <w:szCs w:val="20"/>
          <w:color w:val="auto"/>
        </w:rPr>
      </w:pPr>
    </w:p>
    <w:p>
      <w:pPr>
        <w:ind w:right="2459" w:firstLine="484"/>
        <w:spacing w:after="0" w:line="251" w:lineRule="auto"/>
        <w:rPr>
          <w:sz w:val="20"/>
          <w:szCs w:val="20"/>
          <w:color w:val="auto"/>
        </w:rPr>
      </w:pPr>
      <w:r>
        <w:rPr>
          <w:rFonts w:ascii="Courier New" w:cs="Courier New" w:eastAsia="Courier New" w:hAnsi="Courier New"/>
          <w:sz w:val="16"/>
          <w:szCs w:val="16"/>
          <w:color w:val="auto"/>
        </w:rPr>
        <w:t>Other Requirements. By executing a Letter of Transmittal as set forth above, a tendering stockholder irrevocably appoints designees of the Purchaser as the stockholder's attorneys-in-fact and proxies, in the manner set forth in the Letter of Transmittal, each with full power of substitution, to the full extent of the stockholder's rights in respect of the Shares tendered by the stockholder and accepted for payment by the Purchaser (and any and all other Shares or other securities or property issued or issuable in respect of such Shares on or after the date of the Merger Agreement). All such proxies shall be considered coupled with an interest in the tendered Shares. This appointment will be effective when, and only to the extent that, the Purchaser accepts Shares for payment. Upon acceptance for payment, all prior proxies and consents given by the stockholder in respect of the Shares or other securities will, without further action, be revoked, and no subsequent proxies may be given nor any subsequent written consent executed by such stockholder (and if given or executed, will not be deemed to be effective) in respect thereof. The designees of the Purchaser will, in respect of the Shares and other securities, be empowered to exercise all voting and other rights of such stockholder as they in their sole discretion may deem proper at any annual, special, or adjourned meeting of the Company's stockholders, by written consent or otherwise. The Purchaser reserves the right to require that, in order for Shares to be deemed validly tendered, immediately upon the Purchaser's acceptance for payment of such Shares, the Purchaser must be able to exercise full voting and other rights of a record and beneficial holder, including rights in respect of acting by written consent, in respect of such Shares (including voting at any meeting of stockholders then scheduled or acting by written consent without a meeting).</w:t>
      </w:r>
    </w:p>
    <w:p>
      <w:pPr>
        <w:spacing w:after="0" w:line="106" w:lineRule="exact"/>
        <w:rPr>
          <w:sz w:val="20"/>
          <w:szCs w:val="20"/>
          <w:color w:val="auto"/>
        </w:rPr>
      </w:pPr>
    </w:p>
    <w:p>
      <w:pPr>
        <w:ind w:right="2759" w:firstLine="484"/>
        <w:spacing w:after="0" w:line="307" w:lineRule="auto"/>
        <w:rPr>
          <w:sz w:val="20"/>
          <w:szCs w:val="20"/>
          <w:color w:val="auto"/>
        </w:rPr>
      </w:pPr>
      <w:r>
        <w:rPr>
          <w:rFonts w:ascii="Courier New" w:cs="Courier New" w:eastAsia="Courier New" w:hAnsi="Courier New"/>
          <w:sz w:val="16"/>
          <w:szCs w:val="16"/>
          <w:color w:val="auto"/>
        </w:rPr>
        <w:t>A tender of Shares pursuant to any one of the procedures described above will constitute the tendering stockholder's acceptance of the terms and conditions of the Offer. The Purchaser's acceptance for payment of</w:t>
      </w:r>
    </w:p>
    <w:p>
      <w:pPr>
        <w:sectPr>
          <w:pgSz w:w="11900" w:h="16838" w:orient="portrait"/>
          <w:cols w:equalWidth="0" w:num="1">
            <w:col w:w="10219"/>
          </w:cols>
          <w:pgMar w:left="240" w:top="273" w:right="1440" w:bottom="1440" w:gutter="0" w:footer="0" w:header="0"/>
        </w:sectPr>
      </w:pPr>
    </w:p>
    <w:p>
      <w:pPr>
        <w:spacing w:after="0" w:line="50"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73" w:right="1440" w:bottom="1440" w:gutter="0" w:footer="0" w:header="0"/>
          <w:type w:val="continuous"/>
        </w:sectPr>
      </w:pPr>
    </w:p>
    <w:bookmarkStart w:id="17" w:name="page18"/>
    <w:bookmarkEnd w:id="17"/>
    <w:p>
      <w:pPr>
        <w:ind w:left="300"/>
        <w:spacing w:after="0"/>
        <w:rPr>
          <w:sz w:val="20"/>
          <w:szCs w:val="20"/>
          <w:color w:val="auto"/>
        </w:rPr>
      </w:pPr>
      <w:r>
        <w:rPr>
          <w:rFonts w:ascii="Courier New" w:cs="Courier New" w:eastAsia="Courier New" w:hAnsi="Courier New"/>
          <w:sz w:val="16"/>
          <w:szCs w:val="16"/>
          <w:color w:val="auto"/>
        </w:rPr>
        <w:t>10</w:t>
      </w:r>
    </w:p>
    <w:p>
      <w:pPr>
        <w:spacing w:after="0" w:line="191" w:lineRule="exact"/>
        <w:rPr>
          <w:sz w:val="20"/>
          <w:szCs w:val="20"/>
          <w:color w:val="auto"/>
        </w:rPr>
      </w:pPr>
    </w:p>
    <w:p>
      <w:pPr>
        <w:ind w:right="2659"/>
        <w:spacing w:after="0" w:line="307" w:lineRule="auto"/>
        <w:rPr>
          <w:sz w:val="20"/>
          <w:szCs w:val="20"/>
          <w:color w:val="auto"/>
        </w:rPr>
      </w:pPr>
      <w:r>
        <w:rPr>
          <w:rFonts w:ascii="Courier New" w:cs="Courier New" w:eastAsia="Courier New" w:hAnsi="Courier New"/>
          <w:sz w:val="16"/>
          <w:szCs w:val="16"/>
          <w:color w:val="auto"/>
        </w:rPr>
        <w:t>Shares tendered pursuant to the Offer will constitute a binding agreement between the tendering stockholder and the Purchaser upon the terms and subject to the conditions of the Offer.</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WITHDRAWAL RIGHTS</w:t>
      </w:r>
    </w:p>
    <w:p>
      <w:pPr>
        <w:spacing w:after="0" w:line="191" w:lineRule="exact"/>
        <w:rPr>
          <w:sz w:val="20"/>
          <w:szCs w:val="20"/>
          <w:color w:val="auto"/>
        </w:rPr>
      </w:pPr>
    </w:p>
    <w:p>
      <w:pPr>
        <w:ind w:right="2459" w:firstLine="484"/>
        <w:spacing w:after="0" w:line="276" w:lineRule="auto"/>
        <w:rPr>
          <w:sz w:val="20"/>
          <w:szCs w:val="20"/>
          <w:color w:val="auto"/>
        </w:rPr>
      </w:pPr>
      <w:r>
        <w:rPr>
          <w:rFonts w:ascii="Courier New" w:cs="Courier New" w:eastAsia="Courier New" w:hAnsi="Courier New"/>
          <w:sz w:val="16"/>
          <w:szCs w:val="16"/>
          <w:color w:val="auto"/>
        </w:rPr>
        <w:t>Except as otherwise provided in this Section 4, tenders of Shares made pursuant to the Offer are irrevocable, provided that Shares tendered pursuant to the Offer may be withdrawn at any time prior to the Expiration Date and, unless theretofore accepted for payment by the Purchaser pursuant to the Offer, may also be withdrawn at any time after July 5, 1999.</w:t>
      </w:r>
    </w:p>
    <w:p>
      <w:pPr>
        <w:spacing w:after="0" w:line="76" w:lineRule="exact"/>
        <w:rPr>
          <w:sz w:val="20"/>
          <w:szCs w:val="20"/>
          <w:color w:val="auto"/>
        </w:rPr>
      </w:pPr>
    </w:p>
    <w:p>
      <w:pPr>
        <w:ind w:right="2559" w:firstLine="484"/>
        <w:spacing w:after="0" w:line="258" w:lineRule="auto"/>
        <w:rPr>
          <w:sz w:val="20"/>
          <w:szCs w:val="20"/>
          <w:color w:val="auto"/>
        </w:rPr>
      </w:pPr>
      <w:r>
        <w:rPr>
          <w:rFonts w:ascii="Courier New" w:cs="Courier New" w:eastAsia="Courier New" w:hAnsi="Courier New"/>
          <w:sz w:val="16"/>
          <w:szCs w:val="16"/>
          <w:color w:val="auto"/>
        </w:rPr>
        <w:t>If the Purchaser extends the Offer, is delayed in its purchase of or payment for Shares or is unable to purchase or pay for Shares for any reason, then, without prejudice to the rights of the Purchaser hereunder, tendered Shares may be retained by the Depositary on behalf of the Purchaser and may not be withdrawn except to the extent that tendering stockholders are entitled to withdrawal rights as set forth in this Section 4. The reservation by the Purchaser of the right to delay the acceptance or purchase of or payment for Shares is subject to the provisions of Rule 14e-1(c) under the Exchange Act, which requires the Purchaser to pay the consideration offered or return Shares deposited by or on behalf of stockholders promptly after the termination or withdrawal of the Offer.</w:t>
      </w:r>
    </w:p>
    <w:p>
      <w:pPr>
        <w:spacing w:after="0" w:line="93" w:lineRule="exact"/>
        <w:rPr>
          <w:sz w:val="20"/>
          <w:szCs w:val="20"/>
          <w:color w:val="auto"/>
        </w:rPr>
      </w:pPr>
    </w:p>
    <w:p>
      <w:pPr>
        <w:ind w:right="2459" w:firstLine="484"/>
        <w:spacing w:after="0" w:line="254" w:lineRule="auto"/>
        <w:rPr>
          <w:sz w:val="20"/>
          <w:szCs w:val="20"/>
          <w:color w:val="auto"/>
        </w:rPr>
      </w:pPr>
      <w:r>
        <w:rPr>
          <w:rFonts w:ascii="Courier New" w:cs="Courier New" w:eastAsia="Courier New" w:hAnsi="Courier New"/>
          <w:sz w:val="16"/>
          <w:szCs w:val="16"/>
          <w:color w:val="auto"/>
        </w:rPr>
        <w:t>For a withdrawal to be effective, a written, telegraphic or facsimile transmission notice of withdrawal must be timely received by the Depositary at its address set forth on the back cover of this Offer to Purchase. Any such notice of withdrawal must specify the name of the person who tendered the Shares to be withdrawn, the number of Shares to be withdrawn and the name of the registered holder, if different from that of the person who tendered such Shares. If Stock Certificates evidencing Shares to be withdrawn have been delivered or otherwise identified to the Depositary, then, prior to the release of such Stock Certificates, the tendering stockholder must also submit the serial numbers shown or the particular Stock Certificates evidencing the Shares to be withdrawn and the signature on the notice of withdrawal must be guaranteed by an Eligible Institution, except in the case of Shares tendered for the account of an Eligible Institution. If Shares have been tendered pursuant to the procedures for book-entry transfer as set forth in Section 3, the notice of withdrawal must specify the name and number of the account at the Book-Entry Transfer Facility to be credited with the withdrawn Shares.</w:t>
      </w:r>
    </w:p>
    <w:p>
      <w:pPr>
        <w:spacing w:after="0" w:line="99" w:lineRule="exact"/>
        <w:rPr>
          <w:sz w:val="20"/>
          <w:szCs w:val="20"/>
          <w:color w:val="auto"/>
        </w:rPr>
      </w:pPr>
    </w:p>
    <w:p>
      <w:pPr>
        <w:ind w:right="2459" w:firstLine="484"/>
        <w:spacing w:after="0" w:line="264" w:lineRule="auto"/>
        <w:rPr>
          <w:sz w:val="20"/>
          <w:szCs w:val="20"/>
          <w:color w:val="auto"/>
        </w:rPr>
      </w:pPr>
      <w:r>
        <w:rPr>
          <w:rFonts w:ascii="Courier New" w:cs="Courier New" w:eastAsia="Courier New" w:hAnsi="Courier New"/>
          <w:sz w:val="16"/>
          <w:szCs w:val="16"/>
          <w:color w:val="auto"/>
        </w:rPr>
        <w:t>All questions as to the form and validity (including time of receipt) of notices of withdrawal will be determined by the Purchaser, in its sole discretion, whose determination will be final and binding. No withdrawal of Shares shall be deemed to have been properly made until all defects and irregularities have been cured or waived. None of the Purchaser, Parent, the Depositary, the Information Agent, or any other person will be under any duty to give notification of any defects or irregularities in any notice of withdrawal or will incur any liability for failure to give any such notification.</w:t>
      </w:r>
    </w:p>
    <w:p>
      <w:pPr>
        <w:spacing w:after="0" w:line="82" w:lineRule="exact"/>
        <w:rPr>
          <w:sz w:val="20"/>
          <w:szCs w:val="20"/>
          <w:color w:val="auto"/>
        </w:rPr>
      </w:pPr>
    </w:p>
    <w:p>
      <w:pPr>
        <w:ind w:right="2459" w:firstLine="484"/>
        <w:spacing w:after="0" w:line="287" w:lineRule="auto"/>
        <w:rPr>
          <w:sz w:val="20"/>
          <w:szCs w:val="20"/>
          <w:color w:val="auto"/>
        </w:rPr>
      </w:pPr>
      <w:r>
        <w:rPr>
          <w:rFonts w:ascii="Courier New" w:cs="Courier New" w:eastAsia="Courier New" w:hAnsi="Courier New"/>
          <w:sz w:val="16"/>
          <w:szCs w:val="16"/>
          <w:color w:val="auto"/>
        </w:rPr>
        <w:t>ANY SHARES PROPERLY WITHDRAWN WILL BE DEEMED TO NOT HAVE BEEN VALIDLY TENDERED FOR PURPOSES OF THE OFFER. However, withdrawn Shares may be re-tendered by following one of the procedures described in Section 3 at any time prior to the Expiration Date.</w:t>
      </w: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CERTAIN FEDERAL INCOME TAX CONSEQUENCES</w:t>
      </w:r>
    </w:p>
    <w:p>
      <w:pPr>
        <w:spacing w:after="0" w:line="191" w:lineRule="exact"/>
        <w:rPr>
          <w:sz w:val="20"/>
          <w:szCs w:val="20"/>
          <w:color w:val="auto"/>
        </w:rPr>
      </w:pPr>
    </w:p>
    <w:p>
      <w:pPr>
        <w:ind w:right="2559" w:firstLine="484"/>
        <w:spacing w:after="0" w:line="261" w:lineRule="auto"/>
        <w:rPr>
          <w:sz w:val="20"/>
          <w:szCs w:val="20"/>
          <w:color w:val="auto"/>
        </w:rPr>
      </w:pPr>
      <w:r>
        <w:rPr>
          <w:rFonts w:ascii="Courier New" w:cs="Courier New" w:eastAsia="Courier New" w:hAnsi="Courier New"/>
          <w:sz w:val="16"/>
          <w:szCs w:val="16"/>
          <w:color w:val="auto"/>
        </w:rPr>
        <w:t>The following is a summary of the material federal income tax consequences of the Offer and the Merger to stockholders of the Company whose Shares are purchased pursuant to the Offer or whose Shares are converted into the right to receive the Merger Consideration in the Merger (including any cash amounts received by dissenting stockholders pursuant to the exercise of dissenter's rights). The discussion applies only to stockholders of the Company in whose hands Shares are capital assets, and may not apply to stockholders who received their Shares pursuant to the exercise of employee stock options or otherwise as compensation, or who are not citizens or residents of the United States.</w:t>
      </w:r>
    </w:p>
    <w:p>
      <w:pPr>
        <w:spacing w:after="0" w:line="89" w:lineRule="exact"/>
        <w:rPr>
          <w:sz w:val="20"/>
          <w:szCs w:val="20"/>
          <w:color w:val="auto"/>
        </w:rPr>
      </w:pPr>
    </w:p>
    <w:p>
      <w:pPr>
        <w:ind w:right="2559" w:firstLine="484"/>
        <w:spacing w:after="0" w:line="276" w:lineRule="auto"/>
        <w:rPr>
          <w:sz w:val="20"/>
          <w:szCs w:val="20"/>
          <w:color w:val="auto"/>
        </w:rPr>
      </w:pPr>
      <w:r>
        <w:rPr>
          <w:rFonts w:ascii="Courier New" w:cs="Courier New" w:eastAsia="Courier New" w:hAnsi="Courier New"/>
          <w:sz w:val="16"/>
          <w:szCs w:val="16"/>
          <w:color w:val="auto"/>
        </w:rPr>
        <w:t>The federal income tax consequences set forth below are included for general information purposes only and are based upon present law. Because individual circumstances may differ, each stockholder should consult his or her own tax advisor to determine the applicability of the rules discussed below and the particular tax</w:t>
      </w:r>
    </w:p>
    <w:p>
      <w:pPr>
        <w:sectPr>
          <w:pgSz w:w="11900" w:h="16838" w:orient="portrait"/>
          <w:cols w:equalWidth="0" w:num="1">
            <w:col w:w="10219"/>
          </w:cols>
          <w:pgMar w:left="240" w:top="273" w:right="1440" w:bottom="1440" w:gutter="0" w:footer="0" w:header="0"/>
        </w:sectPr>
      </w:pPr>
    </w:p>
    <w:p>
      <w:pPr>
        <w:spacing w:after="0" w:line="76"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73" w:right="1440" w:bottom="1440" w:gutter="0" w:footer="0" w:header="0"/>
          <w:type w:val="continuous"/>
        </w:sectPr>
      </w:pPr>
    </w:p>
    <w:bookmarkStart w:id="18" w:name="page19"/>
    <w:bookmarkEnd w:id="18"/>
    <w:p>
      <w:pPr>
        <w:ind w:left="301"/>
        <w:spacing w:after="0"/>
        <w:rPr>
          <w:sz w:val="20"/>
          <w:szCs w:val="20"/>
          <w:color w:val="auto"/>
        </w:rPr>
      </w:pPr>
      <w:r>
        <w:rPr>
          <w:rFonts w:ascii="Courier New" w:cs="Courier New" w:eastAsia="Courier New" w:hAnsi="Courier New"/>
          <w:sz w:val="16"/>
          <w:szCs w:val="16"/>
          <w:color w:val="auto"/>
        </w:rPr>
        <w:t>11</w:t>
      </w:r>
    </w:p>
    <w:p>
      <w:pPr>
        <w:spacing w:after="0" w:line="191" w:lineRule="exact"/>
        <w:rPr>
          <w:sz w:val="20"/>
          <w:szCs w:val="20"/>
          <w:color w:val="auto"/>
        </w:rPr>
      </w:pPr>
    </w:p>
    <w:p>
      <w:pPr>
        <w:ind w:left="1" w:right="3439"/>
        <w:spacing w:after="0" w:line="367" w:lineRule="auto"/>
        <w:rPr>
          <w:sz w:val="20"/>
          <w:szCs w:val="20"/>
          <w:color w:val="auto"/>
        </w:rPr>
      </w:pPr>
      <w:r>
        <w:rPr>
          <w:rFonts w:ascii="Courier New" w:cs="Courier New" w:eastAsia="Courier New" w:hAnsi="Courier New"/>
          <w:sz w:val="16"/>
          <w:szCs w:val="16"/>
          <w:color w:val="auto"/>
        </w:rPr>
        <w:t>effects to such stockholder of the Offer and the Merger, including the application and effect of state, local, and foreign tax laws.</w:t>
      </w:r>
    </w:p>
    <w:p>
      <w:pPr>
        <w:spacing w:after="0" w:line="5" w:lineRule="exact"/>
        <w:rPr>
          <w:sz w:val="20"/>
          <w:szCs w:val="20"/>
          <w:color w:val="auto"/>
        </w:rPr>
      </w:pPr>
    </w:p>
    <w:p>
      <w:pPr>
        <w:ind w:left="1" w:right="2459" w:firstLine="484"/>
        <w:spacing w:after="0" w:line="257" w:lineRule="auto"/>
        <w:rPr>
          <w:sz w:val="20"/>
          <w:szCs w:val="20"/>
          <w:color w:val="auto"/>
        </w:rPr>
      </w:pPr>
      <w:r>
        <w:rPr>
          <w:rFonts w:ascii="Courier New" w:cs="Courier New" w:eastAsia="Courier New" w:hAnsi="Courier New"/>
          <w:sz w:val="16"/>
          <w:szCs w:val="16"/>
          <w:color w:val="auto"/>
        </w:rPr>
        <w:t>Receipt of the Offer Price or the Merger Consideration. The receipt by a stockholder of the Offer Price or the Merger Consideration (including any cash amounts received by a dissenting stockholder pursuant to the exercise of dissenter's rights) in exchange for Shares will be a taxable transaction for federal income tax purposes. In general, for federal income tax purposes, a stockholder will recognize gain or loss equal to the difference between such stockholder's adjusted tax basis in the Shares sold or exchanged in the Offer or in the Merger and the amount of cash received therefor. Gain or loss must be determined separately for each block of Shares (i.e., Shares acquired at the same cost in a single transaction) sold pursuant to the Offer or converted to cash in the Merger. Assuming the Shares are held as capital assets, such gain or loss will be capital gain or loss.</w:t>
      </w:r>
    </w:p>
    <w:p>
      <w:pPr>
        <w:spacing w:after="0" w:line="93" w:lineRule="exact"/>
        <w:rPr>
          <w:sz w:val="20"/>
          <w:szCs w:val="20"/>
          <w:color w:val="auto"/>
        </w:rPr>
      </w:pPr>
    </w:p>
    <w:p>
      <w:pPr>
        <w:ind w:left="1" w:right="2459" w:firstLine="484"/>
        <w:spacing w:after="0" w:line="256" w:lineRule="auto"/>
        <w:rPr>
          <w:sz w:val="20"/>
          <w:szCs w:val="20"/>
          <w:color w:val="auto"/>
        </w:rPr>
      </w:pPr>
      <w:r>
        <w:rPr>
          <w:rFonts w:ascii="Courier New" w:cs="Courier New" w:eastAsia="Courier New" w:hAnsi="Courier New"/>
          <w:sz w:val="16"/>
          <w:szCs w:val="16"/>
          <w:color w:val="auto"/>
        </w:rPr>
        <w:t>Backup Withholding. Payments in connection with the Offer or the Merger may be subject to "backup withholding" at a 31% rate. Backup withholding generally applies if the stockholder (i) fails to furnish his social security number or other taxpayer identification number ("TIN"), (ii) furnishes an incorrect TIN,</w:t>
      </w:r>
    </w:p>
    <w:p>
      <w:pPr>
        <w:spacing w:after="0" w:line="2" w:lineRule="exact"/>
        <w:rPr>
          <w:sz w:val="20"/>
          <w:szCs w:val="20"/>
          <w:color w:val="auto"/>
        </w:rPr>
      </w:pPr>
    </w:p>
    <w:p>
      <w:pPr>
        <w:ind w:left="1" w:right="2459" w:hanging="1"/>
        <w:spacing w:after="0" w:line="253" w:lineRule="auto"/>
        <w:tabs>
          <w:tab w:leader="none" w:pos="58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fails properly to report interest or dividends, or (iv) under certain circumstances, fails to provide a certified statement, signed under penalties of perjury, that the TIN provided is his correct number and that he is not subject to backup withholding. Any amounts withheld from a payment to a stockholder under the backup withholding rules may be allowed as a credit against such stockholder's federal income tax liability, provided that the required information is provided to the Internal Revenue Service. Certain persons generally are exempt from backup withholding, including corporations and financial institutions. Certain penalties apply for failure to furnish correct information and for failure to include the reportable payments in income. Each stockholder should consult with such stockholder's own tax advisor as to such stockholder's qualification for exemption from withholding and the procedure for obtaining such exemption.</w:t>
      </w:r>
    </w:p>
    <w:p>
      <w:pPr>
        <w:spacing w:after="0" w:line="9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6. PRICE RANGE OF SHARES; DIVIDENDS ON THE SHARES</w:t>
      </w:r>
    </w:p>
    <w:p>
      <w:pPr>
        <w:spacing w:after="0" w:line="191" w:lineRule="exact"/>
        <w:rPr>
          <w:sz w:val="20"/>
          <w:szCs w:val="20"/>
          <w:color w:val="auto"/>
        </w:rPr>
      </w:pPr>
    </w:p>
    <w:p>
      <w:pPr>
        <w:ind w:left="1" w:right="2659" w:firstLine="484"/>
        <w:spacing w:after="0" w:line="276" w:lineRule="auto"/>
        <w:rPr>
          <w:sz w:val="20"/>
          <w:szCs w:val="20"/>
          <w:color w:val="auto"/>
        </w:rPr>
      </w:pPr>
      <w:r>
        <w:rPr>
          <w:rFonts w:ascii="Courier New" w:cs="Courier New" w:eastAsia="Courier New" w:hAnsi="Courier New"/>
          <w:sz w:val="16"/>
          <w:szCs w:val="16"/>
          <w:color w:val="auto"/>
        </w:rPr>
        <w:t>The Shares commenced trading on the Nasdaq Stock Market's National Market System ("Nasdaq") under the symbol "ISNR," on March 13, 1998. The following table sets forth, for the fiscal quarters indicated, the high and low sales price per Share on Nasdaq. All prices set forth below are as reported in published financial sources:</w:t>
      </w:r>
    </w:p>
    <w:p>
      <w:pPr>
        <w:spacing w:after="0" w:line="200" w:lineRule="exact"/>
        <w:rPr>
          <w:sz w:val="20"/>
          <w:szCs w:val="20"/>
          <w:color w:val="auto"/>
        </w:rPr>
      </w:pPr>
    </w:p>
    <w:p>
      <w:pPr>
        <w:spacing w:after="0" w:line="249" w:lineRule="exact"/>
        <w:rPr>
          <w:sz w:val="20"/>
          <w:szCs w:val="20"/>
          <w:color w:val="auto"/>
        </w:rPr>
      </w:pPr>
    </w:p>
    <w:tbl>
      <w:tblPr>
        <w:tblLayout w:type="fixed"/>
        <w:tblInd w:w="1" w:type="dxa"/>
        <w:tblCellMar>
          <w:top w:w="0" w:type="dxa"/>
          <w:left w:w="0" w:type="dxa"/>
          <w:bottom w:w="0" w:type="dxa"/>
          <w:right w:w="0" w:type="dxa"/>
        </w:tblCellMar>
      </w:tblPr>
      <w:tr>
        <w:trPr>
          <w:trHeight w:val="186"/>
        </w:trPr>
        <w:tc>
          <w:tcPr>
            <w:tcW w:w="5920" w:type="dxa"/>
            <w:vAlign w:val="bottom"/>
          </w:tcPr>
          <w:p>
            <w:pPr>
              <w:spacing w:after="0"/>
              <w:rPr>
                <w:sz w:val="16"/>
                <w:szCs w:val="16"/>
                <w:color w:val="auto"/>
              </w:rPr>
            </w:pPr>
          </w:p>
        </w:tc>
        <w:tc>
          <w:tcPr>
            <w:tcW w:w="154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MARKET PRICE</w:t>
            </w:r>
          </w:p>
        </w:tc>
        <w:tc>
          <w:tcPr>
            <w:tcW w:w="0" w:type="dxa"/>
            <w:vAlign w:val="bottom"/>
          </w:tcPr>
          <w:p>
            <w:pPr>
              <w:spacing w:after="0"/>
              <w:rPr>
                <w:sz w:val="1"/>
                <w:szCs w:val="1"/>
                <w:color w:val="auto"/>
              </w:rPr>
            </w:pPr>
          </w:p>
        </w:tc>
      </w:tr>
      <w:tr>
        <w:trPr>
          <w:trHeight w:val="186"/>
        </w:trPr>
        <w:tc>
          <w:tcPr>
            <w:tcW w:w="592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5920" w:type="dxa"/>
            <w:vAlign w:val="bottom"/>
          </w:tcPr>
          <w:p>
            <w:pPr>
              <w:spacing w:after="0"/>
              <w:rPr>
                <w:sz w:val="16"/>
                <w:szCs w:val="16"/>
                <w:color w:val="auto"/>
              </w:rPr>
            </w:pPr>
          </w:p>
        </w:tc>
        <w:tc>
          <w:tcPr>
            <w:tcW w:w="8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HIGH</w:t>
            </w:r>
          </w:p>
        </w:tc>
        <w:tc>
          <w:tcPr>
            <w:tcW w:w="7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LOW</w:t>
            </w:r>
          </w:p>
        </w:tc>
        <w:tc>
          <w:tcPr>
            <w:tcW w:w="0" w:type="dxa"/>
            <w:vAlign w:val="bottom"/>
          </w:tcPr>
          <w:p>
            <w:pPr>
              <w:spacing w:after="0"/>
              <w:rPr>
                <w:sz w:val="1"/>
                <w:szCs w:val="1"/>
                <w:color w:val="auto"/>
              </w:rPr>
            </w:pPr>
          </w:p>
        </w:tc>
      </w:tr>
      <w:tr>
        <w:trPr>
          <w:trHeight w:val="273"/>
        </w:trPr>
        <w:tc>
          <w:tcPr>
            <w:tcW w:w="592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5920" w:type="dxa"/>
            <w:vAlign w:val="bottom"/>
          </w:tcPr>
          <w:p>
            <w:pPr>
              <w:spacing w:after="0"/>
              <w:rPr>
                <w:sz w:val="20"/>
                <w:szCs w:val="20"/>
                <w:color w:val="auto"/>
              </w:rPr>
            </w:pPr>
            <w:r>
              <w:rPr>
                <w:rFonts w:ascii="Courier New" w:cs="Courier New" w:eastAsia="Courier New" w:hAnsi="Courier New"/>
                <w:sz w:val="16"/>
                <w:szCs w:val="16"/>
                <w:color w:val="auto"/>
              </w:rPr>
              <w:t>FISCAL YEAR ENDED MARCH 31, 1998:</w:t>
            </w:r>
          </w:p>
        </w:tc>
        <w:tc>
          <w:tcPr>
            <w:tcW w:w="82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$9.063</w:t>
            </w: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$7.875</w:t>
            </w:r>
          </w:p>
        </w:tc>
        <w:tc>
          <w:tcPr>
            <w:tcW w:w="0" w:type="dxa"/>
            <w:vAlign w:val="bottom"/>
          </w:tcPr>
          <w:p>
            <w:pPr>
              <w:spacing w:after="0"/>
              <w:rPr>
                <w:sz w:val="1"/>
                <w:szCs w:val="1"/>
                <w:color w:val="auto"/>
              </w:rPr>
            </w:pPr>
          </w:p>
        </w:tc>
      </w:tr>
      <w:tr>
        <w:trPr>
          <w:trHeight w:val="186"/>
        </w:trPr>
        <w:tc>
          <w:tcPr>
            <w:tcW w:w="5920" w:type="dxa"/>
            <w:vAlign w:val="bottom"/>
          </w:tcPr>
          <w:p>
            <w:pPr>
              <w:ind w:left="200"/>
              <w:spacing w:after="0"/>
              <w:rPr>
                <w:sz w:val="20"/>
                <w:szCs w:val="20"/>
                <w:color w:val="auto"/>
              </w:rPr>
            </w:pPr>
            <w:r>
              <w:rPr>
                <w:rFonts w:ascii="Courier New" w:cs="Courier New" w:eastAsia="Courier New" w:hAnsi="Courier New"/>
                <w:sz w:val="16"/>
                <w:szCs w:val="16"/>
                <w:color w:val="auto"/>
              </w:rPr>
              <w:t>Fourth Quarter (from March 13, 1998)......................</w:t>
            </w:r>
          </w:p>
        </w:tc>
        <w:tc>
          <w:tcPr>
            <w:tcW w:w="82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FISCAL YEAR ENDED MARCH 31, 1999:</w:t>
            </w:r>
          </w:p>
        </w:tc>
        <w:tc>
          <w:tcPr>
            <w:tcW w:w="82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8.875</w:t>
            </w: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4.500</w:t>
            </w:r>
          </w:p>
        </w:tc>
        <w:tc>
          <w:tcPr>
            <w:tcW w:w="0" w:type="dxa"/>
            <w:vAlign w:val="bottom"/>
          </w:tcPr>
          <w:p>
            <w:pPr>
              <w:spacing w:after="0"/>
              <w:rPr>
                <w:sz w:val="1"/>
                <w:szCs w:val="1"/>
                <w:color w:val="auto"/>
              </w:rPr>
            </w:pPr>
          </w:p>
        </w:tc>
      </w:tr>
      <w:tr>
        <w:trPr>
          <w:trHeight w:val="186"/>
        </w:trPr>
        <w:tc>
          <w:tcPr>
            <w:tcW w:w="5920" w:type="dxa"/>
            <w:vAlign w:val="bottom"/>
          </w:tcPr>
          <w:p>
            <w:pPr>
              <w:ind w:left="200"/>
              <w:spacing w:after="0"/>
              <w:rPr>
                <w:sz w:val="20"/>
                <w:szCs w:val="20"/>
                <w:color w:val="auto"/>
              </w:rPr>
            </w:pPr>
            <w:r>
              <w:rPr>
                <w:rFonts w:ascii="Courier New" w:cs="Courier New" w:eastAsia="Courier New" w:hAnsi="Courier New"/>
                <w:sz w:val="16"/>
                <w:szCs w:val="16"/>
                <w:color w:val="auto"/>
              </w:rPr>
              <w:t>First Quarter.............................................</w:t>
            </w:r>
          </w:p>
        </w:tc>
        <w:tc>
          <w:tcPr>
            <w:tcW w:w="82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920" w:type="dxa"/>
            <w:vAlign w:val="bottom"/>
          </w:tcPr>
          <w:p>
            <w:pPr>
              <w:ind w:left="200"/>
              <w:spacing w:after="0"/>
              <w:rPr>
                <w:sz w:val="20"/>
                <w:szCs w:val="20"/>
                <w:color w:val="auto"/>
              </w:rPr>
            </w:pPr>
            <w:r>
              <w:rPr>
                <w:rFonts w:ascii="Courier New" w:cs="Courier New" w:eastAsia="Courier New" w:hAnsi="Courier New"/>
                <w:sz w:val="16"/>
                <w:szCs w:val="16"/>
                <w:color w:val="auto"/>
              </w:rPr>
              <w:t>Second Quarter............................................</w:t>
            </w: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5.875</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3.422</w:t>
            </w:r>
          </w:p>
        </w:tc>
        <w:tc>
          <w:tcPr>
            <w:tcW w:w="0" w:type="dxa"/>
            <w:vAlign w:val="bottom"/>
          </w:tcPr>
          <w:p>
            <w:pPr>
              <w:spacing w:after="0"/>
              <w:rPr>
                <w:sz w:val="1"/>
                <w:szCs w:val="1"/>
                <w:color w:val="auto"/>
              </w:rPr>
            </w:pPr>
          </w:p>
        </w:tc>
      </w:tr>
      <w:tr>
        <w:trPr>
          <w:trHeight w:val="186"/>
        </w:trPr>
        <w:tc>
          <w:tcPr>
            <w:tcW w:w="5920" w:type="dxa"/>
            <w:vAlign w:val="bottom"/>
          </w:tcPr>
          <w:p>
            <w:pPr>
              <w:ind w:left="200"/>
              <w:spacing w:after="0"/>
              <w:rPr>
                <w:sz w:val="20"/>
                <w:szCs w:val="20"/>
                <w:color w:val="auto"/>
              </w:rPr>
            </w:pPr>
            <w:r>
              <w:rPr>
                <w:rFonts w:ascii="Courier New" w:cs="Courier New" w:eastAsia="Courier New" w:hAnsi="Courier New"/>
                <w:sz w:val="16"/>
                <w:szCs w:val="16"/>
                <w:color w:val="auto"/>
              </w:rPr>
              <w:t>Third Quarter.............................................</w:t>
            </w: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4.500</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3.250</w:t>
            </w:r>
          </w:p>
        </w:tc>
        <w:tc>
          <w:tcPr>
            <w:tcW w:w="0" w:type="dxa"/>
            <w:vAlign w:val="bottom"/>
          </w:tcPr>
          <w:p>
            <w:pPr>
              <w:spacing w:after="0"/>
              <w:rPr>
                <w:sz w:val="1"/>
                <w:szCs w:val="1"/>
                <w:color w:val="auto"/>
              </w:rPr>
            </w:pPr>
          </w:p>
        </w:tc>
      </w:tr>
      <w:tr>
        <w:trPr>
          <w:trHeight w:val="186"/>
        </w:trPr>
        <w:tc>
          <w:tcPr>
            <w:tcW w:w="5920" w:type="dxa"/>
            <w:vAlign w:val="bottom"/>
          </w:tcPr>
          <w:p>
            <w:pPr>
              <w:ind w:left="200"/>
              <w:spacing w:after="0"/>
              <w:rPr>
                <w:sz w:val="20"/>
                <w:szCs w:val="20"/>
                <w:color w:val="auto"/>
              </w:rPr>
            </w:pPr>
            <w:r>
              <w:rPr>
                <w:rFonts w:ascii="Courier New" w:cs="Courier New" w:eastAsia="Courier New" w:hAnsi="Courier New"/>
                <w:sz w:val="16"/>
                <w:szCs w:val="16"/>
                <w:color w:val="auto"/>
              </w:rPr>
              <w:t>Fourth Quarter............................................</w:t>
            </w:r>
          </w:p>
        </w:tc>
        <w:tc>
          <w:tcPr>
            <w:tcW w:w="8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7.500</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2.375</w:t>
            </w:r>
          </w:p>
        </w:tc>
        <w:tc>
          <w:tcPr>
            <w:tcW w:w="0" w:type="dxa"/>
            <w:vAlign w:val="bottom"/>
          </w:tcPr>
          <w:p>
            <w:pPr>
              <w:spacing w:after="0"/>
              <w:rPr>
                <w:sz w:val="1"/>
                <w:szCs w:val="1"/>
                <w:color w:val="auto"/>
              </w:rPr>
            </w:pPr>
          </w:p>
        </w:tc>
      </w:tr>
      <w:tr>
        <w:trPr>
          <w:trHeight w:val="186"/>
        </w:trPr>
        <w:tc>
          <w:tcPr>
            <w:tcW w:w="5920" w:type="dxa"/>
            <w:vAlign w:val="bottom"/>
          </w:tcPr>
          <w:p>
            <w:pPr>
              <w:spacing w:after="0"/>
              <w:rPr>
                <w:sz w:val="20"/>
                <w:szCs w:val="20"/>
                <w:color w:val="auto"/>
              </w:rPr>
            </w:pPr>
            <w:r>
              <w:rPr>
                <w:rFonts w:ascii="Courier New" w:cs="Courier New" w:eastAsia="Courier New" w:hAnsi="Courier New"/>
                <w:sz w:val="16"/>
                <w:szCs w:val="16"/>
                <w:color w:val="auto"/>
              </w:rPr>
              <w:t>FISCAL YEAR ENDED MARCH 31, 2000:</w:t>
            </w:r>
          </w:p>
        </w:tc>
        <w:tc>
          <w:tcPr>
            <w:tcW w:w="82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7.969</w:t>
            </w: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3.875</w:t>
            </w:r>
          </w:p>
        </w:tc>
        <w:tc>
          <w:tcPr>
            <w:tcW w:w="0" w:type="dxa"/>
            <w:vAlign w:val="bottom"/>
          </w:tcPr>
          <w:p>
            <w:pPr>
              <w:spacing w:after="0"/>
              <w:rPr>
                <w:sz w:val="1"/>
                <w:szCs w:val="1"/>
                <w:color w:val="auto"/>
              </w:rPr>
            </w:pPr>
          </w:p>
        </w:tc>
      </w:tr>
      <w:tr>
        <w:trPr>
          <w:trHeight w:val="273"/>
        </w:trPr>
        <w:tc>
          <w:tcPr>
            <w:tcW w:w="5920" w:type="dxa"/>
            <w:vAlign w:val="bottom"/>
          </w:tcPr>
          <w:p>
            <w:pPr>
              <w:ind w:left="200"/>
              <w:spacing w:after="0"/>
              <w:rPr>
                <w:sz w:val="20"/>
                <w:szCs w:val="20"/>
                <w:color w:val="auto"/>
              </w:rPr>
            </w:pPr>
            <w:r>
              <w:rPr>
                <w:rFonts w:ascii="Courier New" w:cs="Courier New" w:eastAsia="Courier New" w:hAnsi="Courier New"/>
                <w:sz w:val="16"/>
                <w:szCs w:val="16"/>
                <w:color w:val="auto"/>
              </w:rPr>
              <w:t>First Quarter (through May 6, 1999).......................</w:t>
            </w:r>
          </w:p>
        </w:tc>
        <w:tc>
          <w:tcPr>
            <w:tcW w:w="820" w:type="dxa"/>
            <w:vAlign w:val="bottom"/>
            <w:vMerge w:val="continue"/>
          </w:tcPr>
          <w:p>
            <w:pPr>
              <w:spacing w:after="0"/>
              <w:rPr>
                <w:sz w:val="23"/>
                <w:szCs w:val="23"/>
                <w:color w:val="auto"/>
              </w:rPr>
            </w:pPr>
          </w:p>
        </w:tc>
        <w:tc>
          <w:tcPr>
            <w:tcW w:w="7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1" w:right="2659" w:firstLine="484"/>
        <w:spacing w:after="0" w:line="270" w:lineRule="auto"/>
        <w:rPr>
          <w:sz w:val="20"/>
          <w:szCs w:val="20"/>
          <w:color w:val="auto"/>
        </w:rPr>
      </w:pPr>
      <w:r>
        <w:rPr>
          <w:rFonts w:ascii="Courier New" w:cs="Courier New" w:eastAsia="Courier New" w:hAnsi="Courier New"/>
          <w:sz w:val="16"/>
          <w:szCs w:val="16"/>
          <w:color w:val="auto"/>
        </w:rPr>
        <w:t>On April 30, 1999, the last full trading day prior to the public announcement of the execution of the Merger Agreement, the reported closing sales price per Share on Nasdaq was $6.125. On May 6, 1999, the last full trading day prior to the commencement of the Offer, the reported closing sales price per Share on the Nasdaq was $7.875. STOCKHOLDERS ARE URGED TO OBTAIN A CURRENT MARKET QUOTATION FOR THE SHARES.</w:t>
      </w:r>
    </w:p>
    <w:p>
      <w:pPr>
        <w:spacing w:after="0" w:line="81" w:lineRule="exact"/>
        <w:rPr>
          <w:sz w:val="20"/>
          <w:szCs w:val="20"/>
          <w:color w:val="auto"/>
        </w:rPr>
      </w:pPr>
    </w:p>
    <w:p>
      <w:pPr>
        <w:ind w:left="1" w:right="2559" w:firstLine="484"/>
        <w:spacing w:after="0" w:line="307" w:lineRule="auto"/>
        <w:rPr>
          <w:sz w:val="20"/>
          <w:szCs w:val="20"/>
          <w:color w:val="auto"/>
        </w:rPr>
      </w:pPr>
      <w:r>
        <w:rPr>
          <w:rFonts w:ascii="Courier New" w:cs="Courier New" w:eastAsia="Courier New" w:hAnsi="Courier New"/>
          <w:sz w:val="16"/>
          <w:szCs w:val="16"/>
          <w:color w:val="auto"/>
        </w:rPr>
        <w:t>The Company has not paid cash dividends on the Shares since its inception. The Merger Agreement prohibits the Company from declaring or paying any dividends prior to the Effective Time.</w:t>
      </w:r>
    </w:p>
    <w:p>
      <w:pPr>
        <w:sectPr>
          <w:pgSz w:w="11900" w:h="16838" w:orient="portrait"/>
          <w:cols w:equalWidth="0" w:num="1">
            <w:col w:w="10220"/>
          </w:cols>
          <w:pgMar w:left="239" w:top="273" w:right="1440" w:bottom="1440" w:gutter="0" w:footer="0" w:header="0"/>
        </w:sectPr>
      </w:pPr>
    </w:p>
    <w:p>
      <w:pPr>
        <w:spacing w:after="0" w:line="50" w:lineRule="exact"/>
        <w:rPr>
          <w:sz w:val="20"/>
          <w:szCs w:val="20"/>
          <w:color w:val="auto"/>
        </w:rPr>
      </w:pPr>
    </w:p>
    <w:p>
      <w:pPr>
        <w:ind w:left="3881"/>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0"/>
          </w:cols>
          <w:pgMar w:left="239" w:top="273" w:right="1440" w:bottom="1440" w:gutter="0" w:footer="0" w:header="0"/>
          <w:type w:val="continuous"/>
        </w:sectPr>
      </w:pPr>
    </w:p>
    <w:bookmarkStart w:id="19" w:name="page20"/>
    <w:bookmarkEnd w:id="19"/>
    <w:p>
      <w:pPr>
        <w:ind w:left="301"/>
        <w:spacing w:after="0"/>
        <w:rPr>
          <w:sz w:val="20"/>
          <w:szCs w:val="20"/>
          <w:color w:val="auto"/>
        </w:rPr>
      </w:pPr>
      <w:r>
        <w:rPr>
          <w:rFonts w:ascii="Courier New" w:cs="Courier New" w:eastAsia="Courier New" w:hAnsi="Courier New"/>
          <w:sz w:val="16"/>
          <w:szCs w:val="16"/>
          <w:color w:val="auto"/>
        </w:rPr>
        <w:t>12</w:t>
      </w:r>
    </w:p>
    <w:p>
      <w:pPr>
        <w:spacing w:after="0" w:line="191" w:lineRule="exact"/>
        <w:rPr>
          <w:sz w:val="20"/>
          <w:szCs w:val="20"/>
          <w:color w:val="auto"/>
        </w:rPr>
      </w:pPr>
    </w:p>
    <w:p>
      <w:pPr>
        <w:ind w:left="301" w:right="2759" w:hanging="301"/>
        <w:spacing w:after="0" w:line="367" w:lineRule="auto"/>
        <w:tabs>
          <w:tab w:leader="none" w:pos="30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THE OFFER ON THE MARKET FOR THE SHARES; NASDAQ TRADING; EXCHANGE ACT REGISTRATION; MARGIN SECURITIES</w:t>
      </w:r>
    </w:p>
    <w:p>
      <w:pPr>
        <w:spacing w:after="0" w:line="5" w:lineRule="exact"/>
        <w:rPr>
          <w:sz w:val="20"/>
          <w:szCs w:val="20"/>
          <w:color w:val="auto"/>
        </w:rPr>
      </w:pPr>
    </w:p>
    <w:p>
      <w:pPr>
        <w:ind w:left="1" w:right="2659" w:firstLine="484"/>
        <w:spacing w:after="0" w:line="287" w:lineRule="auto"/>
        <w:rPr>
          <w:sz w:val="20"/>
          <w:szCs w:val="20"/>
          <w:color w:val="auto"/>
        </w:rPr>
      </w:pPr>
      <w:r>
        <w:rPr>
          <w:rFonts w:ascii="Courier New" w:cs="Courier New" w:eastAsia="Courier New" w:hAnsi="Courier New"/>
          <w:sz w:val="16"/>
          <w:szCs w:val="16"/>
          <w:color w:val="auto"/>
        </w:rPr>
        <w:t>The purchase of Shares pursuant to the Offer will reduce the number of holders of Shares and the number of Shares that might otherwise trade publicly and could adversely affect the liquidity and market value of the remaining Shares held by the public.</w:t>
      </w:r>
    </w:p>
    <w:p>
      <w:pPr>
        <w:spacing w:after="0" w:line="65" w:lineRule="exact"/>
        <w:rPr>
          <w:sz w:val="20"/>
          <w:szCs w:val="20"/>
          <w:color w:val="auto"/>
        </w:rPr>
      </w:pPr>
    </w:p>
    <w:p>
      <w:pPr>
        <w:ind w:left="1" w:right="2459" w:firstLine="484"/>
        <w:spacing w:after="0" w:line="270" w:lineRule="auto"/>
        <w:rPr>
          <w:sz w:val="20"/>
          <w:szCs w:val="20"/>
          <w:color w:val="auto"/>
        </w:rPr>
      </w:pPr>
      <w:r>
        <w:rPr>
          <w:rFonts w:ascii="Courier New" w:cs="Courier New" w:eastAsia="Courier New" w:hAnsi="Courier New"/>
          <w:sz w:val="16"/>
          <w:szCs w:val="16"/>
          <w:color w:val="auto"/>
        </w:rPr>
        <w:t>The extent of the public market for the Shares and, according to the Nasdaq's published guidelines, the continued trading of the Shares on Nasdaq after commencement of the Offer will depend upon the number of holders of Shares remaining at such time, the interest in maintaining a market in such Shares on the part of securities firms, the possible termination of registration of such Shares under the Exchange Act, as described below, and other factors.</w:t>
      </w:r>
    </w:p>
    <w:p>
      <w:pPr>
        <w:spacing w:after="0" w:line="81" w:lineRule="exact"/>
        <w:rPr>
          <w:sz w:val="20"/>
          <w:szCs w:val="20"/>
          <w:color w:val="auto"/>
        </w:rPr>
      </w:pPr>
    </w:p>
    <w:p>
      <w:pPr>
        <w:ind w:left="1" w:right="2459" w:firstLine="484"/>
        <w:spacing w:after="0" w:line="266" w:lineRule="auto"/>
        <w:rPr>
          <w:sz w:val="20"/>
          <w:szCs w:val="20"/>
          <w:color w:val="auto"/>
        </w:rPr>
      </w:pPr>
      <w:r>
        <w:rPr>
          <w:rFonts w:ascii="Courier New" w:cs="Courier New" w:eastAsia="Courier New" w:hAnsi="Courier New"/>
          <w:sz w:val="16"/>
          <w:szCs w:val="16"/>
          <w:color w:val="auto"/>
        </w:rPr>
        <w:t>If, as a result of the purchase of Shares pursuant to the Offer or otherwise, trading of the Shares on Nasdaq is discontinued, the liquidity of and market for the Shares could be adversely affected. The Purchaser cannot predict whether or to what extent the reduction in the number of Shares that might otherwise trade publicly would have an adverse or beneficial effect on the market price for or marketability of the Shares or whether it would cause future prices to be greater or less than the Offer Price.</w:t>
      </w:r>
    </w:p>
    <w:p>
      <w:pPr>
        <w:spacing w:after="0" w:line="85" w:lineRule="exact"/>
        <w:rPr>
          <w:sz w:val="20"/>
          <w:szCs w:val="20"/>
          <w:color w:val="auto"/>
        </w:rPr>
      </w:pPr>
    </w:p>
    <w:p>
      <w:pPr>
        <w:ind w:left="1" w:right="2459" w:firstLine="484"/>
        <w:spacing w:after="0" w:line="254" w:lineRule="auto"/>
        <w:rPr>
          <w:sz w:val="20"/>
          <w:szCs w:val="20"/>
          <w:color w:val="auto"/>
        </w:rPr>
      </w:pPr>
      <w:r>
        <w:rPr>
          <w:rFonts w:ascii="Courier New" w:cs="Courier New" w:eastAsia="Courier New" w:hAnsi="Courier New"/>
          <w:sz w:val="16"/>
          <w:szCs w:val="16"/>
          <w:color w:val="auto"/>
        </w:rPr>
        <w:t>The Shares are currently registered under Section 12(g) of the Exchange Act. Registration of the Shares under the Exchange Act may be terminated upon application by the Company to the Commission if the Shares are not held by at least 300 holders of record. Termination of registration of the Shares under the Exchange Act would substantially reduce the information required to be furnished by the Company to its stockholders and to the Commission and could make certain provisions of the Exchange Act no longer applicable to the Company, such as the short-swing profit recovery provisions of Section 16(b) of the Exchange Act, the requirement of furnishing a proxy statement pursuant to Section 14(a) of the Exchange Act in connection with stockholders' meetings (and the related requirement of furnishing an annual report to stockholders), and the requirements of Rule 13e-3 under the Exchange Act in respect of "going private" transactions. Furthermore, the ability of "affiliates" of the Company and persons holding "restricted securities" of the Company to dispose of such securities pursuant to Rule 144 or Rule 144A promulgated under the Securities Act of 1933, as amended, may be impaired or eliminated.</w:t>
      </w:r>
    </w:p>
    <w:p>
      <w:pPr>
        <w:spacing w:after="0" w:line="99" w:lineRule="exact"/>
        <w:rPr>
          <w:sz w:val="20"/>
          <w:szCs w:val="20"/>
          <w:color w:val="auto"/>
        </w:rPr>
      </w:pPr>
    </w:p>
    <w:p>
      <w:pPr>
        <w:ind w:left="1" w:right="2459" w:firstLine="484"/>
        <w:spacing w:after="0" w:line="276" w:lineRule="auto"/>
        <w:rPr>
          <w:sz w:val="20"/>
          <w:szCs w:val="20"/>
          <w:color w:val="auto"/>
        </w:rPr>
      </w:pPr>
      <w:r>
        <w:rPr>
          <w:rFonts w:ascii="Courier New" w:cs="Courier New" w:eastAsia="Courier New" w:hAnsi="Courier New"/>
          <w:sz w:val="16"/>
          <w:szCs w:val="16"/>
          <w:color w:val="auto"/>
        </w:rPr>
        <w:t>The Purchaser intends to seek to cause the Company to terminate the registration of the Shares under the Exchange Act as soon after the completion of the Offer as the requirements for such termination are met. If registration of the Shares under the Exchange Act is not terminated prior to the Merger, such registration will be terminated following consummation of the Merger.</w:t>
      </w:r>
    </w:p>
    <w:p>
      <w:pPr>
        <w:spacing w:after="0" w:line="76" w:lineRule="exact"/>
        <w:rPr>
          <w:sz w:val="20"/>
          <w:szCs w:val="20"/>
          <w:color w:val="auto"/>
        </w:rPr>
      </w:pPr>
    </w:p>
    <w:p>
      <w:pPr>
        <w:ind w:left="1" w:right="2559" w:firstLine="484"/>
        <w:spacing w:after="0" w:line="260" w:lineRule="auto"/>
        <w:rPr>
          <w:sz w:val="20"/>
          <w:szCs w:val="20"/>
          <w:color w:val="auto"/>
        </w:rPr>
      </w:pPr>
      <w:r>
        <w:rPr>
          <w:rFonts w:ascii="Courier New" w:cs="Courier New" w:eastAsia="Courier New" w:hAnsi="Courier New"/>
          <w:sz w:val="16"/>
          <w:szCs w:val="16"/>
          <w:color w:val="auto"/>
        </w:rPr>
        <w:t>The Shares are currently "margin securities" under the regulations of the Board of Governors of the Federal Reserve System (the "Federal Reserve Board"), which has the effect, among other things, of allowing brokers to extend credit on the loan value of the Shares. Depending upon factors similar to those described above regarding listing and market quotations, it is possible that, following the Offer, the Shares would no longer constitute "margin securities" for the purposes of the margin regulations of the Federal Reserve Board and therefore could no longer be used as collateral for loans made by brokers. If registration of Shares under the Exchange Act were terminated, the Shares would no longer be "margin securities" or be eligible for listing on Nasdaq.</w:t>
      </w:r>
    </w:p>
    <w:p>
      <w:pPr>
        <w:spacing w:after="0" w:line="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8. CERTAIN INFORMATION CONCERNING THE COMPANY</w:t>
      </w:r>
    </w:p>
    <w:p>
      <w:pPr>
        <w:spacing w:after="0" w:line="191" w:lineRule="exact"/>
        <w:rPr>
          <w:sz w:val="20"/>
          <w:szCs w:val="20"/>
          <w:color w:val="auto"/>
        </w:rPr>
      </w:pPr>
    </w:p>
    <w:p>
      <w:pPr>
        <w:ind w:left="1" w:right="2459" w:firstLine="484"/>
        <w:spacing w:after="0" w:line="264" w:lineRule="auto"/>
        <w:rPr>
          <w:sz w:val="20"/>
          <w:szCs w:val="20"/>
          <w:color w:val="auto"/>
        </w:rPr>
      </w:pPr>
      <w:r>
        <w:rPr>
          <w:rFonts w:ascii="Courier New" w:cs="Courier New" w:eastAsia="Courier New" w:hAnsi="Courier New"/>
          <w:sz w:val="16"/>
          <w:szCs w:val="16"/>
          <w:color w:val="auto"/>
        </w:rPr>
        <w:t>The information concerning the Company contained in this Offer to Purchase, including financial information, has been taken from or based upon publicly available documents and records on file with the Commission and other public sources. Neither Parent nor the Purchaser assumes any responsibility for the accuracy or completeness of the information concerning the Company contained in such documents and records or for any failure by the Company to disclose events which may have occurred or may affect the significance or accuracy of any such information but which are unknown to Parent or the Purchaser.</w:t>
      </w:r>
    </w:p>
    <w:p>
      <w:pPr>
        <w:sectPr>
          <w:pgSz w:w="11900" w:h="16838" w:orient="portrait"/>
          <w:cols w:equalWidth="0" w:num="1">
            <w:col w:w="10220"/>
          </w:cols>
          <w:pgMar w:left="239" w:top="273" w:right="1440" w:bottom="1440" w:gutter="0" w:footer="0" w:header="0"/>
        </w:sectPr>
      </w:pPr>
    </w:p>
    <w:p>
      <w:pPr>
        <w:spacing w:after="0" w:line="82"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0"/>
          </w:cols>
          <w:pgMar w:left="239" w:top="273" w:right="1440" w:bottom="1440" w:gutter="0" w:footer="0" w:header="0"/>
          <w:type w:val="continuous"/>
        </w:sectPr>
      </w:pPr>
    </w:p>
    <w:bookmarkStart w:id="20" w:name="page21"/>
    <w:bookmarkEnd w:id="20"/>
    <w:p>
      <w:pPr>
        <w:ind w:left="300"/>
        <w:spacing w:after="0"/>
        <w:rPr>
          <w:sz w:val="20"/>
          <w:szCs w:val="20"/>
          <w:color w:val="auto"/>
        </w:rPr>
      </w:pPr>
      <w:r>
        <w:rPr>
          <w:rFonts w:ascii="Courier New" w:cs="Courier New" w:eastAsia="Courier New" w:hAnsi="Courier New"/>
          <w:sz w:val="16"/>
          <w:szCs w:val="16"/>
          <w:color w:val="auto"/>
        </w:rPr>
        <w:t>13</w:t>
      </w:r>
    </w:p>
    <w:p>
      <w:pPr>
        <w:spacing w:after="0" w:line="191" w:lineRule="exact"/>
        <w:rPr>
          <w:sz w:val="20"/>
          <w:szCs w:val="20"/>
          <w:color w:val="auto"/>
        </w:rPr>
      </w:pPr>
    </w:p>
    <w:p>
      <w:pPr>
        <w:ind w:right="2459" w:firstLine="484"/>
        <w:spacing w:after="0" w:line="307" w:lineRule="auto"/>
        <w:rPr>
          <w:sz w:val="20"/>
          <w:szCs w:val="20"/>
          <w:color w:val="auto"/>
        </w:rPr>
      </w:pPr>
      <w:r>
        <w:rPr>
          <w:rFonts w:ascii="Courier New" w:cs="Courier New" w:eastAsia="Courier New" w:hAnsi="Courier New"/>
          <w:sz w:val="16"/>
          <w:szCs w:val="16"/>
          <w:color w:val="auto"/>
        </w:rPr>
        <w:t>General. The Company is a Delaware corporation with its principal executive offices located at 625 River Oaks Parkway, San Jose, California 95134. The telephone number of the Company at such offices is (408) 324-1044.</w:t>
      </w:r>
    </w:p>
    <w:p>
      <w:pPr>
        <w:spacing w:after="0" w:line="50" w:lineRule="exact"/>
        <w:rPr>
          <w:sz w:val="20"/>
          <w:szCs w:val="20"/>
          <w:color w:val="auto"/>
        </w:rPr>
      </w:pPr>
    </w:p>
    <w:p>
      <w:pPr>
        <w:ind w:right="2459" w:firstLine="484"/>
        <w:spacing w:after="0" w:line="266" w:lineRule="auto"/>
        <w:rPr>
          <w:sz w:val="20"/>
          <w:szCs w:val="20"/>
          <w:color w:val="auto"/>
        </w:rPr>
      </w:pPr>
      <w:r>
        <w:rPr>
          <w:rFonts w:ascii="Courier New" w:cs="Courier New" w:eastAsia="Courier New" w:hAnsi="Courier New"/>
          <w:sz w:val="16"/>
          <w:szCs w:val="16"/>
          <w:color w:val="auto"/>
        </w:rPr>
        <w:t>The Company manufactures and markets high performance, intelligent sensor products that are used in electronic systems by customers in the automotive and industrial markets. The Company's sensor products are utilized in a broad range of automotive electronic control systems including fuel injection, tire pressure, engine control, air bag, suspension and brake systems. The Company's products are also incorporated into high volume industrial applications such as utility gas meters, refrigeration, air conditioning and process control systems.</w:t>
      </w:r>
    </w:p>
    <w:p>
      <w:pPr>
        <w:spacing w:after="0" w:line="85" w:lineRule="exact"/>
        <w:rPr>
          <w:sz w:val="20"/>
          <w:szCs w:val="20"/>
          <w:color w:val="auto"/>
        </w:rPr>
      </w:pPr>
    </w:p>
    <w:p>
      <w:pPr>
        <w:ind w:right="2459" w:firstLine="484"/>
        <w:spacing w:after="0" w:line="257" w:lineRule="auto"/>
        <w:rPr>
          <w:sz w:val="20"/>
          <w:szCs w:val="20"/>
          <w:color w:val="auto"/>
        </w:rPr>
      </w:pPr>
      <w:r>
        <w:rPr>
          <w:rFonts w:ascii="Courier New" w:cs="Courier New" w:eastAsia="Courier New" w:hAnsi="Courier New"/>
          <w:sz w:val="16"/>
          <w:szCs w:val="16"/>
          <w:color w:val="auto"/>
        </w:rPr>
        <w:t>Financial Information. Set forth below is a summary of certain consolidated financial information in respect of the Company, excerpted or derived from the information contained in the Company's Annual Report on Form 10-KSB for the fiscal year ended March 31, 1998, as well as the Company's Quarterly Report on Form 10-QSB for the nine months ended December 31, 1998, which are incorporated herein by reference. More comprehensive financial information is included in such reports and other documents filed by the Company with the Commission, and the following summary is qualified in its entirety by reference to such reports and other documents and all of the financial information (including any related notes) contained therein. Such reports and other documents may be inspected and copies may be obtained from the offices of the Commission in the manner set forth below under "Available Information."</w:t>
      </w:r>
    </w:p>
    <w:p>
      <w:pPr>
        <w:spacing w:after="0" w:line="93"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INTEGRATED SENSOR SOLUTIONS, INC.</w:t>
      </w:r>
    </w:p>
    <w:p>
      <w:pPr>
        <w:spacing w:after="0" w:line="35"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SELECTED CONSOLIDATED FINANCIAL DATA</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00" w:type="dxa"/>
            <w:vAlign w:val="bottom"/>
          </w:tcPr>
          <w:p>
            <w:pPr>
              <w:spacing w:after="0"/>
              <w:rPr>
                <w:sz w:val="16"/>
                <w:szCs w:val="16"/>
                <w:color w:val="auto"/>
              </w:rPr>
            </w:pPr>
          </w:p>
        </w:tc>
        <w:tc>
          <w:tcPr>
            <w:tcW w:w="198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NINE MONTHS ENDED</w:t>
            </w:r>
          </w:p>
        </w:tc>
        <w:tc>
          <w:tcPr>
            <w:tcW w:w="4020" w:type="dxa"/>
            <w:vAlign w:val="bottom"/>
            <w:gridSpan w:val="4"/>
            <w:vMerge w:val="restart"/>
          </w:tcPr>
          <w:p>
            <w:pPr>
              <w:ind w:left="1020"/>
              <w:spacing w:after="0"/>
              <w:rPr>
                <w:sz w:val="20"/>
                <w:szCs w:val="20"/>
                <w:color w:val="auto"/>
              </w:rPr>
            </w:pPr>
            <w:r>
              <w:rPr>
                <w:rFonts w:ascii="Courier New" w:cs="Courier New" w:eastAsia="Courier New" w:hAnsi="Courier New"/>
                <w:sz w:val="16"/>
                <w:szCs w:val="16"/>
                <w:color w:val="auto"/>
              </w:rPr>
              <w:t>YEAR ENDED MARCH 31,</w:t>
            </w:r>
          </w:p>
        </w:tc>
        <w:tc>
          <w:tcPr>
            <w:tcW w:w="0" w:type="dxa"/>
            <w:vAlign w:val="bottom"/>
          </w:tcPr>
          <w:p>
            <w:pPr>
              <w:spacing w:after="0"/>
              <w:rPr>
                <w:sz w:val="1"/>
                <w:szCs w:val="1"/>
                <w:color w:val="auto"/>
              </w:rPr>
            </w:pPr>
          </w:p>
        </w:tc>
      </w:tr>
      <w:tr>
        <w:trPr>
          <w:trHeight w:val="186"/>
        </w:trPr>
        <w:tc>
          <w:tcPr>
            <w:tcW w:w="3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DECEMBER</w:t>
            </w:r>
          </w:p>
        </w:tc>
        <w:tc>
          <w:tcPr>
            <w:tcW w:w="820" w:type="dxa"/>
            <w:vAlign w:val="bottom"/>
          </w:tcPr>
          <w:p>
            <w:pPr>
              <w:ind w:left="100"/>
              <w:spacing w:after="0"/>
              <w:rPr>
                <w:sz w:val="20"/>
                <w:szCs w:val="20"/>
                <w:color w:val="auto"/>
              </w:rPr>
            </w:pPr>
            <w:r>
              <w:rPr>
                <w:rFonts w:ascii="Courier New" w:cs="Courier New" w:eastAsia="Courier New" w:hAnsi="Courier New"/>
                <w:sz w:val="16"/>
                <w:szCs w:val="16"/>
                <w:color w:val="auto"/>
              </w:rPr>
              <w:t>31,</w:t>
            </w:r>
          </w:p>
        </w:tc>
        <w:tc>
          <w:tcPr>
            <w:tcW w:w="40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00" w:type="dxa"/>
            <w:vAlign w:val="bottom"/>
          </w:tcPr>
          <w:p>
            <w:pPr>
              <w:spacing w:after="0"/>
              <w:rPr>
                <w:sz w:val="16"/>
                <w:szCs w:val="16"/>
                <w:color w:val="auto"/>
              </w:rPr>
            </w:pPr>
          </w:p>
        </w:tc>
        <w:tc>
          <w:tcPr>
            <w:tcW w:w="1160" w:type="dxa"/>
            <w:vAlign w:val="bottom"/>
            <w:vMerge w:val="restart"/>
          </w:tcPr>
          <w:p>
            <w:pPr>
              <w:jc w:val="center"/>
              <w:ind w:left="102"/>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7"/>
                <w:szCs w:val="17"/>
                <w:color w:val="auto"/>
                <w:w w:val="70"/>
                <w:vertAlign w:val="subscript"/>
              </w:rPr>
              <w:t>1998</w:t>
            </w:r>
          </w:p>
        </w:tc>
        <w:tc>
          <w:tcPr>
            <w:tcW w:w="82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1997</w:t>
            </w:r>
          </w:p>
        </w:tc>
        <w:tc>
          <w:tcPr>
            <w:tcW w:w="402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34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1998</w:t>
            </w:r>
          </w:p>
        </w:tc>
        <w:tc>
          <w:tcPr>
            <w:tcW w:w="340" w:type="dxa"/>
            <w:vAlign w:val="bottom"/>
          </w:tcPr>
          <w:p>
            <w:pPr>
              <w:spacing w:after="0"/>
              <w:rPr>
                <w:sz w:val="16"/>
                <w:szCs w:val="16"/>
                <w:color w:val="auto"/>
              </w:rPr>
            </w:pPr>
          </w:p>
        </w:tc>
        <w:tc>
          <w:tcPr>
            <w:tcW w:w="1000" w:type="dxa"/>
            <w:vAlign w:val="bottom"/>
          </w:tcPr>
          <w:p>
            <w:pPr>
              <w:jc w:val="right"/>
              <w:ind w:right="539"/>
              <w:spacing w:after="0"/>
              <w:rPr>
                <w:sz w:val="20"/>
                <w:szCs w:val="20"/>
                <w:color w:val="auto"/>
              </w:rPr>
            </w:pPr>
            <w:r>
              <w:rPr>
                <w:rFonts w:ascii="Courier New" w:cs="Courier New" w:eastAsia="Courier New" w:hAnsi="Courier New"/>
                <w:sz w:val="16"/>
                <w:szCs w:val="16"/>
                <w:color w:val="auto"/>
                <w:w w:val="93"/>
              </w:rPr>
              <w:t>1997</w:t>
            </w:r>
          </w:p>
        </w:tc>
        <w:tc>
          <w:tcPr>
            <w:tcW w:w="12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1996</w:t>
            </w:r>
          </w:p>
        </w:tc>
        <w:tc>
          <w:tcPr>
            <w:tcW w:w="0" w:type="dxa"/>
            <w:vAlign w:val="bottom"/>
          </w:tcPr>
          <w:p>
            <w:pPr>
              <w:spacing w:after="0"/>
              <w:rPr>
                <w:sz w:val="1"/>
                <w:szCs w:val="1"/>
                <w:color w:val="auto"/>
              </w:rPr>
            </w:pPr>
          </w:p>
        </w:tc>
      </w:tr>
      <w:tr>
        <w:trPr>
          <w:trHeight w:val="186"/>
        </w:trPr>
        <w:tc>
          <w:tcPr>
            <w:tcW w:w="3400" w:type="dxa"/>
            <w:vAlign w:val="bottom"/>
          </w:tcPr>
          <w:p>
            <w:pPr>
              <w:spacing w:after="0"/>
              <w:rPr>
                <w:sz w:val="16"/>
                <w:szCs w:val="16"/>
                <w:color w:val="auto"/>
              </w:rPr>
            </w:pPr>
          </w:p>
        </w:tc>
        <w:tc>
          <w:tcPr>
            <w:tcW w:w="116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w:t>
            </w:r>
          </w:p>
        </w:tc>
        <w:tc>
          <w:tcPr>
            <w:tcW w:w="146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3400" w:type="dxa"/>
            <w:vAlign w:val="bottom"/>
          </w:tcPr>
          <w:p>
            <w:pPr>
              <w:spacing w:after="0"/>
              <w:rPr>
                <w:sz w:val="16"/>
                <w:szCs w:val="16"/>
                <w:color w:val="auto"/>
              </w:rPr>
            </w:pPr>
          </w:p>
        </w:tc>
        <w:tc>
          <w:tcPr>
            <w:tcW w:w="198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(UNAUDITED)</w:t>
            </w: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3400" w:type="dxa"/>
            <w:vAlign w:val="bottom"/>
          </w:tcPr>
          <w:p>
            <w:pPr>
              <w:spacing w:after="0"/>
              <w:rPr>
                <w:sz w:val="23"/>
                <w:szCs w:val="23"/>
                <w:color w:val="auto"/>
              </w:rPr>
            </w:pPr>
          </w:p>
        </w:tc>
        <w:tc>
          <w:tcPr>
            <w:tcW w:w="198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(IN THOUSANDS)</w:t>
            </w:r>
          </w:p>
        </w:tc>
        <w:tc>
          <w:tcPr>
            <w:tcW w:w="1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3400" w:type="dxa"/>
            <w:vAlign w:val="bottom"/>
          </w:tcPr>
          <w:p>
            <w:pPr>
              <w:spacing w:after="0"/>
              <w:rPr>
                <w:sz w:val="20"/>
                <w:szCs w:val="20"/>
                <w:color w:val="auto"/>
              </w:rPr>
            </w:pPr>
            <w:r>
              <w:rPr>
                <w:rFonts w:ascii="Courier New" w:cs="Courier New" w:eastAsia="Courier New" w:hAnsi="Courier New"/>
                <w:sz w:val="16"/>
                <w:szCs w:val="16"/>
                <w:color w:val="auto"/>
              </w:rPr>
              <w:t>STATEMENT OF OPERATIONS DATA:</w:t>
            </w:r>
          </w:p>
        </w:tc>
        <w:tc>
          <w:tcPr>
            <w:tcW w:w="1160" w:type="dxa"/>
            <w:vAlign w:val="bottom"/>
            <w:vMerge w:val="restart"/>
          </w:tcPr>
          <w:p>
            <w:pPr>
              <w:jc w:val="right"/>
              <w:ind w:right="222"/>
              <w:spacing w:after="0"/>
              <w:rPr>
                <w:sz w:val="20"/>
                <w:szCs w:val="20"/>
                <w:color w:val="auto"/>
              </w:rPr>
            </w:pPr>
            <w:r>
              <w:rPr>
                <w:rFonts w:ascii="Courier New" w:cs="Courier New" w:eastAsia="Courier New" w:hAnsi="Courier New"/>
                <w:sz w:val="16"/>
                <w:szCs w:val="16"/>
                <w:color w:val="auto"/>
              </w:rPr>
              <w:t>$16,801</w:t>
            </w:r>
          </w:p>
        </w:tc>
        <w:tc>
          <w:tcPr>
            <w:tcW w:w="8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w w:val="98"/>
              </w:rPr>
              <w:t>$11,013</w:t>
            </w:r>
          </w:p>
        </w:tc>
        <w:tc>
          <w:tcPr>
            <w:tcW w:w="1460" w:type="dxa"/>
            <w:vAlign w:val="bottom"/>
            <w:vMerge w:val="restart"/>
          </w:tcPr>
          <w:p>
            <w:pPr>
              <w:jc w:val="right"/>
              <w:ind w:right="179"/>
              <w:spacing w:after="0"/>
              <w:rPr>
                <w:sz w:val="20"/>
                <w:szCs w:val="20"/>
                <w:color w:val="auto"/>
              </w:rPr>
            </w:pPr>
            <w:r>
              <w:rPr>
                <w:rFonts w:ascii="Courier New" w:cs="Courier New" w:eastAsia="Courier New" w:hAnsi="Courier New"/>
                <w:sz w:val="16"/>
                <w:szCs w:val="16"/>
                <w:color w:val="auto"/>
              </w:rPr>
              <w:t>$15,225,451</w:t>
            </w:r>
          </w:p>
        </w:tc>
        <w:tc>
          <w:tcPr>
            <w:tcW w:w="1340" w:type="dxa"/>
            <w:vAlign w:val="bottom"/>
            <w:gridSpan w:val="2"/>
            <w:vMerge w:val="restart"/>
          </w:tcPr>
          <w:p>
            <w:pPr>
              <w:jc w:val="right"/>
              <w:ind w:right="159"/>
              <w:spacing w:after="0"/>
              <w:rPr>
                <w:sz w:val="20"/>
                <w:szCs w:val="20"/>
                <w:color w:val="auto"/>
              </w:rPr>
            </w:pPr>
            <w:r>
              <w:rPr>
                <w:rFonts w:ascii="Courier New" w:cs="Courier New" w:eastAsia="Courier New" w:hAnsi="Courier New"/>
                <w:sz w:val="16"/>
                <w:szCs w:val="16"/>
                <w:color w:val="auto"/>
              </w:rPr>
              <w:t>$10,304,079</w:t>
            </w:r>
          </w:p>
        </w:tc>
        <w:tc>
          <w:tcPr>
            <w:tcW w:w="12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$ 8,330,090</w:t>
            </w:r>
          </w:p>
        </w:tc>
        <w:tc>
          <w:tcPr>
            <w:tcW w:w="0" w:type="dxa"/>
            <w:vAlign w:val="bottom"/>
          </w:tcPr>
          <w:p>
            <w:pPr>
              <w:spacing w:after="0"/>
              <w:rPr>
                <w:sz w:val="1"/>
                <w:szCs w:val="1"/>
                <w:color w:val="auto"/>
              </w:rPr>
            </w:pPr>
          </w:p>
        </w:tc>
      </w:tr>
      <w:tr>
        <w:trPr>
          <w:trHeight w:val="186"/>
        </w:trPr>
        <w:tc>
          <w:tcPr>
            <w:tcW w:w="3400" w:type="dxa"/>
            <w:vAlign w:val="bottom"/>
          </w:tcPr>
          <w:p>
            <w:pPr>
              <w:ind w:left="200"/>
              <w:spacing w:after="0"/>
              <w:rPr>
                <w:sz w:val="20"/>
                <w:szCs w:val="20"/>
                <w:color w:val="auto"/>
              </w:rPr>
            </w:pPr>
            <w:r>
              <w:rPr>
                <w:rFonts w:ascii="Courier New" w:cs="Courier New" w:eastAsia="Courier New" w:hAnsi="Courier New"/>
                <w:sz w:val="16"/>
                <w:szCs w:val="16"/>
                <w:color w:val="auto"/>
              </w:rPr>
              <w:t>Total Revenues...................</w:t>
            </w:r>
          </w:p>
        </w:tc>
        <w:tc>
          <w:tcPr>
            <w:tcW w:w="11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00" w:type="dxa"/>
            <w:vAlign w:val="bottom"/>
          </w:tcPr>
          <w:p>
            <w:pPr>
              <w:ind w:left="200"/>
              <w:spacing w:after="0"/>
              <w:rPr>
                <w:sz w:val="20"/>
                <w:szCs w:val="20"/>
                <w:color w:val="auto"/>
              </w:rPr>
            </w:pPr>
            <w:r>
              <w:rPr>
                <w:rFonts w:ascii="Courier New" w:cs="Courier New" w:eastAsia="Courier New" w:hAnsi="Courier New"/>
                <w:sz w:val="16"/>
                <w:szCs w:val="16"/>
                <w:color w:val="auto"/>
              </w:rPr>
              <w:t>Income (Loss) from Operations....</w:t>
            </w:r>
          </w:p>
        </w:tc>
        <w:tc>
          <w:tcPr>
            <w:tcW w:w="1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(1,835)</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381</w:t>
            </w:r>
          </w:p>
        </w:tc>
        <w:tc>
          <w:tcPr>
            <w:tcW w:w="14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(1,113,743)</w:t>
            </w:r>
          </w:p>
        </w:tc>
        <w:tc>
          <w:tcPr>
            <w:tcW w:w="134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(2,917,461)</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(1,201,802)</w:t>
            </w:r>
          </w:p>
        </w:tc>
        <w:tc>
          <w:tcPr>
            <w:tcW w:w="0" w:type="dxa"/>
            <w:vAlign w:val="bottom"/>
          </w:tcPr>
          <w:p>
            <w:pPr>
              <w:spacing w:after="0"/>
              <w:rPr>
                <w:sz w:val="1"/>
                <w:szCs w:val="1"/>
                <w:color w:val="auto"/>
              </w:rPr>
            </w:pPr>
          </w:p>
        </w:tc>
      </w:tr>
      <w:tr>
        <w:trPr>
          <w:trHeight w:val="273"/>
        </w:trPr>
        <w:tc>
          <w:tcPr>
            <w:tcW w:w="3400" w:type="dxa"/>
            <w:vAlign w:val="bottom"/>
          </w:tcPr>
          <w:p>
            <w:pPr>
              <w:ind w:left="200"/>
              <w:spacing w:after="0"/>
              <w:rPr>
                <w:sz w:val="20"/>
                <w:szCs w:val="20"/>
                <w:color w:val="auto"/>
              </w:rPr>
            </w:pPr>
            <w:r>
              <w:rPr>
                <w:rFonts w:ascii="Courier New" w:cs="Courier New" w:eastAsia="Courier New" w:hAnsi="Courier New"/>
                <w:sz w:val="16"/>
                <w:szCs w:val="16"/>
                <w:color w:val="auto"/>
              </w:rPr>
              <w:t>Net Income (Loss)................</w:t>
            </w:r>
          </w:p>
        </w:tc>
        <w:tc>
          <w:tcPr>
            <w:tcW w:w="1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(1,270)</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95</w:t>
            </w:r>
          </w:p>
        </w:tc>
        <w:tc>
          <w:tcPr>
            <w:tcW w:w="14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(1,257,628)</w:t>
            </w:r>
          </w:p>
        </w:tc>
        <w:tc>
          <w:tcPr>
            <w:tcW w:w="1340" w:type="dxa"/>
            <w:vAlign w:val="bottom"/>
            <w:gridSpan w:val="2"/>
          </w:tcPr>
          <w:p>
            <w:pPr>
              <w:jc w:val="right"/>
              <w:ind w:right="59"/>
              <w:spacing w:after="0"/>
              <w:rPr>
                <w:sz w:val="20"/>
                <w:szCs w:val="20"/>
                <w:color w:val="auto"/>
              </w:rPr>
            </w:pPr>
            <w:r>
              <w:rPr>
                <w:rFonts w:ascii="Courier New" w:cs="Courier New" w:eastAsia="Courier New" w:hAnsi="Courier New"/>
                <w:sz w:val="16"/>
                <w:szCs w:val="16"/>
                <w:color w:val="auto"/>
              </w:rPr>
              <w:t>(2,628,845)</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(750,630)</w:t>
            </w:r>
          </w:p>
        </w:tc>
        <w:tc>
          <w:tcPr>
            <w:tcW w:w="0" w:type="dxa"/>
            <w:vAlign w:val="bottom"/>
          </w:tcPr>
          <w:p>
            <w:pPr>
              <w:spacing w:after="0"/>
              <w:rPr>
                <w:sz w:val="1"/>
                <w:szCs w:val="1"/>
                <w:color w:val="auto"/>
              </w:rPr>
            </w:pPr>
          </w:p>
        </w:tc>
      </w:tr>
      <w:tr>
        <w:trPr>
          <w:trHeight w:val="846"/>
        </w:trPr>
        <w:tc>
          <w:tcPr>
            <w:tcW w:w="3400" w:type="dxa"/>
            <w:vAlign w:val="bottom"/>
          </w:tcPr>
          <w:p>
            <w:pPr>
              <w:spacing w:after="0"/>
              <w:rPr>
                <w:sz w:val="24"/>
                <w:szCs w:val="24"/>
                <w:color w:val="auto"/>
              </w:rPr>
            </w:pPr>
          </w:p>
        </w:tc>
        <w:tc>
          <w:tcPr>
            <w:tcW w:w="1980" w:type="dxa"/>
            <w:vAlign w:val="bottom"/>
            <w:gridSpan w:val="2"/>
            <w:vMerge w:val="restart"/>
          </w:tcPr>
          <w:p>
            <w:pPr>
              <w:jc w:val="center"/>
              <w:ind w:right="559"/>
              <w:spacing w:after="0"/>
              <w:rPr>
                <w:sz w:val="20"/>
                <w:szCs w:val="20"/>
                <w:color w:val="auto"/>
              </w:rPr>
            </w:pPr>
            <w:r>
              <w:rPr>
                <w:rFonts w:ascii="Courier New" w:cs="Courier New" w:eastAsia="Courier New" w:hAnsi="Courier New"/>
                <w:sz w:val="16"/>
                <w:szCs w:val="16"/>
                <w:color w:val="auto"/>
              </w:rPr>
              <w:t>DECEMBER 31,</w:t>
            </w:r>
          </w:p>
        </w:tc>
        <w:tc>
          <w:tcPr>
            <w:tcW w:w="1460" w:type="dxa"/>
            <w:vAlign w:val="bottom"/>
          </w:tcPr>
          <w:p>
            <w:pPr>
              <w:spacing w:after="0"/>
              <w:rPr>
                <w:sz w:val="24"/>
                <w:szCs w:val="24"/>
                <w:color w:val="auto"/>
              </w:rPr>
            </w:pPr>
          </w:p>
        </w:tc>
        <w:tc>
          <w:tcPr>
            <w:tcW w:w="1340" w:type="dxa"/>
            <w:vAlign w:val="bottom"/>
            <w:gridSpan w:val="2"/>
          </w:tcPr>
          <w:p>
            <w:pPr>
              <w:jc w:val="right"/>
              <w:ind w:right="339"/>
              <w:spacing w:after="0"/>
              <w:rPr>
                <w:sz w:val="20"/>
                <w:szCs w:val="20"/>
                <w:color w:val="auto"/>
              </w:rPr>
            </w:pPr>
            <w:r>
              <w:rPr>
                <w:rFonts w:ascii="Courier New" w:cs="Courier New" w:eastAsia="Courier New" w:hAnsi="Courier New"/>
                <w:sz w:val="16"/>
                <w:szCs w:val="16"/>
                <w:color w:val="auto"/>
              </w:rPr>
              <w:t>MARCH 31,</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400" w:type="dxa"/>
            <w:vAlign w:val="bottom"/>
          </w:tcPr>
          <w:p>
            <w:pPr>
              <w:spacing w:after="0"/>
              <w:rPr>
                <w:sz w:val="16"/>
                <w:szCs w:val="16"/>
                <w:color w:val="auto"/>
              </w:rPr>
            </w:pPr>
          </w:p>
        </w:tc>
        <w:tc>
          <w:tcPr>
            <w:tcW w:w="1980" w:type="dxa"/>
            <w:vAlign w:val="bottom"/>
            <w:gridSpan w:val="2"/>
            <w:vMerge w:val="continue"/>
          </w:tcPr>
          <w:p>
            <w:pPr>
              <w:spacing w:after="0"/>
              <w:rPr>
                <w:sz w:val="16"/>
                <w:szCs w:val="16"/>
                <w:color w:val="auto"/>
              </w:rPr>
            </w:pPr>
          </w:p>
        </w:tc>
        <w:tc>
          <w:tcPr>
            <w:tcW w:w="4020" w:type="dxa"/>
            <w:vAlign w:val="bottom"/>
            <w:gridSpan w:val="4"/>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3400" w:type="dxa"/>
            <w:vAlign w:val="bottom"/>
          </w:tcPr>
          <w:p>
            <w:pPr>
              <w:spacing w:after="0"/>
              <w:rPr>
                <w:sz w:val="16"/>
                <w:szCs w:val="16"/>
                <w:color w:val="auto"/>
              </w:rPr>
            </w:pPr>
          </w:p>
        </w:tc>
        <w:tc>
          <w:tcPr>
            <w:tcW w:w="116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1998</w:t>
            </w:r>
          </w:p>
        </w:tc>
        <w:tc>
          <w:tcPr>
            <w:tcW w:w="820" w:type="dxa"/>
            <w:vAlign w:val="bottom"/>
          </w:tcPr>
          <w:p>
            <w:pPr>
              <w:spacing w:after="0"/>
              <w:rPr>
                <w:sz w:val="16"/>
                <w:szCs w:val="16"/>
                <w:color w:val="auto"/>
              </w:rPr>
            </w:pPr>
          </w:p>
        </w:tc>
        <w:tc>
          <w:tcPr>
            <w:tcW w:w="1460" w:type="dxa"/>
            <w:vAlign w:val="bottom"/>
          </w:tcPr>
          <w:p>
            <w:pPr>
              <w:ind w:left="1020"/>
              <w:spacing w:after="0"/>
              <w:rPr>
                <w:sz w:val="20"/>
                <w:szCs w:val="20"/>
                <w:color w:val="auto"/>
              </w:rPr>
            </w:pPr>
            <w:r>
              <w:rPr>
                <w:rFonts w:ascii="Courier New" w:cs="Courier New" w:eastAsia="Courier New" w:hAnsi="Courier New"/>
                <w:sz w:val="16"/>
                <w:szCs w:val="16"/>
                <w:color w:val="auto"/>
              </w:rPr>
              <w:t>1998</w:t>
            </w:r>
          </w:p>
        </w:tc>
        <w:tc>
          <w:tcPr>
            <w:tcW w:w="3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1997</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3400" w:type="dxa"/>
            <w:vAlign w:val="bottom"/>
          </w:tcPr>
          <w:p>
            <w:pPr>
              <w:spacing w:after="0"/>
              <w:rPr>
                <w:sz w:val="23"/>
                <w:szCs w:val="23"/>
                <w:color w:val="auto"/>
              </w:rPr>
            </w:pPr>
          </w:p>
        </w:tc>
        <w:tc>
          <w:tcPr>
            <w:tcW w:w="1980" w:type="dxa"/>
            <w:vAlign w:val="bottom"/>
            <w:gridSpan w:val="2"/>
            <w:vMerge w:val="restart"/>
          </w:tcPr>
          <w:p>
            <w:pPr>
              <w:jc w:val="center"/>
              <w:ind w:right="559"/>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bscript"/>
              </w:rPr>
              <w:t>(UNAUDITED)</w:t>
            </w: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220" w:type="dxa"/>
            <w:vAlign w:val="bottom"/>
            <w:gridSpan w:val="2"/>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0"/>
        </w:trPr>
        <w:tc>
          <w:tcPr>
            <w:tcW w:w="340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3"/>
        </w:trPr>
        <w:tc>
          <w:tcPr>
            <w:tcW w:w="3400" w:type="dxa"/>
            <w:vAlign w:val="bottom"/>
          </w:tcPr>
          <w:p>
            <w:pPr>
              <w:spacing w:after="0"/>
              <w:rPr>
                <w:sz w:val="23"/>
                <w:szCs w:val="23"/>
                <w:color w:val="auto"/>
              </w:rPr>
            </w:pPr>
          </w:p>
        </w:tc>
        <w:tc>
          <w:tcPr>
            <w:tcW w:w="1980" w:type="dxa"/>
            <w:vAlign w:val="bottom"/>
            <w:gridSpan w:val="2"/>
          </w:tcPr>
          <w:p>
            <w:pPr>
              <w:jc w:val="center"/>
              <w:ind w:right="559"/>
              <w:spacing w:after="0"/>
              <w:rPr>
                <w:sz w:val="20"/>
                <w:szCs w:val="20"/>
                <w:color w:val="auto"/>
              </w:rPr>
            </w:pPr>
            <w:r>
              <w:rPr>
                <w:rFonts w:ascii="Courier New" w:cs="Courier New" w:eastAsia="Courier New" w:hAnsi="Courier New"/>
                <w:sz w:val="16"/>
                <w:szCs w:val="16"/>
                <w:color w:val="auto"/>
                <w:w w:val="99"/>
              </w:rPr>
              <w:t>(IN THOUSANDS)</w:t>
            </w:r>
          </w:p>
        </w:tc>
        <w:tc>
          <w:tcPr>
            <w:tcW w:w="1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340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116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$23,551</w:t>
            </w:r>
          </w:p>
        </w:tc>
        <w:tc>
          <w:tcPr>
            <w:tcW w:w="820" w:type="dxa"/>
            <w:vAlign w:val="bottom"/>
          </w:tcPr>
          <w:p>
            <w:pPr>
              <w:spacing w:after="0"/>
              <w:rPr>
                <w:sz w:val="24"/>
                <w:szCs w:val="24"/>
                <w:color w:val="auto"/>
              </w:rPr>
            </w:pPr>
          </w:p>
        </w:tc>
        <w:tc>
          <w:tcPr>
            <w:tcW w:w="180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$25,506,788</w:t>
            </w:r>
          </w:p>
        </w:tc>
        <w:tc>
          <w:tcPr>
            <w:tcW w:w="2220" w:type="dxa"/>
            <w:vAlign w:val="bottom"/>
            <w:gridSpan w:val="2"/>
            <w:vMerge w:val="restart"/>
          </w:tcPr>
          <w:p>
            <w:pPr>
              <w:jc w:val="right"/>
              <w:ind w:right="799"/>
              <w:spacing w:after="0"/>
              <w:rPr>
                <w:sz w:val="20"/>
                <w:szCs w:val="20"/>
                <w:color w:val="auto"/>
              </w:rPr>
            </w:pPr>
            <w:r>
              <w:rPr>
                <w:rFonts w:ascii="Courier New" w:cs="Courier New" w:eastAsia="Courier New" w:hAnsi="Courier New"/>
                <w:sz w:val="16"/>
                <w:szCs w:val="16"/>
                <w:color w:val="auto"/>
              </w:rPr>
              <w:t>$ 6,911,730</w:t>
            </w:r>
          </w:p>
        </w:tc>
        <w:tc>
          <w:tcPr>
            <w:tcW w:w="0" w:type="dxa"/>
            <w:vAlign w:val="bottom"/>
          </w:tcPr>
          <w:p>
            <w:pPr>
              <w:spacing w:after="0"/>
              <w:rPr>
                <w:sz w:val="1"/>
                <w:szCs w:val="1"/>
                <w:color w:val="auto"/>
              </w:rPr>
            </w:pPr>
          </w:p>
        </w:tc>
      </w:tr>
      <w:tr>
        <w:trPr>
          <w:trHeight w:val="186"/>
        </w:trPr>
        <w:tc>
          <w:tcPr>
            <w:tcW w:w="3400" w:type="dxa"/>
            <w:vAlign w:val="bottom"/>
          </w:tcPr>
          <w:p>
            <w:pPr>
              <w:ind w:left="200"/>
              <w:spacing w:after="0"/>
              <w:rPr>
                <w:sz w:val="20"/>
                <w:szCs w:val="20"/>
                <w:color w:val="auto"/>
              </w:rPr>
            </w:pPr>
            <w:r>
              <w:rPr>
                <w:rFonts w:ascii="Courier New" w:cs="Courier New" w:eastAsia="Courier New" w:hAnsi="Courier New"/>
                <w:sz w:val="16"/>
                <w:szCs w:val="16"/>
                <w:color w:val="auto"/>
              </w:rPr>
              <w:t>Current Assets.................</w:t>
            </w:r>
          </w:p>
        </w:tc>
        <w:tc>
          <w:tcPr>
            <w:tcW w:w="116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2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00" w:type="dxa"/>
            <w:vAlign w:val="bottom"/>
          </w:tcPr>
          <w:p>
            <w:pPr>
              <w:ind w:left="200"/>
              <w:spacing w:after="0"/>
              <w:rPr>
                <w:sz w:val="20"/>
                <w:szCs w:val="20"/>
                <w:color w:val="auto"/>
              </w:rPr>
            </w:pPr>
            <w:r>
              <w:rPr>
                <w:rFonts w:ascii="Courier New" w:cs="Courier New" w:eastAsia="Courier New" w:hAnsi="Courier New"/>
                <w:sz w:val="16"/>
                <w:szCs w:val="16"/>
                <w:color w:val="auto"/>
              </w:rPr>
              <w:t>Total Assets...................</w:t>
            </w:r>
          </w:p>
        </w:tc>
        <w:tc>
          <w:tcPr>
            <w:tcW w:w="1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30,385</w:t>
            </w:r>
          </w:p>
        </w:tc>
        <w:tc>
          <w:tcPr>
            <w:tcW w:w="820" w:type="dxa"/>
            <w:vAlign w:val="bottom"/>
          </w:tcPr>
          <w:p>
            <w:pPr>
              <w:spacing w:after="0"/>
              <w:rPr>
                <w:sz w:val="16"/>
                <w:szCs w:val="16"/>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27,761,238</w:t>
            </w:r>
          </w:p>
        </w:tc>
        <w:tc>
          <w:tcPr>
            <w:tcW w:w="2220" w:type="dxa"/>
            <w:vAlign w:val="bottom"/>
            <w:gridSpan w:val="2"/>
          </w:tcPr>
          <w:p>
            <w:pPr>
              <w:jc w:val="right"/>
              <w:ind w:right="799"/>
              <w:spacing w:after="0"/>
              <w:rPr>
                <w:sz w:val="20"/>
                <w:szCs w:val="20"/>
                <w:color w:val="auto"/>
              </w:rPr>
            </w:pPr>
            <w:r>
              <w:rPr>
                <w:rFonts w:ascii="Courier New" w:cs="Courier New" w:eastAsia="Courier New" w:hAnsi="Courier New"/>
                <w:sz w:val="16"/>
                <w:szCs w:val="16"/>
                <w:color w:val="auto"/>
              </w:rPr>
              <w:t>8,708,699</w:t>
            </w:r>
          </w:p>
        </w:tc>
        <w:tc>
          <w:tcPr>
            <w:tcW w:w="0" w:type="dxa"/>
            <w:vAlign w:val="bottom"/>
          </w:tcPr>
          <w:p>
            <w:pPr>
              <w:spacing w:after="0"/>
              <w:rPr>
                <w:sz w:val="1"/>
                <w:szCs w:val="1"/>
                <w:color w:val="auto"/>
              </w:rPr>
            </w:pPr>
          </w:p>
        </w:tc>
      </w:tr>
      <w:tr>
        <w:trPr>
          <w:trHeight w:val="186"/>
        </w:trPr>
        <w:tc>
          <w:tcPr>
            <w:tcW w:w="3400" w:type="dxa"/>
            <w:vAlign w:val="bottom"/>
          </w:tcPr>
          <w:p>
            <w:pPr>
              <w:ind w:left="200"/>
              <w:spacing w:after="0"/>
              <w:rPr>
                <w:sz w:val="20"/>
                <w:szCs w:val="20"/>
                <w:color w:val="auto"/>
              </w:rPr>
            </w:pPr>
            <w:r>
              <w:rPr>
                <w:rFonts w:ascii="Courier New" w:cs="Courier New" w:eastAsia="Courier New" w:hAnsi="Courier New"/>
                <w:sz w:val="16"/>
                <w:szCs w:val="16"/>
                <w:color w:val="auto"/>
              </w:rPr>
              <w:t>Current Liabilities............</w:t>
            </w:r>
          </w:p>
        </w:tc>
        <w:tc>
          <w:tcPr>
            <w:tcW w:w="1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7,090</w:t>
            </w:r>
          </w:p>
        </w:tc>
        <w:tc>
          <w:tcPr>
            <w:tcW w:w="820" w:type="dxa"/>
            <w:vAlign w:val="bottom"/>
          </w:tcPr>
          <w:p>
            <w:pPr>
              <w:spacing w:after="0"/>
              <w:rPr>
                <w:sz w:val="16"/>
                <w:szCs w:val="16"/>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6,339,648</w:t>
            </w:r>
          </w:p>
        </w:tc>
        <w:tc>
          <w:tcPr>
            <w:tcW w:w="2220" w:type="dxa"/>
            <w:vAlign w:val="bottom"/>
            <w:gridSpan w:val="2"/>
          </w:tcPr>
          <w:p>
            <w:pPr>
              <w:jc w:val="right"/>
              <w:ind w:right="799"/>
              <w:spacing w:after="0"/>
              <w:rPr>
                <w:sz w:val="20"/>
                <w:szCs w:val="20"/>
                <w:color w:val="auto"/>
              </w:rPr>
            </w:pPr>
            <w:r>
              <w:rPr>
                <w:rFonts w:ascii="Courier New" w:cs="Courier New" w:eastAsia="Courier New" w:hAnsi="Courier New"/>
                <w:sz w:val="16"/>
                <w:szCs w:val="16"/>
                <w:color w:val="auto"/>
              </w:rPr>
              <w:t>4,772,365</w:t>
            </w:r>
          </w:p>
        </w:tc>
        <w:tc>
          <w:tcPr>
            <w:tcW w:w="0" w:type="dxa"/>
            <w:vAlign w:val="bottom"/>
          </w:tcPr>
          <w:p>
            <w:pPr>
              <w:spacing w:after="0"/>
              <w:rPr>
                <w:sz w:val="1"/>
                <w:szCs w:val="1"/>
                <w:color w:val="auto"/>
              </w:rPr>
            </w:pPr>
          </w:p>
        </w:tc>
      </w:tr>
      <w:tr>
        <w:trPr>
          <w:trHeight w:val="273"/>
        </w:trPr>
        <w:tc>
          <w:tcPr>
            <w:tcW w:w="3400" w:type="dxa"/>
            <w:vAlign w:val="bottom"/>
          </w:tcPr>
          <w:p>
            <w:pPr>
              <w:ind w:left="200"/>
              <w:spacing w:after="0"/>
              <w:rPr>
                <w:sz w:val="20"/>
                <w:szCs w:val="20"/>
                <w:color w:val="auto"/>
              </w:rPr>
            </w:pPr>
            <w:r>
              <w:rPr>
                <w:rFonts w:ascii="Courier New" w:cs="Courier New" w:eastAsia="Courier New" w:hAnsi="Courier New"/>
                <w:sz w:val="16"/>
                <w:szCs w:val="16"/>
                <w:color w:val="auto"/>
              </w:rPr>
              <w:t>Stockholders' Equity...........</w:t>
            </w:r>
          </w:p>
        </w:tc>
        <w:tc>
          <w:tcPr>
            <w:tcW w:w="1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23,058</w:t>
            </w:r>
          </w:p>
        </w:tc>
        <w:tc>
          <w:tcPr>
            <w:tcW w:w="820" w:type="dxa"/>
            <w:vAlign w:val="bottom"/>
          </w:tcPr>
          <w:p>
            <w:pPr>
              <w:spacing w:after="0"/>
              <w:rPr>
                <w:sz w:val="23"/>
                <w:szCs w:val="23"/>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21,235,350</w:t>
            </w:r>
          </w:p>
        </w:tc>
        <w:tc>
          <w:tcPr>
            <w:tcW w:w="2220" w:type="dxa"/>
            <w:vAlign w:val="bottom"/>
            <w:gridSpan w:val="2"/>
          </w:tcPr>
          <w:p>
            <w:pPr>
              <w:jc w:val="right"/>
              <w:ind w:right="799"/>
              <w:spacing w:after="0"/>
              <w:rPr>
                <w:sz w:val="20"/>
                <w:szCs w:val="20"/>
                <w:color w:val="auto"/>
              </w:rPr>
            </w:pPr>
            <w:r>
              <w:rPr>
                <w:rFonts w:ascii="Courier New" w:cs="Courier New" w:eastAsia="Courier New" w:hAnsi="Courier New"/>
                <w:sz w:val="16"/>
                <w:szCs w:val="16"/>
                <w:color w:val="auto"/>
              </w:rPr>
              <w:t>3,683,157</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2459" w:firstLine="484"/>
        <w:spacing w:after="0" w:line="249" w:lineRule="auto"/>
        <w:rPr>
          <w:sz w:val="20"/>
          <w:szCs w:val="20"/>
          <w:color w:val="auto"/>
        </w:rPr>
      </w:pPr>
      <w:r>
        <w:rPr>
          <w:rFonts w:ascii="Courier New" w:cs="Courier New" w:eastAsia="Courier New" w:hAnsi="Courier New"/>
          <w:sz w:val="16"/>
          <w:szCs w:val="16"/>
          <w:color w:val="auto"/>
        </w:rPr>
        <w:t>Available Information. The Company is subject to the information filing requirements of the Exchange Act and is required to file reports and other information with the Commission relating to its business, financial condition, and other matters. Information, as of particular dates, concerning the Company's directors and officers, their remuneration, options granted to them, the principal holders of the Company's securities and any material interest of such persons in transactions with the Company is required to be described in proxy statements distributed to the Company's stockholders and filed with the Commission. These reports, proxy statements and other information should be available for inspection and copying at the Commission's office at 450 Fifth Street, N.W., Washington, D.C. 20549, and also should be available for inspection and copying at the regional offices of the Commission located at Seven World Trade Center, New York, New York 10048 and Northwestern Atrium Center, 500 West Madison Street, Suite 1400, Chicago, Illinois 60661. Copies of this material may also be obtained by mail, upon payment of the Commission's customary fees, from the Commission's principal office at 450 Fifth Street, N.W., Washington, D.C. 20549. The Commission also</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273" w:right="1440" w:bottom="1068" w:gutter="0" w:footer="0" w:header="0"/>
        </w:sectPr>
      </w:pPr>
    </w:p>
    <w:bookmarkStart w:id="21" w:name="page22"/>
    <w:bookmarkEnd w:id="21"/>
    <w:p>
      <w:pPr>
        <w:ind w:left="300"/>
        <w:spacing w:after="0"/>
        <w:rPr>
          <w:sz w:val="20"/>
          <w:szCs w:val="20"/>
          <w:color w:val="auto"/>
        </w:rPr>
      </w:pPr>
      <w:r>
        <w:rPr>
          <w:rFonts w:ascii="Courier New" w:cs="Courier New" w:eastAsia="Courier New" w:hAnsi="Courier New"/>
          <w:sz w:val="16"/>
          <w:szCs w:val="16"/>
          <w:color w:val="auto"/>
        </w:rPr>
        <w:t>14</w:t>
      </w:r>
    </w:p>
    <w:p>
      <w:pPr>
        <w:spacing w:after="0" w:line="191" w:lineRule="exact"/>
        <w:rPr>
          <w:sz w:val="20"/>
          <w:szCs w:val="20"/>
          <w:color w:val="auto"/>
        </w:rPr>
      </w:pPr>
    </w:p>
    <w:p>
      <w:pPr>
        <w:ind w:right="2959"/>
        <w:spacing w:after="0" w:line="367" w:lineRule="auto"/>
        <w:rPr>
          <w:sz w:val="20"/>
          <w:szCs w:val="20"/>
          <w:color w:val="auto"/>
        </w:rPr>
      </w:pPr>
      <w:r>
        <w:rPr>
          <w:rFonts w:ascii="Courier New" w:cs="Courier New" w:eastAsia="Courier New" w:hAnsi="Courier New"/>
          <w:sz w:val="16"/>
          <w:szCs w:val="16"/>
          <w:color w:val="auto"/>
        </w:rPr>
        <w:t>maintains an internet web site at http://www.sec.gov that contains reports, proxy statements, and other information.</w:t>
      </w:r>
    </w:p>
    <w:p>
      <w:pPr>
        <w:spacing w:after="0" w:line="5" w:lineRule="exact"/>
        <w:rPr>
          <w:sz w:val="20"/>
          <w:szCs w:val="20"/>
          <w:color w:val="auto"/>
        </w:rPr>
      </w:pPr>
    </w:p>
    <w:p>
      <w:pPr>
        <w:ind w:right="2459" w:firstLine="484"/>
        <w:spacing w:after="0" w:line="264" w:lineRule="auto"/>
        <w:rPr>
          <w:sz w:val="20"/>
          <w:szCs w:val="20"/>
          <w:color w:val="auto"/>
        </w:rPr>
      </w:pPr>
      <w:r>
        <w:rPr>
          <w:rFonts w:ascii="Courier New" w:cs="Courier New" w:eastAsia="Courier New" w:hAnsi="Courier New"/>
          <w:sz w:val="16"/>
          <w:szCs w:val="16"/>
          <w:color w:val="auto"/>
        </w:rPr>
        <w:t>Except as otherwise stated in this Offer to Purchase, the information concerning the Company contained herein has been taken from or based upon publicly available documents on file with the Commission and other publicly available information. Although the Purchaser and Parent do not have any knowledge that any such information is untrue, neither the Purchaser nor Parent takes any responsibility for the accuracy or completeness of such information or for any failure by the Company to disclose events that may have occurred and may affect the significance or accuracy of any such information.</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 CERTAIN INFORMATION CONCERNING THE PURCHASER AND PARENT</w:t>
      </w:r>
    </w:p>
    <w:p>
      <w:pPr>
        <w:spacing w:after="0" w:line="191" w:lineRule="exact"/>
        <w:rPr>
          <w:sz w:val="20"/>
          <w:szCs w:val="20"/>
          <w:color w:val="auto"/>
        </w:rPr>
      </w:pPr>
    </w:p>
    <w:p>
      <w:pPr>
        <w:ind w:right="2559" w:firstLine="484"/>
        <w:spacing w:after="0" w:line="261" w:lineRule="auto"/>
        <w:rPr>
          <w:sz w:val="20"/>
          <w:szCs w:val="20"/>
          <w:color w:val="auto"/>
        </w:rPr>
      </w:pPr>
      <w:r>
        <w:rPr>
          <w:rFonts w:ascii="Courier New" w:cs="Courier New" w:eastAsia="Courier New" w:hAnsi="Courier New"/>
          <w:sz w:val="16"/>
          <w:szCs w:val="16"/>
          <w:color w:val="auto"/>
        </w:rPr>
        <w:t>General. The Purchaser is a newly incorporated Delaware corporation and a direct wholly-owned subsidiary of Parent. To date, the Purchaser has not conducted any business other than in connection with the Offer and the Merger. Until immediately prior to the time the Purchaser purchases Shares pursuant to the Offer, it is not anticipated that the Purchaser will have any significant assets or liabilities or will engage in activities other than those incident to its formation and capitalization and the transactions contemplated by the Offer and the Merger. The principal executive offices of the Purchaser are located at 8505 Forest Lane, P.O. Box 660199, Dallas, Texas 75266-0199.</w:t>
      </w:r>
    </w:p>
    <w:p>
      <w:pPr>
        <w:spacing w:after="0" w:line="89" w:lineRule="exact"/>
        <w:rPr>
          <w:sz w:val="20"/>
          <w:szCs w:val="20"/>
          <w:color w:val="auto"/>
        </w:rPr>
      </w:pPr>
    </w:p>
    <w:p>
      <w:pPr>
        <w:ind w:right="2659" w:firstLine="484"/>
        <w:spacing w:after="0" w:line="270" w:lineRule="auto"/>
        <w:rPr>
          <w:sz w:val="20"/>
          <w:szCs w:val="20"/>
          <w:color w:val="auto"/>
        </w:rPr>
      </w:pPr>
      <w:r>
        <w:rPr>
          <w:rFonts w:ascii="Courier New" w:cs="Courier New" w:eastAsia="Courier New" w:hAnsi="Courier New"/>
          <w:sz w:val="16"/>
          <w:szCs w:val="16"/>
          <w:color w:val="auto"/>
        </w:rPr>
        <w:t>Parent is a global semiconductor company and the world's leading designer and supplier of digital signal processing and analog technologies, the engines driving the digitalization of electronics. Parent's businesses also include controls and sensors, metallurgical materials, educational and productivity solutions, and digital imaging. The principal executive offices of Parent are located at 8505 Forest Lane, P.O. Box 660199, Dallas, Texas 75266-0199.</w:t>
      </w:r>
    </w:p>
    <w:p>
      <w:pPr>
        <w:spacing w:after="0" w:line="81" w:lineRule="exact"/>
        <w:rPr>
          <w:sz w:val="20"/>
          <w:szCs w:val="20"/>
          <w:color w:val="auto"/>
        </w:rPr>
      </w:pPr>
    </w:p>
    <w:p>
      <w:pPr>
        <w:ind w:right="2759" w:firstLine="484"/>
        <w:spacing w:after="0" w:line="287" w:lineRule="auto"/>
        <w:rPr>
          <w:sz w:val="20"/>
          <w:szCs w:val="20"/>
          <w:color w:val="auto"/>
        </w:rPr>
      </w:pPr>
      <w:r>
        <w:rPr>
          <w:rFonts w:ascii="Courier New" w:cs="Courier New" w:eastAsia="Courier New" w:hAnsi="Courier New"/>
          <w:sz w:val="16"/>
          <w:szCs w:val="16"/>
          <w:color w:val="auto"/>
        </w:rPr>
        <w:t>The name, citizenship, business address, present principal occupation or employment and five-year employment history of each of the directors and executive officers of the Purchaser and Parent are set forth in Schedule I hereto.</w:t>
      </w:r>
    </w:p>
    <w:p>
      <w:pPr>
        <w:spacing w:after="0" w:line="65" w:lineRule="exact"/>
        <w:rPr>
          <w:sz w:val="20"/>
          <w:szCs w:val="20"/>
          <w:color w:val="auto"/>
        </w:rPr>
      </w:pPr>
    </w:p>
    <w:p>
      <w:pPr>
        <w:ind w:right="2559" w:firstLine="484"/>
        <w:spacing w:after="0" w:line="261" w:lineRule="auto"/>
        <w:rPr>
          <w:sz w:val="20"/>
          <w:szCs w:val="20"/>
          <w:color w:val="auto"/>
        </w:rPr>
      </w:pPr>
      <w:r>
        <w:rPr>
          <w:rFonts w:ascii="Courier New" w:cs="Courier New" w:eastAsia="Courier New" w:hAnsi="Courier New"/>
          <w:sz w:val="16"/>
          <w:szCs w:val="16"/>
          <w:color w:val="auto"/>
        </w:rPr>
        <w:t>Except as described in this Offer to Purchase, none of the Purchaser, Parent nor, to the best knowledge of the Purchaser and Parent, any of the persons listed on Schedule I or any associate or wholly-owned or majority-owned subsidiary of the Purchaser, Parent or any of the persons so listed, beneficially owns or has a right to acquire directly or indirectly any Shares, and none of the Purchaser, Parent nor, to the best knowledge of the Purchaser and Parent, any of the persons or entities referred to above, or any of the respective executive officers, directors or subsidiaries of any of the foregoing, has effected any transactions in the Shares during the past 60 days.</w:t>
      </w:r>
    </w:p>
    <w:p>
      <w:pPr>
        <w:spacing w:after="0" w:line="89" w:lineRule="exact"/>
        <w:rPr>
          <w:sz w:val="20"/>
          <w:szCs w:val="20"/>
          <w:color w:val="auto"/>
        </w:rPr>
      </w:pPr>
    </w:p>
    <w:p>
      <w:pPr>
        <w:ind w:right="2459" w:firstLine="484"/>
        <w:spacing w:after="0" w:line="255" w:lineRule="auto"/>
        <w:rPr>
          <w:sz w:val="20"/>
          <w:szCs w:val="20"/>
          <w:color w:val="auto"/>
        </w:rPr>
      </w:pPr>
      <w:r>
        <w:rPr>
          <w:rFonts w:ascii="Courier New" w:cs="Courier New" w:eastAsia="Courier New" w:hAnsi="Courier New"/>
          <w:sz w:val="16"/>
          <w:szCs w:val="16"/>
          <w:color w:val="auto"/>
        </w:rPr>
        <w:t>Except as described in this Offer to Purchase, none of the Purchaser, Parent or, to the best knowledge of the Purchaser and Parent, any of the persons listed on Schedule I, has any contract, arrangement, understanding or relationship with any other person with respect to securities of the Company, including but not limited to contracts, arrangements, understandings or relationships concerning the transfer or voting of such securities, joint ventures, loan or option arrangements, puts or calls, guarantees of loans, guarantees against loss or the giving or withholding of proxies. Except as set forth in this Offer to Purchase, since April 1, 1996 there have been no contracts, negotiations or transactions between any of the Purchaser, Parent or, to the best knowledge of the Purchaser and Parent, any of the persons listed on Schedule I, on the one hand, and the Company or its affiliates, on the other hand, concerning a merger, consolidation or acquisition, a tender offer or other acquisition of securities, an election of directors, or a sale of other transfer of a material amount of assets.</w:t>
      </w:r>
    </w:p>
    <w:p>
      <w:pPr>
        <w:spacing w:after="0" w:line="93" w:lineRule="exact"/>
        <w:rPr>
          <w:sz w:val="20"/>
          <w:szCs w:val="20"/>
          <w:color w:val="auto"/>
        </w:rPr>
      </w:pPr>
    </w:p>
    <w:p>
      <w:pPr>
        <w:ind w:right="2459" w:firstLine="484"/>
        <w:spacing w:after="0" w:line="258" w:lineRule="auto"/>
        <w:rPr>
          <w:sz w:val="20"/>
          <w:szCs w:val="20"/>
          <w:color w:val="auto"/>
        </w:rPr>
      </w:pPr>
      <w:r>
        <w:rPr>
          <w:rFonts w:ascii="Courier New" w:cs="Courier New" w:eastAsia="Courier New" w:hAnsi="Courier New"/>
          <w:sz w:val="16"/>
          <w:szCs w:val="16"/>
          <w:color w:val="auto"/>
        </w:rPr>
        <w:t>Silicon Systems, Inc., a wholly-owned subsidiary of Parent ("SSI"), supplies certain application specific integrated circuits foundry services to the Company in connection with Company's sensor manufacturing operations. During the Company's fiscal year ended March 31, 1999, the Company paid SSI approximately $2.1 million in exchange for such services. Except as described in this paragraph or as otherwise set forth in this Offer to Purchase, since April 1, 1996, none of the Purchaser, Parent or, to the best knowledge of the Purchaser and Parent, any of the persons listed on Schedule I, has had any business relationships or transactions with the Company or any of its executive officers, directors or affiliates that are required to be reported under the rules and regulations of the Commission applicable to the Offer.</w:t>
      </w:r>
    </w:p>
    <w:p>
      <w:pPr>
        <w:sectPr>
          <w:pgSz w:w="11900" w:h="16838" w:orient="portrait"/>
          <w:cols w:equalWidth="0" w:num="1">
            <w:col w:w="10219"/>
          </w:cols>
          <w:pgMar w:left="240" w:top="273" w:right="1440" w:bottom="1440" w:gutter="0" w:footer="0" w:header="0"/>
        </w:sectPr>
      </w:pPr>
    </w:p>
    <w:p>
      <w:pPr>
        <w:spacing w:after="0" w:line="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73" w:right="1440" w:bottom="1440" w:gutter="0" w:footer="0" w:header="0"/>
          <w:type w:val="continuous"/>
        </w:sectPr>
      </w:pPr>
    </w:p>
    <w:bookmarkStart w:id="22" w:name="page23"/>
    <w:bookmarkEnd w:id="22"/>
    <w:p>
      <w:pPr>
        <w:ind w:left="300"/>
        <w:spacing w:after="0"/>
        <w:rPr>
          <w:sz w:val="20"/>
          <w:szCs w:val="20"/>
          <w:color w:val="auto"/>
        </w:rPr>
      </w:pPr>
      <w:r>
        <w:rPr>
          <w:rFonts w:ascii="Courier New" w:cs="Courier New" w:eastAsia="Courier New" w:hAnsi="Courier New"/>
          <w:sz w:val="16"/>
          <w:szCs w:val="16"/>
          <w:color w:val="auto"/>
        </w:rPr>
        <w:t>15</w:t>
      </w:r>
    </w:p>
    <w:p>
      <w:pPr>
        <w:spacing w:after="0" w:line="191" w:lineRule="exact"/>
        <w:rPr>
          <w:sz w:val="20"/>
          <w:szCs w:val="20"/>
          <w:color w:val="auto"/>
        </w:rPr>
      </w:pPr>
    </w:p>
    <w:p>
      <w:pPr>
        <w:ind w:right="2559" w:firstLine="484"/>
        <w:spacing w:after="0" w:line="256" w:lineRule="auto"/>
        <w:rPr>
          <w:sz w:val="20"/>
          <w:szCs w:val="20"/>
          <w:color w:val="auto"/>
        </w:rPr>
      </w:pPr>
      <w:r>
        <w:rPr>
          <w:rFonts w:ascii="Courier New" w:cs="Courier New" w:eastAsia="Courier New" w:hAnsi="Courier New"/>
          <w:sz w:val="16"/>
          <w:szCs w:val="16"/>
          <w:color w:val="auto"/>
        </w:rPr>
        <w:t>Available Information. Parent is subject to the informational filing requirements of the Exchange Act and is required to file reports and other information with the Commission relating to its business, financial condition, and other matters. Information, as of particular dates, concerning Parent's directors and officers, their remuneration, options granted to them, the principal holders of Parent's securities and any material interest of such persons in transactions with Parent is required to be described in proxy statements distributed to Parent's stockholders and filed with the Commission. Such reports, proxy statements, and other information may be inspected and copies may be obtained from the offices of the Commission in the same manner as set forth in respect of information concerning the Company in Section 8. Such material should also be available at the offices of the NYSE, 20 Broad Street, New York, New York 10005.</w:t>
      </w:r>
    </w:p>
    <w:p>
      <w:pPr>
        <w:spacing w:after="0" w:line="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 SOURCE AND AMOUNT OF FUNDS</w:t>
      </w:r>
    </w:p>
    <w:p>
      <w:pPr>
        <w:spacing w:after="0" w:line="191" w:lineRule="exact"/>
        <w:rPr>
          <w:sz w:val="20"/>
          <w:szCs w:val="20"/>
          <w:color w:val="auto"/>
        </w:rPr>
      </w:pPr>
    </w:p>
    <w:p>
      <w:pPr>
        <w:ind w:right="2459" w:firstLine="484"/>
        <w:spacing w:after="0" w:line="266" w:lineRule="auto"/>
        <w:rPr>
          <w:sz w:val="20"/>
          <w:szCs w:val="20"/>
          <w:color w:val="auto"/>
        </w:rPr>
      </w:pPr>
      <w:r>
        <w:rPr>
          <w:rFonts w:ascii="Courier New" w:cs="Courier New" w:eastAsia="Courier New" w:hAnsi="Courier New"/>
          <w:sz w:val="16"/>
          <w:szCs w:val="16"/>
          <w:color w:val="auto"/>
        </w:rPr>
        <w:t>The total amount of funds required by the Purchaser to purchase all of the Shares pursuant to the Offer and to consummate the Merger is approximately $66.0 million. Fees and expenses related to the Offer and the Merger are estimated to be approximately $2.0 million. The Purchaser plans to obtain all funds needed for the Offer and the Merger and to pay related fees and expenses through a capital contribution from Parent. Parent plans to obtain such funds from cash on hand.</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 BACKGROUND OF THE OFFER; CONTACTS WITH THE COMPANY</w:t>
      </w:r>
    </w:p>
    <w:p>
      <w:pPr>
        <w:spacing w:after="0" w:line="191" w:lineRule="exact"/>
        <w:rPr>
          <w:sz w:val="20"/>
          <w:szCs w:val="20"/>
          <w:color w:val="auto"/>
        </w:rPr>
      </w:pPr>
    </w:p>
    <w:p>
      <w:pPr>
        <w:jc w:val="both"/>
        <w:ind w:right="2559" w:firstLine="484"/>
        <w:spacing w:after="0" w:line="307" w:lineRule="auto"/>
        <w:rPr>
          <w:sz w:val="20"/>
          <w:szCs w:val="20"/>
          <w:color w:val="auto"/>
        </w:rPr>
      </w:pPr>
      <w:r>
        <w:rPr>
          <w:rFonts w:ascii="Courier New" w:cs="Courier New" w:eastAsia="Courier New" w:hAnsi="Courier New"/>
          <w:sz w:val="16"/>
          <w:szCs w:val="16"/>
          <w:color w:val="auto"/>
        </w:rPr>
        <w:t>Set forth below is a description of the background of the Offer, including a brief description of the material contacts between Parent and its affiliates and the Company and its affiliates regarding the transactions described herein.</w:t>
      </w:r>
    </w:p>
    <w:p>
      <w:pPr>
        <w:spacing w:after="0" w:line="50" w:lineRule="exact"/>
        <w:rPr>
          <w:sz w:val="20"/>
          <w:szCs w:val="20"/>
          <w:color w:val="auto"/>
        </w:rPr>
      </w:pPr>
    </w:p>
    <w:p>
      <w:pPr>
        <w:ind w:right="2459" w:firstLine="484"/>
        <w:spacing w:after="0" w:line="266" w:lineRule="auto"/>
        <w:rPr>
          <w:sz w:val="20"/>
          <w:szCs w:val="20"/>
          <w:color w:val="auto"/>
        </w:rPr>
      </w:pPr>
      <w:r>
        <w:rPr>
          <w:rFonts w:ascii="Courier New" w:cs="Courier New" w:eastAsia="Courier New" w:hAnsi="Courier New"/>
          <w:sz w:val="16"/>
          <w:szCs w:val="16"/>
          <w:color w:val="auto"/>
        </w:rPr>
        <w:t>In December 1997, representatives of the Automotive Sensors and Controls business unit of Parent's Materials and Controls group met with representatives of the Company's management to discuss a potential collaboration with respect to certain technology and applications. Following such discussions, Parent and the Company decided not to pursue such collaboration at that time. Such discussions were not related to the subsequent contacts between Parent and the Company in connection with the Offer and the Merger.</w:t>
      </w:r>
    </w:p>
    <w:p>
      <w:pPr>
        <w:spacing w:after="0" w:line="85" w:lineRule="exact"/>
        <w:rPr>
          <w:sz w:val="20"/>
          <w:szCs w:val="20"/>
          <w:color w:val="auto"/>
        </w:rPr>
      </w:pPr>
    </w:p>
    <w:p>
      <w:pPr>
        <w:ind w:right="2559" w:firstLine="484"/>
        <w:spacing w:after="0" w:line="276" w:lineRule="auto"/>
        <w:rPr>
          <w:sz w:val="20"/>
          <w:szCs w:val="20"/>
          <w:color w:val="auto"/>
        </w:rPr>
      </w:pPr>
      <w:r>
        <w:rPr>
          <w:rFonts w:ascii="Courier New" w:cs="Courier New" w:eastAsia="Courier New" w:hAnsi="Courier New"/>
          <w:sz w:val="16"/>
          <w:szCs w:val="16"/>
          <w:color w:val="auto"/>
        </w:rPr>
        <w:t>On December 17, 1998, Parent contacted the Company to discuss general business matters. In the course of such discussions, Parent and the Company again addressed a potential collaboration. Such discussions were not related to the subsequent contacts between Parent and the Company in connection with the Offer and the Merger.</w:t>
      </w:r>
    </w:p>
    <w:p>
      <w:pPr>
        <w:spacing w:after="0" w:line="76" w:lineRule="exact"/>
        <w:rPr>
          <w:sz w:val="20"/>
          <w:szCs w:val="20"/>
          <w:color w:val="auto"/>
        </w:rPr>
      </w:pPr>
    </w:p>
    <w:p>
      <w:pPr>
        <w:ind w:right="2459" w:firstLine="484"/>
        <w:spacing w:after="0" w:line="264" w:lineRule="auto"/>
        <w:rPr>
          <w:sz w:val="20"/>
          <w:szCs w:val="20"/>
          <w:color w:val="auto"/>
        </w:rPr>
      </w:pPr>
      <w:r>
        <w:rPr>
          <w:rFonts w:ascii="Courier New" w:cs="Courier New" w:eastAsia="Courier New" w:hAnsi="Courier New"/>
          <w:sz w:val="16"/>
          <w:szCs w:val="16"/>
          <w:color w:val="auto"/>
        </w:rPr>
        <w:t>On January 14 and 15, 1999, representatives of Parent met with the Company's management in Chicago, Illinois to discuss potential synergies in marketing, product development and other areas which might result from a strategic relationship between Parent and the Company. Although such discussions did not relate to the transactions contemplated by the Offer and the Merger, at this meeting the Company informed Parent that the Company Board was considering various strategic alternatives with respect to the Company, including, among other things, a sale of the Company.</w:t>
      </w:r>
    </w:p>
    <w:p>
      <w:pPr>
        <w:spacing w:after="0" w:line="82" w:lineRule="exact"/>
        <w:rPr>
          <w:sz w:val="20"/>
          <w:szCs w:val="20"/>
          <w:color w:val="auto"/>
        </w:rPr>
      </w:pPr>
    </w:p>
    <w:p>
      <w:pPr>
        <w:ind w:right="2459" w:firstLine="484"/>
        <w:spacing w:after="0" w:line="276" w:lineRule="auto"/>
        <w:rPr>
          <w:sz w:val="20"/>
          <w:szCs w:val="20"/>
          <w:color w:val="auto"/>
        </w:rPr>
      </w:pPr>
      <w:r>
        <w:rPr>
          <w:rFonts w:ascii="Courier New" w:cs="Courier New" w:eastAsia="Courier New" w:hAnsi="Courier New"/>
          <w:sz w:val="16"/>
          <w:szCs w:val="16"/>
          <w:color w:val="auto"/>
        </w:rPr>
        <w:t>On January 22, 1999, representatives of Parent and the Company's management met in Boston, Massachusetts to continue exploratory discussions regarding a potential collaboration between the Company and Parent. Following this meeting, Parent informed the Company that it was interested in evaluating a potential acquisition of the Company.</w:t>
      </w:r>
    </w:p>
    <w:p>
      <w:pPr>
        <w:spacing w:after="0" w:line="76" w:lineRule="exact"/>
        <w:rPr>
          <w:sz w:val="20"/>
          <w:szCs w:val="20"/>
          <w:color w:val="auto"/>
        </w:rPr>
      </w:pPr>
    </w:p>
    <w:p>
      <w:pPr>
        <w:ind w:right="2659" w:firstLine="484"/>
        <w:spacing w:after="0" w:line="367" w:lineRule="auto"/>
        <w:rPr>
          <w:sz w:val="20"/>
          <w:szCs w:val="20"/>
          <w:color w:val="auto"/>
        </w:rPr>
      </w:pPr>
      <w:r>
        <w:rPr>
          <w:rFonts w:ascii="Courier New" w:cs="Courier New" w:eastAsia="Courier New" w:hAnsi="Courier New"/>
          <w:sz w:val="16"/>
          <w:szCs w:val="16"/>
          <w:color w:val="auto"/>
        </w:rPr>
        <w:t>During late January and early February, Parent conducted several internal meetings to discuss and evaluate the potential acquisition of the Company.</w:t>
      </w:r>
    </w:p>
    <w:p>
      <w:pPr>
        <w:spacing w:after="0" w:line="5" w:lineRule="exact"/>
        <w:rPr>
          <w:sz w:val="20"/>
          <w:szCs w:val="20"/>
          <w:color w:val="auto"/>
        </w:rPr>
      </w:pPr>
    </w:p>
    <w:p>
      <w:pPr>
        <w:jc w:val="both"/>
        <w:ind w:right="2759" w:firstLine="484"/>
        <w:spacing w:after="0" w:line="287" w:lineRule="auto"/>
        <w:rPr>
          <w:sz w:val="20"/>
          <w:szCs w:val="20"/>
          <w:color w:val="auto"/>
        </w:rPr>
      </w:pPr>
      <w:r>
        <w:rPr>
          <w:rFonts w:ascii="Courier New" w:cs="Courier New" w:eastAsia="Courier New" w:hAnsi="Courier New"/>
          <w:sz w:val="16"/>
          <w:szCs w:val="16"/>
          <w:color w:val="auto"/>
        </w:rPr>
        <w:t>On February 11, 1999, a representative of Parent's Corporate Development group contacted the CEO of the Company to ascertain whether the Company would consider an acquisition of the Company by Parent. The Company's CEO indicated that the Company would consider such an acquisition.</w:t>
      </w:r>
    </w:p>
    <w:p>
      <w:pPr>
        <w:spacing w:after="0" w:line="65" w:lineRule="exact"/>
        <w:rPr>
          <w:sz w:val="20"/>
          <w:szCs w:val="20"/>
          <w:color w:val="auto"/>
        </w:rPr>
      </w:pPr>
    </w:p>
    <w:p>
      <w:pPr>
        <w:ind w:right="2459" w:firstLine="484"/>
        <w:spacing w:after="0" w:line="270" w:lineRule="auto"/>
        <w:rPr>
          <w:sz w:val="20"/>
          <w:szCs w:val="20"/>
          <w:color w:val="auto"/>
        </w:rPr>
      </w:pPr>
      <w:r>
        <w:rPr>
          <w:rFonts w:ascii="Courier New" w:cs="Courier New" w:eastAsia="Courier New" w:hAnsi="Courier New"/>
          <w:sz w:val="16"/>
          <w:szCs w:val="16"/>
          <w:color w:val="auto"/>
        </w:rPr>
        <w:t>On February 17, 1999, Parent provided the Company with a form of confidentiality agreement at a meeting between representatives of Parent and the Company in San Jose, California to further discuss the potential acquisition. At such meeting, the Company made a presentation to Parent consisting of publicly available information and provided Parent with limited confidential information for purposes of Parent's evaluation of the potential acquisition.</w:t>
      </w:r>
    </w:p>
    <w:p>
      <w:pPr>
        <w:sectPr>
          <w:pgSz w:w="11900" w:h="16838" w:orient="portrait"/>
          <w:cols w:equalWidth="0" w:num="1">
            <w:col w:w="10219"/>
          </w:cols>
          <w:pgMar w:left="240" w:top="273" w:right="1440" w:bottom="1440" w:gutter="0" w:footer="0" w:header="0"/>
        </w:sectPr>
      </w:pPr>
    </w:p>
    <w:p>
      <w:pPr>
        <w:spacing w:after="0" w:line="8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273" w:right="1440" w:bottom="1440" w:gutter="0" w:footer="0" w:header="0"/>
          <w:type w:val="continuous"/>
        </w:sectPr>
      </w:pPr>
    </w:p>
    <w:bookmarkStart w:id="23" w:name="page24"/>
    <w:bookmarkEnd w:id="23"/>
    <w:p>
      <w:pPr>
        <w:ind w:left="301"/>
        <w:spacing w:after="0"/>
        <w:rPr>
          <w:sz w:val="20"/>
          <w:szCs w:val="20"/>
          <w:color w:val="auto"/>
        </w:rPr>
      </w:pPr>
      <w:r>
        <w:rPr>
          <w:rFonts w:ascii="Courier New" w:cs="Courier New" w:eastAsia="Courier New" w:hAnsi="Courier New"/>
          <w:sz w:val="16"/>
          <w:szCs w:val="16"/>
          <w:color w:val="auto"/>
        </w:rPr>
        <w:t>16</w:t>
      </w:r>
    </w:p>
    <w:p>
      <w:pPr>
        <w:spacing w:after="0" w:line="191"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Parent and the Company executed the confidentiality agreement on March 2,</w:t>
      </w:r>
    </w:p>
    <w:p>
      <w:pPr>
        <w:spacing w:after="0" w:line="3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1999 with respect to confidential information provided on and after February 17,</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1999.</w:t>
      </w:r>
    </w:p>
    <w:p>
      <w:pPr>
        <w:spacing w:after="0" w:line="161" w:lineRule="exact"/>
        <w:rPr>
          <w:sz w:val="20"/>
          <w:szCs w:val="20"/>
          <w:color w:val="auto"/>
        </w:rPr>
      </w:pPr>
    </w:p>
    <w:p>
      <w:pPr>
        <w:ind w:left="1" w:right="2559" w:firstLine="484"/>
        <w:spacing w:after="0" w:line="287" w:lineRule="auto"/>
        <w:rPr>
          <w:sz w:val="20"/>
          <w:szCs w:val="20"/>
          <w:color w:val="auto"/>
        </w:rPr>
      </w:pPr>
      <w:r>
        <w:rPr>
          <w:rFonts w:ascii="Courier New" w:cs="Courier New" w:eastAsia="Courier New" w:hAnsi="Courier New"/>
          <w:sz w:val="16"/>
          <w:szCs w:val="16"/>
          <w:color w:val="auto"/>
        </w:rPr>
        <w:t>From March 2, 1999 to early April, Parent conducted due diligence investigations through multiple visits to the Company's locations in the United States and Germany. During this period, Parent held numerous internal meetings to evaluate the potential acquisition of the Company.</w:t>
      </w:r>
    </w:p>
    <w:p>
      <w:pPr>
        <w:spacing w:after="0" w:line="65" w:lineRule="exact"/>
        <w:rPr>
          <w:sz w:val="20"/>
          <w:szCs w:val="20"/>
          <w:color w:val="auto"/>
        </w:rPr>
      </w:pPr>
    </w:p>
    <w:p>
      <w:pPr>
        <w:ind w:left="1" w:right="2559" w:firstLine="484"/>
        <w:spacing w:after="0" w:line="367" w:lineRule="auto"/>
        <w:rPr>
          <w:sz w:val="20"/>
          <w:szCs w:val="20"/>
          <w:color w:val="auto"/>
        </w:rPr>
      </w:pPr>
      <w:r>
        <w:rPr>
          <w:rFonts w:ascii="Courier New" w:cs="Courier New" w:eastAsia="Courier New" w:hAnsi="Courier New"/>
          <w:sz w:val="16"/>
          <w:szCs w:val="16"/>
          <w:color w:val="auto"/>
        </w:rPr>
        <w:t>On March 30, 1999, Parent's executive management was briefed regarding the potential acquisition of the Company.</w:t>
      </w:r>
    </w:p>
    <w:p>
      <w:pPr>
        <w:spacing w:after="0" w:line="5" w:lineRule="exact"/>
        <w:rPr>
          <w:sz w:val="20"/>
          <w:szCs w:val="20"/>
          <w:color w:val="auto"/>
        </w:rPr>
      </w:pPr>
    </w:p>
    <w:p>
      <w:pPr>
        <w:ind w:left="1" w:right="2559" w:firstLine="484"/>
        <w:spacing w:after="0" w:line="266" w:lineRule="auto"/>
        <w:rPr>
          <w:sz w:val="20"/>
          <w:szCs w:val="20"/>
          <w:color w:val="auto"/>
        </w:rPr>
      </w:pPr>
      <w:r>
        <w:rPr>
          <w:rFonts w:ascii="Courier New" w:cs="Courier New" w:eastAsia="Courier New" w:hAnsi="Courier New"/>
          <w:sz w:val="16"/>
          <w:szCs w:val="16"/>
          <w:color w:val="auto"/>
        </w:rPr>
        <w:t>On April 15, 1999, Parent provided the Company with a non-binding term sheet with respect to an acquisition of the Company by Parent. Following discussions between the Company and Parent regarding the proposed terms, on April 19, 1999, Parent delivered to the Company an executed agreement providing for exclusive merger negotiations for an exclusivity period expiring on May 7, 1999. On April 21, 1999, the Company executed the exclusivity agreement with an effective date of April 19, 1999.</w:t>
      </w:r>
    </w:p>
    <w:p>
      <w:pPr>
        <w:spacing w:after="0" w:line="85" w:lineRule="exact"/>
        <w:rPr>
          <w:sz w:val="20"/>
          <w:szCs w:val="20"/>
          <w:color w:val="auto"/>
        </w:rPr>
      </w:pPr>
    </w:p>
    <w:p>
      <w:pPr>
        <w:ind w:left="1" w:right="2459" w:firstLine="484"/>
        <w:spacing w:after="0" w:line="276" w:lineRule="auto"/>
        <w:rPr>
          <w:sz w:val="20"/>
          <w:szCs w:val="20"/>
          <w:color w:val="auto"/>
        </w:rPr>
      </w:pPr>
      <w:r>
        <w:rPr>
          <w:rFonts w:ascii="Courier New" w:cs="Courier New" w:eastAsia="Courier New" w:hAnsi="Courier New"/>
          <w:sz w:val="16"/>
          <w:szCs w:val="16"/>
          <w:color w:val="auto"/>
        </w:rPr>
        <w:t>On April 21, 1999, a presentation regarding the proposed acquisition of the Company was made to the Board of Directors of Parent. Following such presentation, Parent's Board of Directors approved the proposed acquisition and authorized Parent's executive management to negotiate and approve the final terms of the acquisition.</w:t>
      </w:r>
    </w:p>
    <w:p>
      <w:pPr>
        <w:spacing w:after="0" w:line="76" w:lineRule="exact"/>
        <w:rPr>
          <w:sz w:val="20"/>
          <w:szCs w:val="20"/>
          <w:color w:val="auto"/>
        </w:rPr>
      </w:pPr>
    </w:p>
    <w:p>
      <w:pPr>
        <w:ind w:left="1" w:right="3239" w:firstLine="484"/>
        <w:spacing w:after="0" w:line="367" w:lineRule="auto"/>
        <w:rPr>
          <w:sz w:val="20"/>
          <w:szCs w:val="20"/>
          <w:color w:val="auto"/>
        </w:rPr>
      </w:pPr>
      <w:r>
        <w:rPr>
          <w:rFonts w:ascii="Courier New" w:cs="Courier New" w:eastAsia="Courier New" w:hAnsi="Courier New"/>
          <w:sz w:val="16"/>
          <w:szCs w:val="16"/>
          <w:color w:val="auto"/>
        </w:rPr>
        <w:t>On April 23, 1999, Parent delivered a draft merger agreement to the Company.</w:t>
      </w:r>
    </w:p>
    <w:p>
      <w:pPr>
        <w:spacing w:after="0" w:line="5" w:lineRule="exact"/>
        <w:rPr>
          <w:sz w:val="20"/>
          <w:szCs w:val="20"/>
          <w:color w:val="auto"/>
        </w:rPr>
      </w:pPr>
    </w:p>
    <w:p>
      <w:pPr>
        <w:ind w:left="1" w:right="2659" w:firstLine="484"/>
        <w:spacing w:after="0" w:line="367" w:lineRule="auto"/>
        <w:rPr>
          <w:sz w:val="20"/>
          <w:szCs w:val="20"/>
          <w:color w:val="auto"/>
        </w:rPr>
      </w:pPr>
      <w:r>
        <w:rPr>
          <w:rFonts w:ascii="Courier New" w:cs="Courier New" w:eastAsia="Courier New" w:hAnsi="Courier New"/>
          <w:sz w:val="16"/>
          <w:szCs w:val="16"/>
          <w:color w:val="auto"/>
        </w:rPr>
        <w:t>On April 26, 1999, the Company's management met with the Company Board to review the terms of the draft merger agreement provided by Parent.</w:t>
      </w:r>
    </w:p>
    <w:p>
      <w:pPr>
        <w:spacing w:after="0" w:line="5" w:lineRule="exact"/>
        <w:rPr>
          <w:sz w:val="20"/>
          <w:szCs w:val="20"/>
          <w:color w:val="auto"/>
        </w:rPr>
      </w:pPr>
    </w:p>
    <w:p>
      <w:pPr>
        <w:ind w:left="1" w:right="2559" w:firstLine="484"/>
        <w:spacing w:after="0" w:line="307" w:lineRule="auto"/>
        <w:rPr>
          <w:sz w:val="20"/>
          <w:szCs w:val="20"/>
          <w:color w:val="auto"/>
        </w:rPr>
      </w:pPr>
      <w:r>
        <w:rPr>
          <w:rFonts w:ascii="Courier New" w:cs="Courier New" w:eastAsia="Courier New" w:hAnsi="Courier New"/>
          <w:sz w:val="16"/>
          <w:szCs w:val="16"/>
          <w:color w:val="auto"/>
        </w:rPr>
        <w:t>On April 28 and 29, 1999, representatives of Parent and the Company met in Palo Alto, California to negotiate the proposed merger agreement and related documents.</w:t>
      </w:r>
    </w:p>
    <w:p>
      <w:pPr>
        <w:spacing w:after="0" w:line="50" w:lineRule="exact"/>
        <w:rPr>
          <w:sz w:val="20"/>
          <w:szCs w:val="20"/>
          <w:color w:val="auto"/>
        </w:rPr>
      </w:pPr>
    </w:p>
    <w:p>
      <w:pPr>
        <w:ind w:left="1" w:right="2459" w:firstLine="484"/>
        <w:spacing w:after="0" w:line="261" w:lineRule="auto"/>
        <w:rPr>
          <w:sz w:val="20"/>
          <w:szCs w:val="20"/>
          <w:color w:val="auto"/>
        </w:rPr>
      </w:pPr>
      <w:r>
        <w:rPr>
          <w:rFonts w:ascii="Courier New" w:cs="Courier New" w:eastAsia="Courier New" w:hAnsi="Courier New"/>
          <w:sz w:val="16"/>
          <w:szCs w:val="16"/>
          <w:color w:val="auto"/>
        </w:rPr>
        <w:t>On April 30, 1999, the Company Board again met to evaluate the terms of the acquisition. At such meeting, CRI, the Company's financial advisor, made a presentation to the Company Board and delivered its oral opinion (which opinion was subsequently confirmed in writing) that the $8.05 per share cash consideration to be received by the Company's stockholders pursuant to the Offer and the Merger was fair to such stockholders from a financial point of view. At such meeting, the Company Board unanimously approved the Merger Agreement, the Offer and the Merger and unanimously resolved to recommend that the Company's stockholders accept the Offer and tender their shares pursuant thereto.</w:t>
      </w:r>
    </w:p>
    <w:p>
      <w:pPr>
        <w:spacing w:after="0" w:line="89" w:lineRule="exact"/>
        <w:rPr>
          <w:sz w:val="20"/>
          <w:szCs w:val="20"/>
          <w:color w:val="auto"/>
        </w:rPr>
      </w:pPr>
    </w:p>
    <w:p>
      <w:pPr>
        <w:ind w:left="1" w:right="2659" w:firstLine="484"/>
        <w:spacing w:after="0" w:line="287" w:lineRule="auto"/>
        <w:rPr>
          <w:sz w:val="20"/>
          <w:szCs w:val="20"/>
          <w:color w:val="auto"/>
        </w:rPr>
      </w:pPr>
      <w:r>
        <w:rPr>
          <w:rFonts w:ascii="Courier New" w:cs="Courier New" w:eastAsia="Courier New" w:hAnsi="Courier New"/>
          <w:sz w:val="16"/>
          <w:szCs w:val="16"/>
          <w:color w:val="auto"/>
        </w:rPr>
        <w:t>On May 3, 1999, Parent, the Purchaser and the Company executed and delivered the Merger Agreement and the Purchaser and the Selling Stockholders executed the Stockholders Agreement. The execution of the Merger Agreement was publicly announced on May 3, 1999, after closing of trading.</w:t>
      </w:r>
    </w:p>
    <w:p>
      <w:pPr>
        <w:spacing w:after="0" w:line="65" w:lineRule="exact"/>
        <w:rPr>
          <w:sz w:val="20"/>
          <w:szCs w:val="20"/>
          <w:color w:val="auto"/>
        </w:rPr>
      </w:pPr>
    </w:p>
    <w:p>
      <w:pPr>
        <w:ind w:left="381" w:right="2559" w:hanging="381"/>
        <w:spacing w:after="0" w:line="367" w:lineRule="auto"/>
        <w:tabs>
          <w:tab w:leader="none" w:pos="3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 OF THE OFFER AND THE MERGER; PLANS FOR THE COMPANY; MERGER AGREEMENT; STOCKHOLDERS AGREEMENT; CONFIDENTIALITY AGREEMENT; OTHER MATTERS</w:t>
      </w:r>
    </w:p>
    <w:p>
      <w:pPr>
        <w:spacing w:after="0" w:line="5"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PURPOSE OF THE OFFER AND THE MERGER; PLANS FOR THE COMPANY</w:t>
      </w:r>
    </w:p>
    <w:p>
      <w:pPr>
        <w:spacing w:after="0" w:line="191" w:lineRule="exact"/>
        <w:rPr>
          <w:sz w:val="20"/>
          <w:szCs w:val="20"/>
          <w:color w:val="auto"/>
        </w:rPr>
      </w:pPr>
    </w:p>
    <w:p>
      <w:pPr>
        <w:ind w:left="1" w:right="2459" w:firstLine="484"/>
        <w:spacing w:after="0" w:line="287" w:lineRule="auto"/>
        <w:rPr>
          <w:sz w:val="20"/>
          <w:szCs w:val="20"/>
          <w:color w:val="auto"/>
        </w:rPr>
      </w:pPr>
      <w:r>
        <w:rPr>
          <w:rFonts w:ascii="Courier New" w:cs="Courier New" w:eastAsia="Courier New" w:hAnsi="Courier New"/>
          <w:sz w:val="16"/>
          <w:szCs w:val="16"/>
          <w:color w:val="auto"/>
        </w:rPr>
        <w:t>The purpose of the Offer and the Merger is to enable Parent, through the Purchaser, to acquire in one or more transactions control of the Company Board and the entire equity interest in the Company. The Offer is intended to increase the likelihood that the Merger will be completed promptly.</w:t>
      </w:r>
    </w:p>
    <w:p>
      <w:pPr>
        <w:spacing w:after="0" w:line="65" w:lineRule="exact"/>
        <w:rPr>
          <w:sz w:val="20"/>
          <w:szCs w:val="20"/>
          <w:color w:val="auto"/>
        </w:rPr>
      </w:pPr>
    </w:p>
    <w:p>
      <w:pPr>
        <w:ind w:left="1" w:right="2459" w:firstLine="484"/>
        <w:spacing w:after="0" w:line="258" w:lineRule="auto"/>
        <w:rPr>
          <w:sz w:val="20"/>
          <w:szCs w:val="20"/>
          <w:color w:val="auto"/>
        </w:rPr>
      </w:pPr>
      <w:r>
        <w:rPr>
          <w:rFonts w:ascii="Courier New" w:cs="Courier New" w:eastAsia="Courier New" w:hAnsi="Courier New"/>
          <w:sz w:val="16"/>
          <w:szCs w:val="16"/>
          <w:color w:val="auto"/>
        </w:rPr>
        <w:t>Except as noted in this Offer to Purchase, the Purchaser and Parent have no present plan or proposal that would result in an extraordinary corporate transaction, such as a merger, reorganization, liquidation, or sale or transfer of a material amount of assets, involving the Company or any other material changes in the Company's capitalization, dividend policy, corporate structure, business or composition of its management. Notwithstanding the foregoing, Parent intends, from time to time after completion of the Offer, to evaluate and review the Company's assets, operations, management and personnel and consider what, if any, changes would be desirable in light of circumstances which then exist. Parent reserves the right to take such actions or effect such changes as it deems advisable.</w:t>
      </w:r>
    </w:p>
    <w:p>
      <w:pPr>
        <w:sectPr>
          <w:pgSz w:w="11900" w:h="16838" w:orient="portrait"/>
          <w:cols w:equalWidth="0" w:num="1">
            <w:col w:w="10220"/>
          </w:cols>
          <w:pgMar w:left="239" w:top="273" w:right="1440" w:bottom="1440" w:gutter="0" w:footer="0" w:header="0"/>
        </w:sectPr>
      </w:pPr>
    </w:p>
    <w:p>
      <w:pPr>
        <w:spacing w:after="0" w:line="93"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0"/>
          </w:cols>
          <w:pgMar w:left="239" w:top="273" w:right="1440" w:bottom="1440" w:gutter="0" w:footer="0" w:header="0"/>
          <w:type w:val="continuous"/>
        </w:sectPr>
      </w:pPr>
    </w:p>
    <w:bookmarkStart w:id="24" w:name="page25"/>
    <w:bookmarkEnd w:id="24"/>
    <w:p>
      <w:pPr>
        <w:ind w:left="300"/>
        <w:spacing w:after="0"/>
        <w:rPr>
          <w:sz w:val="20"/>
          <w:szCs w:val="20"/>
          <w:color w:val="auto"/>
        </w:rPr>
      </w:pPr>
      <w:r>
        <w:rPr>
          <w:rFonts w:ascii="Courier New" w:cs="Courier New" w:eastAsia="Courier New" w:hAnsi="Courier New"/>
          <w:sz w:val="16"/>
          <w:szCs w:val="16"/>
          <w:color w:val="auto"/>
        </w:rPr>
        <w:t>17</w:t>
      </w: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MERGER AGREEMENT</w:t>
      </w:r>
    </w:p>
    <w:p>
      <w:pPr>
        <w:spacing w:after="0" w:line="191" w:lineRule="exact"/>
        <w:rPr>
          <w:sz w:val="20"/>
          <w:szCs w:val="20"/>
          <w:color w:val="auto"/>
        </w:rPr>
      </w:pPr>
    </w:p>
    <w:p>
      <w:pPr>
        <w:ind w:right="2459" w:firstLine="484"/>
        <w:spacing w:after="0" w:line="264" w:lineRule="auto"/>
        <w:rPr>
          <w:sz w:val="20"/>
          <w:szCs w:val="20"/>
          <w:color w:val="auto"/>
        </w:rPr>
      </w:pPr>
      <w:r>
        <w:rPr>
          <w:rFonts w:ascii="Courier New" w:cs="Courier New" w:eastAsia="Courier New" w:hAnsi="Courier New"/>
          <w:sz w:val="16"/>
          <w:szCs w:val="16"/>
          <w:color w:val="auto"/>
        </w:rPr>
        <w:t>The following is a summary of certain provisions of the Merger Agreement. The summary is not a complete description of the terms thereof and is qualified in its entirety by reference to the Merger Agreement, which is incorporated herein by reference and a copy of which has been filed with the Commission as an exhibit to Parent's and the Purchaser's Tender Offer Statement on Schedule 14D-1 dated May 7, 1999 (the "Schedule 14D-1"). The Merger Agreement may be examined and copies may be obtained at the places and in the manner set forth in Section 8 of this Offer to Purchase.</w:t>
      </w:r>
    </w:p>
    <w:p>
      <w:pPr>
        <w:spacing w:after="0" w:line="82" w:lineRule="exact"/>
        <w:rPr>
          <w:sz w:val="20"/>
          <w:szCs w:val="20"/>
          <w:color w:val="auto"/>
        </w:rPr>
      </w:pPr>
    </w:p>
    <w:p>
      <w:pPr>
        <w:ind w:right="2459" w:firstLine="484"/>
        <w:spacing w:after="0" w:line="253" w:lineRule="auto"/>
        <w:rPr>
          <w:sz w:val="20"/>
          <w:szCs w:val="20"/>
          <w:color w:val="auto"/>
        </w:rPr>
      </w:pPr>
      <w:r>
        <w:rPr>
          <w:rFonts w:ascii="Courier New" w:cs="Courier New" w:eastAsia="Courier New" w:hAnsi="Courier New"/>
          <w:sz w:val="16"/>
          <w:szCs w:val="16"/>
          <w:color w:val="auto"/>
        </w:rPr>
        <w:t>The Offer. The Merger Agreement provides for the commencement of the Offer no later than five business days after the public announcement of the execution of the Merger Agreement. The Merger Agreement provides that, without the Company's prior written consent, the Purchaser cannot (i) decrease the Offer Price, (ii) decrease the number of Shares sought or otherwise amend or waive the Minimum Condition, (iii) change the form of consideration offered for the Shares, (iv) amend any other condition of the Offer in any manner adverse to the holders of the Shares (other than in respect of insignificant changes or amendments), (v) impose additional conditions to the Offer, or (vi) extend the Offer. Notwithstanding the foregoing, Parent and the Purchaser have agreed that if all the conditions to the Offer are not satisfied or waived on the initial expiration date of the Offer, or any extension thereof, then, provided that all such conditions are reasonably capable of being satisfied prior to October 31, 1999, Parent and the Purchaser shall extend the Offer from time to time until such conditions are satisfied or waived, provided that Parent and the Purchaser shall not be required to extend the Offer beyond October 31, 1999. In addition, the Offer Price may be increased and the Offer may be extended to the extent required by law in connection with such increase, in each case without the consent of the Company.</w:t>
      </w:r>
    </w:p>
    <w:p>
      <w:pPr>
        <w:spacing w:after="0" w:line="97" w:lineRule="exact"/>
        <w:rPr>
          <w:sz w:val="20"/>
          <w:szCs w:val="20"/>
          <w:color w:val="auto"/>
        </w:rPr>
      </w:pPr>
    </w:p>
    <w:p>
      <w:pPr>
        <w:ind w:right="2459" w:firstLine="484"/>
        <w:spacing w:after="0" w:line="257" w:lineRule="auto"/>
        <w:rPr>
          <w:sz w:val="20"/>
          <w:szCs w:val="20"/>
          <w:color w:val="auto"/>
        </w:rPr>
      </w:pPr>
      <w:r>
        <w:rPr>
          <w:rFonts w:ascii="Courier New" w:cs="Courier New" w:eastAsia="Courier New" w:hAnsi="Courier New"/>
          <w:sz w:val="16"/>
          <w:szCs w:val="16"/>
          <w:color w:val="auto"/>
        </w:rPr>
        <w:t>The obligation of the Purchaser to accept for payment and pay for Shares tendered pursuant to the Offer is subject to certain conditions. See Section 14. The Purchaser has agreed to accept for payment and pay for any and all Shares validly tendered as promptly as practicable after the satisfaction or waiver of the conditions to the Offer; provided that, if, immediately prior to the latest expiration date of the Offer permitted by the Merger Agreement, the number of shares validly tendered and not withdrawn pursuant to the Offer is less than 90% of the outstanding Shares, the Purchaser may extend the Offer for a period not to exceed 20 business days, and, on the terms of, and subject to the satisfaction or waiver of the conditions to, the Offer, shall accept for payment and pay for Shares validly tendered as promptly as practicable after the expiration of such period.</w:t>
      </w:r>
    </w:p>
    <w:p>
      <w:pPr>
        <w:spacing w:after="0" w:line="93" w:lineRule="exact"/>
        <w:rPr>
          <w:sz w:val="20"/>
          <w:szCs w:val="20"/>
          <w:color w:val="auto"/>
        </w:rPr>
      </w:pPr>
    </w:p>
    <w:p>
      <w:pPr>
        <w:ind w:right="2459" w:firstLine="484"/>
        <w:spacing w:after="0" w:line="251" w:lineRule="auto"/>
        <w:rPr>
          <w:sz w:val="20"/>
          <w:szCs w:val="20"/>
          <w:color w:val="auto"/>
        </w:rPr>
      </w:pPr>
      <w:r>
        <w:rPr>
          <w:rFonts w:ascii="Courier New" w:cs="Courier New" w:eastAsia="Courier New" w:hAnsi="Courier New"/>
          <w:sz w:val="16"/>
          <w:szCs w:val="16"/>
          <w:color w:val="auto"/>
        </w:rPr>
        <w:t>Directors. The Merger Agreement provides that promptly after (i) the purchase of and payment for Shares by the Purchaser and its affiliates as a result of which the Purchaser and its affiliates beneficially own at least a majority of the outstanding Shares and (ii) compliance with Section 14(f) of the Exchange Act and Rule 14f-1 promulgated thereunder, whichever occurs later, Parent shall be entitled to designate such number of directors, rounded up to the next whole number, on the Company Board as will give Parent representation on the Company Board equal to the product of the total number of directors on the Company Board (giving effect to the increase in the size of the Company Board pursuant to this sentence) multiplied by the percentage that the number of Shares beneficially owned by the Purchaser, Parent and any of their affiliates (including Shares accepted for payment) bears to the total number of Shares then outstanding. The Company shall, upon request of Parent, use its best efforts promptly either to increase the size of the Company Board or secure the resignations of such number of its incumbent directors, or both, as is necessary to enable Parent's designees to be elected to the Company Board, and shall cause Parent's designees to be so elected. Notwithstanding the foregoing, the Company, the Purchaser and Parent have agreed to use their respective reasonable best efforts to ensure that, until the Effective Time, the Company shall retain as members of the Company Board at least two Continuing Directors, defined as (i) any member of the Company Board as of the date of the Merger Agreement, (ii) any successor of a Continuing Director who is (A) unaffiliated with, and not a designee or nominee, of Parent or the Purchaser, and (B) recommended to succeed a Continuing Director by a majority of the Continuing Directors then on the Company Board, and in each case under clauses (i) and (ii), who is not an employee of the Company.</w:t>
      </w:r>
    </w:p>
    <w:p>
      <w:pPr>
        <w:sectPr>
          <w:pgSz w:w="11900" w:h="16838" w:orient="portrait"/>
          <w:cols w:equalWidth="0" w:num="1">
            <w:col w:w="10219"/>
          </w:cols>
          <w:pgMar w:left="240" w:top="273" w:right="1440" w:bottom="1440" w:gutter="0" w:footer="0" w:header="0"/>
        </w:sectPr>
      </w:pPr>
    </w:p>
    <w:p>
      <w:pPr>
        <w:spacing w:after="0" w:line="10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273" w:right="1440" w:bottom="1440" w:gutter="0" w:footer="0" w:header="0"/>
          <w:type w:val="continuous"/>
        </w:sectPr>
      </w:pPr>
    </w:p>
    <w:bookmarkStart w:id="25" w:name="page26"/>
    <w:bookmarkEnd w:id="25"/>
    <w:p>
      <w:pPr>
        <w:ind w:left="301"/>
        <w:spacing w:after="0"/>
        <w:rPr>
          <w:sz w:val="20"/>
          <w:szCs w:val="20"/>
          <w:color w:val="auto"/>
        </w:rPr>
      </w:pPr>
      <w:r>
        <w:rPr>
          <w:rFonts w:ascii="Courier New" w:cs="Courier New" w:eastAsia="Courier New" w:hAnsi="Courier New"/>
          <w:sz w:val="16"/>
          <w:szCs w:val="16"/>
          <w:color w:val="auto"/>
        </w:rPr>
        <w:t>18</w:t>
      </w:r>
    </w:p>
    <w:p>
      <w:pPr>
        <w:spacing w:after="0" w:line="191" w:lineRule="exact"/>
        <w:rPr>
          <w:sz w:val="20"/>
          <w:szCs w:val="20"/>
          <w:color w:val="auto"/>
        </w:rPr>
      </w:pPr>
    </w:p>
    <w:p>
      <w:pPr>
        <w:ind w:left="1" w:right="2459" w:firstLine="484"/>
        <w:spacing w:after="0" w:line="255" w:lineRule="auto"/>
        <w:rPr>
          <w:sz w:val="20"/>
          <w:szCs w:val="20"/>
          <w:color w:val="auto"/>
        </w:rPr>
      </w:pPr>
      <w:r>
        <w:rPr>
          <w:rFonts w:ascii="Courier New" w:cs="Courier New" w:eastAsia="Courier New" w:hAnsi="Courier New"/>
          <w:sz w:val="16"/>
          <w:szCs w:val="16"/>
          <w:color w:val="auto"/>
        </w:rPr>
        <w:t>The Merger Agreement also provides that from and after the time, if any, that Parent's designees constitute a majority of the Company Board, any amendment or modification of the Merger Agreement, any amendment to the Company's certificate of incorporation or bylaws inconsistent with the Merger Agreement, any termination of the Merger Agreement by the Company, any extension of time for performance of any of the obligations of Parent or the Purchaser under the Merger Agreement, and any waiver of any condition or any of the Company's rights under the Merger Agreement or other action by the Company in connection with the rights of the Company under the Merger Agreement may be effected only by the action of a majority of the Continuing Directors, which action shall be deemed to constitute the action of any committee specifically designated by the Company Board to approve the actions contemplated by the Merger Agreement and the full Company Board; provided, that if there are no Continuing Directors, such actions may be effected by a majority vote of the entire Company Board.</w:t>
      </w:r>
    </w:p>
    <w:p>
      <w:pPr>
        <w:spacing w:after="0" w:line="93" w:lineRule="exact"/>
        <w:rPr>
          <w:sz w:val="20"/>
          <w:szCs w:val="20"/>
          <w:color w:val="auto"/>
        </w:rPr>
      </w:pPr>
    </w:p>
    <w:p>
      <w:pPr>
        <w:ind w:left="1" w:right="2459" w:firstLine="484"/>
        <w:spacing w:after="0" w:line="252" w:lineRule="auto"/>
        <w:rPr>
          <w:sz w:val="20"/>
          <w:szCs w:val="20"/>
          <w:color w:val="auto"/>
        </w:rPr>
      </w:pPr>
      <w:r>
        <w:rPr>
          <w:rFonts w:ascii="Courier New" w:cs="Courier New" w:eastAsia="Courier New" w:hAnsi="Courier New"/>
          <w:sz w:val="16"/>
          <w:szCs w:val="16"/>
          <w:color w:val="auto"/>
        </w:rPr>
        <w:t>The Merger. The Merger Agreement provides that, subject to the terms and conditions thereof, the Purchaser will be merged with and into the Company, with the Company continuing as the Surviving Corporation (the "Surviving Corporation") and a direct wholly-owned subsidiary of Parent. At the Effective Time, by virtue of the Merger and without any action on the part of the holders of any Shares, each issued and outstanding Share (other than Shares owned by Parent, the Purchaser or any of their affiliates and Shares held by shareholders who properly exercise their dissenters' rights under the DGCL) shall be converted into the right to receive the Offer Price in cash, without interest. Each issued and outstanding share of common stock, par value $.01 per share, of the Purchaser shall be converted into and become one fully paid and non-assessable share of common stock of the Surviving Corporation. The Merger Agreement also provides that (i) the directors of the Purchaser immediately prior to the Effective Time will be the initial directors of the Surviving Corporation and the officers of the Purchaser immediately prior to the Effective Time will be the initial officers of the Surviving Corporation; (ii) the Certificate of Incorporation of the Company as in effect immediately prior to the Effective Time (the "Certificate of Incorporation"), will be the initial Certificate of Incorporation of the Surviving Corporation; and (iii) the By-laws of the Company as in effect immediately prior to the Effective Time (the "By-laws"), will be the initial By-laws of the Surviving Corporation.</w:t>
      </w:r>
    </w:p>
    <w:p>
      <w:pPr>
        <w:spacing w:after="0" w:line="103" w:lineRule="exact"/>
        <w:rPr>
          <w:sz w:val="20"/>
          <w:szCs w:val="20"/>
          <w:color w:val="auto"/>
        </w:rPr>
      </w:pPr>
    </w:p>
    <w:p>
      <w:pPr>
        <w:ind w:left="1" w:right="2659" w:firstLine="484"/>
        <w:spacing w:after="0" w:line="253" w:lineRule="auto"/>
        <w:rPr>
          <w:sz w:val="20"/>
          <w:szCs w:val="20"/>
          <w:color w:val="auto"/>
        </w:rPr>
      </w:pPr>
      <w:r>
        <w:rPr>
          <w:rFonts w:ascii="Courier New" w:cs="Courier New" w:eastAsia="Courier New" w:hAnsi="Courier New"/>
          <w:sz w:val="16"/>
          <w:szCs w:val="16"/>
          <w:color w:val="auto"/>
        </w:rPr>
        <w:t>Treatment of Options and Warrants. The Merger Agreement provides that, prior to the Effective Time, the Company (or, if appropriate, any committee of the Company Board administering the Company's 1989 Stock Option Plan and 1997 Stock Option Plan (each, a "Company Option Plan")) shall (i) obtain all necessary consents from, and provide (in a form acceptable to Parent) any required notices to, holders of Company Stock Options (as defined below) and</w:t>
      </w:r>
    </w:p>
    <w:p>
      <w:pPr>
        <w:spacing w:after="0" w:line="2" w:lineRule="exact"/>
        <w:rPr>
          <w:sz w:val="20"/>
          <w:szCs w:val="20"/>
          <w:color w:val="auto"/>
        </w:rPr>
      </w:pPr>
    </w:p>
    <w:p>
      <w:pPr>
        <w:ind w:left="1" w:right="2659" w:hanging="1"/>
        <w:spacing w:after="0" w:line="327" w:lineRule="auto"/>
        <w:tabs>
          <w:tab w:leader="none" w:pos="48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the terms of the applicable Company Option Plan, in each case as is necessary to give effect to the following:</w:t>
      </w:r>
    </w:p>
    <w:p>
      <w:pPr>
        <w:spacing w:after="0" w:line="35" w:lineRule="exact"/>
        <w:rPr>
          <w:rFonts w:ascii="Courier New" w:cs="Courier New" w:eastAsia="Courier New" w:hAnsi="Courier New"/>
          <w:sz w:val="16"/>
          <w:szCs w:val="16"/>
          <w:color w:val="auto"/>
        </w:rPr>
      </w:pPr>
    </w:p>
    <w:p>
      <w:pPr>
        <w:ind w:left="481" w:right="2459" w:firstLine="488"/>
        <w:spacing w:after="0" w:line="261" w:lineRule="auto"/>
        <w:tabs>
          <w:tab w:leader="none" w:pos="1353"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Section 16 of the Exchange Act, at the Effective Time each outstanding option to purchase Shares pursuant to the Company Option Plans (a "Company Stock Option") that is then vested pursuant to the terms of the relevant Company Option Plan (including Company Stock Options that vest at the Effective Time) shall be cancelled in exchange for the right to receive an amount in cash equal to the product of (A) the excess, if any, of the Offer Price over the per share exercise price for one Share subject to such Company Stock Option multiplied by (B) the number of vested Shares subject to such Company Stock Option.</w:t>
      </w:r>
    </w:p>
    <w:p>
      <w:pPr>
        <w:spacing w:after="0" w:line="89" w:lineRule="exact"/>
        <w:rPr>
          <w:rFonts w:ascii="Courier New" w:cs="Courier New" w:eastAsia="Courier New" w:hAnsi="Courier New"/>
          <w:sz w:val="16"/>
          <w:szCs w:val="16"/>
          <w:color w:val="auto"/>
        </w:rPr>
      </w:pPr>
    </w:p>
    <w:p>
      <w:pPr>
        <w:ind w:left="481" w:right="2459" w:firstLine="488"/>
        <w:spacing w:after="0" w:line="276" w:lineRule="auto"/>
        <w:tabs>
          <w:tab w:leader="none" w:pos="1450"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respect of each outstanding Company Stock Option that shall not vest by its terms (without any further action by the Company in respect of any Company Option Plan) at or prior to the Effective Time, Parent shall notify the Company no later than the Effective Time whether such Company Stock Option shall be subject to clause (A) or (B) below.</w:t>
      </w:r>
    </w:p>
    <w:p>
      <w:pPr>
        <w:spacing w:after="0" w:line="75" w:lineRule="exact"/>
        <w:rPr>
          <w:rFonts w:ascii="Courier New" w:cs="Courier New" w:eastAsia="Courier New" w:hAnsi="Courier New"/>
          <w:sz w:val="16"/>
          <w:szCs w:val="16"/>
          <w:color w:val="auto"/>
        </w:rPr>
      </w:pPr>
    </w:p>
    <w:p>
      <w:pPr>
        <w:ind w:left="781" w:right="2459" w:firstLine="479"/>
        <w:spacing w:after="0" w:line="261" w:lineRule="auto"/>
        <w:tabs>
          <w:tab w:leader="none" w:pos="1653" w:val="left"/>
        </w:tabs>
        <w:numPr>
          <w:ilvl w:val="2"/>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Section 16 of the Exchange Act, at the Effective Time each outstanding Company Stock Option which is designated by Parent to be subject to this clause (A) as provided above shall immediately vest and shall be cancelled in exchange for the right to receive an amount in cash equal to the product of (A) the excess, if any, of the Offer Price over the per share exercise price for one Share subject to such Company Stock Option multiplied by (B) the number of Shares subject to such Company Stock Option that vest in the manner provided above.</w:t>
      </w:r>
    </w:p>
    <w:p>
      <w:pPr>
        <w:sectPr>
          <w:pgSz w:w="11900" w:h="16838" w:orient="portrait"/>
          <w:cols w:equalWidth="0" w:num="1">
            <w:col w:w="10220"/>
          </w:cols>
          <w:pgMar w:left="239" w:top="273" w:right="1440" w:bottom="1440" w:gutter="0" w:footer="0" w:header="0"/>
        </w:sectPr>
      </w:pPr>
    </w:p>
    <w:p>
      <w:pPr>
        <w:spacing w:after="0" w:line="89"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0"/>
          </w:cols>
          <w:pgMar w:left="239" w:top="273" w:right="1440" w:bottom="1440" w:gutter="0" w:footer="0" w:header="0"/>
          <w:type w:val="continuous"/>
        </w:sectPr>
      </w:pPr>
    </w:p>
    <w:bookmarkStart w:id="26" w:name="page27"/>
    <w:bookmarkEnd w:id="26"/>
    <w:p>
      <w:pPr>
        <w:ind w:left="300"/>
        <w:spacing w:after="0"/>
        <w:rPr>
          <w:sz w:val="20"/>
          <w:szCs w:val="20"/>
          <w:color w:val="auto"/>
        </w:rPr>
      </w:pPr>
      <w:r>
        <w:rPr>
          <w:rFonts w:ascii="Courier New" w:cs="Courier New" w:eastAsia="Courier New" w:hAnsi="Courier New"/>
          <w:sz w:val="16"/>
          <w:szCs w:val="16"/>
          <w:color w:val="auto"/>
        </w:rPr>
        <w:t>19</w:t>
      </w:r>
    </w:p>
    <w:p>
      <w:pPr>
        <w:spacing w:after="0" w:line="191" w:lineRule="exact"/>
        <w:rPr>
          <w:sz w:val="20"/>
          <w:szCs w:val="20"/>
          <w:color w:val="auto"/>
        </w:rPr>
      </w:pPr>
    </w:p>
    <w:p>
      <w:pPr>
        <w:ind w:left="780" w:right="2459" w:firstLine="479"/>
        <w:spacing w:after="0" w:line="251" w:lineRule="auto"/>
        <w:tabs>
          <w:tab w:leader="none" w:pos="165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Section 16 of the Exchange Act, at the Effective Time each outstanding Company Stock Option that is designated by Parent to be subject to this clause (B) as provided above shall be exchanged by Parent and converted into a non-qualified stock option (i.e., does not qualify under Section 422 of the Code) (a "Substitute Option") to purchase the number of shares of fully paid and non-assessable shares of common stock, par value $1.00 per share, of Parent ("Parent Common Stock") (rounded up to the nearest whole share) equal to (x) the number of non-vested Shares subject to such option multiplied by (y) the Substitute Option Exchange Ratio (as defined below), at an exercise price per share of Parent Common Stock (rounded down to the nearest penny) equal to (i) the former exercise price per share of Company Common Stock under such option immediately prior to the Effective Time divided by (ii) the Substitute Option Exchange Ratio. "Substitute Option Exchange Ratio" shall mean the Offer Price divided by the average closing price of one share of Parent Common Stock (rounded to the nearest thousandth) as reported in the New York City edition of The Wall Street Journal during the five consecutive trading days beginning on the date of the Merger Agreement. Each Substitute Option shall be granted pursuant to and subject to the terms and conditions of the Parent's stock option plans and, in addition, shall be for a term of no less than ten years from the original grant date of the applicable Company Stock Option and shall have vesting provisions at least as favorable as were applicable to the converted Company Stock Option immediately prior to the Effective Time.</w:t>
      </w:r>
    </w:p>
    <w:p>
      <w:pPr>
        <w:spacing w:after="0" w:line="106" w:lineRule="exact"/>
        <w:rPr>
          <w:sz w:val="20"/>
          <w:szCs w:val="20"/>
          <w:color w:val="auto"/>
        </w:rPr>
      </w:pPr>
    </w:p>
    <w:p>
      <w:pPr>
        <w:ind w:right="2459" w:firstLine="484"/>
        <w:spacing w:after="0" w:line="256" w:lineRule="auto"/>
        <w:rPr>
          <w:sz w:val="20"/>
          <w:szCs w:val="20"/>
          <w:color w:val="auto"/>
        </w:rPr>
      </w:pPr>
      <w:r>
        <w:rPr>
          <w:rFonts w:ascii="Courier New" w:cs="Courier New" w:eastAsia="Courier New" w:hAnsi="Courier New"/>
          <w:sz w:val="16"/>
          <w:szCs w:val="16"/>
          <w:color w:val="auto"/>
        </w:rPr>
        <w:t>The Merger Agreement provides that, at the Effective Time, each outstanding warrant or similar right to purchase or otherwise acquire Shares (a "Company Warrant") shall be converted into and be exchangeable for the right to receive, in lieu of the Shares theretofore purchasable upon the exercise of the Company Warrant, an amount in cash equal to the product of (i) the excess, if any, of the Offer Price over the per share exercise price for one Share subject to such Company Warrant multiplied by (ii) the number of Shares subject to such Company Warrant. Each Company Warrant with an exercise price equal to or greater than the Offer Price shall be terminated without payment of any consideration. The Merger Agreement provides that the Company shall obtain the necessary consents of each holder of a Company Warrant to the transactions contemplated by the Merger Agreement in a form acceptable to Parent, no later than the final expiration date of the Offer.</w:t>
      </w:r>
    </w:p>
    <w:p>
      <w:pPr>
        <w:spacing w:after="0" w:line="96" w:lineRule="exact"/>
        <w:rPr>
          <w:sz w:val="20"/>
          <w:szCs w:val="20"/>
          <w:color w:val="auto"/>
        </w:rPr>
      </w:pPr>
    </w:p>
    <w:p>
      <w:pPr>
        <w:ind w:right="2459" w:firstLine="484"/>
        <w:spacing w:after="0" w:line="258" w:lineRule="auto"/>
        <w:rPr>
          <w:sz w:val="20"/>
          <w:szCs w:val="20"/>
          <w:color w:val="auto"/>
        </w:rPr>
      </w:pPr>
      <w:r>
        <w:rPr>
          <w:rFonts w:ascii="Courier New" w:cs="Courier New" w:eastAsia="Courier New" w:hAnsi="Courier New"/>
          <w:sz w:val="16"/>
          <w:szCs w:val="16"/>
          <w:color w:val="auto"/>
        </w:rPr>
        <w:t>All Company Option Plans, Company Stock Options, and Company Warrants shall terminate (subject only to the rights to receive the consideration specified above) at and as of the Effective Time and the provisions in any other plan, program, or arrangement providing for the issuance or grant of any Company Stock Options, Company Warrants, or similar instruments shall be canceled at and as of the Effective Time and the Merger Agreement provides that the Company shall take all action necessary to ensure that following the Effective Time no participant in any Company Option Plan or other plans, programs, or arrangements or holder of any Company Warrant shall have any right thereunder to acquire equity securities of the Company, the Surviving Corporation, or any subsidiary thereof and to terminate all such plans, programs, and arrangements.</w:t>
      </w:r>
    </w:p>
    <w:p>
      <w:pPr>
        <w:spacing w:after="0" w:line="93" w:lineRule="exact"/>
        <w:rPr>
          <w:sz w:val="20"/>
          <w:szCs w:val="20"/>
          <w:color w:val="auto"/>
        </w:rPr>
      </w:pPr>
    </w:p>
    <w:p>
      <w:pPr>
        <w:ind w:right="2459" w:firstLine="484"/>
        <w:spacing w:after="0" w:line="261" w:lineRule="auto"/>
        <w:rPr>
          <w:sz w:val="20"/>
          <w:szCs w:val="20"/>
          <w:color w:val="auto"/>
        </w:rPr>
      </w:pPr>
      <w:r>
        <w:rPr>
          <w:rFonts w:ascii="Courier New" w:cs="Courier New" w:eastAsia="Courier New" w:hAnsi="Courier New"/>
          <w:sz w:val="16"/>
          <w:szCs w:val="16"/>
          <w:color w:val="auto"/>
        </w:rPr>
        <w:t>Stockholders' Meeting. Pursuant to the Merger Agreement, if the Company owns less than 90% of the Shares following the purchase of Shares by the Purchaser pursuant to the Offer, the Company Board shall, in accordance with applicable law, the Certificate of Incorporation and the Bylaws, duly call, give notice of, convene and hold a special meeting of its stockholders as promptly as practicable following the acceptance for payment and purchase of Shares by the Purchaser pursuant to the Offer for the purpose of considering and taking action upon the approval of the Merger and the approval and adoption of the Merger Agreement.</w:t>
      </w:r>
    </w:p>
    <w:p>
      <w:pPr>
        <w:spacing w:after="0" w:line="89" w:lineRule="exact"/>
        <w:rPr>
          <w:sz w:val="20"/>
          <w:szCs w:val="20"/>
          <w:color w:val="auto"/>
        </w:rPr>
      </w:pPr>
    </w:p>
    <w:p>
      <w:pPr>
        <w:ind w:right="2459" w:firstLine="484"/>
        <w:spacing w:after="0" w:line="260" w:lineRule="auto"/>
        <w:rPr>
          <w:sz w:val="20"/>
          <w:szCs w:val="20"/>
          <w:color w:val="auto"/>
        </w:rPr>
      </w:pPr>
      <w:r>
        <w:rPr>
          <w:rFonts w:ascii="Courier New" w:cs="Courier New" w:eastAsia="Courier New" w:hAnsi="Courier New"/>
          <w:sz w:val="16"/>
          <w:szCs w:val="16"/>
          <w:color w:val="auto"/>
        </w:rPr>
        <w:t>The Merger Agreement also provides that the Company shall prepare and file with the Commission a preliminary proxy or information statement relating to the Merger and the Merger Agreement, obtain and furnish the information required to be included by the Commission in the Proxy Statement (as hereinafter defined) and, after consultation with Parent, respond promptly to any comments made by the Commission with respect to the preliminary proxy or information statement and cause a definitive proxy or information statement (the "Proxy Statement") to be mailed to its stockholders and use its reasonable best efforts to obtain the necessary approvals of the Merger and the Merger Agreement by its stockholders. The Merger</w:t>
      </w:r>
    </w:p>
    <w:p>
      <w:pPr>
        <w:sectPr>
          <w:pgSz w:w="11900" w:h="16838" w:orient="portrait"/>
          <w:cols w:equalWidth="0" w:num="1">
            <w:col w:w="10219"/>
          </w:cols>
          <w:pgMar w:left="240" w:top="273" w:right="1440" w:bottom="1440" w:gutter="0" w:footer="0" w:header="0"/>
        </w:sectPr>
      </w:pPr>
    </w:p>
    <w:p>
      <w:pPr>
        <w:spacing w:after="0" w:line="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273" w:right="1440" w:bottom="1440" w:gutter="0" w:footer="0" w:header="0"/>
          <w:type w:val="continuous"/>
        </w:sectPr>
      </w:pPr>
    </w:p>
    <w:bookmarkStart w:id="27" w:name="page28"/>
    <w:bookmarkEnd w:id="27"/>
    <w:p>
      <w:pPr>
        <w:ind w:left="301"/>
        <w:spacing w:after="0"/>
        <w:rPr>
          <w:sz w:val="20"/>
          <w:szCs w:val="20"/>
          <w:color w:val="auto"/>
        </w:rPr>
      </w:pPr>
      <w:r>
        <w:rPr>
          <w:rFonts w:ascii="Courier New" w:cs="Courier New" w:eastAsia="Courier New" w:hAnsi="Courier New"/>
          <w:sz w:val="16"/>
          <w:szCs w:val="16"/>
          <w:color w:val="auto"/>
        </w:rPr>
        <w:t>20</w:t>
      </w:r>
    </w:p>
    <w:p>
      <w:pPr>
        <w:spacing w:after="0" w:line="191" w:lineRule="exact"/>
        <w:rPr>
          <w:sz w:val="20"/>
          <w:szCs w:val="20"/>
          <w:color w:val="auto"/>
        </w:rPr>
      </w:pPr>
    </w:p>
    <w:p>
      <w:pPr>
        <w:ind w:left="1" w:right="2459"/>
        <w:spacing w:after="0" w:line="258" w:lineRule="auto"/>
        <w:rPr>
          <w:sz w:val="20"/>
          <w:szCs w:val="20"/>
          <w:color w:val="auto"/>
        </w:rPr>
      </w:pPr>
      <w:r>
        <w:rPr>
          <w:rFonts w:ascii="Courier New" w:cs="Courier New" w:eastAsia="Courier New" w:hAnsi="Courier New"/>
          <w:sz w:val="16"/>
          <w:szCs w:val="16"/>
          <w:color w:val="auto"/>
        </w:rPr>
        <w:t>Agreement also provides that the Company shall, subject to the fiduciary obligations of the Company Board under applicable law as advised by the Company's outside counsel, include in the Proxy Statement the recommendation of the Company Board that stockholders of the Company vote in favor of the approval of the Merger and the approval and adoption of the Merger Agreement. In the event that Parent, the Purchaser, and any of its other subsidiaries shall acquire at least 90% of the outstanding shares of each class of capital stock of the Company, pursuant to the Offer or otherwise, the parties shall take all necessary and appropriate action to cause the Merger to become effective as soon as practicable after the consummation of such acquisition, without a meeting of the Company's stockholders in accordance with Section 253 of the DGCL.</w:t>
      </w:r>
    </w:p>
    <w:p>
      <w:pPr>
        <w:spacing w:after="0" w:line="93" w:lineRule="exact"/>
        <w:rPr>
          <w:sz w:val="20"/>
          <w:szCs w:val="20"/>
          <w:color w:val="auto"/>
        </w:rPr>
      </w:pPr>
    </w:p>
    <w:p>
      <w:pPr>
        <w:ind w:left="1" w:right="2459" w:firstLine="484"/>
        <w:spacing w:after="0" w:line="250" w:lineRule="auto"/>
        <w:rPr>
          <w:sz w:val="20"/>
          <w:szCs w:val="20"/>
          <w:color w:val="auto"/>
        </w:rPr>
      </w:pPr>
      <w:r>
        <w:rPr>
          <w:rFonts w:ascii="Courier New" w:cs="Courier New" w:eastAsia="Courier New" w:hAnsi="Courier New"/>
          <w:sz w:val="16"/>
          <w:szCs w:val="16"/>
          <w:color w:val="auto"/>
        </w:rPr>
        <w:t>Representations and Warranties. The Merger Agreement contains representations and warranties of the Company with respect to, among other things (i) organization and qualification, (ii) capitalization and ownership of subsidiaries, (iii) authorization, validity of the Merger Agreement and Company action, (iv) consents and approvals and absence of violations, (v) Commission reports and financial statements, (vi) no undisclosed liabilities, (vii) absence of certain changes, (viii) material contracts, (ix) employee benefit plans and ERISA, (x) litigation, (xi) permits, absence of defaults and compliance with applicable laws, (xii) tax matters, (xiii) certain property, (xiv) intellectual property and software, (xv) environmental matters, (xvi) employee and labor matters, (xvii) information in tender offer documents and Proxy Statement,</w:t>
      </w:r>
    </w:p>
    <w:p>
      <w:pPr>
        <w:spacing w:after="0" w:line="3" w:lineRule="exact"/>
        <w:rPr>
          <w:sz w:val="20"/>
          <w:szCs w:val="20"/>
          <w:color w:val="auto"/>
        </w:rPr>
      </w:pPr>
    </w:p>
    <w:p>
      <w:pPr>
        <w:ind w:left="1" w:right="2859" w:hanging="1"/>
        <w:spacing w:after="0" w:line="273" w:lineRule="auto"/>
        <w:tabs>
          <w:tab w:leader="none" w:pos="776"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brokers and finders, (xix) insurance, (xx) absence of questionable payments, (xxi) certain subsidies, (xxii) Year 2000 matters, (xxiii) product liability and recalls, (xxiv) customer and suppliers, (xxv) state takeover statutes, and (xxvi) opinion of financial advisor.</w:t>
      </w:r>
    </w:p>
    <w:p>
      <w:pPr>
        <w:spacing w:after="0" w:line="77" w:lineRule="exact"/>
        <w:rPr>
          <w:sz w:val="20"/>
          <w:szCs w:val="20"/>
          <w:color w:val="auto"/>
        </w:rPr>
      </w:pPr>
    </w:p>
    <w:p>
      <w:pPr>
        <w:ind w:left="1" w:right="2459" w:firstLine="484"/>
        <w:spacing w:after="0" w:line="270" w:lineRule="auto"/>
        <w:rPr>
          <w:sz w:val="20"/>
          <w:szCs w:val="20"/>
          <w:color w:val="auto"/>
        </w:rPr>
      </w:pPr>
      <w:r>
        <w:rPr>
          <w:rFonts w:ascii="Courier New" w:cs="Courier New" w:eastAsia="Courier New" w:hAnsi="Courier New"/>
          <w:sz w:val="16"/>
          <w:szCs w:val="16"/>
          <w:color w:val="auto"/>
        </w:rPr>
        <w:t>The Merger Agreement contains joint and several representations and warranties of Parent and the Purchaser with respect to, among other things (i) organization, (ii) authorization, validity of the Merger Agreement and necessary action, (iii) consents and approvals and absence of violations, (iv) information in tender offer documents and Proxy Statement, (v) brokers and finders, and (vi) the Purchaser's operations.</w:t>
      </w:r>
    </w:p>
    <w:p>
      <w:pPr>
        <w:spacing w:after="0" w:line="81" w:lineRule="exact"/>
        <w:rPr>
          <w:sz w:val="20"/>
          <w:szCs w:val="20"/>
          <w:color w:val="auto"/>
        </w:rPr>
      </w:pPr>
    </w:p>
    <w:p>
      <w:pPr>
        <w:ind w:left="1" w:right="2459" w:firstLine="484"/>
        <w:spacing w:after="0" w:line="249" w:lineRule="auto"/>
        <w:rPr>
          <w:sz w:val="20"/>
          <w:szCs w:val="20"/>
          <w:color w:val="auto"/>
        </w:rPr>
      </w:pPr>
      <w:r>
        <w:rPr>
          <w:rFonts w:ascii="Courier New" w:cs="Courier New" w:eastAsia="Courier New" w:hAnsi="Courier New"/>
          <w:sz w:val="16"/>
          <w:szCs w:val="16"/>
          <w:color w:val="auto"/>
        </w:rPr>
        <w:t>Interim Operations. Pursuant to the Merger Agreement, the Company has agreed that, among other things, between the date of the Merger Agreement and prior to the Effective Time, (i) the business of the Company and its subsidiaries shall be conducted only in the ordinary and usual course of business consistent with past practice and, to the extent consistent therewith, each of the Company and its subsidiaries shall seek to preserve intact its current business organizations, keep available the service of its current officers and employees and preserve its relationships with customers, suppliers and others having business dealings with the Company to the end that goodwill and ongoing businesses shall be unimpaired at the Effective Time; and (ii) except as otherwise expressly provided in the Merger Agreement, neither the Company nor any of its subsidiaries shall, without the prior written consent of Parent, (a) amend its certificate of incorporation or bylaws or similar organizational documents; (b) authorize, issue or sell any stock of any class, or securities convertible into or exchangeable for any stock or equity equivalents other than pursuant to outstanding Company Stock Options or Company Warrants or the Company's employee stock purchase plan; (c) split, combine or reclassify its capital stock, make any distribution in respect of its capital stock, or redeem, repurchase or otherwise acquire any of its securities; (d) adopt any plan or liquidation, dissolution, merger, consolidation, restructuring, recapitalization or other reorganization; (e) alter the corporate structure or ownership of any subsidiary of the Company; (f) incur or assume additional debt or issue debt securities, guarantee or become liable for obligations of any other person, make loans, advances or capital contributions to or investments in any other person (other than to wholly owned subsidiaries or immaterial loans or advances to employees in the ordinary course of business), pledge or encumber shares of capital stock of the Company or its subsidiaries, or mortgage or pledge any material assets or create any lien thereon; (g) acquire, sell, lease or dispose of any material amount of assets, enter into any transactions outside the ordinary course of business, grant any exclusive distribution rights, grant any license, right to use or covenant not to sue in respect of any intellectual property, or disclose any trade secrets or confidential proprietary information; (h) change any accounting practices or principles except as required by laws or generally accepted accounting principles ("GAAP"); (i) revalue any assets except as required by GAAP; (j) acquire any entity or division thereof, enter or amend any material contract or agreement, authorize any new capital expenditures in excess of $250,000 individually or $1,000,000 in the aggregate, or enter into any contract, agreement or arrangement for any action prohibited by the Merger Agreement; (k) make or resolve any tax election, settle or compromise</w:t>
      </w:r>
    </w:p>
    <w:p>
      <w:pPr>
        <w:sectPr>
          <w:pgSz w:w="11900" w:h="16838" w:orient="portrait"/>
          <w:cols w:equalWidth="0" w:num="1">
            <w:col w:w="10220"/>
          </w:cols>
          <w:pgMar w:left="239" w:top="273" w:right="1440" w:bottom="1440" w:gutter="0" w:footer="0" w:header="0"/>
        </w:sectPr>
      </w:pPr>
    </w:p>
    <w:p>
      <w:pPr>
        <w:spacing w:after="0" w:line="118"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20"/>
          </w:cols>
          <w:pgMar w:left="239" w:top="273" w:right="1440" w:bottom="1440" w:gutter="0" w:footer="0" w:header="0"/>
          <w:type w:val="continuous"/>
        </w:sectPr>
      </w:pPr>
    </w:p>
    <w:bookmarkStart w:id="28" w:name="page29"/>
    <w:bookmarkEnd w:id="28"/>
    <w:p>
      <w:pPr>
        <w:ind w:left="301"/>
        <w:spacing w:after="0"/>
        <w:rPr>
          <w:sz w:val="20"/>
          <w:szCs w:val="20"/>
          <w:color w:val="auto"/>
        </w:rPr>
      </w:pPr>
      <w:r>
        <w:rPr>
          <w:rFonts w:ascii="Courier New" w:cs="Courier New" w:eastAsia="Courier New" w:hAnsi="Courier New"/>
          <w:sz w:val="16"/>
          <w:szCs w:val="16"/>
          <w:color w:val="auto"/>
        </w:rPr>
        <w:t>21</w:t>
      </w:r>
    </w:p>
    <w:p>
      <w:pPr>
        <w:spacing w:after="0" w:line="191" w:lineRule="exact"/>
        <w:rPr>
          <w:sz w:val="20"/>
          <w:szCs w:val="20"/>
          <w:color w:val="auto"/>
        </w:rPr>
      </w:pPr>
    </w:p>
    <w:p>
      <w:pPr>
        <w:ind w:left="1" w:right="2559"/>
        <w:spacing w:after="0" w:line="251" w:lineRule="auto"/>
        <w:rPr>
          <w:sz w:val="20"/>
          <w:szCs w:val="20"/>
          <w:color w:val="auto"/>
        </w:rPr>
      </w:pPr>
      <w:r>
        <w:rPr>
          <w:rFonts w:ascii="Courier New" w:cs="Courier New" w:eastAsia="Courier New" w:hAnsi="Courier New"/>
          <w:sz w:val="16"/>
          <w:szCs w:val="16"/>
          <w:color w:val="auto"/>
        </w:rPr>
        <w:t>any tax liability, or change its accounting methods for tax purposes; (l) pay, discharge or satisfy any material claim, obligations or liabilities (other than in the ordinary course of business with respect to claims, reflected in the Company's consolidated financial statements or claims incurred in the ordinary course of business) or waive or modify any confidentiality, standstill or similar agreements; (m) settle or compromise any claim, action, suit or proceeding relating to the transactions contemplated by the Merger Agreement (including, without limitation, the Offer and the Merger) (the "Transactions");</w:t>
      </w:r>
    </w:p>
    <w:p>
      <w:pPr>
        <w:spacing w:after="0" w:line="4" w:lineRule="exact"/>
        <w:rPr>
          <w:sz w:val="20"/>
          <w:szCs w:val="20"/>
          <w:color w:val="auto"/>
        </w:rPr>
      </w:pPr>
    </w:p>
    <w:p>
      <w:pPr>
        <w:ind w:left="1" w:right="2459" w:hanging="1"/>
        <w:spacing w:after="0" w:line="251" w:lineRule="auto"/>
        <w:tabs>
          <w:tab w:leader="none" w:pos="388"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any noncompetition agreement or arrangement restricting the Company, its subsidiaries or any successor thereto; (o) fail to comply in any material respect with any applicable law; (p) amend, modify, alter or terminate the stock purchase agreement between the Company and Nagano Keiki Co., Ltd. (the "Subsidiary Stock Purchase Agreement") pursuant to which the Company will purchase the stock of its subsidiary, ISS-Nagano GmbH (the "German Subsidiary"), not owned by the Company, or amend any supply arrangements between the Company or any of its subsidiaries and Nagano Keiki Co., Ltd.; (q) enter into any financial or other subsidies with any foreign or domestic governmental entity or other person; (r) change or amend the contracts, salaries or compensation of any officer, director, employee, agent or similar representative except in the ordinary course of business and that do not increase, in the aggregate, such person's salary, wages and compensation by more than five percent; (s) adopt, enter, amend, alter or terminate any employee benefit plan or arrangement unless required by applicable law or the Merger Agreement; (t) enter into any contract with an officer, director, employee, agent, or similar representative not terminable, without penalty or other liability, upon not more than 60 calendar days' notice; or (u) take or agree to take any action that would make any of the representations and warranties of the Company contained in the Merger Agreement untrue or incorrect.</w:t>
      </w:r>
    </w:p>
    <w:p>
      <w:pPr>
        <w:spacing w:after="0" w:line="92" w:lineRule="exact"/>
        <w:rPr>
          <w:sz w:val="20"/>
          <w:szCs w:val="20"/>
          <w:color w:val="auto"/>
        </w:rPr>
      </w:pPr>
    </w:p>
    <w:p>
      <w:pPr>
        <w:ind w:left="1" w:right="2459" w:firstLine="484"/>
        <w:spacing w:after="0" w:line="251" w:lineRule="auto"/>
        <w:rPr>
          <w:sz w:val="20"/>
          <w:szCs w:val="20"/>
          <w:color w:val="auto"/>
        </w:rPr>
      </w:pPr>
      <w:r>
        <w:rPr>
          <w:rFonts w:ascii="Courier New" w:cs="Courier New" w:eastAsia="Courier New" w:hAnsi="Courier New"/>
          <w:sz w:val="16"/>
          <w:szCs w:val="16"/>
          <w:color w:val="auto"/>
        </w:rPr>
        <w:t>Approvals and Consents; Notification. Parent, the Purchaser and the Company have agreed to use their reasonable best efforts to take all actions and do all things necessary, proper or advisable under applicable laws to consummate the Offer, the Merger and the other Transactions, including, without limitation, (i) making an appropriate filing pursuant to the HSR Act, supplying any additional information or documents requested pursuant to the HSR Act and taking all actions necessary to cause the expiration or termination of the applicable waiting periods under the HSR Act as soon as practicable, (ii) making all appropriate filings pursuant to the Act Against Restraint of Competition of the Federal Republic of Germany (the "German Cartel Act"), supplying any additional information or documents requested pursuant to the German Cartel Act and taking all actions necessary to cause the expiration or termination of the applicable waiting periods under the German Cartel Act as soon as practicable, and (iii) obtaining all other requisite approvals and authorizations under the HSR Act, the German Cartel Act and any other applicable antitrust or similar law. In furtherance of the foregoing, the parties have agreed to cooperate with each other in making filings and responding to investigations and inquiries (including those initiated by private parties), to keep each other informed of material communications, to use reasonable best efforts to resolve any objections to the Transactions, and to cooperate and use reasonable efforts to contest, resist and to have vacated, reversed or overturned any judicial or administrative action seeking to prohibit, prevent or restrict the consummation of the Transactions; provided, however, that such agreement between the parties shall not (i) limit the parties rights to terminate the Merger Agreement, subject to compliance with its terms (including the foregoing) or (ii) agree not to compete in any geographic area or line of business.</w:t>
      </w:r>
    </w:p>
    <w:p>
      <w:pPr>
        <w:spacing w:after="0" w:line="103" w:lineRule="exact"/>
        <w:rPr>
          <w:sz w:val="20"/>
          <w:szCs w:val="20"/>
          <w:color w:val="auto"/>
        </w:rPr>
      </w:pPr>
    </w:p>
    <w:p>
      <w:pPr>
        <w:ind w:left="1" w:right="2459" w:firstLine="484"/>
        <w:spacing w:after="0" w:line="251" w:lineRule="auto"/>
        <w:rPr>
          <w:sz w:val="20"/>
          <w:szCs w:val="20"/>
          <w:color w:val="auto"/>
        </w:rPr>
      </w:pPr>
      <w:r>
        <w:rPr>
          <w:rFonts w:ascii="Courier New" w:cs="Courier New" w:eastAsia="Courier New" w:hAnsi="Courier New"/>
          <w:sz w:val="16"/>
          <w:szCs w:val="16"/>
          <w:color w:val="auto"/>
        </w:rPr>
        <w:t>The Company has agreed to give prompt written notice to Parent and the Purchaser, and Parent and the Purchaser have agreed to give prompt notice to the Company, of (i) the occurrence or nonoccurrence of any event the occurrence or nonoccurrence of which would be likely to cause any representation or warranty contained in the Merger Agreement to be untrue or inaccurate at or prior to the Effective Time, (ii) any material failure of the Company, Parent, or Purchaser, as the case may be, to comply with or satisfy any covenant, condition, or agreement to be complied with or satisfied by it under the Merger Agreement,</w:t>
      </w:r>
    </w:p>
    <w:p>
      <w:pPr>
        <w:spacing w:after="0" w:line="4" w:lineRule="exact"/>
        <w:rPr>
          <w:sz w:val="20"/>
          <w:szCs w:val="20"/>
          <w:color w:val="auto"/>
        </w:rPr>
      </w:pPr>
    </w:p>
    <w:p>
      <w:pPr>
        <w:ind w:left="1" w:right="2459" w:hanging="1"/>
        <w:spacing w:after="0" w:line="246" w:lineRule="auto"/>
        <w:tabs>
          <w:tab w:leader="none" w:pos="582"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notice of, or other communication relating to, a default or event which, with notice, lapse of time, or both, would become a default which could reasonably be expected to have a Material Adverse Effect (as defined below) on the Company, Parent, or Purchaser, as the case may be, received by it or any of its subsidiaries subsequent to the date of the Merger Agreement and prior to the Effective Time, under any contract or agreement to which it or any of its subsidiaries is a party or is subject, (iv) any notice or other communication from any third party alleging that the consent of such third party is or may be required in connection with the Transactions, or (v) any Material Adverse Effect in their respective financial conditions, properties,</w:t>
      </w:r>
    </w:p>
    <w:p>
      <w:pPr>
        <w:spacing w:after="0" w:line="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20"/>
          </w:cols>
          <w:pgMar w:left="239" w:top="273" w:right="1440" w:bottom="1440" w:gutter="0" w:footer="0" w:header="0"/>
        </w:sectPr>
      </w:pPr>
    </w:p>
    <w:bookmarkStart w:id="29" w:name="page30"/>
    <w:bookmarkEnd w:id="29"/>
    <w:p>
      <w:pPr>
        <w:ind w:left="301"/>
        <w:spacing w:after="0"/>
        <w:rPr>
          <w:sz w:val="20"/>
          <w:szCs w:val="20"/>
          <w:color w:val="auto"/>
        </w:rPr>
      </w:pPr>
      <w:r>
        <w:rPr>
          <w:rFonts w:ascii="Courier New" w:cs="Courier New" w:eastAsia="Courier New" w:hAnsi="Courier New"/>
          <w:sz w:val="16"/>
          <w:szCs w:val="16"/>
          <w:color w:val="auto"/>
        </w:rPr>
        <w:t>22</w:t>
      </w:r>
    </w:p>
    <w:p>
      <w:pPr>
        <w:spacing w:after="0" w:line="191" w:lineRule="exact"/>
        <w:rPr>
          <w:sz w:val="20"/>
          <w:szCs w:val="20"/>
          <w:color w:val="auto"/>
        </w:rPr>
      </w:pPr>
    </w:p>
    <w:p>
      <w:pPr>
        <w:ind w:left="1" w:right="2559"/>
        <w:spacing w:after="0" w:line="276" w:lineRule="auto"/>
        <w:rPr>
          <w:sz w:val="20"/>
          <w:szCs w:val="20"/>
          <w:color w:val="auto"/>
        </w:rPr>
      </w:pPr>
      <w:r>
        <w:rPr>
          <w:rFonts w:ascii="Courier New" w:cs="Courier New" w:eastAsia="Courier New" w:hAnsi="Courier New"/>
          <w:sz w:val="16"/>
          <w:szCs w:val="16"/>
          <w:color w:val="auto"/>
        </w:rPr>
        <w:t>businesses, results of operations, or prospects, taken as a whole, other than changes resulting from general economic conditions; provided, however, that the delivery of any such notice shall not cure such breach or non-compliance or limit or otherwise affect the remedies available under the Merger Agreement to the party receiving such notice.</w:t>
      </w:r>
    </w:p>
    <w:p>
      <w:pPr>
        <w:spacing w:after="0" w:line="76" w:lineRule="exact"/>
        <w:rPr>
          <w:sz w:val="20"/>
          <w:szCs w:val="20"/>
          <w:color w:val="auto"/>
        </w:rPr>
      </w:pPr>
    </w:p>
    <w:p>
      <w:pPr>
        <w:ind w:left="1" w:right="2459" w:firstLine="484"/>
        <w:spacing w:after="0" w:line="254" w:lineRule="auto"/>
        <w:rPr>
          <w:sz w:val="20"/>
          <w:szCs w:val="20"/>
          <w:color w:val="auto"/>
        </w:rPr>
      </w:pPr>
      <w:r>
        <w:rPr>
          <w:rFonts w:ascii="Courier New" w:cs="Courier New" w:eastAsia="Courier New" w:hAnsi="Courier New"/>
          <w:sz w:val="16"/>
          <w:szCs w:val="16"/>
          <w:color w:val="auto"/>
        </w:rPr>
        <w:t>"Material Adverse Effect" means in respect of any entity, any change, circumstance, or effect that, individually or in the aggregate with all other changes, circumstances, and effects, is or is reasonably likely to be materially adverse to (i) the assets, properties, condition (financial or otherwise), or results of operations of such entity and its subsidiaries taken as a whole, or</w:t>
      </w:r>
    </w:p>
    <w:p>
      <w:pPr>
        <w:spacing w:after="0" w:line="3" w:lineRule="exact"/>
        <w:rPr>
          <w:sz w:val="20"/>
          <w:szCs w:val="20"/>
          <w:color w:val="auto"/>
        </w:rPr>
      </w:pPr>
    </w:p>
    <w:p>
      <w:pPr>
        <w:ind w:left="1" w:right="2459" w:hanging="1"/>
        <w:spacing w:after="0" w:line="246" w:lineRule="auto"/>
        <w:tabs>
          <w:tab w:leader="none" w:pos="48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of such party to consummate the transactions contemplated by the Merger Agreement; provided, however, that in respect of the Company, none of the following shall be deemed by itself or themselves, either alone or in combination, to constitute a Material Adverse Effect: (a) a failure by the Company to meet internal earnings or revenue projections or the published earnings or revenue projections of equity analysts (provided, that the foregoing shall not prevent Parent or the Purchaser from asserting that any underlying cause of such failure independently constitutes such a Material Adverse Effect);</w:t>
      </w:r>
    </w:p>
    <w:p>
      <w:pPr>
        <w:spacing w:after="0" w:line="4" w:lineRule="exact"/>
        <w:rPr>
          <w:rFonts w:ascii="Courier New" w:cs="Courier New" w:eastAsia="Courier New" w:hAnsi="Courier New"/>
          <w:sz w:val="16"/>
          <w:szCs w:val="16"/>
          <w:color w:val="auto"/>
        </w:rPr>
      </w:pPr>
    </w:p>
    <w:p>
      <w:pPr>
        <w:ind w:left="1" w:right="2459" w:hanging="1"/>
        <w:spacing w:after="0" w:line="267" w:lineRule="auto"/>
        <w:tabs>
          <w:tab w:leader="none" w:pos="388"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affecting the semiconductor industry as a whole, the automotive industry as a whole, or the U.S. economy as a whole; or (c) any disruption of customer relationship arising directly out of or resulting directly from actions contemplated by the parties in connection with, or which is directly attributable to the announcement of the Merger Agreement and the Transactions.</w:t>
      </w:r>
    </w:p>
    <w:p>
      <w:pPr>
        <w:spacing w:after="0" w:line="80" w:lineRule="exact"/>
        <w:rPr>
          <w:sz w:val="20"/>
          <w:szCs w:val="20"/>
          <w:color w:val="auto"/>
        </w:rPr>
      </w:pPr>
    </w:p>
    <w:p>
      <w:pPr>
        <w:ind w:left="1" w:right="2459" w:firstLine="484"/>
        <w:spacing w:after="0" w:line="251" w:lineRule="auto"/>
        <w:rPr>
          <w:sz w:val="20"/>
          <w:szCs w:val="20"/>
          <w:color w:val="auto"/>
        </w:rPr>
      </w:pPr>
      <w:r>
        <w:rPr>
          <w:rFonts w:ascii="Courier New" w:cs="Courier New" w:eastAsia="Courier New" w:hAnsi="Courier New"/>
          <w:sz w:val="16"/>
          <w:szCs w:val="16"/>
          <w:color w:val="auto"/>
        </w:rPr>
        <w:t>Employee Matters. Parent has agreed that United States employees of the Company who remain employees of the Surviving Corporation following the Effective Time ("Continuing U.S. Employees") shall, from and after the Effective Time, participate in Parent's benefit plans and that Parent and the Surviving Corporation will give Continuing U.S. Employees full credit for purposes of eligibility and vesting under applicable Parent benefit plans and employee arrangements to the extent each such Continuing U.S. Employee has been credited with service with the Company or any of its subsidiaries under each comparable benefit plan or employee arrangement maintained by the Company immediately prior to the Effective Time. Parent and the Surviving Corporation have agreed to use their respective reasonable efforts to: (i) waive all limitations as to pre-existing condition exclusions and waiting periods in respect of participation and coverage requirements applicable to the Continuing U.S. Employees under any of Parent's benefit plans or employee arrangements that such Continuing U.S. Employees may be eligible to participate in after the Effective Time, other than limitations or waiting periods that are already in effect in respect of such Continuing U.S. Employees and that have not been satisfied as of the Effective Time under any benefit plan or employee arrangement maintained by the Company for the Continuing U.S. Employee immediately prior to the Effective Time, and (ii) provide each Continuing U.S. Employee with credit for the remaining short plan year for any co-payments and deductibles paid under each comparable benefit plan or employee arrangement maintained by the Company immediately prior to the Effective Time in satisfying any applicable deductible or co-payment requirements under any of Parent's benefit plans or employee arrangements that such Continuing U.S. Employees are eligible to participate in after the Effective Time. Parent has also agreed to cause the Surviving Corporation to honor the obligations of the Company and its subsidiaries under the provisions of the employment, consulting, termination, severance, change of control, and indemnification agreements identified in the Merger Agreement.</w:t>
      </w:r>
    </w:p>
    <w:p>
      <w:pPr>
        <w:spacing w:after="0" w:line="93" w:lineRule="exact"/>
        <w:rPr>
          <w:sz w:val="20"/>
          <w:szCs w:val="20"/>
          <w:color w:val="auto"/>
        </w:rPr>
      </w:pPr>
    </w:p>
    <w:p>
      <w:pPr>
        <w:ind w:left="1" w:right="2459" w:firstLine="484"/>
        <w:spacing w:after="0" w:line="254" w:lineRule="auto"/>
        <w:rPr>
          <w:sz w:val="20"/>
          <w:szCs w:val="20"/>
          <w:color w:val="auto"/>
        </w:rPr>
      </w:pPr>
      <w:r>
        <w:rPr>
          <w:rFonts w:ascii="Courier New" w:cs="Courier New" w:eastAsia="Courier New" w:hAnsi="Courier New"/>
          <w:sz w:val="16"/>
          <w:szCs w:val="16"/>
          <w:color w:val="auto"/>
        </w:rPr>
        <w:t>The Company has agreed to terminate its 1997 Employee Stock Purchase Plan (the "Company Stock Purchase Plan"), including all employee salary deductions in connection therewith, on or before the date on which the Merger will be consummated (the "Closing Date"). On the Closing Date, all accumulated employee salary deductions shall be applied to the purchase of whole shares of Company Common Stock in accordance with the terms of the Company Stock Purchase Plan and any remaining employee salary deductions shall be returned to participants without interest. The shares of Company Common Stock to be delivered by the Company pursuant to the Company Stock Purchase Plan shall be converted into cash on the Closing Date in accordance with the provisions of the Merger Agreement, without further action by any participant. Further, the Company has agreed to amend, effective as of the date of the Merger Agreement, the Company Stock Purchase Plan to suspend any new offering periods or stock purchases after the date of the Merger Agreement (and any increases in employee salary deductions thereunder) except that employees currently participating therein may continue to purchase stock in the current offering period in accordance</w:t>
      </w:r>
    </w:p>
    <w:p>
      <w:pPr>
        <w:sectPr>
          <w:pgSz w:w="11900" w:h="16838" w:orient="portrait"/>
          <w:cols w:equalWidth="0" w:num="1">
            <w:col w:w="10220"/>
          </w:cols>
          <w:pgMar w:left="239" w:top="273" w:right="1440" w:bottom="1440" w:gutter="0" w:footer="0" w:header="0"/>
        </w:sectPr>
      </w:pPr>
    </w:p>
    <w:p>
      <w:pPr>
        <w:spacing w:after="0" w:line="99"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20"/>
          </w:cols>
          <w:pgMar w:left="239" w:top="273" w:right="1440" w:bottom="1440" w:gutter="0" w:footer="0" w:header="0"/>
          <w:type w:val="continuous"/>
        </w:sectPr>
      </w:pPr>
    </w:p>
    <w:bookmarkStart w:id="30" w:name="page31"/>
    <w:bookmarkEnd w:id="30"/>
    <w:p>
      <w:pPr>
        <w:ind w:left="300"/>
        <w:spacing w:after="0"/>
        <w:rPr>
          <w:sz w:val="20"/>
          <w:szCs w:val="20"/>
          <w:color w:val="auto"/>
        </w:rPr>
      </w:pPr>
      <w:r>
        <w:rPr>
          <w:rFonts w:ascii="Courier New" w:cs="Courier New" w:eastAsia="Courier New" w:hAnsi="Courier New"/>
          <w:sz w:val="16"/>
          <w:szCs w:val="16"/>
          <w:color w:val="auto"/>
        </w:rPr>
        <w:t>23</w:t>
      </w:r>
    </w:p>
    <w:p>
      <w:pPr>
        <w:spacing w:after="0" w:line="191" w:lineRule="exact"/>
        <w:rPr>
          <w:sz w:val="20"/>
          <w:szCs w:val="20"/>
          <w:color w:val="auto"/>
        </w:rPr>
      </w:pPr>
    </w:p>
    <w:p>
      <w:pPr>
        <w:ind w:right="2659"/>
        <w:spacing w:after="0" w:line="276" w:lineRule="auto"/>
        <w:rPr>
          <w:sz w:val="20"/>
          <w:szCs w:val="20"/>
          <w:color w:val="auto"/>
        </w:rPr>
      </w:pPr>
      <w:r>
        <w:rPr>
          <w:rFonts w:ascii="Courier New" w:cs="Courier New" w:eastAsia="Courier New" w:hAnsi="Courier New"/>
          <w:sz w:val="16"/>
          <w:szCs w:val="16"/>
          <w:color w:val="auto"/>
        </w:rPr>
        <w:t>with their current salary deduction election or may reduce the amount of their salary deduction election through the Closing Date. The Company has agreed to promptly notify Parent of any changes in employee salary deductions and the number of shares of Company Common Stock hereafter acquired under the Company Stock Purchase Plan.</w:t>
      </w:r>
    </w:p>
    <w:p>
      <w:pPr>
        <w:spacing w:after="0" w:line="76" w:lineRule="exact"/>
        <w:rPr>
          <w:sz w:val="20"/>
          <w:szCs w:val="20"/>
          <w:color w:val="auto"/>
        </w:rPr>
      </w:pPr>
    </w:p>
    <w:p>
      <w:pPr>
        <w:ind w:right="2459" w:firstLine="484"/>
        <w:spacing w:after="0" w:line="250" w:lineRule="auto"/>
        <w:rPr>
          <w:sz w:val="20"/>
          <w:szCs w:val="20"/>
          <w:color w:val="auto"/>
        </w:rPr>
      </w:pPr>
      <w:r>
        <w:rPr>
          <w:rFonts w:ascii="Courier New" w:cs="Courier New" w:eastAsia="Courier New" w:hAnsi="Courier New"/>
          <w:sz w:val="16"/>
          <w:szCs w:val="16"/>
          <w:color w:val="auto"/>
        </w:rPr>
        <w:t>Acquisition Proposals. The Company has agreed that, until the Merger Agreement is terminated, the Company will not, nor will it permit any of its subsidiaries to, nor will it authorize or direct any officer, director, or employee of or any investment banker, attorney, accountant, or other advisor or representative of, the Company or any of its subsidiaries to, directly or indirectly, (i) solicit, initiate, or encourage the submission of any Acquisition Proposal (as defined below) or (ii) participate in any discussions or negotiations regarding, or furnish to any person any information in respect of, or take any other action to facilitate, any Acquisition Proposal or any inquiries or the making of any proposal that constitutes, or may reasonably be expected to lead to, any Acquisition Proposal; provided, however, that the Company Board may furnish information to, or enter into discussions or negotiations with, any person that makes an unsolicited bona fide written Acquisition Proposal if, and only to the extent that (A) the Company Board, after consultation with independent legal counsel, determines in good faith that such action is necessary for the Company Board to comply with its fiduciary duties to the Company's stockholders under applicable law, (B) the Company Board determines in good faith that such Acquisition Proposal, if accepted, is reasonably likely to be consummated taking into account all legal, financial, regulatory, and other aspects of the proposal and the person making the proposal, and believes in good faith, after consolation with CRI, its financial advisor, that such Acquisition Proposal would, if consummated, result in a transaction more favorable to the Company's stockholders from a financial point of view than the Offer and the Merger (any such more favorable Acquisition Proposal being referred to herein as a "Superior Proposal"), and (C) prior to taking such action, the Company (x) provides reasonable notice to Parent to the effect that it is taking such action and (y) receives from such person making the Acquisition Proposal an executed confidentiality/standstill agreement in reasonably customary form and in any event containing terms at least as stringent as those contained in the Confidentiality Agreement between Parent and the Company described below.</w:t>
      </w:r>
    </w:p>
    <w:p>
      <w:pPr>
        <w:spacing w:after="0" w:line="110" w:lineRule="exact"/>
        <w:rPr>
          <w:sz w:val="20"/>
          <w:szCs w:val="20"/>
          <w:color w:val="auto"/>
        </w:rPr>
      </w:pPr>
    </w:p>
    <w:p>
      <w:pPr>
        <w:ind w:right="2459" w:firstLine="484"/>
        <w:spacing w:after="0" w:line="257" w:lineRule="auto"/>
        <w:rPr>
          <w:sz w:val="20"/>
          <w:szCs w:val="20"/>
          <w:color w:val="auto"/>
        </w:rPr>
      </w:pPr>
      <w:r>
        <w:rPr>
          <w:rFonts w:ascii="Courier New" w:cs="Courier New" w:eastAsia="Courier New" w:hAnsi="Courier New"/>
          <w:sz w:val="16"/>
          <w:szCs w:val="16"/>
          <w:color w:val="auto"/>
        </w:rPr>
        <w:t>"Acquisition Proposal" means an inquiry, offer, or proposal regarding any of the following (other than the transactions contemplated by the Merger Agreement) involving the Company or any of its subsidiaries: (i) any merger, consolidation, share exchange, recapitalization, business combination, or other similar transaction; (ii) any sale, lease, exchange, mortgage, pledge, transfer, or other disposition of all or substantially all the assets of the Company and its subsidiaries, taken as a whole, in a single transaction or series of related transactions; (iii) any tender offer or exchange offer for 20% or more of the outstanding Shares or the filing of a registration statement under the Securities Act of 1933, as amended (the "Securities Act") in connection therewith; or (iv) any public announcement of a proposal, plan or intention to do any of the foregoing or any agreement to engage in any of the foregoing.</w:t>
      </w:r>
    </w:p>
    <w:p>
      <w:pPr>
        <w:spacing w:after="0" w:line="93" w:lineRule="exact"/>
        <w:rPr>
          <w:sz w:val="20"/>
          <w:szCs w:val="20"/>
          <w:color w:val="auto"/>
        </w:rPr>
      </w:pPr>
    </w:p>
    <w:p>
      <w:pPr>
        <w:ind w:right="2459" w:firstLine="484"/>
        <w:spacing w:after="0" w:line="252" w:lineRule="auto"/>
        <w:rPr>
          <w:sz w:val="20"/>
          <w:szCs w:val="20"/>
          <w:color w:val="auto"/>
        </w:rPr>
      </w:pPr>
      <w:r>
        <w:rPr>
          <w:rFonts w:ascii="Courier New" w:cs="Courier New" w:eastAsia="Courier New" w:hAnsi="Courier New"/>
          <w:sz w:val="16"/>
          <w:szCs w:val="16"/>
          <w:color w:val="auto"/>
        </w:rPr>
        <w:t>Prior to providing any information to or entering into discussions or negotiations with any person in connection with an Acquisition Proposal by such person, the Company shall notify Parent of any Acquisition Proposal (including the material terms and conditions thereof and the identity of the person making it) as promptly as practicable (but in no case later than 24 hours) after its receipt thereof, and shall provide Parent with a copy of any written Acquisition Proposal or amendments or supplements thereto, and shall thereafter inform Parent on a prompt basis of the status of any discussions or negotiations with such third party, and any material changes to the terms and conditions of such Acquisition Proposal, and shall promptly give Parent a copy of any information delivered to such person which has not previously been reviewed by Parent. The Merger Agreement provides that immediately after the execution and delivery thereof, the Company will, and will cause its subsidiaries and affiliates, and their respective officers, directors, employees, investment bankers, attorneys, accountants, and other agents and representatives to, cease and terminate any existing activities, discussions, or negotiations with any parties conducted prior to the date of the Merger Agreement in respect of any possible Acquisition Proposal and shall notify each party that it, or any officer, director, investment advisor, financial advisor, attorney, or other agent or representative retained by it, has had discussions with during the 30 days prior to the date of the Merger Agreement that the Company Board no longer seeks the making of any Acquisition Proposal.</w:t>
      </w:r>
    </w:p>
    <w:p>
      <w:pPr>
        <w:sectPr>
          <w:pgSz w:w="11900" w:h="16838" w:orient="portrait"/>
          <w:cols w:equalWidth="0" w:num="1">
            <w:col w:w="10219"/>
          </w:cols>
          <w:pgMar w:left="240" w:top="273" w:right="1440" w:bottom="1440" w:gutter="0" w:footer="0" w:header="0"/>
        </w:sectPr>
      </w:pPr>
    </w:p>
    <w:p>
      <w:pPr>
        <w:spacing w:after="0" w:line="9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273" w:right="1440" w:bottom="1440" w:gutter="0" w:footer="0" w:header="0"/>
          <w:type w:val="continuous"/>
        </w:sectPr>
      </w:pPr>
    </w:p>
    <w:bookmarkStart w:id="31" w:name="page32"/>
    <w:bookmarkEnd w:id="31"/>
    <w:p>
      <w:pPr>
        <w:ind w:left="300"/>
        <w:spacing w:after="0"/>
        <w:rPr>
          <w:sz w:val="20"/>
          <w:szCs w:val="20"/>
          <w:color w:val="auto"/>
        </w:rPr>
      </w:pPr>
      <w:r>
        <w:rPr>
          <w:rFonts w:ascii="Courier New" w:cs="Courier New" w:eastAsia="Courier New" w:hAnsi="Courier New"/>
          <w:sz w:val="16"/>
          <w:szCs w:val="16"/>
          <w:color w:val="auto"/>
        </w:rPr>
        <w:t>24</w:t>
      </w:r>
    </w:p>
    <w:p>
      <w:pPr>
        <w:spacing w:after="0" w:line="191" w:lineRule="exact"/>
        <w:rPr>
          <w:sz w:val="20"/>
          <w:szCs w:val="20"/>
          <w:color w:val="auto"/>
        </w:rPr>
      </w:pPr>
    </w:p>
    <w:p>
      <w:pPr>
        <w:ind w:right="2459" w:firstLine="484"/>
        <w:spacing w:after="0" w:line="252" w:lineRule="auto"/>
        <w:rPr>
          <w:sz w:val="20"/>
          <w:szCs w:val="20"/>
          <w:color w:val="auto"/>
        </w:rPr>
      </w:pPr>
      <w:r>
        <w:rPr>
          <w:rFonts w:ascii="Courier New" w:cs="Courier New" w:eastAsia="Courier New" w:hAnsi="Courier New"/>
          <w:sz w:val="16"/>
          <w:szCs w:val="16"/>
          <w:color w:val="auto"/>
        </w:rPr>
        <w:t>In addition, the Company has agreed that the Company Board will not withdraw or modify, or propose to withdraw or modify, in a manner adverse to Parent, its approval or recommendation of the Merger Agreement, the Offer, or the Merger unless the Company Board after consultation with independent legal counsel, determines in good faith that such action is necessary for the Company Board to comply with its fiduciary duties to the Company's stockholders under applicable law; provided, however, that the Company Board may not approve or recommend (and in connection therewith, withdraw or modify its approval or recommendation of the Merger Agreement, the Offer, or the Merger) an Acquisition Proposal unless such an Acquisition Proposal is a Superior Proposal (and the Company shall have first complied with its obligations described below in clause (iv)(a) under "Termination") and unless it shall have first consulted with independent legal counsel, and have determined that such action is necessary for the Company Board to comply with its fiduciary duties to the Company's stockholders. Notwithstanding the foregoing, the Company shall not be prohibited from taking and disclosing to its stockholders a position contemplated by Rule 14e-2(a) promulgated under the Exchange Act or from making any disclosure to the Company's stockholders which, in the good faith reasonable judgment of the Company Board, after consultation with independent legal counsel, is required under applicable law; provided, however, that except as otherwise permitted in this paragraph, the Company does not withdraw or modify, or propose to withdraw or modify, its position in respect of the Offer or the Merger, or approve or recommend, or propose to approve or recommend, an Acquisition Proposal.</w:t>
      </w:r>
    </w:p>
    <w:p>
      <w:pPr>
        <w:spacing w:after="0" w:line="95" w:lineRule="exact"/>
        <w:rPr>
          <w:sz w:val="20"/>
          <w:szCs w:val="20"/>
          <w:color w:val="auto"/>
        </w:rPr>
      </w:pPr>
    </w:p>
    <w:p>
      <w:pPr>
        <w:ind w:right="2459" w:firstLine="484"/>
        <w:spacing w:after="0" w:line="252" w:lineRule="auto"/>
        <w:rPr>
          <w:sz w:val="20"/>
          <w:szCs w:val="20"/>
          <w:color w:val="auto"/>
        </w:rPr>
      </w:pPr>
      <w:r>
        <w:rPr>
          <w:rFonts w:ascii="Courier New" w:cs="Courier New" w:eastAsia="Courier New" w:hAnsi="Courier New"/>
          <w:sz w:val="16"/>
          <w:szCs w:val="16"/>
          <w:color w:val="auto"/>
        </w:rPr>
        <w:t>Indemnification of Directors, Officers and Employees. From and after the Effective Time, the Surviving Corporation shall, and Parent shall cause the Surviving Corporation to the fullest extent permitted by applicable law, indemnify, defend, and hold harmless each person who at or prior to the date of the Merger Agreement or the Effective Time, is or was a director, officer, or employee of the Company or any subsidiary thereof against all losses, expenses (including, reasonable attorneys' fees and expenses), claims, damages, or liabilities or, subject to certain restrictions, amounts paid in settlement, arising out of actions or omissions occurring at or prior to the Effective Time and whether asserted or claimed prior to, at, or after the Effective Time that are in whole or in part (i) based on, or arising out of the fact that such person is or was a director, officer, or employee of the Company or such subsidiary thereof or (ii) based on, arising out of, or pertaining to the transactions contemplated by the Merger Agreement. In addition, Parent and the Purchase have agreed that, to the fullest extent permitted by law, from and after the Effective Time, all rights to indemnification in favor of the employees, agents, directors, or officers of the Company and its subsidiaries in respect of their activities as such prior to the Effective Time, as provided in the Company's Certificate of Incorporation or Bylaws, in effect on the date thereof or otherwise in effect on the date of the Merger Agreement, shall survive the Merger and shall continue in full force and effect for a period of not less than six years from the Effective Time.</w:t>
      </w:r>
    </w:p>
    <w:p>
      <w:pPr>
        <w:spacing w:after="0" w:line="99" w:lineRule="exact"/>
        <w:rPr>
          <w:sz w:val="20"/>
          <w:szCs w:val="20"/>
          <w:color w:val="auto"/>
        </w:rPr>
      </w:pPr>
    </w:p>
    <w:p>
      <w:pPr>
        <w:ind w:right="2459" w:firstLine="484"/>
        <w:spacing w:after="0" w:line="261" w:lineRule="auto"/>
        <w:rPr>
          <w:sz w:val="20"/>
          <w:szCs w:val="20"/>
          <w:color w:val="auto"/>
        </w:rPr>
      </w:pPr>
      <w:r>
        <w:rPr>
          <w:rFonts w:ascii="Courier New" w:cs="Courier New" w:eastAsia="Courier New" w:hAnsi="Courier New"/>
          <w:sz w:val="16"/>
          <w:szCs w:val="16"/>
          <w:color w:val="auto"/>
        </w:rPr>
        <w:t>Shareholder Litigation. The Merger Agreement provides that in connection with any litigation which may be brought against the Company or its directors relating to the transactions contemplated thereby, the Company will keep Parent, and any counsel which Parent may retain at its own expense, informed of the course of such litigation, to the extent Parent is not otherwise a party thereto. The Company has also agreed that it will consult with Parent prior to entering into any settlement or compromise of any such shareholder litigation and will not enter into any such settlement or compromise without Parent's prior written consent, which consent shall not be unreasonably withheld.</w:t>
      </w:r>
    </w:p>
    <w:p>
      <w:pPr>
        <w:spacing w:after="0" w:line="89" w:lineRule="exact"/>
        <w:rPr>
          <w:sz w:val="20"/>
          <w:szCs w:val="20"/>
          <w:color w:val="auto"/>
        </w:rPr>
      </w:pPr>
    </w:p>
    <w:p>
      <w:pPr>
        <w:ind w:right="2459" w:firstLine="484"/>
        <w:spacing w:after="0" w:line="254" w:lineRule="auto"/>
        <w:rPr>
          <w:sz w:val="20"/>
          <w:szCs w:val="20"/>
          <w:color w:val="auto"/>
        </w:rPr>
      </w:pPr>
      <w:r>
        <w:rPr>
          <w:rFonts w:ascii="Courier New" w:cs="Courier New" w:eastAsia="Courier New" w:hAnsi="Courier New"/>
          <w:sz w:val="16"/>
          <w:szCs w:val="16"/>
          <w:color w:val="auto"/>
        </w:rPr>
        <w:t>Conditions to the Merger. The Merger Agreement provides that the respective obligations of each party to effect the Merger shall be subject to the satisfaction, at or prior to the Effective Time, of the following conditions, any or all of which may be waived in whole or in part by the party benefited thereby, to the extent permitted by applicable law: (i) the Merger Agreement shall have been approved and adopted by the requisite vote of the Company's stockholders if required by applicable law; (ii) any waiting period applicable to the Merger under the HSR Act and the German Cartel Act shall have expired or early termination thereof shall have been granted without limitation, restriction or condition; (iii) there shall not be in effect any law of any governmental entity of competent jurisdiction, restraining, enjoining, or otherwise preventing consummation of the Transactions or permitting such consummation only subject to any condition or restriction that has or would reasonably be expected to have, individually or in the aggregate, a Material Adverse Effect on the Company (or an effect on Parent and its subsidiaries that, were such effect applied to the Company and its</w:t>
      </w:r>
    </w:p>
    <w:p>
      <w:pPr>
        <w:sectPr>
          <w:pgSz w:w="11900" w:h="16838" w:orient="portrait"/>
          <w:cols w:equalWidth="0" w:num="1">
            <w:col w:w="10219"/>
          </w:cols>
          <w:pgMar w:left="240" w:top="273" w:right="1440" w:bottom="1440" w:gutter="0" w:footer="0" w:header="0"/>
        </w:sectPr>
      </w:pPr>
    </w:p>
    <w:p>
      <w:pPr>
        <w:spacing w:after="0" w:line="9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273" w:right="1440" w:bottom="1440" w:gutter="0" w:footer="0" w:header="0"/>
          <w:type w:val="continuous"/>
        </w:sectPr>
      </w:pPr>
    </w:p>
    <w:bookmarkStart w:id="32" w:name="page33"/>
    <w:bookmarkEnd w:id="32"/>
    <w:p>
      <w:pPr>
        <w:ind w:left="301"/>
        <w:spacing w:after="0"/>
        <w:rPr>
          <w:sz w:val="20"/>
          <w:szCs w:val="20"/>
          <w:color w:val="auto"/>
        </w:rPr>
      </w:pPr>
      <w:r>
        <w:rPr>
          <w:rFonts w:ascii="Courier New" w:cs="Courier New" w:eastAsia="Courier New" w:hAnsi="Courier New"/>
          <w:sz w:val="16"/>
          <w:szCs w:val="16"/>
          <w:color w:val="auto"/>
        </w:rPr>
        <w:t>25</w:t>
      </w:r>
    </w:p>
    <w:p>
      <w:pPr>
        <w:spacing w:after="0" w:line="191" w:lineRule="exact"/>
        <w:rPr>
          <w:sz w:val="20"/>
          <w:szCs w:val="20"/>
          <w:color w:val="auto"/>
        </w:rPr>
      </w:pPr>
    </w:p>
    <w:p>
      <w:pPr>
        <w:ind w:left="1" w:right="2659"/>
        <w:spacing w:after="0" w:line="276" w:lineRule="auto"/>
        <w:rPr>
          <w:sz w:val="20"/>
          <w:szCs w:val="20"/>
          <w:color w:val="auto"/>
        </w:rPr>
      </w:pPr>
      <w:r>
        <w:rPr>
          <w:rFonts w:ascii="Courier New" w:cs="Courier New" w:eastAsia="Courier New" w:hAnsi="Courier New"/>
          <w:sz w:val="16"/>
          <w:szCs w:val="16"/>
          <w:color w:val="auto"/>
        </w:rPr>
        <w:t>subsidiaries, has or would reasonably be expected to have, individually or in the aggregate, a Material Adverse Effect on the Company) and no governmental entity shall have instituted any proceeding which continues to be pending seeking any such law; and (iv) Parent, the Purchaser or their affiliates shall have purchased Shares pursuant to the Offer.</w:t>
      </w:r>
    </w:p>
    <w:p>
      <w:pPr>
        <w:spacing w:after="0" w:line="76" w:lineRule="exact"/>
        <w:rPr>
          <w:sz w:val="20"/>
          <w:szCs w:val="20"/>
          <w:color w:val="auto"/>
        </w:rPr>
      </w:pPr>
    </w:p>
    <w:p>
      <w:pPr>
        <w:ind w:left="1" w:right="2459" w:firstLine="484"/>
        <w:spacing w:after="0" w:line="252" w:lineRule="auto"/>
        <w:rPr>
          <w:sz w:val="20"/>
          <w:szCs w:val="20"/>
          <w:color w:val="auto"/>
        </w:rPr>
      </w:pPr>
      <w:r>
        <w:rPr>
          <w:rFonts w:ascii="Courier New" w:cs="Courier New" w:eastAsia="Courier New" w:hAnsi="Courier New"/>
          <w:sz w:val="16"/>
          <w:szCs w:val="16"/>
          <w:color w:val="auto"/>
        </w:rPr>
        <w:t>Termination. The Merger Agreement provides that it may be terminated and the Merger abandoned at any time prior to the Effective Time, whether before or after approval of matters presented in connection with the Merger by the stockholders of the Company: (i) by mutual written consent of Parent and the Company; provided, however, that if Parent shall then have a majority of the directors on the Company Board, such consent of the Company may only be given if approved by the Continuing Directors; (ii) by either of Parent or the Company if</w:t>
      </w:r>
    </w:p>
    <w:p>
      <w:pPr>
        <w:spacing w:after="0" w:line="2" w:lineRule="exact"/>
        <w:rPr>
          <w:sz w:val="20"/>
          <w:szCs w:val="20"/>
          <w:color w:val="auto"/>
        </w:rPr>
      </w:pPr>
    </w:p>
    <w:p>
      <w:pPr>
        <w:ind w:left="381" w:hanging="381"/>
        <w:spacing w:after="0"/>
        <w:tabs>
          <w:tab w:leader="none" w:pos="38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statute, rule, or executive order shall have been enacted, entered, or</w:t>
      </w:r>
    </w:p>
    <w:p>
      <w:pPr>
        <w:spacing w:after="0" w:line="5" w:lineRule="exact"/>
        <w:rPr>
          <w:rFonts w:ascii="Courier New" w:cs="Courier New" w:eastAsia="Courier New" w:hAnsi="Courier New"/>
          <w:sz w:val="16"/>
          <w:szCs w:val="16"/>
          <w:color w:val="auto"/>
        </w:rPr>
      </w:pPr>
    </w:p>
    <w:p>
      <w:pPr>
        <w:ind w:left="1"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promulgated prohibiting the Transactions on the terms contemplated by the Merger Agreement, or (b) any governmental entity shall have issued an order, decree, or ruling or taken any other action (which order, decree, ruling, or other action the parties hereto shall use their reasonable efforts to lift), in each case permanently restraining, enjoining, or otherwise prohibiting the Transactions and such order, decree, ruling, or other action shall have become final and non-appealable; (iii) by either of Parent or the Company if the Offer has not been consummated by October 31, 1999 (except the Purchaser may extend the expiration date of the Offer through December 31, 1999 as required to comply with any rule, regulation, or interpretation of the Commission) or the Effective Time shall not have occurred on or before October 31, 1999; provided, however, that the party seeking to terminate the Merger Agreement as described in this clause (iii) shall not have breached in any material respect its obligations under the Merger Agreement in any manner that shall have proximately contributed to the failure to consummate the Merger on or before such date; (iv) by the Company (a) if (1) the Company is not in breach of the provisions described under "Acquisition Proposals" above, (2) the Merger shall not have been approved by a majority of the Company's stockholders, (3) the Company Board authorizes the Company, subject to complying with the terms of the Merger Agreement, to enter into a binding written agreement concerning a transaction that constitutes a Superior Proposal and the Company notifies Parent in writing that it intends to enter into such an agreement, attaching the most current version of such agreement to such notice, (4) during the five-day period after the Company's notice, the Company shall have negotiated with, and shall have caused its respective financial and legal advisors to negotiate with, Parent to attempt to make such commercially reasonable adjustments in the terms and conditions of this Agreement as would enable the Company to proceed with the transactions contemplated hereby, (5) the Company Board shall have concluded, after considering the results of such negotiations, that any Superior Proposal giving rise to the Company's notice continues to be a Superior Proposal and (6) the Company contemporaneously with such termination, pays to Parent in immediately available funds the fees described below under "Termination Fees"; provided, however, that the Company (x) will not enter into a binding agreement referred to in clause (3) above until at least the sixth business day after it has provided the notice to Parent required thereby and (y) will notify Parent promptly if its intention to enter into a written agreement referred to in its notification shall change at any time after giving such notification; (b) if Parent or the Purchaser shall have terminated the Offer or the Offer expires without the Purchaser purchasing any Shares pursuant thereto; provided, however, that the Company may not terminate the Merger Agreement as described in this clause (b) if the Company is in material breach of the Merger Agreement; (c) if Parent, the Purchaser, or any of their affiliates shall have failed to commence the Offer on or prior to five business days following the date of the initial public announcement of the Offer; provided, however, that the Company may not terminate the Merger Agreement as described in this clause (c) if the Company is in material breach of the Merger Agreement; or (d) if there is a material breach by Parent or the Purchaser of any of their representations, warranties, covenants, or agreements contained in the Merger Agreement; or (v) by Parent or the Purchaser (a) if prior to the purchase of the Shares pursuant to the Offer,</w:t>
      </w:r>
    </w:p>
    <w:p>
      <w:pPr>
        <w:spacing w:after="0" w:line="27" w:lineRule="exact"/>
        <w:rPr>
          <w:rFonts w:ascii="Courier New" w:cs="Courier New" w:eastAsia="Courier New" w:hAnsi="Courier New"/>
          <w:sz w:val="16"/>
          <w:szCs w:val="16"/>
          <w:color w:val="auto"/>
        </w:rPr>
      </w:pPr>
    </w:p>
    <w:p>
      <w:pPr>
        <w:ind w:left="1" w:right="2559"/>
        <w:spacing w:after="0" w:line="25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 the Company Board shall have withdrawn, modified, or changed in a manner adverse to Parent or the Purchaser its approval or recommendation of the Offer, the Merger Agreement, or the Merger or shall have recommended or approved an Acquisition Proposal, or (2) the Company shall have materially breached any of the provisions described under "Acquisition Proposals" above; (b) if Parent or the Purchaser shall have terminated the Offer without Parent or the Purchaser purchasing any Shares thereunder in accordance with the provisions described in Section 14; provided, however, that Parent or the Purchaser may not terminate the Merger Agreement pursuant to this clause (b) if Parent or the</w:t>
      </w:r>
    </w:p>
    <w:p>
      <w:pPr>
        <w:sectPr>
          <w:pgSz w:w="11900" w:h="16838" w:orient="portrait"/>
          <w:cols w:equalWidth="0" w:num="1">
            <w:col w:w="10220"/>
          </w:cols>
          <w:pgMar w:left="239" w:top="273" w:right="1440" w:bottom="1440" w:gutter="0" w:footer="0" w:header="0"/>
        </w:sectPr>
      </w:pPr>
    </w:p>
    <w:p>
      <w:pPr>
        <w:spacing w:after="0" w:line="93"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20"/>
          </w:cols>
          <w:pgMar w:left="239" w:top="273" w:right="1440" w:bottom="1440" w:gutter="0" w:footer="0" w:header="0"/>
          <w:type w:val="continuous"/>
        </w:sectPr>
      </w:pPr>
    </w:p>
    <w:bookmarkStart w:id="33" w:name="page34"/>
    <w:bookmarkEnd w:id="33"/>
    <w:p>
      <w:pPr>
        <w:ind w:left="301"/>
        <w:spacing w:after="0"/>
        <w:rPr>
          <w:sz w:val="20"/>
          <w:szCs w:val="20"/>
          <w:color w:val="auto"/>
        </w:rPr>
      </w:pPr>
      <w:r>
        <w:rPr>
          <w:rFonts w:ascii="Courier New" w:cs="Courier New" w:eastAsia="Courier New" w:hAnsi="Courier New"/>
          <w:sz w:val="16"/>
          <w:szCs w:val="16"/>
          <w:color w:val="auto"/>
        </w:rPr>
        <w:t>26</w:t>
      </w:r>
    </w:p>
    <w:p>
      <w:pPr>
        <w:spacing w:after="0" w:line="191" w:lineRule="exact"/>
        <w:rPr>
          <w:sz w:val="20"/>
          <w:szCs w:val="20"/>
          <w:color w:val="auto"/>
        </w:rPr>
      </w:pPr>
    </w:p>
    <w:p>
      <w:pPr>
        <w:ind w:left="1" w:right="2459"/>
        <w:spacing w:after="0" w:line="255" w:lineRule="auto"/>
        <w:rPr>
          <w:sz w:val="20"/>
          <w:szCs w:val="20"/>
          <w:color w:val="auto"/>
        </w:rPr>
      </w:pPr>
      <w:r>
        <w:rPr>
          <w:rFonts w:ascii="Courier New" w:cs="Courier New" w:eastAsia="Courier New" w:hAnsi="Courier New"/>
          <w:sz w:val="16"/>
          <w:szCs w:val="16"/>
          <w:color w:val="auto"/>
        </w:rPr>
        <w:t>Purchaser is in material breach of the Merger Agreement; (c) if the Company receives an Acquisition Proposal from any person (other than Parent or Merger Sub), and the Company Board takes a neutral position or makes no recommendation in respect of such Acquisition Proposal after a reasonable amount of time (and in no event more than five business days following such receipt) has elapsed for the Company Board to review and make a recommendation in respect of such Acquisition Proposal; (d) if there is a breach by the Company of any of its representations, warranties, covenants, or agreements contained in the Merger Agreement which breach is not curable or, if curable, is not cured within ten calendar days after written notice of such breach is given by Parent to the Company and which is reasonably likely to have a Material Adverse Effect on the Company; or (e) if the audited financial statements of the Company for the fiscal year ended March 31, 1999 shall differ materially from the unaudited financial statements delivered to Parent simultaneously with the execution of the Merger Agreement.</w:t>
      </w:r>
    </w:p>
    <w:p>
      <w:pPr>
        <w:spacing w:after="0" w:line="9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Termination Fee. If (x) Parent or the Purchaser terminates the Merger</w:t>
      </w:r>
    </w:p>
    <w:p>
      <w:pPr>
        <w:spacing w:after="0" w:line="3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Agreement as described in clauses (v)(a) or (v)(c) under "Termination" above or</w:t>
      </w:r>
    </w:p>
    <w:p>
      <w:pPr>
        <w:spacing w:after="0" w:line="5" w:lineRule="exact"/>
        <w:rPr>
          <w:sz w:val="20"/>
          <w:szCs w:val="20"/>
          <w:color w:val="auto"/>
        </w:rPr>
      </w:pPr>
    </w:p>
    <w:p>
      <w:pPr>
        <w:ind w:left="1" w:right="2459" w:hanging="1"/>
        <w:spacing w:after="0" w:line="250" w:lineRule="auto"/>
        <w:tabs>
          <w:tab w:leader="none" w:pos="388"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terminates the Merger Agreement as described in clause (iv)(a) under "Termination" above, then in each case, the Company shall pay, or cause to be paid to Parent, or the Purchaser, at the time of termination, an amount equal to $2,000,000 (the "Termination Fee") plus an amount equal to Parent's and the Purchaser's actual and reasonably documented out-of-pocket expenses incurred by Parent or the Purchaser in connection with the Offer, the Merger, the Merger Agreement, and the consummation of the Transactions, up to an aggregate of $500,000 (the "Expenses"). In addition, if the Merger Agreement is terminated by Parent or the Purchaser as described in clauses (v)(b), (v)(d) (other than by reason of a breach of the provisions described under "Acquisition Proposals" above), or (v)(e) under "Termination" above, or, prior to consummation of the Offer, by reason of a breach of the conditions described in paragraph (c) in Section 14 below, or by the Company as described in clause (iv)(b) under "Termination" above and at the time of such termination, neither Parent nor the Purchaser is in material breach of the Merger Agreement, then the Company shall pay to Parent, at the time of termination, the Expenses, and, if the Company shall thereafter, within 12 months after such termination, announce its intention to enter into an agreement in respect of an Acquisition Proposal and the Company subsequently consummates the transaction(s) contemplated by such agreement, then the Company shall pay the Termination Fee concurrently with such consummation.</w:t>
      </w:r>
    </w:p>
    <w:p>
      <w:pPr>
        <w:spacing w:after="0" w:line="105" w:lineRule="exact"/>
        <w:rPr>
          <w:sz w:val="20"/>
          <w:szCs w:val="20"/>
          <w:color w:val="auto"/>
        </w:rPr>
      </w:pPr>
    </w:p>
    <w:p>
      <w:pPr>
        <w:ind w:left="1" w:right="2659" w:firstLine="484"/>
        <w:spacing w:after="0" w:line="276" w:lineRule="auto"/>
        <w:rPr>
          <w:sz w:val="20"/>
          <w:szCs w:val="20"/>
          <w:color w:val="auto"/>
        </w:rPr>
      </w:pPr>
      <w:r>
        <w:rPr>
          <w:rFonts w:ascii="Courier New" w:cs="Courier New" w:eastAsia="Courier New" w:hAnsi="Courier New"/>
          <w:sz w:val="16"/>
          <w:szCs w:val="16"/>
          <w:color w:val="auto"/>
        </w:rPr>
        <w:t>Amendment. The Merger Agreement may be amended by action taken by the Company, Parent and the Purchaser at any time before or after approval of the Merger by the stockholders of the Company, but after any such approval, no amendment shall be made which requires the approval of such stockholders under applicable law without such approval.</w:t>
      </w:r>
    </w:p>
    <w:p>
      <w:pPr>
        <w:spacing w:after="0" w:line="76"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STOCKHOLDERS AGREEMENT</w:t>
      </w:r>
    </w:p>
    <w:p>
      <w:pPr>
        <w:spacing w:after="0" w:line="191" w:lineRule="exact"/>
        <w:rPr>
          <w:sz w:val="20"/>
          <w:szCs w:val="20"/>
          <w:color w:val="auto"/>
        </w:rPr>
      </w:pPr>
    </w:p>
    <w:p>
      <w:pPr>
        <w:ind w:left="1" w:right="2559" w:firstLine="484"/>
        <w:spacing w:after="0" w:line="270" w:lineRule="auto"/>
        <w:rPr>
          <w:sz w:val="20"/>
          <w:szCs w:val="20"/>
          <w:color w:val="auto"/>
        </w:rPr>
      </w:pPr>
      <w:r>
        <w:rPr>
          <w:rFonts w:ascii="Courier New" w:cs="Courier New" w:eastAsia="Courier New" w:hAnsi="Courier New"/>
          <w:sz w:val="16"/>
          <w:szCs w:val="16"/>
          <w:color w:val="auto"/>
        </w:rPr>
        <w:t>The following is a summary of certain provisions of the Stockholders Agreement. This summary is qualified in its entirety by reference to the Stockholders Agreement, which is incorporated herein by reference and a copy of which has been filed with the Commission as an exhibit to the Schedule 14D-1. The Stockholders Agreement may be examined and copies may be obtained at the places and in the manner set forth in Section 8 of this Offer to Purchase.</w:t>
      </w:r>
    </w:p>
    <w:p>
      <w:pPr>
        <w:spacing w:after="0" w:line="81" w:lineRule="exact"/>
        <w:rPr>
          <w:sz w:val="20"/>
          <w:szCs w:val="20"/>
          <w:color w:val="auto"/>
        </w:rPr>
      </w:pPr>
    </w:p>
    <w:p>
      <w:pPr>
        <w:ind w:left="1" w:right="2459" w:firstLine="484"/>
        <w:spacing w:after="0" w:line="258" w:lineRule="auto"/>
        <w:rPr>
          <w:sz w:val="20"/>
          <w:szCs w:val="20"/>
          <w:color w:val="auto"/>
        </w:rPr>
      </w:pPr>
      <w:r>
        <w:rPr>
          <w:rFonts w:ascii="Courier New" w:cs="Courier New" w:eastAsia="Courier New" w:hAnsi="Courier New"/>
          <w:sz w:val="16"/>
          <w:szCs w:val="16"/>
          <w:color w:val="auto"/>
        </w:rPr>
        <w:t>Voting. Pursuant to the Stockholders Agreement, the Selling Stockholders have agreed to vote all Shares that such Selling Stockholder is entitled to vote at the time of any vote to approve and adopt the Merger Agreement, the Merger, and all agreements related to the Merger and any actions related thereto at any meeting of the stockholders of the Company, and at any adjournment thereof, at which such Merger Agreement and other related agreements (or any amended version thereof), or such other actions, are submitted for the consideration and vote of the stockholders of the Company. Each Selling Stockholder has also agreed that it will not vote any Shares in favor of the approval of any (i) Acquisition Proposal or (ii) reorganization, recapitalization, liquidation, or winding up of the Company or any other extraordinary transaction involving the Company.</w:t>
      </w:r>
    </w:p>
    <w:p>
      <w:pPr>
        <w:spacing w:after="0" w:line="93" w:lineRule="exact"/>
        <w:rPr>
          <w:sz w:val="20"/>
          <w:szCs w:val="20"/>
          <w:color w:val="auto"/>
        </w:rPr>
      </w:pPr>
    </w:p>
    <w:p>
      <w:pPr>
        <w:ind w:left="1" w:right="2759" w:firstLine="484"/>
        <w:spacing w:after="0" w:line="307" w:lineRule="auto"/>
        <w:rPr>
          <w:sz w:val="20"/>
          <w:szCs w:val="20"/>
          <w:color w:val="auto"/>
        </w:rPr>
      </w:pPr>
      <w:r>
        <w:rPr>
          <w:rFonts w:ascii="Courier New" w:cs="Courier New" w:eastAsia="Courier New" w:hAnsi="Courier New"/>
          <w:sz w:val="16"/>
          <w:szCs w:val="16"/>
          <w:color w:val="auto"/>
        </w:rPr>
        <w:t>Grant of Proxy. Pursuant to the Stockholders Agreement, each Selling Stockholder has granted an irrevocable proxy appointing the Purchaser as such Selling Stockholder's attorney-in-fact and proxy, with full</w:t>
      </w:r>
    </w:p>
    <w:p>
      <w:pPr>
        <w:sectPr>
          <w:pgSz w:w="11900" w:h="16838" w:orient="portrait"/>
          <w:cols w:equalWidth="0" w:num="1">
            <w:col w:w="10220"/>
          </w:cols>
          <w:pgMar w:left="239" w:top="273" w:right="1440" w:bottom="1440" w:gutter="0" w:footer="0" w:header="0"/>
        </w:sectPr>
      </w:pPr>
    </w:p>
    <w:p>
      <w:pPr>
        <w:spacing w:after="0" w:line="50"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20"/>
          </w:cols>
          <w:pgMar w:left="239" w:top="273" w:right="1440" w:bottom="1440" w:gutter="0" w:footer="0" w:header="0"/>
          <w:type w:val="continuous"/>
        </w:sectPr>
      </w:pPr>
    </w:p>
    <w:bookmarkStart w:id="34" w:name="page35"/>
    <w:bookmarkEnd w:id="34"/>
    <w:p>
      <w:pPr>
        <w:ind w:left="301"/>
        <w:spacing w:after="0"/>
        <w:rPr>
          <w:sz w:val="20"/>
          <w:szCs w:val="20"/>
          <w:color w:val="auto"/>
        </w:rPr>
      </w:pPr>
      <w:r>
        <w:rPr>
          <w:rFonts w:ascii="Courier New" w:cs="Courier New" w:eastAsia="Courier New" w:hAnsi="Courier New"/>
          <w:sz w:val="16"/>
          <w:szCs w:val="16"/>
          <w:color w:val="auto"/>
        </w:rPr>
        <w:t>27</w:t>
      </w:r>
    </w:p>
    <w:p>
      <w:pPr>
        <w:spacing w:after="0" w:line="191" w:lineRule="exact"/>
        <w:rPr>
          <w:sz w:val="20"/>
          <w:szCs w:val="20"/>
          <w:color w:val="auto"/>
        </w:rPr>
      </w:pPr>
    </w:p>
    <w:p>
      <w:pPr>
        <w:ind w:left="1" w:right="2459"/>
        <w:spacing w:after="0" w:line="264" w:lineRule="auto"/>
        <w:rPr>
          <w:sz w:val="20"/>
          <w:szCs w:val="20"/>
          <w:color w:val="auto"/>
        </w:rPr>
      </w:pPr>
      <w:r>
        <w:rPr>
          <w:rFonts w:ascii="Courier New" w:cs="Courier New" w:eastAsia="Courier New" w:hAnsi="Courier New"/>
          <w:sz w:val="16"/>
          <w:szCs w:val="16"/>
          <w:color w:val="auto"/>
        </w:rPr>
        <w:t>power of substitution, for and in such Selling Stockholder's name, to vote, express, consent, or dissent or otherwise to utilize such voting power in the manner described in the foregoing paragraph as the Purchaser or its proxy or substitute shall, in the Purchaser's sole discretion, deem proper in respect of the Shares; provided, however, that such proxy shall be revoked upon termination of the Stockholders Agreement in accordance with its terms. Each Selling Stockholder has also agreed to use its best effort to cause any record owner of Shares to grant to the Purchaser a proxy to the same effect as described above.</w:t>
      </w:r>
    </w:p>
    <w:p>
      <w:pPr>
        <w:spacing w:after="0" w:line="82" w:lineRule="exact"/>
        <w:rPr>
          <w:sz w:val="20"/>
          <w:szCs w:val="20"/>
          <w:color w:val="auto"/>
        </w:rPr>
      </w:pPr>
    </w:p>
    <w:p>
      <w:pPr>
        <w:ind w:left="1" w:right="2459" w:firstLine="484"/>
        <w:spacing w:after="0" w:line="252" w:lineRule="auto"/>
        <w:rPr>
          <w:sz w:val="20"/>
          <w:szCs w:val="20"/>
          <w:color w:val="auto"/>
        </w:rPr>
      </w:pPr>
      <w:r>
        <w:rPr>
          <w:rFonts w:ascii="Courier New" w:cs="Courier New" w:eastAsia="Courier New" w:hAnsi="Courier New"/>
          <w:sz w:val="16"/>
          <w:szCs w:val="16"/>
          <w:color w:val="auto"/>
        </w:rPr>
        <w:t>Tender of Shares. Pursuant to the Stockholders Agreement, each Selling Stockholder has agreed to tender, upon the request of the Purchaser (and agrees that it will not withdraw), pursuant to and in accordance with the terms of the Offer, all Shares beneficially owned by such Selling Stockholder. In furtherance of the above agreement, each Selling Stockholder shall, within five business days after the commencement of the Offer, deliver to the Depositary (i) a Letter of Transmittal in respect of the Shares complying with the terms of the Offer,</w:t>
      </w:r>
    </w:p>
    <w:p>
      <w:pPr>
        <w:spacing w:after="0" w:line="2" w:lineRule="exact"/>
        <w:rPr>
          <w:sz w:val="20"/>
          <w:szCs w:val="20"/>
          <w:color w:val="auto"/>
        </w:rPr>
      </w:pPr>
    </w:p>
    <w:p>
      <w:pPr>
        <w:ind w:left="1" w:right="2559" w:hanging="1"/>
        <w:spacing w:after="0" w:line="287" w:lineRule="auto"/>
        <w:tabs>
          <w:tab w:leader="none" w:pos="485"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certificates representing the Shares tendered by such Selling Stockholder, and (iii) all other documents or instruments required to be delivered pursuant to the terms of the Offer.</w:t>
      </w:r>
    </w:p>
    <w:p>
      <w:pPr>
        <w:spacing w:after="0" w:line="65"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Other Agreements. Each Selling Stockholder has also agreed that:</w:t>
      </w:r>
    </w:p>
    <w:p>
      <w:pPr>
        <w:spacing w:after="0" w:line="191" w:lineRule="exact"/>
        <w:rPr>
          <w:sz w:val="20"/>
          <w:szCs w:val="20"/>
          <w:color w:val="auto"/>
        </w:rPr>
      </w:pPr>
    </w:p>
    <w:p>
      <w:pPr>
        <w:ind w:left="481" w:right="2459" w:firstLine="488"/>
        <w:spacing w:after="0" w:line="254" w:lineRule="auto"/>
        <w:tabs>
          <w:tab w:leader="none" w:pos="135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pursuant to the terms of the Stockholders Agreement, such Selling Stockholder shall not, without the prior written consent of the Purchaser, directly or indirectly, (i) grant any proxies or enter into any voting trust or other agreement or arrangement in respect of the voting of any Shares in respect of the matters described in the second paragraph under this description of the Stockholders Agreement or (ii) acquire, sell, assign, transfer, encumber, or otherwise dispose of, or enter into any contract, option, or other arrangement or understanding in respect of the direct or indirect acquisition or sale, assignment, transfer, encumbrance, or other disposition of, any Shares during the term of the Stockholders Agreement. In addition, each Selling Stockholder has agreed not to seek or solicit any such acquisition or sale, assignment, transfer, encumbrance, or other disposition or any such contract, option, or other arrangement or understanding and to notify the Purchaser promptly, and to provide all details requested by the Purchaser, if such Selling Stockholder shall be approached or solicited, directly or indirectly, by any person in respect of any of the foregoing.</w:t>
      </w:r>
    </w:p>
    <w:p>
      <w:pPr>
        <w:spacing w:after="0" w:line="93" w:lineRule="exact"/>
        <w:rPr>
          <w:rFonts w:ascii="Courier New" w:cs="Courier New" w:eastAsia="Courier New" w:hAnsi="Courier New"/>
          <w:sz w:val="16"/>
          <w:szCs w:val="16"/>
          <w:color w:val="auto"/>
        </w:rPr>
      </w:pPr>
    </w:p>
    <w:p>
      <w:pPr>
        <w:ind w:left="481" w:right="2459" w:firstLine="488"/>
        <w:spacing w:after="0" w:line="252" w:lineRule="auto"/>
        <w:tabs>
          <w:tab w:leader="none" w:pos="135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Selling Stockholder shall not, and will use such Selling Stockholder's reasonable best efforts to cause his or its agents not to, directly or indirectly, (i) take any action to solicit or initiate any Acquisition Proposal or (ii) engage in negotiations with, or disclose any nonpublic information relating to the Company or any of its subsidiaries or afford access to the properties, books, or records of the Company or any of its subsidiaries to, any person that may be considering making, or has made, an Acquisition Proposal or has agreed to endorse an Acquisition Proposal. Each Selling Stockholder has agreed that it will promptly notify Buyer after receipt of an Acquisition Proposal or any indication that any person is considering making an Acquisition Proposal or any request for nonpublic information relating to the Company or any of its subsidiaries or for access to the properties, books, or records of the Company or any of its subsidiaries by any person that may be considering making, or has made, an Acquisition Proposal and will keep the Purchaser fully informed of the status and details of any such Acquisition Proposal, indication, or request. The Stockholders Agreement provides that the provisions described in this paragraph shall not impose any additional limitations upon the ability of a Selling Stockholder to exercise his fiduciary duties as a director of the Company provided that such Selling Stockholder acts in accordance with provisions described under "Acquisition Proposals" above in respect of the Merger Agreement.</w:t>
      </w:r>
    </w:p>
    <w:p>
      <w:pPr>
        <w:spacing w:after="0" w:line="99" w:lineRule="exact"/>
        <w:rPr>
          <w:rFonts w:ascii="Courier New" w:cs="Courier New" w:eastAsia="Courier New" w:hAnsi="Courier New"/>
          <w:sz w:val="16"/>
          <w:szCs w:val="16"/>
          <w:color w:val="auto"/>
        </w:rPr>
      </w:pPr>
    </w:p>
    <w:p>
      <w:pPr>
        <w:ind w:left="481" w:right="2559" w:firstLine="488"/>
        <w:spacing w:after="0" w:line="307" w:lineRule="auto"/>
        <w:tabs>
          <w:tab w:leader="none" w:pos="135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Selling Stockholder will not exercise any rights (including, without limitation, under Section 262 of the DGCL) to demand appraisal of any Shares which may arise in respect of the Merger.</w:t>
      </w:r>
    </w:p>
    <w:p>
      <w:pPr>
        <w:spacing w:after="0" w:line="50" w:lineRule="exact"/>
        <w:rPr>
          <w:sz w:val="20"/>
          <w:szCs w:val="20"/>
          <w:color w:val="auto"/>
        </w:rPr>
      </w:pPr>
    </w:p>
    <w:p>
      <w:pPr>
        <w:ind w:left="1" w:right="2459" w:firstLine="484"/>
        <w:spacing w:after="0" w:line="270" w:lineRule="auto"/>
        <w:rPr>
          <w:sz w:val="20"/>
          <w:szCs w:val="20"/>
          <w:color w:val="auto"/>
        </w:rPr>
      </w:pPr>
      <w:r>
        <w:rPr>
          <w:rFonts w:ascii="Courier New" w:cs="Courier New" w:eastAsia="Courier New" w:hAnsi="Courier New"/>
          <w:sz w:val="16"/>
          <w:szCs w:val="16"/>
          <w:color w:val="auto"/>
        </w:rPr>
        <w:t>The term of the Stockholders Agreement commenced on May 3, 1999 and will end on the earlier of (i) the Effective Time, (ii) the date that is 120 days after the termination of the Merger Agreement in accordance with the provisions described in clauses (iv)(a), (v)(a), or (v)(c) under "Termination" in the description of the Merger Agreement above and payment in full of all amounts (if any) payable to Parent or</w:t>
      </w:r>
    </w:p>
    <w:p>
      <w:pPr>
        <w:sectPr>
          <w:pgSz w:w="11900" w:h="16838" w:orient="portrait"/>
          <w:cols w:equalWidth="0" w:num="1">
            <w:col w:w="10220"/>
          </w:cols>
          <w:pgMar w:left="239" w:top="273" w:right="1440" w:bottom="1440" w:gutter="0" w:footer="0" w:header="0"/>
        </w:sectPr>
      </w:pPr>
    </w:p>
    <w:p>
      <w:pPr>
        <w:spacing w:after="0" w:line="8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20"/>
          </w:cols>
          <w:pgMar w:left="239" w:top="273" w:right="1440" w:bottom="1440" w:gutter="0" w:footer="0" w:header="0"/>
          <w:type w:val="continuous"/>
        </w:sectPr>
      </w:pPr>
    </w:p>
    <w:bookmarkStart w:id="35" w:name="page36"/>
    <w:bookmarkEnd w:id="35"/>
    <w:p>
      <w:pPr>
        <w:ind w:left="300"/>
        <w:spacing w:after="0"/>
        <w:rPr>
          <w:sz w:val="20"/>
          <w:szCs w:val="20"/>
          <w:color w:val="auto"/>
        </w:rPr>
      </w:pPr>
      <w:r>
        <w:rPr>
          <w:rFonts w:ascii="Courier New" w:cs="Courier New" w:eastAsia="Courier New" w:hAnsi="Courier New"/>
          <w:sz w:val="16"/>
          <w:szCs w:val="16"/>
          <w:color w:val="auto"/>
        </w:rPr>
        <w:t>28</w:t>
      </w:r>
    </w:p>
    <w:p>
      <w:pPr>
        <w:spacing w:after="0" w:line="191" w:lineRule="exact"/>
        <w:rPr>
          <w:sz w:val="20"/>
          <w:szCs w:val="20"/>
          <w:color w:val="auto"/>
        </w:rPr>
      </w:pPr>
    </w:p>
    <w:p>
      <w:pPr>
        <w:ind w:right="2759"/>
        <w:spacing w:after="0" w:line="307" w:lineRule="auto"/>
        <w:rPr>
          <w:sz w:val="20"/>
          <w:szCs w:val="20"/>
          <w:color w:val="auto"/>
        </w:rPr>
      </w:pPr>
      <w:r>
        <w:rPr>
          <w:rFonts w:ascii="Courier New" w:cs="Courier New" w:eastAsia="Courier New" w:hAnsi="Courier New"/>
          <w:sz w:val="16"/>
          <w:szCs w:val="16"/>
          <w:color w:val="auto"/>
        </w:rPr>
        <w:t>the Purchaser pursuant to the provisions described under "Termination Fee" in the description of the Merger Agreement above, and (iii) the date of the termination of the Merger Agreement for any other reason.</w:t>
      </w:r>
    </w:p>
    <w:p>
      <w:pPr>
        <w:spacing w:after="0" w:line="5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CONFIDENTIALITY AGREEMENT</w:t>
      </w:r>
    </w:p>
    <w:p>
      <w:pPr>
        <w:spacing w:after="0" w:line="191" w:lineRule="exact"/>
        <w:rPr>
          <w:sz w:val="20"/>
          <w:szCs w:val="20"/>
          <w:color w:val="auto"/>
        </w:rPr>
      </w:pPr>
    </w:p>
    <w:p>
      <w:pPr>
        <w:ind w:right="2559" w:firstLine="484"/>
        <w:spacing w:after="0" w:line="264" w:lineRule="auto"/>
        <w:rPr>
          <w:sz w:val="20"/>
          <w:szCs w:val="20"/>
          <w:color w:val="auto"/>
        </w:rPr>
      </w:pPr>
      <w:r>
        <w:rPr>
          <w:rFonts w:ascii="Courier New" w:cs="Courier New" w:eastAsia="Courier New" w:hAnsi="Courier New"/>
          <w:sz w:val="16"/>
          <w:szCs w:val="16"/>
          <w:color w:val="auto"/>
        </w:rPr>
        <w:t>The following is a summary of certain provisions of the Confidentiality Agreement, dated as of March 2, 1999 between Parent and the Company (the "Confidentiality Agreement"). This summary is qualified in its entirety by reference to the Confidentiality Agreement, which is incorporated herein by reference and a copy of which has been filed with the Commission as an exhibit to the Schedule 14D-1. The Confidentiality Agreement may be examined and copies may be obtained at the places and in the manner set forth in Section 8 of this Offer to Purchase.</w:t>
      </w:r>
    </w:p>
    <w:p>
      <w:pPr>
        <w:spacing w:after="0" w:line="82" w:lineRule="exact"/>
        <w:rPr>
          <w:sz w:val="20"/>
          <w:szCs w:val="20"/>
          <w:color w:val="auto"/>
        </w:rPr>
      </w:pPr>
    </w:p>
    <w:p>
      <w:pPr>
        <w:ind w:right="2459" w:firstLine="484"/>
        <w:spacing w:after="0" w:line="253" w:lineRule="auto"/>
        <w:rPr>
          <w:sz w:val="20"/>
          <w:szCs w:val="20"/>
          <w:color w:val="auto"/>
        </w:rPr>
      </w:pPr>
      <w:r>
        <w:rPr>
          <w:rFonts w:ascii="Courier New" w:cs="Courier New" w:eastAsia="Courier New" w:hAnsi="Courier New"/>
          <w:sz w:val="16"/>
          <w:szCs w:val="16"/>
          <w:color w:val="auto"/>
        </w:rPr>
        <w:t>The Confidentiality Agreement contains customary provisions pursuant to which, among other matters, each of Parent and the Company agreed to keep confidential, for a period of three years from the effective date of the Confidentiality Agreement, all information furnished to it by the other party (from and after February 17, 1999) and deemed proprietary by the disclosing party (the "Confidential Information"), subject to certain exceptions, and to use the Confidential Information solely for the purpose of evaluating a possible transaction involving the Company and Parent. Pursuant to the Confidentiality Agreement, each of Parent and Company agreed to use the same degree of care to avoid disclosure or use of the Confidential Information as such party employs with respect to its own proprietary information of like importance. Parent and the Company further agreed that, for a period ending January 15, 2000, or a date six months after either party notifies the other in writing that negotiations regarding the possible transactions have concluded, whichever date comes sooner, neither party shall, directly or indirectly, solicit or encourage any employee of the other party to leave the employ of the other party for the benefit of the first party; provided that such restriction shall not apply to general solicitations conducted through general circulation newspapers, the trade press or the Internet.</w:t>
      </w:r>
    </w:p>
    <w:p>
      <w:pPr>
        <w:spacing w:after="0" w:line="9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OTHER MATTERS</w:t>
      </w:r>
    </w:p>
    <w:p>
      <w:pPr>
        <w:spacing w:after="0" w:line="191" w:lineRule="exact"/>
        <w:rPr>
          <w:sz w:val="20"/>
          <w:szCs w:val="20"/>
          <w:color w:val="auto"/>
        </w:rPr>
      </w:pPr>
    </w:p>
    <w:p>
      <w:pPr>
        <w:ind w:right="2459" w:firstLine="484"/>
        <w:spacing w:after="0" w:line="266" w:lineRule="auto"/>
        <w:rPr>
          <w:sz w:val="20"/>
          <w:szCs w:val="20"/>
          <w:color w:val="auto"/>
        </w:rPr>
      </w:pPr>
      <w:r>
        <w:rPr>
          <w:rFonts w:ascii="Courier New" w:cs="Courier New" w:eastAsia="Courier New" w:hAnsi="Courier New"/>
          <w:sz w:val="16"/>
          <w:szCs w:val="16"/>
          <w:color w:val="auto"/>
        </w:rPr>
        <w:t>Delaware Law. Under the DGCL, the affirmative vote of holders of a majority of the outstanding Shares entitled to vote, including any Shares owned by the Purchaser, would be required to approve and adopt the Merger. If the Purchaser acquires, through the Offer or otherwise, voting power with respect to at least a majority of the outstanding Shares, which would be the case if the Minimum Condition were satisfied, it would have sufficient voting power to effect the Merger without the vote of any other stockholder of the Company.</w:t>
      </w:r>
    </w:p>
    <w:p>
      <w:pPr>
        <w:spacing w:after="0" w:line="85" w:lineRule="exact"/>
        <w:rPr>
          <w:sz w:val="20"/>
          <w:szCs w:val="20"/>
          <w:color w:val="auto"/>
        </w:rPr>
      </w:pPr>
    </w:p>
    <w:p>
      <w:pPr>
        <w:ind w:right="2459" w:firstLine="484"/>
        <w:spacing w:after="0" w:line="257" w:lineRule="auto"/>
        <w:rPr>
          <w:sz w:val="20"/>
          <w:szCs w:val="20"/>
          <w:color w:val="auto"/>
        </w:rPr>
      </w:pPr>
      <w:r>
        <w:rPr>
          <w:rFonts w:ascii="Courier New" w:cs="Courier New" w:eastAsia="Courier New" w:hAnsi="Courier New"/>
          <w:sz w:val="16"/>
          <w:szCs w:val="16"/>
          <w:color w:val="auto"/>
        </w:rPr>
        <w:t>Appraisal Rights. No appraisal rights are available to holders of Shares in connection with the Offer. However, if the Merger is consummated, holders of Shares will have certain rights under Section 262 of the DGCL to dissent and demand appraisal of, and payment in cash for the fair value of, their Shares. Such rights, if the statutory procedures are complied with, could lead to a judicial determination of the fair value (excluding any element of value arising from accomplishment or expectation of the Merger) required to be paid in cash to such dissenting holders for their Shares. Any such judicial determination of the fair value of Shares could be based upon consideration other than or in addition to the Offer Price and the market value of the Shares, including asset values and the investment value of the Shares. The value so determined could be more or less than the Offer Price or the Merger Consideration.</w:t>
      </w:r>
    </w:p>
    <w:p>
      <w:pPr>
        <w:spacing w:after="0" w:line="93" w:lineRule="exact"/>
        <w:rPr>
          <w:sz w:val="20"/>
          <w:szCs w:val="20"/>
          <w:color w:val="auto"/>
        </w:rPr>
      </w:pPr>
    </w:p>
    <w:p>
      <w:pPr>
        <w:ind w:right="2459" w:firstLine="484"/>
        <w:spacing w:after="0" w:line="270" w:lineRule="auto"/>
        <w:rPr>
          <w:sz w:val="20"/>
          <w:szCs w:val="20"/>
          <w:color w:val="auto"/>
        </w:rPr>
      </w:pPr>
      <w:r>
        <w:rPr>
          <w:rFonts w:ascii="Courier New" w:cs="Courier New" w:eastAsia="Courier New" w:hAnsi="Courier New"/>
          <w:sz w:val="16"/>
          <w:szCs w:val="16"/>
          <w:color w:val="auto"/>
        </w:rPr>
        <w:t>If any holder of Shares who demands appraisal under Section 262 of the DGCL fails to perfect, or effectively withdraws or loses his right to appraisal, as provided in the DGCL, the Shares of such holder will be converted into the Merger Consideration in accordance with the Merger Agreement. A stockholder may withdraw his demand for appraisal by delivery to Parent of a written withdrawal of his demand for appraisal and acceptance of the Merger.</w:t>
      </w:r>
    </w:p>
    <w:p>
      <w:pPr>
        <w:spacing w:after="0" w:line="81" w:lineRule="exact"/>
        <w:rPr>
          <w:sz w:val="20"/>
          <w:szCs w:val="20"/>
          <w:color w:val="auto"/>
        </w:rPr>
      </w:pPr>
    </w:p>
    <w:p>
      <w:pPr>
        <w:ind w:right="3239" w:firstLine="484"/>
        <w:spacing w:after="0" w:line="367" w:lineRule="auto"/>
        <w:rPr>
          <w:sz w:val="20"/>
          <w:szCs w:val="20"/>
          <w:color w:val="auto"/>
        </w:rPr>
      </w:pPr>
      <w:r>
        <w:rPr>
          <w:rFonts w:ascii="Courier New" w:cs="Courier New" w:eastAsia="Courier New" w:hAnsi="Courier New"/>
          <w:sz w:val="16"/>
          <w:szCs w:val="16"/>
          <w:color w:val="auto"/>
        </w:rPr>
        <w:t>Failure to follow the steps required by Section 262 of the DGCL for perfecting appraisal rights may result in the loss of such rights.</w:t>
      </w:r>
    </w:p>
    <w:p>
      <w:pPr>
        <w:sectPr>
          <w:pgSz w:w="11900" w:h="16838" w:orient="portrait"/>
          <w:cols w:equalWidth="0" w:num="1">
            <w:col w:w="10219"/>
          </w:cols>
          <w:pgMar w:left="240" w:top="273" w:right="1440" w:bottom="1440" w:gutter="0" w:footer="0" w:header="0"/>
        </w:sectPr>
      </w:pP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273" w:right="1440" w:bottom="1440" w:gutter="0" w:footer="0" w:header="0"/>
          <w:type w:val="continuous"/>
        </w:sectPr>
      </w:pPr>
    </w:p>
    <w:bookmarkStart w:id="36" w:name="page37"/>
    <w:bookmarkEnd w:id="36"/>
    <w:p>
      <w:pPr>
        <w:ind w:left="300"/>
        <w:spacing w:after="0"/>
        <w:rPr>
          <w:sz w:val="20"/>
          <w:szCs w:val="20"/>
          <w:color w:val="auto"/>
        </w:rPr>
      </w:pPr>
      <w:r>
        <w:rPr>
          <w:rFonts w:ascii="Courier New" w:cs="Courier New" w:eastAsia="Courier New" w:hAnsi="Courier New"/>
          <w:sz w:val="16"/>
          <w:szCs w:val="16"/>
          <w:color w:val="auto"/>
        </w:rPr>
        <w:t>29</w:t>
      </w:r>
    </w:p>
    <w:p>
      <w:pPr>
        <w:spacing w:after="0" w:line="191" w:lineRule="exact"/>
        <w:rPr>
          <w:sz w:val="20"/>
          <w:szCs w:val="20"/>
          <w:color w:val="auto"/>
        </w:rPr>
      </w:pPr>
    </w:p>
    <w:p>
      <w:pPr>
        <w:ind w:right="2459" w:firstLine="484"/>
        <w:spacing w:after="0" w:line="257" w:lineRule="auto"/>
        <w:rPr>
          <w:sz w:val="20"/>
          <w:szCs w:val="20"/>
          <w:color w:val="auto"/>
        </w:rPr>
      </w:pPr>
      <w:r>
        <w:rPr>
          <w:rFonts w:ascii="Courier New" w:cs="Courier New" w:eastAsia="Courier New" w:hAnsi="Courier New"/>
          <w:sz w:val="16"/>
          <w:szCs w:val="16"/>
          <w:color w:val="auto"/>
        </w:rPr>
        <w:t>Going Private Transactions. The Commission has adopted Rule 13e-3 under the Exchange Act which is applicable to certain "going private" transactions and which may under certain circumstances be applicable to the Merger or another business combination following the purchase of Shares pursuant to the Offer in which the Purchaser seeks to acquire the remaining Shares not held by it. Rule 13e-3 requires, among other things, that certain financial information concerning the Company and certain information relating to the fairness of the proposed transaction and the consideration offered to minority stockholders in such transaction, be filed with the Commission and disclosed to stockholders prior to consummation of the transaction. The Purchaser believes, however, that Rule 13e-3 will not be applicable to the Merger because it is anticipated that the Merger will be effected within one year following consummation of the Offer.</w:t>
      </w:r>
    </w:p>
    <w:p>
      <w:pPr>
        <w:spacing w:after="0" w:line="93" w:lineRule="exact"/>
        <w:rPr>
          <w:sz w:val="20"/>
          <w:szCs w:val="20"/>
          <w:color w:val="auto"/>
        </w:rPr>
      </w:pPr>
    </w:p>
    <w:p>
      <w:pPr>
        <w:ind w:right="2459" w:firstLine="484"/>
        <w:spacing w:after="0" w:line="264" w:lineRule="auto"/>
        <w:rPr>
          <w:sz w:val="20"/>
          <w:szCs w:val="20"/>
          <w:color w:val="auto"/>
        </w:rPr>
      </w:pPr>
      <w:r>
        <w:rPr>
          <w:rFonts w:ascii="Courier New" w:cs="Courier New" w:eastAsia="Courier New" w:hAnsi="Courier New"/>
          <w:sz w:val="16"/>
          <w:szCs w:val="16"/>
          <w:color w:val="auto"/>
        </w:rPr>
        <w:t>Acquisition and Disposition of Shares. The Purchaser or an affiliate of the Purchaser may, following the consummation or termination of the Offer, seek to acquire additional Shares through open market purchases, privately negotiated transactions, a tender offer or exchange offer or otherwise, upon such terms and at such prices as it shall determine, which may be more or less than the price to be paid pursuant to the Offer. The Purchaser and its affiliates also reserve the right to dispose of any or all Shares acquired by them, subject to the terms of the Merger Agreement.</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 DIVIDENDS AND DISTRIBUTIONS</w:t>
      </w:r>
    </w:p>
    <w:p>
      <w:pPr>
        <w:spacing w:after="0" w:line="191" w:lineRule="exact"/>
        <w:rPr>
          <w:sz w:val="20"/>
          <w:szCs w:val="20"/>
          <w:color w:val="auto"/>
        </w:rPr>
      </w:pPr>
    </w:p>
    <w:p>
      <w:pPr>
        <w:ind w:right="2459" w:firstLine="484"/>
        <w:spacing w:after="0" w:line="257" w:lineRule="auto"/>
        <w:rPr>
          <w:sz w:val="20"/>
          <w:szCs w:val="20"/>
          <w:color w:val="auto"/>
        </w:rPr>
      </w:pPr>
      <w:r>
        <w:rPr>
          <w:rFonts w:ascii="Courier New" w:cs="Courier New" w:eastAsia="Courier New" w:hAnsi="Courier New"/>
          <w:sz w:val="16"/>
          <w:szCs w:val="16"/>
          <w:color w:val="auto"/>
        </w:rPr>
        <w:t>If, on or after the date of the Merger Agreement, the Company should (i) split, combine or reclassify the outstanding Shares, (ii) redeem, purchase or otherwise acquire any of its capital stock or (iii) issue or sell any additional shares of, or securities convertible into or exchangeable for, or options, warrants, calls, commitments or rights of any kind to acquire, any shares of capital stock of any class of the Company, other than issuances pursuant to the exercise of Company Stock Options and Company Warrants outstanding on the date of the Merger Agreement, then, without prejudice to the Purchaser's rights under Sections 1 and 14, the Purchaser, in its sole discretion, may make such adjustments as it deems appropriate in the Offer Price and other terms of the Offer, including, without limitation, the number or type of securities offered to be purchased.</w:t>
      </w:r>
    </w:p>
    <w:p>
      <w:pPr>
        <w:spacing w:after="0" w:line="93" w:lineRule="exact"/>
        <w:rPr>
          <w:sz w:val="20"/>
          <w:szCs w:val="20"/>
          <w:color w:val="auto"/>
        </w:rPr>
      </w:pPr>
    </w:p>
    <w:p>
      <w:pPr>
        <w:ind w:right="2459" w:firstLine="484"/>
        <w:spacing w:after="0" w:line="252" w:lineRule="auto"/>
        <w:rPr>
          <w:sz w:val="20"/>
          <w:szCs w:val="20"/>
          <w:color w:val="auto"/>
        </w:rPr>
      </w:pPr>
      <w:r>
        <w:rPr>
          <w:rFonts w:ascii="Courier New" w:cs="Courier New" w:eastAsia="Courier New" w:hAnsi="Courier New"/>
          <w:sz w:val="16"/>
          <w:szCs w:val="16"/>
          <w:color w:val="auto"/>
        </w:rPr>
        <w:t>If, on or after the date of the Merger Agreement, the Company should declare, set aside or pay any dividend or other distribution payable in cash, stock or property with respect to the Shares, or issue with respect to the Shares any additional Shares, shares of any other class of capital stock, other voting securities or any securities convertible into, or rights, options or warrants, conditional or otherwise, to acquire, any of the foregoing, payable or distributable to stockholders of record on a date prior to the transfer of the Shares purchased pursuant to the Offer to the Purchaser or its nominee or transferee on the Company's stock transfer records, then, without prejudice to the Purchaser's rights under Sections 1 and 14, (i) the Offer Price may, in the sole discretion of the Purchaser, be reduced by the amount of any such cash dividend or cash distribution and (ii) the whole of any such noncash dividend, distribution or issuance to be received by the tendering stockholders will (a) be received and held by the tendering stockholders for the account of the Purchaser and will be required to be promptly remitted and transferred by each tendering stockholder to the Depositary for the account of the Purchaser, accompanied by appropriate documentation of transfer, or (b) at the direction of the Purchaser, be exercised for the benefit of the Purchaser, in which case the proceeds of such exercise will promptly be remitted to the Purchaser. Pending such remittance and subject to applicable law, the Purchaser will be entitled to all rights and privileges as owner of any such dividend, distribution or right and may withhold the entire purchase price for Shares tendered in the Offer or deduct from the purchase price the amount or value thereof, as determined by the Purchaser in its sole discretion.</w:t>
      </w:r>
    </w:p>
    <w:p>
      <w:pPr>
        <w:spacing w:after="0" w:line="91" w:lineRule="exact"/>
        <w:rPr>
          <w:sz w:val="20"/>
          <w:szCs w:val="20"/>
          <w:color w:val="auto"/>
        </w:rPr>
      </w:pPr>
    </w:p>
    <w:p>
      <w:pPr>
        <w:ind w:right="2459" w:firstLine="484"/>
        <w:spacing w:after="0" w:line="276" w:lineRule="auto"/>
        <w:rPr>
          <w:sz w:val="20"/>
          <w:szCs w:val="20"/>
          <w:color w:val="auto"/>
        </w:rPr>
      </w:pPr>
      <w:r>
        <w:rPr>
          <w:rFonts w:ascii="Courier New" w:cs="Courier New" w:eastAsia="Courier New" w:hAnsi="Courier New"/>
          <w:sz w:val="16"/>
          <w:szCs w:val="16"/>
          <w:color w:val="auto"/>
        </w:rPr>
        <w:t>Pursuant to the Merger Agreement, the Company is prohibited from taking any of the actions described in the two preceding paragraphs and nothing herein shall constitute a waiver by the Purchaser or Parent of any of its rights under the Merger Agreement or a limitation of the remedies available to the Purchaser or Parent for any breach of the Merger Agreement, including termination thereof.</w:t>
      </w:r>
    </w:p>
    <w:p>
      <w:pPr>
        <w:sectPr>
          <w:pgSz w:w="11900" w:h="16838" w:orient="portrait"/>
          <w:cols w:equalWidth="0" w:num="1">
            <w:col w:w="10219"/>
          </w:cols>
          <w:pgMar w:left="240" w:top="273" w:right="1440" w:bottom="1440" w:gutter="0" w:footer="0" w:header="0"/>
        </w:sectPr>
      </w:pPr>
    </w:p>
    <w:p>
      <w:pPr>
        <w:spacing w:after="0" w:line="7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273" w:right="1440" w:bottom="1440" w:gutter="0" w:footer="0" w:header="0"/>
          <w:type w:val="continuous"/>
        </w:sectPr>
      </w:pPr>
    </w:p>
    <w:bookmarkStart w:id="37" w:name="page38"/>
    <w:bookmarkEnd w:id="37"/>
    <w:p>
      <w:pPr>
        <w:ind w:left="301"/>
        <w:spacing w:after="0"/>
        <w:rPr>
          <w:sz w:val="20"/>
          <w:szCs w:val="20"/>
          <w:color w:val="auto"/>
        </w:rPr>
      </w:pPr>
      <w:r>
        <w:rPr>
          <w:rFonts w:ascii="Courier New" w:cs="Courier New" w:eastAsia="Courier New" w:hAnsi="Courier New"/>
          <w:sz w:val="16"/>
          <w:szCs w:val="16"/>
          <w:color w:val="auto"/>
        </w:rPr>
        <w:t>30</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14. CONDITIONS TO THE OFFER</w:t>
      </w:r>
    </w:p>
    <w:p>
      <w:pPr>
        <w:spacing w:after="0" w:line="191" w:lineRule="exact"/>
        <w:rPr>
          <w:sz w:val="20"/>
          <w:szCs w:val="20"/>
          <w:color w:val="auto"/>
        </w:rPr>
      </w:pPr>
    </w:p>
    <w:p>
      <w:pPr>
        <w:ind w:left="1" w:right="2459" w:firstLine="484"/>
        <w:spacing w:after="0" w:line="251" w:lineRule="auto"/>
        <w:rPr>
          <w:sz w:val="20"/>
          <w:szCs w:val="20"/>
          <w:color w:val="auto"/>
        </w:rPr>
      </w:pPr>
      <w:r>
        <w:rPr>
          <w:rFonts w:ascii="Courier New" w:cs="Courier New" w:eastAsia="Courier New" w:hAnsi="Courier New"/>
          <w:sz w:val="16"/>
          <w:szCs w:val="16"/>
          <w:color w:val="auto"/>
        </w:rPr>
        <w:t>Notwithstanding any other provision of the Offer, the Purchaser will not be required to accept for payment or, subject to any applicable rules and regulations of the Commission, including Rule 14e-1(c) under the Exchange Act (relating to the Purchaser's obligation to pay for or return tendered Shares promptly after termination or withdrawal of the Offer), pay for, and may delay the acceptance for payment of or, subject to the restriction referred to above, the payment for, any tendered Shares, and, subject to the provisions of the Merger Agreement, may amend the Offer or terminate the Offer and not accept for payment any tendered Shares if (i) the Minimum Condition has not been satisfied,</w:t>
      </w:r>
    </w:p>
    <w:p>
      <w:pPr>
        <w:spacing w:after="0" w:line="1" w:lineRule="exact"/>
        <w:rPr>
          <w:sz w:val="20"/>
          <w:szCs w:val="20"/>
          <w:color w:val="auto"/>
        </w:rPr>
      </w:pPr>
    </w:p>
    <w:p>
      <w:pPr>
        <w:ind w:left="1" w:right="2559" w:hanging="1"/>
        <w:spacing w:after="0" w:line="246" w:lineRule="auto"/>
        <w:tabs>
          <w:tab w:leader="none" w:pos="48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applicable waiting period under the HSR Act or the German Cartel Act has not expired or been terminated prior to the expiration of the Offer, and/or</w:t>
      </w:r>
    </w:p>
    <w:p>
      <w:pPr>
        <w:spacing w:after="0" w:line="1" w:lineRule="exact"/>
        <w:rPr>
          <w:rFonts w:ascii="Courier New" w:cs="Courier New" w:eastAsia="Courier New" w:hAnsi="Courier New"/>
          <w:sz w:val="16"/>
          <w:szCs w:val="16"/>
          <w:color w:val="auto"/>
        </w:rPr>
      </w:pPr>
    </w:p>
    <w:p>
      <w:pPr>
        <w:ind w:left="1" w:right="2559" w:hanging="1"/>
        <w:spacing w:after="0" w:line="287" w:lineRule="auto"/>
        <w:tabs>
          <w:tab w:leader="none" w:pos="582"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on or after the date of the Merger Agreement and prior to the time of acceptance of Shares for payment pursuant to the Offer, any of the following events shall occur:</w:t>
      </w:r>
    </w:p>
    <w:p>
      <w:pPr>
        <w:spacing w:after="0" w:line="65" w:lineRule="exact"/>
        <w:rPr>
          <w:rFonts w:ascii="Courier New" w:cs="Courier New" w:eastAsia="Courier New" w:hAnsi="Courier New"/>
          <w:sz w:val="16"/>
          <w:szCs w:val="16"/>
          <w:color w:val="auto"/>
        </w:rPr>
      </w:pPr>
    </w:p>
    <w:p>
      <w:pPr>
        <w:ind w:left="481" w:right="2459" w:firstLine="488"/>
        <w:spacing w:after="0" w:line="251" w:lineRule="auto"/>
        <w:tabs>
          <w:tab w:leader="none" w:pos="1353" w:val="left"/>
        </w:tabs>
        <w:numPr>
          <w:ilvl w:val="2"/>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be pending any action, suit, or proceeding (i) seeking to prohibit or impose any material limitations on Parent's or the Purchaser's ownership or operation (or that of any of their respective subsidiaries or affiliates) of all or a material portion of their or the Company's businesses or assets, (ii) seeking to compel Parent or the Purchaser or their respective subsidiaries and affiliates to dispose of or hold separate any material portion of the business or assets of the Company or Parent and their respective subsidiaries, in each case taken as a whole,</w:t>
      </w:r>
    </w:p>
    <w:p>
      <w:pPr>
        <w:spacing w:after="0" w:line="4" w:lineRule="exact"/>
        <w:rPr>
          <w:rFonts w:ascii="Courier New" w:cs="Courier New" w:eastAsia="Courier New" w:hAnsi="Courier New"/>
          <w:sz w:val="16"/>
          <w:szCs w:val="16"/>
          <w:color w:val="auto"/>
        </w:rPr>
      </w:pPr>
    </w:p>
    <w:p>
      <w:pPr>
        <w:ind w:left="481" w:right="2559" w:firstLine="4"/>
        <w:spacing w:after="0" w:line="253" w:lineRule="auto"/>
        <w:tabs>
          <w:tab w:leader="none" w:pos="1062"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challenging the acquisition by Parent or the Purchaser of any Shares pursuant to the Offer, (iv) seeking to enjoin or prohibit the making or consummation of the Offer, the Merger, or the performance of any of the other Transactions, (v) seeking to impose material limitations on the ability of the Purchaser, or rendering the Purchaser unable, to accept for payment, pay for, or purchase some or all of the Shares pursuant to the Offer and the Merger, (vi) seeking to impose material limitations on the ability of the Purchaser or Parent effectively to exercise full rights of ownership of the Shares, including, without limitation, the right to vote the Shares purchased by it on all matters properly presented to the Company's stockholders, or (vii) which otherwise is reasonably likely to have a Material Adverse Effect on the Company or, as a result of the Transactions, Parent, and its subsidiaries; or</w:t>
      </w:r>
    </w:p>
    <w:p>
      <w:pPr>
        <w:spacing w:after="0" w:line="94" w:lineRule="exact"/>
        <w:rPr>
          <w:rFonts w:ascii="Courier New" w:cs="Courier New" w:eastAsia="Courier New" w:hAnsi="Courier New"/>
          <w:sz w:val="16"/>
          <w:szCs w:val="16"/>
          <w:color w:val="auto"/>
        </w:rPr>
      </w:pPr>
    </w:p>
    <w:p>
      <w:pPr>
        <w:ind w:left="481" w:right="2459" w:firstLine="488"/>
        <w:spacing w:after="0" w:line="266" w:lineRule="auto"/>
        <w:tabs>
          <w:tab w:leader="none" w:pos="1353" w:val="left"/>
        </w:tabs>
        <w:numPr>
          <w:ilvl w:val="2"/>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be any law, judgment, order, or injunction enacted, entered, enforced, promulgated or deemed applicable to the Offer or the Merger, or any other action shall be taken by any governmental entity, other than the application to the Offer or the Merger of applicable waiting periods under the HSR Act or the German Cartel Act, that is reasonably likely to result, directly or indirectly, in any of the consequences referred to in clauses (i) through (vii) of paragraph (a) above; or</w:t>
      </w:r>
    </w:p>
    <w:p>
      <w:pPr>
        <w:spacing w:after="0" w:line="84" w:lineRule="exact"/>
        <w:rPr>
          <w:rFonts w:ascii="Courier New" w:cs="Courier New" w:eastAsia="Courier New" w:hAnsi="Courier New"/>
          <w:sz w:val="16"/>
          <w:szCs w:val="16"/>
          <w:color w:val="auto"/>
        </w:rPr>
      </w:pPr>
    </w:p>
    <w:p>
      <w:pPr>
        <w:ind w:left="481" w:right="2459" w:firstLine="488"/>
        <w:spacing w:after="0" w:line="255" w:lineRule="auto"/>
        <w:tabs>
          <w:tab w:leader="none" w:pos="1353" w:val="left"/>
        </w:tabs>
        <w:numPr>
          <w:ilvl w:val="2"/>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of the Company set forth in the Merger Agreement shall not be true and accurate as of the date of consummation of the Offer as though made on or as of such date (except for those representations and warranties that address matters only as of a particular date or only in respect of a specific time which need only be true and accurate as of such date or in respect of such period) or the Company shall have breached or failed to perform or comply with any obligation, agreement, or covenant required by the Merger Agreement to be performed or complied with by it except, in each case where the failure of such representations and warranties to be true and accurate (without giving effect to any limitation as to "materiality" or "material adverse effect" set forth therein), or the failure to perform or comply with such obligations, agreements, or covenants, do not, individually or in the aggregate, have a Material Adverse Effect on the Company or a materially adverse effect on the ability to consummate the Offer or the Merger; or</w:t>
      </w:r>
    </w:p>
    <w:p>
      <w:pPr>
        <w:spacing w:after="0" w:line="92" w:lineRule="exact"/>
        <w:rPr>
          <w:rFonts w:ascii="Courier New" w:cs="Courier New" w:eastAsia="Courier New" w:hAnsi="Courier New"/>
          <w:sz w:val="16"/>
          <w:szCs w:val="16"/>
          <w:color w:val="auto"/>
        </w:rPr>
      </w:pPr>
    </w:p>
    <w:p>
      <w:pPr>
        <w:ind w:left="481" w:right="2559" w:firstLine="488"/>
        <w:spacing w:after="0" w:line="307" w:lineRule="auto"/>
        <w:tabs>
          <w:tab w:leader="none" w:pos="1353" w:val="left"/>
        </w:tabs>
        <w:numPr>
          <w:ilvl w:val="2"/>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have delivered to Parent and the Purchaser fully executed copies of each consent or other agreement required pursuant to the Merger Agreement with respect to the Company Warrants; or</w:t>
      </w:r>
    </w:p>
    <w:p>
      <w:pPr>
        <w:spacing w:after="0" w:line="49" w:lineRule="exact"/>
        <w:rPr>
          <w:rFonts w:ascii="Courier New" w:cs="Courier New" w:eastAsia="Courier New" w:hAnsi="Courier New"/>
          <w:sz w:val="16"/>
          <w:szCs w:val="16"/>
          <w:color w:val="auto"/>
        </w:rPr>
      </w:pPr>
    </w:p>
    <w:p>
      <w:pPr>
        <w:ind w:left="481" w:right="2559" w:firstLine="488"/>
        <w:spacing w:after="0" w:line="307" w:lineRule="auto"/>
        <w:tabs>
          <w:tab w:leader="none" w:pos="1353" w:val="left"/>
        </w:tabs>
        <w:numPr>
          <w:ilvl w:val="2"/>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have occurred any events or changes which have had or which are reasonably likely to have or constitute, individually or in the aggregate, a Material Adverse Effect on the Company; or</w:t>
      </w:r>
    </w:p>
    <w:p>
      <w:pPr>
        <w:spacing w:after="0" w:line="49" w:lineRule="exact"/>
        <w:rPr>
          <w:rFonts w:ascii="Courier New" w:cs="Courier New" w:eastAsia="Courier New" w:hAnsi="Courier New"/>
          <w:sz w:val="16"/>
          <w:szCs w:val="16"/>
          <w:color w:val="auto"/>
        </w:rPr>
      </w:pPr>
    </w:p>
    <w:p>
      <w:pPr>
        <w:ind w:left="481" w:right="2559" w:firstLine="488"/>
        <w:spacing w:after="0" w:line="307" w:lineRule="auto"/>
        <w:tabs>
          <w:tab w:leader="none" w:pos="1353" w:val="left"/>
        </w:tabs>
        <w:numPr>
          <w:ilvl w:val="2"/>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Board (i) shall have withdrawn, modified, or changed in a manner adverse to Parent or the Purchaser (including, by amendment of the Schedule 14D-9) its recommendation of the</w:t>
      </w:r>
    </w:p>
    <w:p>
      <w:pPr>
        <w:sectPr>
          <w:pgSz w:w="11900" w:h="16838" w:orient="portrait"/>
          <w:cols w:equalWidth="0" w:num="1">
            <w:col w:w="10220"/>
          </w:cols>
          <w:pgMar w:left="239" w:top="273" w:right="1440" w:bottom="1440" w:gutter="0" w:footer="0" w:header="0"/>
        </w:sectPr>
      </w:pPr>
    </w:p>
    <w:p>
      <w:pPr>
        <w:spacing w:after="0" w:line="50"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20"/>
          </w:cols>
          <w:pgMar w:left="239" w:top="273" w:right="1440" w:bottom="1440" w:gutter="0" w:footer="0" w:header="0"/>
          <w:type w:val="continuous"/>
        </w:sectPr>
      </w:pPr>
    </w:p>
    <w:bookmarkStart w:id="38" w:name="page39"/>
    <w:bookmarkEnd w:id="38"/>
    <w:p>
      <w:pPr>
        <w:ind w:left="300"/>
        <w:spacing w:after="0"/>
        <w:rPr>
          <w:sz w:val="20"/>
          <w:szCs w:val="20"/>
          <w:color w:val="auto"/>
        </w:rPr>
      </w:pPr>
      <w:r>
        <w:rPr>
          <w:rFonts w:ascii="Courier New" w:cs="Courier New" w:eastAsia="Courier New" w:hAnsi="Courier New"/>
          <w:sz w:val="16"/>
          <w:szCs w:val="16"/>
          <w:color w:val="auto"/>
        </w:rPr>
        <w:t>31</w:t>
      </w:r>
    </w:p>
    <w:p>
      <w:pPr>
        <w:spacing w:after="0" w:line="191" w:lineRule="exact"/>
        <w:rPr>
          <w:sz w:val="20"/>
          <w:szCs w:val="20"/>
          <w:color w:val="auto"/>
        </w:rPr>
      </w:pPr>
    </w:p>
    <w:p>
      <w:pPr>
        <w:ind w:left="480" w:right="2459"/>
        <w:spacing w:after="0" w:line="276" w:lineRule="auto"/>
        <w:rPr>
          <w:sz w:val="20"/>
          <w:szCs w:val="20"/>
          <w:color w:val="auto"/>
        </w:rPr>
      </w:pPr>
      <w:r>
        <w:rPr>
          <w:rFonts w:ascii="Courier New" w:cs="Courier New" w:eastAsia="Courier New" w:hAnsi="Courier New"/>
          <w:sz w:val="16"/>
          <w:szCs w:val="16"/>
          <w:color w:val="auto"/>
        </w:rPr>
        <w:t>Offer, the Merger Agreement, or the Merger, (ii) shall have recommended an Acquisition Proposal, (iii) shall have adopted any resolution to effect any of the foregoing, or (iv) upon request of the Purchaser, shall fail to reaffirm its approval or recommendation of the Offer, the Merger Agreement, or the Merger; or</w:t>
      </w:r>
    </w:p>
    <w:p>
      <w:pPr>
        <w:spacing w:after="0" w:line="76" w:lineRule="exact"/>
        <w:rPr>
          <w:sz w:val="20"/>
          <w:szCs w:val="20"/>
          <w:color w:val="auto"/>
        </w:rPr>
      </w:pPr>
    </w:p>
    <w:p>
      <w:pPr>
        <w:ind w:left="480" w:right="2459" w:firstLine="488"/>
        <w:spacing w:after="0" w:line="367" w:lineRule="auto"/>
        <w:tabs>
          <w:tab w:leader="none" w:pos="1352"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Agreement shall have been terminated in accordance with its terms; or</w:t>
      </w:r>
    </w:p>
    <w:p>
      <w:pPr>
        <w:spacing w:after="0" w:line="4" w:lineRule="exact"/>
        <w:rPr>
          <w:rFonts w:ascii="Courier New" w:cs="Courier New" w:eastAsia="Courier New" w:hAnsi="Courier New"/>
          <w:sz w:val="16"/>
          <w:szCs w:val="16"/>
          <w:color w:val="auto"/>
        </w:rPr>
      </w:pPr>
    </w:p>
    <w:p>
      <w:pPr>
        <w:ind w:left="480" w:right="2459" w:firstLine="488"/>
        <w:spacing w:after="0" w:line="287" w:lineRule="auto"/>
        <w:tabs>
          <w:tab w:leader="none" w:pos="1352"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have acquired all of the outstanding capital stock of the German Subsidiary pursuant to Subsidiary Stock Purchase Agreement or shall not otherwise be the sole holder of all of the outstanding capital stock of the German Subsidiary.</w:t>
      </w:r>
    </w:p>
    <w:p>
      <w:pPr>
        <w:spacing w:after="0" w:line="65" w:lineRule="exact"/>
        <w:rPr>
          <w:sz w:val="20"/>
          <w:szCs w:val="20"/>
          <w:color w:val="auto"/>
        </w:rPr>
      </w:pPr>
    </w:p>
    <w:p>
      <w:pPr>
        <w:ind w:right="2459" w:firstLine="484"/>
        <w:spacing w:after="0" w:line="266" w:lineRule="auto"/>
        <w:rPr>
          <w:sz w:val="20"/>
          <w:szCs w:val="20"/>
          <w:color w:val="auto"/>
        </w:rPr>
      </w:pPr>
      <w:r>
        <w:rPr>
          <w:rFonts w:ascii="Courier New" w:cs="Courier New" w:eastAsia="Courier New" w:hAnsi="Courier New"/>
          <w:sz w:val="16"/>
          <w:szCs w:val="16"/>
          <w:color w:val="auto"/>
        </w:rPr>
        <w:t>The foregoing conditions are for the sole benefit of Parent and the Purchaser and may be waived by Parent or the Purchaser, in whole or in part, at any time and from time to time, in the sole discretion of Parent or the Purchaser. The failure by Parent or the Purchaser at any time to exercise any of the foregoing rights shall not be deemed a waiver of any right and each such right shall be deemed an ongoing right which may be asserted at any time and from time to time.</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 CERTAIN LEGAL MATTERS</w:t>
      </w:r>
    </w:p>
    <w:p>
      <w:pPr>
        <w:spacing w:after="0" w:line="191" w:lineRule="exact"/>
        <w:rPr>
          <w:sz w:val="20"/>
          <w:szCs w:val="20"/>
          <w:color w:val="auto"/>
        </w:rPr>
      </w:pPr>
    </w:p>
    <w:p>
      <w:pPr>
        <w:ind w:right="2459" w:firstLine="484"/>
        <w:spacing w:after="0" w:line="252" w:lineRule="auto"/>
        <w:rPr>
          <w:sz w:val="20"/>
          <w:szCs w:val="20"/>
          <w:color w:val="auto"/>
        </w:rPr>
      </w:pPr>
      <w:r>
        <w:rPr>
          <w:rFonts w:ascii="Courier New" w:cs="Courier New" w:eastAsia="Courier New" w:hAnsi="Courier New"/>
          <w:sz w:val="16"/>
          <w:szCs w:val="16"/>
          <w:color w:val="auto"/>
        </w:rPr>
        <w:t>Except as described in this Section 15, based on a review of publicly available filings by the Company with the Commission and other publicly available information concerning the Company, but without any independent investigation thereof, neither Parent nor the Purchaser is aware of any regulatory license or permit that appears to be material to the business of the Company and its subsidiaries, taken as a whole, that might be adversely affected by the acquisition of Shares by the Purchaser pursuant to the Offer or, except as set forth below, of any approval or other action by any governmental, administrative or regulatory agency or authority, domestic or foreign, that would be required prior to the acquisition of Shares by the Purchaser pursuant to the Offer. Should any such approval or other action be required, the Purchaser currently contemplates that it will be sought. Although the Purchaser does not currently intend to delay the acceptance for payment of Shares tendered pursuant to the Offer pending the outcome of such matters, there can be no assurance that any such approval or other action, if needed, would be obtained or would be obtained without substantial conditions or that adverse consequences might not result to the Company's business or that certain parts of the Company's business might not have to be disposed of in the event that such approvals were not obtained or any other actions were not taken. The Purchaser's obligation under the Offer to accept for payment and pay for Shares is subject to certain conditions, including conditions relating to the legal matters discussed in this Section 15. See Section 14.</w:t>
      </w:r>
    </w:p>
    <w:p>
      <w:pPr>
        <w:spacing w:after="0" w:line="99" w:lineRule="exact"/>
        <w:rPr>
          <w:sz w:val="20"/>
          <w:szCs w:val="20"/>
          <w:color w:val="auto"/>
        </w:rPr>
      </w:pPr>
    </w:p>
    <w:p>
      <w:pPr>
        <w:ind w:right="2459" w:firstLine="484"/>
        <w:spacing w:after="0" w:line="270" w:lineRule="auto"/>
        <w:rPr>
          <w:sz w:val="20"/>
          <w:szCs w:val="20"/>
          <w:color w:val="auto"/>
        </w:rPr>
      </w:pPr>
      <w:r>
        <w:rPr>
          <w:rFonts w:ascii="Courier New" w:cs="Courier New" w:eastAsia="Courier New" w:hAnsi="Courier New"/>
          <w:sz w:val="16"/>
          <w:szCs w:val="16"/>
          <w:color w:val="auto"/>
        </w:rPr>
        <w:t>United States Antitrust Approvals. The Offer and the Merger are subject to the HSR Act, which provides that certain acquisition transactions may not be consummated unless certain information has been furnished to the Antitrust Division of the Department of Justice (the "Antitrust Division") and the Federal Trade Commission ("FTC") and certain waiting period requirements have been satisfied.</w:t>
      </w:r>
    </w:p>
    <w:p>
      <w:pPr>
        <w:spacing w:after="0" w:line="81" w:lineRule="exact"/>
        <w:rPr>
          <w:sz w:val="20"/>
          <w:szCs w:val="20"/>
          <w:color w:val="auto"/>
        </w:rPr>
      </w:pPr>
    </w:p>
    <w:p>
      <w:pPr>
        <w:ind w:right="2459" w:firstLine="484"/>
        <w:spacing w:after="0" w:line="254" w:lineRule="auto"/>
        <w:rPr>
          <w:sz w:val="20"/>
          <w:szCs w:val="20"/>
          <w:color w:val="auto"/>
        </w:rPr>
      </w:pPr>
      <w:r>
        <w:rPr>
          <w:rFonts w:ascii="Courier New" w:cs="Courier New" w:eastAsia="Courier New" w:hAnsi="Courier New"/>
          <w:sz w:val="16"/>
          <w:szCs w:val="16"/>
          <w:color w:val="auto"/>
        </w:rPr>
        <w:t>Under the provisions of the HSR Act applicable to the Offer, the purchase of Shares pursuant to the Offer may not be consummated until the expiration of a 15-calendar day waiting period following the filing by Parent of a Pre-Merger Notification and Report Form with respect to the Offer, unless Parent receives a request for additional information or documentary material from the Antitrust Division or the FTC or unless early termination of the waiting period is granted. If, within such 15-day period, either the Antitrust Division or the FTC requests additional information or material from Parent concerning the Offer, the waiting period will be extended and would expire at 11:59 p.m., New York City time, on the tenth calendar day after the date of substantial compliance by Parent with such request. Only one extension of the waiting period pursuant to a request for additional information is authorized by the HSR Act. Thereafter, such waiting period may be extended only by court order or with the consent of Parent. The Purchaser will not accept for payment Shares tendered pursuant to the Offer unless and until the waiting period requirements imposed by the HSR Act with respect to the Offer have been satisfied. See Section 14.</w:t>
      </w:r>
    </w:p>
    <w:p>
      <w:pPr>
        <w:spacing w:after="0" w:line="99" w:lineRule="exact"/>
        <w:rPr>
          <w:sz w:val="20"/>
          <w:szCs w:val="20"/>
          <w:color w:val="auto"/>
        </w:rPr>
      </w:pPr>
    </w:p>
    <w:p>
      <w:pPr>
        <w:jc w:val="both"/>
        <w:ind w:right="2459" w:firstLine="484"/>
        <w:spacing w:after="0" w:line="259" w:lineRule="auto"/>
        <w:rPr>
          <w:sz w:val="20"/>
          <w:szCs w:val="20"/>
          <w:color w:val="auto"/>
        </w:rPr>
      </w:pPr>
      <w:r>
        <w:rPr>
          <w:rFonts w:ascii="Courier New" w:cs="Courier New" w:eastAsia="Courier New" w:hAnsi="Courier New"/>
          <w:sz w:val="16"/>
          <w:szCs w:val="16"/>
          <w:color w:val="auto"/>
        </w:rPr>
        <w:t>The FTC and the Antitrust Division frequently scrutinize the legality under the antitrust laws of transactions such as the Purchaser's acquisition of Shares pursuant to the Offer and the Merger. At any time</w:t>
      </w:r>
    </w:p>
    <w:p>
      <w:pPr>
        <w:spacing w:after="0" w:line="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273" w:right="1440" w:bottom="1440" w:gutter="0" w:footer="0" w:header="0"/>
        </w:sectPr>
      </w:pPr>
    </w:p>
    <w:bookmarkStart w:id="39" w:name="page40"/>
    <w:bookmarkEnd w:id="39"/>
    <w:p>
      <w:pPr>
        <w:ind w:left="300"/>
        <w:spacing w:after="0"/>
        <w:rPr>
          <w:sz w:val="20"/>
          <w:szCs w:val="20"/>
          <w:color w:val="auto"/>
        </w:rPr>
      </w:pPr>
      <w:r>
        <w:rPr>
          <w:rFonts w:ascii="Courier New" w:cs="Courier New" w:eastAsia="Courier New" w:hAnsi="Courier New"/>
          <w:sz w:val="16"/>
          <w:szCs w:val="16"/>
          <w:color w:val="auto"/>
        </w:rPr>
        <w:t>32</w:t>
      </w:r>
    </w:p>
    <w:p>
      <w:pPr>
        <w:spacing w:after="0" w:line="191" w:lineRule="exact"/>
        <w:rPr>
          <w:sz w:val="20"/>
          <w:szCs w:val="20"/>
          <w:color w:val="auto"/>
        </w:rPr>
      </w:pPr>
    </w:p>
    <w:p>
      <w:pPr>
        <w:ind w:right="2459"/>
        <w:spacing w:after="0" w:line="255" w:lineRule="auto"/>
        <w:rPr>
          <w:sz w:val="20"/>
          <w:szCs w:val="20"/>
          <w:color w:val="auto"/>
        </w:rPr>
      </w:pPr>
      <w:r>
        <w:rPr>
          <w:rFonts w:ascii="Courier New" w:cs="Courier New" w:eastAsia="Courier New" w:hAnsi="Courier New"/>
          <w:sz w:val="16"/>
          <w:szCs w:val="16"/>
          <w:color w:val="auto"/>
        </w:rPr>
        <w:t>before or after the Purchaser's acquisition of Shares, the Antitrust Division or the FTC could take such action under the antitrust laws as it deems necessary or desirable in the public interest, including seeking to enjoin the purchase of Shares pursuant to the Offer or the consummation of the Merger or seeking divestiture of Shares acquired by the Purchaser or divestiture of substantial assets of Parent or its subsidiaries. Private parties and state attorneys general may also bring legal action under the antitrust laws under certain circumstances. Based upon an examination of publicly available information relating to the businesses in which Parent and the Company are engaged, Parent and the Purchaser believe that the acquisition of Shares by the Purchaser will not violate the antitrust laws. Nevertheless, there can be no assurance that a challenge to the Offer or other acquisition of Shares by the Purchaser on antitrust grounds will not be made or, if such a challenge is made, of the result. See Section 14 for certain conditions to the Offer, including conditions with respect to certain governmental actions.</w:t>
      </w:r>
    </w:p>
    <w:p>
      <w:pPr>
        <w:spacing w:after="0" w:line="93" w:lineRule="exact"/>
        <w:rPr>
          <w:sz w:val="20"/>
          <w:szCs w:val="20"/>
          <w:color w:val="auto"/>
        </w:rPr>
      </w:pPr>
    </w:p>
    <w:p>
      <w:pPr>
        <w:ind w:right="2459" w:firstLine="484"/>
        <w:spacing w:after="0" w:line="256" w:lineRule="auto"/>
        <w:rPr>
          <w:sz w:val="20"/>
          <w:szCs w:val="20"/>
          <w:color w:val="auto"/>
        </w:rPr>
      </w:pPr>
      <w:r>
        <w:rPr>
          <w:rFonts w:ascii="Courier New" w:cs="Courier New" w:eastAsia="Courier New" w:hAnsi="Courier New"/>
          <w:sz w:val="16"/>
          <w:szCs w:val="16"/>
          <w:color w:val="auto"/>
        </w:rPr>
        <w:t>Federal Republic of Germany. The German Cartel Act provides for notice of certain intended transactions considered to be combinations to be filed with the German Federal Cartel Office (the "Cartel Office"). Pursuant to the German Cartel Act, the Cartel Office may issue a prohibition order with respect to any combination of the Company's business operations in the Federal Republic of Germany with those of the Purchaser or any of its affiliates, if the Cartel Office determines that a market dominating position in the Federal Republic of Germany would be created or strengthened as a result of such a combination, unless the enterprises involved prove that improvements in the competitive situation resulting from the combination would outweigh the disadvantages of market domination. The Cartel Office could also, in lieu of issuing a prohibition order allow the transaction subject to conditions and obligations designed to eliminate or restrict any anticompetitive effects in the Federal Republic resulting from the combination.</w:t>
      </w:r>
    </w:p>
    <w:p>
      <w:pPr>
        <w:spacing w:after="0" w:line="89" w:lineRule="exact"/>
        <w:rPr>
          <w:sz w:val="20"/>
          <w:szCs w:val="20"/>
          <w:color w:val="auto"/>
        </w:rPr>
      </w:pPr>
    </w:p>
    <w:p>
      <w:pPr>
        <w:ind w:right="2659" w:firstLine="484"/>
        <w:spacing w:after="0" w:line="270" w:lineRule="auto"/>
        <w:rPr>
          <w:sz w:val="20"/>
          <w:szCs w:val="20"/>
          <w:color w:val="auto"/>
        </w:rPr>
      </w:pPr>
      <w:r>
        <w:rPr>
          <w:rFonts w:ascii="Courier New" w:cs="Courier New" w:eastAsia="Courier New" w:hAnsi="Courier New"/>
          <w:sz w:val="16"/>
          <w:szCs w:val="16"/>
          <w:color w:val="auto"/>
        </w:rPr>
        <w:t>The Purchaser presently intends to cause a notice to be filed with the Cartel Office and to obtain clearance of the combination by the Cartel Office prior to consummation of the Offer. There can be no assurance that a challenge to the Offer by the Cartel Office will not be made, or, if such challenge is made, of the result. See Section 14 for certain conditions to the Offer, including conditions with respect to certain governmental actions.</w:t>
      </w:r>
    </w:p>
    <w:p>
      <w:pPr>
        <w:spacing w:after="0" w:line="81" w:lineRule="exact"/>
        <w:rPr>
          <w:sz w:val="20"/>
          <w:szCs w:val="20"/>
          <w:color w:val="auto"/>
        </w:rPr>
      </w:pPr>
    </w:p>
    <w:p>
      <w:pPr>
        <w:ind w:right="2459" w:firstLine="484"/>
        <w:spacing w:after="0" w:line="256" w:lineRule="auto"/>
        <w:rPr>
          <w:sz w:val="20"/>
          <w:szCs w:val="20"/>
          <w:color w:val="auto"/>
        </w:rPr>
      </w:pPr>
      <w:r>
        <w:rPr>
          <w:rFonts w:ascii="Courier New" w:cs="Courier New" w:eastAsia="Courier New" w:hAnsi="Courier New"/>
          <w:sz w:val="16"/>
          <w:szCs w:val="16"/>
          <w:color w:val="auto"/>
        </w:rPr>
        <w:t>State Takeover Laws. A number of states throughout the United States have enacted takeover statutes that purport, in varying degrees, to be applicable to attempts to acquire securities of corporations that are incorporated or have assets, stockholders, executive offices or places of business in such states. In Edgar v. MITE Corp., the Supreme Court of the United States held that the Illinois Business Takeover Act, which involved state securities laws that made the takeover of certain corporations more difficult, imposed a substantial burden on interstate commerce and therefore was unconstitutional. In CTS Corp. v. Dynamics Corp. of America, however, the Supreme Court of the United States held that a state may, as a matter of corporate law and, in particular, those laws concerning corporate governance, constitutionally disqualify a potential acquiror from voting on the affairs of a target corporation without prior approval of the remaining stockholders, provided that such laws were applicable only under certain conditions.</w:t>
      </w:r>
    </w:p>
    <w:p>
      <w:pPr>
        <w:spacing w:after="0" w:line="89" w:lineRule="exact"/>
        <w:rPr>
          <w:sz w:val="20"/>
          <w:szCs w:val="20"/>
          <w:color w:val="auto"/>
        </w:rPr>
      </w:pPr>
    </w:p>
    <w:p>
      <w:pPr>
        <w:ind w:right="2459" w:firstLine="484"/>
        <w:spacing w:after="0" w:line="261" w:lineRule="auto"/>
        <w:rPr>
          <w:sz w:val="20"/>
          <w:szCs w:val="20"/>
          <w:color w:val="auto"/>
        </w:rPr>
      </w:pPr>
      <w:r>
        <w:rPr>
          <w:rFonts w:ascii="Courier New" w:cs="Courier New" w:eastAsia="Courier New" w:hAnsi="Courier New"/>
          <w:sz w:val="16"/>
          <w:szCs w:val="16"/>
          <w:color w:val="auto"/>
        </w:rPr>
        <w:t>Section 203 of the DGCL limits the ability of a Delaware corporation to engage in business combinations with "interested stockholders" (defined as any beneficial owner of 15% or more of the outstanding voting stock of the corporation) unless, among other things, the corporation's board of directors has given its prior approval to either the business combination or the transaction which resulted in the stockholder becoming an interested stockholder." The Company Board's unanimous approval of the Merger Agreement, the Offer and the Merger constitutes an approval thereof for purposes of Section 203 of the DGCL.</w:t>
      </w:r>
    </w:p>
    <w:p>
      <w:pPr>
        <w:spacing w:after="0" w:line="89" w:lineRule="exact"/>
        <w:rPr>
          <w:sz w:val="20"/>
          <w:szCs w:val="20"/>
          <w:color w:val="auto"/>
        </w:rPr>
      </w:pPr>
    </w:p>
    <w:p>
      <w:pPr>
        <w:ind w:right="2459" w:firstLine="484"/>
        <w:spacing w:after="0" w:line="260" w:lineRule="auto"/>
        <w:rPr>
          <w:sz w:val="20"/>
          <w:szCs w:val="20"/>
          <w:color w:val="auto"/>
        </w:rPr>
      </w:pPr>
      <w:r>
        <w:rPr>
          <w:rFonts w:ascii="Courier New" w:cs="Courier New" w:eastAsia="Courier New" w:hAnsi="Courier New"/>
          <w:sz w:val="16"/>
          <w:szCs w:val="16"/>
          <w:color w:val="auto"/>
        </w:rPr>
        <w:t>Based on information supplied by the Company and the Company's representations in the Merger Agreement, the Purchaser does not believe that any state takeover statutes apply to the Offer or the Merger. Neither the Purchaser nor Parent has currently complied with any state takeover statute or regulation. The Purchaser reserves the right to challenge the applicability or validity of any state law purportedly applicable to the Offer or the Merger and nothing in this Offer to Purchase or any action taken in connection with the Offer or the Merger is intended as a waiver of such right. If it is asserted that any state takeover statute is applicable to the Offer or the Merger and an appropriate court does not determine that it is inapplicable or invalid as</w:t>
      </w:r>
    </w:p>
    <w:p>
      <w:pPr>
        <w:sectPr>
          <w:pgSz w:w="11900" w:h="16838" w:orient="portrait"/>
          <w:cols w:equalWidth="0" w:num="1">
            <w:col w:w="10219"/>
          </w:cols>
          <w:pgMar w:left="240" w:top="273" w:right="1440" w:bottom="1440" w:gutter="0" w:footer="0" w:header="0"/>
        </w:sectPr>
      </w:pPr>
    </w:p>
    <w:p>
      <w:pPr>
        <w:spacing w:after="0" w:line="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273" w:right="1440" w:bottom="1440" w:gutter="0" w:footer="0" w:header="0"/>
          <w:type w:val="continuous"/>
        </w:sectPr>
      </w:pPr>
    </w:p>
    <w:bookmarkStart w:id="40" w:name="page41"/>
    <w:bookmarkEnd w:id="40"/>
    <w:p>
      <w:pPr>
        <w:ind w:left="300"/>
        <w:spacing w:after="0"/>
        <w:rPr>
          <w:sz w:val="20"/>
          <w:szCs w:val="20"/>
          <w:color w:val="auto"/>
        </w:rPr>
      </w:pPr>
      <w:r>
        <w:rPr>
          <w:rFonts w:ascii="Courier New" w:cs="Courier New" w:eastAsia="Courier New" w:hAnsi="Courier New"/>
          <w:sz w:val="16"/>
          <w:szCs w:val="16"/>
          <w:color w:val="auto"/>
        </w:rPr>
        <w:t>33</w:t>
      </w:r>
    </w:p>
    <w:p>
      <w:pPr>
        <w:spacing w:after="0" w:line="191" w:lineRule="exact"/>
        <w:rPr>
          <w:sz w:val="20"/>
          <w:szCs w:val="20"/>
          <w:color w:val="auto"/>
        </w:rPr>
      </w:pPr>
    </w:p>
    <w:p>
      <w:pPr>
        <w:ind w:right="2559"/>
        <w:spacing w:after="0" w:line="270" w:lineRule="auto"/>
        <w:rPr>
          <w:sz w:val="20"/>
          <w:szCs w:val="20"/>
          <w:color w:val="auto"/>
        </w:rPr>
      </w:pPr>
      <w:r>
        <w:rPr>
          <w:rFonts w:ascii="Courier New" w:cs="Courier New" w:eastAsia="Courier New" w:hAnsi="Courier New"/>
          <w:sz w:val="16"/>
          <w:szCs w:val="16"/>
          <w:color w:val="auto"/>
        </w:rPr>
        <w:t>applied to the Offer or the Merger, the Purchaser might be required to file certain information with, or to receive approvals from, the relevant state authorities, and the Purchaser might be unable to accept for payment or pay for Shares tendered pursuant to the Offer, or be delayed in consummating the Offer or the Merger. In such case, the Purchaser may not be obligated to accept for payment or pay for any Shares tendered pursuant to the Offer.</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 FEES AND EXPENSES</w:t>
      </w:r>
    </w:p>
    <w:p>
      <w:pPr>
        <w:spacing w:after="0" w:line="191" w:lineRule="exact"/>
        <w:rPr>
          <w:sz w:val="20"/>
          <w:szCs w:val="20"/>
          <w:color w:val="auto"/>
        </w:rPr>
      </w:pPr>
    </w:p>
    <w:p>
      <w:pPr>
        <w:ind w:right="2459" w:firstLine="484"/>
        <w:spacing w:after="0" w:line="255" w:lineRule="auto"/>
        <w:rPr>
          <w:sz w:val="20"/>
          <w:szCs w:val="20"/>
          <w:color w:val="auto"/>
        </w:rPr>
      </w:pPr>
      <w:r>
        <w:rPr>
          <w:rFonts w:ascii="Courier New" w:cs="Courier New" w:eastAsia="Courier New" w:hAnsi="Courier New"/>
          <w:sz w:val="16"/>
          <w:szCs w:val="16"/>
          <w:color w:val="auto"/>
        </w:rPr>
        <w:t>The Purchaser has retained Georgeson &amp; Company Inc. to act as the Information Agent and ChaseMellon Shareholder Services, L.L.C. to act as the Depositary in connection with the Offer. The Information Agent may contact holders of Shares by mail, telephone, telex, telegraph and personal interview and may request brokers, dealers, commercial banks, trust companies and other nominees to forward the Offer materials to beneficial owners. The Information Agent and the Depositary each will receive reasonable and customary compensation for their services, will be reimbursed for certain reasonable out-of-pocket expenses and will be indemnified against certain liabilities and expenses in connection therewith, including certain liabilities under the federal securities laws. Neither Parent nor the Purchaser will pay any fees or commissions to any broker or dealer or other person (other than the Information Agent) for soliciting tenders of Shares pursuant to the Offer. Brokers, dealers, commercial banks and trust companies will be reimbursed by the Purchaser for reasonable expenses incurred by them in forwarding material to their customers.</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 MISCELLANEOUS</w:t>
      </w:r>
    </w:p>
    <w:p>
      <w:pPr>
        <w:spacing w:after="0" w:line="191" w:lineRule="exact"/>
        <w:rPr>
          <w:sz w:val="20"/>
          <w:szCs w:val="20"/>
          <w:color w:val="auto"/>
        </w:rPr>
      </w:pPr>
    </w:p>
    <w:p>
      <w:pPr>
        <w:ind w:right="2459" w:firstLine="484"/>
        <w:spacing w:after="0" w:line="266" w:lineRule="auto"/>
        <w:rPr>
          <w:sz w:val="20"/>
          <w:szCs w:val="20"/>
          <w:color w:val="auto"/>
        </w:rPr>
      </w:pPr>
      <w:r>
        <w:rPr>
          <w:rFonts w:ascii="Courier New" w:cs="Courier New" w:eastAsia="Courier New" w:hAnsi="Courier New"/>
          <w:sz w:val="16"/>
          <w:szCs w:val="16"/>
          <w:color w:val="auto"/>
        </w:rPr>
        <w:t>The Purchaser is not aware of any jurisdiction in which the making of the Offer is not in compliance with applicable law. If the Purchaser becomes aware of any jurisdiction in which the making of the Offer would not be in compliance with applicable law, the Purchaser will make a good faith effort to comply with any such law. If, after such good faith effort, the Purchaser cannot comply with any such law, the Offer will not be made to (nor will tenders be accepted from or on behalf of) the holders of Shares residing in such jurisdiction.</w:t>
      </w:r>
    </w:p>
    <w:p>
      <w:pPr>
        <w:spacing w:after="0" w:line="85" w:lineRule="exact"/>
        <w:rPr>
          <w:sz w:val="20"/>
          <w:szCs w:val="20"/>
          <w:color w:val="auto"/>
        </w:rPr>
      </w:pPr>
    </w:p>
    <w:p>
      <w:pPr>
        <w:ind w:right="2459" w:firstLine="484"/>
        <w:spacing w:after="0" w:line="287" w:lineRule="auto"/>
        <w:rPr>
          <w:sz w:val="20"/>
          <w:szCs w:val="20"/>
          <w:color w:val="auto"/>
        </w:rPr>
      </w:pPr>
      <w:r>
        <w:rPr>
          <w:rFonts w:ascii="Courier New" w:cs="Courier New" w:eastAsia="Courier New" w:hAnsi="Courier New"/>
          <w:sz w:val="16"/>
          <w:szCs w:val="16"/>
          <w:color w:val="auto"/>
        </w:rPr>
        <w:t>NO PERSON HAS BEEN AUTHORIZED TO GIVE ANY INFORMATION OR MAKE ANY REPRESENTATION ON BEHALF OF THE PURCHASER OR PARENT NOT CONTAINED IN THIS OFFER TO PURCHASE OR IN THE LETTER OF TRANSMITTAL AND, IF GIVEN OR MADE, SUCH INFORMATION OR REPRESENTATION MUST NOT BE RELIED UPON AS HAVING BEEN AUTHORIZED.</w:t>
      </w:r>
    </w:p>
    <w:p>
      <w:pPr>
        <w:spacing w:after="0" w:line="65" w:lineRule="exact"/>
        <w:rPr>
          <w:sz w:val="20"/>
          <w:szCs w:val="20"/>
          <w:color w:val="auto"/>
        </w:rPr>
      </w:pPr>
    </w:p>
    <w:p>
      <w:pPr>
        <w:ind w:right="2559" w:firstLine="484"/>
        <w:spacing w:after="0" w:line="266" w:lineRule="auto"/>
        <w:rPr>
          <w:sz w:val="20"/>
          <w:szCs w:val="20"/>
          <w:color w:val="auto"/>
        </w:rPr>
      </w:pPr>
      <w:r>
        <w:rPr>
          <w:rFonts w:ascii="Courier New" w:cs="Courier New" w:eastAsia="Courier New" w:hAnsi="Courier New"/>
          <w:sz w:val="16"/>
          <w:szCs w:val="16"/>
          <w:color w:val="auto"/>
        </w:rPr>
        <w:t>The Purchaser has filed with the Commission the Schedule 14D-1 pursuant to Rule 14d-3 under the Exchange Act, furnishing certain additional information with respect to the Offer, and may file amendments thereto. The Schedule 14D-1 and any amendments thereto, including exhibits, may be inspected and copies may be obtained at the same places and in the same manner as set forth in Section 8 (except that they will not be available at the regional offices of the Commission).</w:t>
      </w:r>
    </w:p>
    <w:p>
      <w:pPr>
        <w:spacing w:after="0" w:line="8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SENSOR ACQUISITION CORPORATION</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TEXAS INSTRUMENTS INCORPORATED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7, 1999</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273" w:right="1440" w:bottom="1440" w:gutter="0" w:footer="0" w:header="0"/>
        </w:sectPr>
      </w:pPr>
    </w:p>
    <w:bookmarkStart w:id="41" w:name="page42"/>
    <w:bookmarkEnd w:id="41"/>
    <w:p>
      <w:pPr>
        <w:ind w:left="300"/>
        <w:spacing w:after="0"/>
        <w:rPr>
          <w:sz w:val="20"/>
          <w:szCs w:val="20"/>
          <w:color w:val="auto"/>
        </w:rPr>
      </w:pPr>
      <w:r>
        <w:rPr>
          <w:rFonts w:ascii="Courier New" w:cs="Courier New" w:eastAsia="Courier New" w:hAnsi="Courier New"/>
          <w:sz w:val="16"/>
          <w:szCs w:val="16"/>
          <w:color w:val="auto"/>
        </w:rPr>
        <w:t>34</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SCHEDULE I</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INFORMATION CONCERNING DIRECTORS AND EXECUTIVE</w:t>
      </w:r>
    </w:p>
    <w:p>
      <w:pPr>
        <w:spacing w:after="0" w:line="3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OFFICERS OF PARENT AND THE PURCHASER</w:t>
      </w:r>
    </w:p>
    <w:p>
      <w:pPr>
        <w:spacing w:after="0" w:line="161" w:lineRule="exact"/>
        <w:rPr>
          <w:sz w:val="20"/>
          <w:szCs w:val="20"/>
          <w:color w:val="auto"/>
        </w:rPr>
      </w:pPr>
    </w:p>
    <w:p>
      <w:pPr>
        <w:ind w:right="2659" w:firstLine="484"/>
        <w:spacing w:after="0" w:line="254" w:lineRule="auto"/>
        <w:tabs>
          <w:tab w:leader="none" w:pos="775"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 AND EXECUTIVE OFFICERS OF PARENT. The following table sets forth the name and present principal occupation or employment, and material occupations, positions, offices or employments for the past five years of each director and executive officer of Parent. The business address of each such person is c/o Parent, 8505 Forest Lane, P.O. Box 660199, Dallas, Texas</w:t>
      </w:r>
    </w:p>
    <w:p>
      <w:pPr>
        <w:spacing w:after="0" w:line="2" w:lineRule="exact"/>
        <w:rPr>
          <w:rFonts w:ascii="Courier New" w:cs="Courier New" w:eastAsia="Courier New" w:hAnsi="Courier New"/>
          <w:sz w:val="16"/>
          <w:szCs w:val="16"/>
          <w:color w:val="auto"/>
        </w:rPr>
      </w:pPr>
    </w:p>
    <w:p>
      <w:pPr>
        <w:ind w:right="2659"/>
        <w:spacing w:after="0" w:line="32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75266-0199. All directors and officers listed below are citizens of the United States.</w:t>
      </w:r>
    </w:p>
    <w:p>
      <w:pPr>
        <w:spacing w:after="0" w:line="35" w:lineRule="exact"/>
        <w:rPr>
          <w:sz w:val="20"/>
          <w:szCs w:val="20"/>
          <w:color w:val="auto"/>
        </w:rPr>
      </w:pPr>
    </w:p>
    <w:p>
      <w:pPr>
        <w:spacing w:after="0"/>
        <w:tabs>
          <w:tab w:leader="none" w:pos="6960" w:val="left"/>
        </w:tabs>
        <w:rPr>
          <w:sz w:val="20"/>
          <w:szCs w:val="20"/>
          <w:color w:val="auto"/>
        </w:rPr>
      </w:pPr>
      <w:r>
        <w:rPr>
          <w:rFonts w:ascii="Courier New" w:cs="Courier New" w:eastAsia="Courier New" w:hAnsi="Courier New"/>
          <w:sz w:val="16"/>
          <w:szCs w:val="16"/>
          <w:color w:val="auto"/>
        </w:rPr>
        <w:t>JAMES R. ADAMS, 59</w:t>
      </w:r>
      <w:r>
        <w:rPr>
          <w:sz w:val="20"/>
          <w:szCs w:val="20"/>
          <w:color w:val="auto"/>
        </w:rPr>
        <w:tab/>
      </w:r>
      <w:r>
        <w:rPr>
          <w:rFonts w:ascii="Courier New" w:cs="Courier New" w:eastAsia="Courier New" w:hAnsi="Courier New"/>
          <w:sz w:val="16"/>
          <w:szCs w:val="16"/>
          <w:color w:val="auto"/>
        </w:rPr>
        <w:t>Director</w:t>
      </w:r>
    </w:p>
    <w:p>
      <w:pPr>
        <w:spacing w:after="0" w:line="191" w:lineRule="exact"/>
        <w:rPr>
          <w:sz w:val="20"/>
          <w:szCs w:val="20"/>
          <w:color w:val="auto"/>
        </w:rPr>
      </w:pPr>
    </w:p>
    <w:p>
      <w:pPr>
        <w:jc w:val="both"/>
        <w:ind w:right="2559"/>
        <w:spacing w:after="0" w:line="307" w:lineRule="auto"/>
        <w:rPr>
          <w:sz w:val="20"/>
          <w:szCs w:val="20"/>
          <w:color w:val="auto"/>
        </w:rPr>
      </w:pPr>
      <w:r>
        <w:rPr>
          <w:rFonts w:ascii="Courier New" w:cs="Courier New" w:eastAsia="Courier New" w:hAnsi="Courier New"/>
          <w:sz w:val="16"/>
          <w:szCs w:val="16"/>
          <w:color w:val="auto"/>
        </w:rPr>
        <w:t>Chairman of the Board of Parent from June 1996 to April 1998. Group President, SBC Communications Inc. from 1992 until retirement in 1995; President and Chief Executive Officer of Southwestern Bell Telephone Company, 1988-92.</w:t>
      </w:r>
    </w:p>
    <w:p>
      <w:pPr>
        <w:spacing w:after="0" w:line="50" w:lineRule="exact"/>
        <w:rPr>
          <w:sz w:val="20"/>
          <w:szCs w:val="20"/>
          <w:color w:val="auto"/>
        </w:rPr>
      </w:pPr>
    </w:p>
    <w:p>
      <w:pPr>
        <w:spacing w:after="0"/>
        <w:tabs>
          <w:tab w:leader="none" w:pos="6960" w:val="left"/>
        </w:tabs>
        <w:rPr>
          <w:sz w:val="20"/>
          <w:szCs w:val="20"/>
          <w:color w:val="auto"/>
        </w:rPr>
      </w:pPr>
      <w:r>
        <w:rPr>
          <w:rFonts w:ascii="Courier New" w:cs="Courier New" w:eastAsia="Courier New" w:hAnsi="Courier New"/>
          <w:sz w:val="16"/>
          <w:szCs w:val="16"/>
          <w:color w:val="auto"/>
        </w:rPr>
        <w:t>DAVID L. BOREN, 57</w:t>
      </w:r>
      <w:r>
        <w:rPr>
          <w:sz w:val="20"/>
          <w:szCs w:val="20"/>
          <w:color w:val="auto"/>
        </w:rPr>
        <w:tab/>
      </w:r>
      <w:r>
        <w:rPr>
          <w:rFonts w:ascii="Courier New" w:cs="Courier New" w:eastAsia="Courier New" w:hAnsi="Courier New"/>
          <w:sz w:val="16"/>
          <w:szCs w:val="16"/>
          <w:color w:val="auto"/>
        </w:rPr>
        <w:t>Director</w:t>
      </w:r>
    </w:p>
    <w:p>
      <w:pPr>
        <w:spacing w:after="0" w:line="191" w:lineRule="exact"/>
        <w:rPr>
          <w:sz w:val="20"/>
          <w:szCs w:val="20"/>
          <w:color w:val="auto"/>
        </w:rPr>
      </w:pPr>
    </w:p>
    <w:p>
      <w:pPr>
        <w:ind w:right="2659"/>
        <w:spacing w:after="0" w:line="287" w:lineRule="auto"/>
        <w:rPr>
          <w:sz w:val="20"/>
          <w:szCs w:val="20"/>
          <w:color w:val="auto"/>
        </w:rPr>
      </w:pPr>
      <w:r>
        <w:rPr>
          <w:rFonts w:ascii="Courier New" w:cs="Courier New" w:eastAsia="Courier New" w:hAnsi="Courier New"/>
          <w:sz w:val="16"/>
          <w:szCs w:val="16"/>
          <w:color w:val="auto"/>
        </w:rPr>
        <w:t>President of the University of Oklahoma since 1994. U.S. Senator, 1979-1994; Governor of Oklahoma, 1975-1979; Director, AMR Corporation, Phillips Petroleum Company, Torchmark Corporation and Wadell &amp; Reed, Inc.; Chairman, Oklahoma Foundation for Excellence.</w:t>
      </w:r>
    </w:p>
    <w:p>
      <w:pPr>
        <w:spacing w:after="0" w:line="65" w:lineRule="exact"/>
        <w:rPr>
          <w:sz w:val="20"/>
          <w:szCs w:val="20"/>
          <w:color w:val="auto"/>
        </w:rPr>
      </w:pPr>
    </w:p>
    <w:p>
      <w:pPr>
        <w:spacing w:after="0"/>
        <w:tabs>
          <w:tab w:leader="none" w:pos="6960" w:val="left"/>
        </w:tabs>
        <w:rPr>
          <w:sz w:val="20"/>
          <w:szCs w:val="20"/>
          <w:color w:val="auto"/>
        </w:rPr>
      </w:pPr>
      <w:r>
        <w:rPr>
          <w:rFonts w:ascii="Courier New" w:cs="Courier New" w:eastAsia="Courier New" w:hAnsi="Courier New"/>
          <w:sz w:val="16"/>
          <w:szCs w:val="16"/>
          <w:color w:val="auto"/>
        </w:rPr>
        <w:t>JAMES B. BUSEY IV, 66</w:t>
      </w:r>
      <w:r>
        <w:rPr>
          <w:sz w:val="20"/>
          <w:szCs w:val="20"/>
          <w:color w:val="auto"/>
        </w:rPr>
        <w:tab/>
      </w:r>
      <w:r>
        <w:rPr>
          <w:rFonts w:ascii="Courier New" w:cs="Courier New" w:eastAsia="Courier New" w:hAnsi="Courier New"/>
          <w:sz w:val="16"/>
          <w:szCs w:val="16"/>
          <w:color w:val="auto"/>
        </w:rPr>
        <w:t>Director</w:t>
      </w:r>
    </w:p>
    <w:p>
      <w:pPr>
        <w:spacing w:after="0" w:line="191" w:lineRule="exact"/>
        <w:rPr>
          <w:sz w:val="20"/>
          <w:szCs w:val="20"/>
          <w:color w:val="auto"/>
        </w:rPr>
      </w:pPr>
    </w:p>
    <w:p>
      <w:pPr>
        <w:ind w:right="2559"/>
        <w:spacing w:after="0" w:line="276" w:lineRule="auto"/>
        <w:rPr>
          <w:sz w:val="20"/>
          <w:szCs w:val="20"/>
          <w:color w:val="auto"/>
        </w:rPr>
      </w:pPr>
      <w:r>
        <w:rPr>
          <w:rFonts w:ascii="Courier New" w:cs="Courier New" w:eastAsia="Courier New" w:hAnsi="Courier New"/>
          <w:sz w:val="16"/>
          <w:szCs w:val="16"/>
          <w:color w:val="auto"/>
        </w:rPr>
        <w:t>Retired from U.S. Navy as Admiral in 1989. President and Chief Executive Officer, Armed Forces Communications and Electronics Association, 1992-96; Deputy Secretary, Department of Transportation, 1991-92; Administrator, Federal Aviation Administration, 1989-91. Director, Curtiss-Wright Corporation and S.T. Research Corporation; Trustee and Vice-Chairman, MITRE Corporation.</w:t>
      </w:r>
    </w:p>
    <w:p>
      <w:pPr>
        <w:spacing w:after="0" w:line="76" w:lineRule="exact"/>
        <w:rPr>
          <w:sz w:val="20"/>
          <w:szCs w:val="20"/>
          <w:color w:val="auto"/>
        </w:rPr>
      </w:pPr>
    </w:p>
    <w:p>
      <w:pPr>
        <w:spacing w:after="0"/>
        <w:tabs>
          <w:tab w:leader="none" w:pos="6960" w:val="left"/>
        </w:tabs>
        <w:rPr>
          <w:sz w:val="20"/>
          <w:szCs w:val="20"/>
          <w:color w:val="auto"/>
        </w:rPr>
      </w:pPr>
      <w:r>
        <w:rPr>
          <w:rFonts w:ascii="Courier New" w:cs="Courier New" w:eastAsia="Courier New" w:hAnsi="Courier New"/>
          <w:sz w:val="16"/>
          <w:szCs w:val="16"/>
          <w:color w:val="auto"/>
        </w:rPr>
        <w:t>DANIEL A. CARP, 50</w:t>
      </w:r>
      <w:r>
        <w:rPr>
          <w:sz w:val="20"/>
          <w:szCs w:val="20"/>
          <w:color w:val="auto"/>
        </w:rPr>
        <w:tab/>
      </w:r>
      <w:r>
        <w:rPr>
          <w:rFonts w:ascii="Courier New" w:cs="Courier New" w:eastAsia="Courier New" w:hAnsi="Courier New"/>
          <w:sz w:val="16"/>
          <w:szCs w:val="16"/>
          <w:color w:val="auto"/>
        </w:rPr>
        <w:t>Director</w:t>
      </w:r>
    </w:p>
    <w:p>
      <w:pPr>
        <w:spacing w:after="0" w:line="191" w:lineRule="exact"/>
        <w:rPr>
          <w:sz w:val="20"/>
          <w:szCs w:val="20"/>
          <w:color w:val="auto"/>
        </w:rPr>
      </w:pPr>
    </w:p>
    <w:p>
      <w:pPr>
        <w:ind w:right="2459"/>
        <w:spacing w:after="0" w:line="287" w:lineRule="auto"/>
        <w:rPr>
          <w:sz w:val="20"/>
          <w:szCs w:val="20"/>
          <w:color w:val="auto"/>
        </w:rPr>
      </w:pPr>
      <w:r>
        <w:rPr>
          <w:rFonts w:ascii="Courier New" w:cs="Courier New" w:eastAsia="Courier New" w:hAnsi="Courier New"/>
          <w:sz w:val="16"/>
          <w:szCs w:val="16"/>
          <w:color w:val="auto"/>
        </w:rPr>
        <w:t>President and Chief Operating Officer of Eastman Kodak Company since January 1997; also, Director since December 1997. Executive Vice President and Assistant Chief Operating Officer of Eastman Kodak, 1995-1997; General Manager, European Region, 1991-1995.</w:t>
      </w:r>
    </w:p>
    <w:p>
      <w:pPr>
        <w:sectPr>
          <w:pgSz w:w="11900" w:h="16838" w:orient="portrait"/>
          <w:cols w:equalWidth="0" w:num="1">
            <w:col w:w="10219"/>
          </w:cols>
          <w:pgMar w:left="240" w:top="273" w:right="1440" w:bottom="1440" w:gutter="0" w:footer="0" w:header="0"/>
        </w:sectPr>
      </w:pP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THOMAS J. ENGIBOUS, 46</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jc w:val="right"/>
        <w:ind w:right="2459"/>
        <w:spacing w:after="0" w:line="367" w:lineRule="auto"/>
        <w:rPr>
          <w:sz w:val="20"/>
          <w:szCs w:val="20"/>
          <w:color w:val="auto"/>
        </w:rPr>
      </w:pPr>
      <w:r>
        <w:rPr>
          <w:rFonts w:ascii="Courier New" w:cs="Courier New" w:eastAsia="Courier New" w:hAnsi="Courier New"/>
          <w:sz w:val="16"/>
          <w:szCs w:val="16"/>
          <w:color w:val="auto"/>
        </w:rPr>
        <w:t>Chairman of the Board, Director, President, and Chief Executive Officer</w:t>
      </w:r>
    </w:p>
    <w:p>
      <w:pPr>
        <w:spacing w:after="0" w:line="5" w:lineRule="exact"/>
        <w:rPr>
          <w:sz w:val="20"/>
          <w:szCs w:val="20"/>
          <w:color w:val="auto"/>
        </w:rPr>
      </w:pPr>
    </w:p>
    <w:p>
      <w:pPr>
        <w:sectPr>
          <w:pgSz w:w="11900" w:h="16838" w:orient="portrait"/>
          <w:cols w:equalWidth="0" w:num="2">
            <w:col w:w="2860" w:space="720"/>
            <w:col w:w="6639"/>
          </w:cols>
          <w:pgMar w:left="240" w:top="273" w:right="1440" w:bottom="1440" w:gutter="0" w:footer="0" w:header="0"/>
          <w:type w:val="continuous"/>
        </w:sectPr>
      </w:pPr>
    </w:p>
    <w:p>
      <w:pPr>
        <w:ind w:right="2559"/>
        <w:spacing w:after="0" w:line="287" w:lineRule="auto"/>
        <w:rPr>
          <w:sz w:val="20"/>
          <w:szCs w:val="20"/>
          <w:color w:val="auto"/>
        </w:rPr>
      </w:pPr>
      <w:r>
        <w:rPr>
          <w:rFonts w:ascii="Courier New" w:cs="Courier New" w:eastAsia="Courier New" w:hAnsi="Courier New"/>
          <w:sz w:val="16"/>
          <w:szCs w:val="16"/>
          <w:color w:val="auto"/>
        </w:rPr>
        <w:t>President and Chief Executive Officer of Parent since June 1996; also, Chairman since April 1998. Joined the Company in 1976; elected Executive Vice President in 1993. Director, Catalyst, J.C. Penney Company, Inc.; Member, The Business Council and The Business Roundtable; Trustee, Southern Methodist University.</w:t>
      </w:r>
    </w:p>
    <w:p>
      <w:pPr>
        <w:sectPr>
          <w:pgSz w:w="11900" w:h="16838" w:orient="portrait"/>
          <w:cols w:equalWidth="0" w:num="1">
            <w:col w:w="10219"/>
          </w:cols>
          <w:pgMar w:left="240" w:top="273" w:right="1440" w:bottom="1440" w:gutter="0" w:footer="0" w:header="0"/>
          <w:type w:val="continuous"/>
        </w:sectPr>
      </w:pP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GERALD W. FRONTERHOUSE, 62</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191" w:lineRule="exact"/>
        <w:rPr>
          <w:sz w:val="20"/>
          <w:szCs w:val="20"/>
          <w:color w:val="auto"/>
        </w:rPr>
      </w:pPr>
    </w:p>
    <w:p>
      <w:pPr>
        <w:sectPr>
          <w:pgSz w:w="11900" w:h="16838" w:orient="portrait"/>
          <w:cols w:equalWidth="0" w:num="2">
            <w:col w:w="6260" w:space="720"/>
            <w:col w:w="3239"/>
          </w:cols>
          <w:pgMar w:left="240" w:top="273" w:right="1440" w:bottom="1440" w:gutter="0" w:footer="0" w:header="0"/>
          <w:type w:val="continuous"/>
        </w:sectPr>
      </w:pPr>
    </w:p>
    <w:p>
      <w:pPr>
        <w:ind w:right="2959"/>
        <w:spacing w:after="0" w:line="367" w:lineRule="auto"/>
        <w:rPr>
          <w:sz w:val="20"/>
          <w:szCs w:val="20"/>
          <w:color w:val="auto"/>
        </w:rPr>
      </w:pPr>
      <w:r>
        <w:rPr>
          <w:rFonts w:ascii="Courier New" w:cs="Courier New" w:eastAsia="Courier New" w:hAnsi="Courier New"/>
          <w:sz w:val="16"/>
          <w:szCs w:val="16"/>
          <w:color w:val="auto"/>
        </w:rPr>
        <w:t>Investments. Former Chief Executive Officer (1985-88) of First RepublicBank Corporation. President and Director, Hoblitzelle Foundation.</w:t>
      </w:r>
    </w:p>
    <w:p>
      <w:pPr>
        <w:sectPr>
          <w:pgSz w:w="11900" w:h="16838" w:orient="portrait"/>
          <w:cols w:equalWidth="0" w:num="1">
            <w:col w:w="10219"/>
          </w:cols>
          <w:pgMar w:left="240" w:top="273"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R. GOODE, 58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191" w:lineRule="exact"/>
        <w:rPr>
          <w:sz w:val="20"/>
          <w:szCs w:val="20"/>
          <w:color w:val="auto"/>
        </w:rPr>
      </w:pPr>
    </w:p>
    <w:p>
      <w:pPr>
        <w:sectPr>
          <w:pgSz w:w="11900" w:h="16838" w:orient="portrait"/>
          <w:cols w:equalWidth="0" w:num="2">
            <w:col w:w="6260" w:space="720"/>
            <w:col w:w="3239"/>
          </w:cols>
          <w:pgMar w:left="240" w:top="273" w:right="1440" w:bottom="1440" w:gutter="0" w:footer="0" w:header="0"/>
          <w:type w:val="continuous"/>
        </w:sectPr>
      </w:pPr>
    </w:p>
    <w:p>
      <w:pPr>
        <w:ind w:right="2559"/>
        <w:spacing w:after="0" w:line="287" w:lineRule="auto"/>
        <w:rPr>
          <w:sz w:val="20"/>
          <w:szCs w:val="20"/>
          <w:color w:val="auto"/>
        </w:rPr>
      </w:pPr>
      <w:r>
        <w:rPr>
          <w:rFonts w:ascii="Courier New" w:cs="Courier New" w:eastAsia="Courier New" w:hAnsi="Courier New"/>
          <w:sz w:val="16"/>
          <w:szCs w:val="16"/>
          <w:color w:val="auto"/>
        </w:rPr>
        <w:t>Chairman of the Board and Chief Executive Officer of Norfolk Southern Corporation since 1992; also, President since 1991. Director, Aeroquip-Vichers, Inc. and Georgia-Pacific Corporation; Member, The Business Council and The Business Roundtable; Trustee, Hollins College.</w:t>
      </w:r>
    </w:p>
    <w:p>
      <w:pPr>
        <w:spacing w:after="0" w:line="65" w:lineRule="exact"/>
        <w:rPr>
          <w:sz w:val="20"/>
          <w:szCs w:val="20"/>
          <w:color w:val="auto"/>
        </w:rPr>
      </w:pPr>
    </w:p>
    <w:p>
      <w:pPr>
        <w:spacing w:after="0"/>
        <w:tabs>
          <w:tab w:leader="none" w:pos="6960" w:val="left"/>
        </w:tabs>
        <w:rPr>
          <w:sz w:val="20"/>
          <w:szCs w:val="20"/>
          <w:color w:val="auto"/>
        </w:rPr>
      </w:pPr>
      <w:r>
        <w:rPr>
          <w:rFonts w:ascii="Courier New" w:cs="Courier New" w:eastAsia="Courier New" w:hAnsi="Courier New"/>
          <w:sz w:val="16"/>
          <w:szCs w:val="16"/>
          <w:color w:val="auto"/>
        </w:rPr>
        <w:t>WAYNE R. SANDERS; 51</w:t>
      </w:r>
      <w:r>
        <w:rPr>
          <w:sz w:val="20"/>
          <w:szCs w:val="20"/>
          <w:color w:val="auto"/>
        </w:rPr>
        <w:tab/>
      </w:r>
      <w:r>
        <w:rPr>
          <w:rFonts w:ascii="Courier New" w:cs="Courier New" w:eastAsia="Courier New" w:hAnsi="Courier New"/>
          <w:sz w:val="16"/>
          <w:szCs w:val="16"/>
          <w:color w:val="auto"/>
        </w:rPr>
        <w:t>Director</w:t>
      </w:r>
    </w:p>
    <w:p>
      <w:pPr>
        <w:spacing w:after="0" w:line="191" w:lineRule="exact"/>
        <w:rPr>
          <w:sz w:val="20"/>
          <w:szCs w:val="20"/>
          <w:color w:val="auto"/>
        </w:rPr>
      </w:pPr>
    </w:p>
    <w:p>
      <w:pPr>
        <w:jc w:val="both"/>
        <w:ind w:right="2959"/>
        <w:spacing w:after="0" w:line="307" w:lineRule="auto"/>
        <w:rPr>
          <w:sz w:val="20"/>
          <w:szCs w:val="20"/>
          <w:color w:val="auto"/>
        </w:rPr>
      </w:pPr>
      <w:r>
        <w:rPr>
          <w:rFonts w:ascii="Courier New" w:cs="Courier New" w:eastAsia="Courier New" w:hAnsi="Courier New"/>
          <w:sz w:val="16"/>
          <w:szCs w:val="16"/>
          <w:color w:val="auto"/>
        </w:rPr>
        <w:t>Chairman of the Board of Kimberly-Clark Corporation since 1992; also Chief Executive Officer since 1991. Director, Adolph Coors Company, Coors Brewing Company and Chase Bank of Texas, N.A.; Trustee, Marquette University.</w:t>
      </w:r>
    </w:p>
    <w:p>
      <w:pPr>
        <w:spacing w:after="0" w:line="5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I-1</w:t>
      </w:r>
    </w:p>
    <w:p>
      <w:pPr>
        <w:sectPr>
          <w:pgSz w:w="11900" w:h="16838" w:orient="portrait"/>
          <w:cols w:equalWidth="0" w:num="1">
            <w:col w:w="10219"/>
          </w:cols>
          <w:pgMar w:left="240" w:top="273" w:right="1440" w:bottom="1440" w:gutter="0" w:footer="0" w:header="0"/>
          <w:type w:val="continuous"/>
        </w:sectPr>
      </w:pPr>
    </w:p>
    <w:bookmarkStart w:id="42" w:name="page43"/>
    <w:bookmarkEnd w:id="42"/>
    <w:p>
      <w:pPr>
        <w:ind w:left="300"/>
        <w:spacing w:after="0"/>
        <w:rPr>
          <w:sz w:val="20"/>
          <w:szCs w:val="20"/>
          <w:color w:val="auto"/>
        </w:rPr>
      </w:pPr>
      <w:r>
        <w:rPr>
          <w:rFonts w:ascii="Courier New" w:cs="Courier New" w:eastAsia="Courier New" w:hAnsi="Courier New"/>
          <w:sz w:val="16"/>
          <w:szCs w:val="16"/>
          <w:color w:val="auto"/>
        </w:rPr>
        <w:t>35</w:t>
      </w:r>
    </w:p>
    <w:p>
      <w:pPr>
        <w:spacing w:after="0" w:line="191" w:lineRule="exact"/>
        <w:rPr>
          <w:sz w:val="20"/>
          <w:szCs w:val="20"/>
          <w:color w:val="auto"/>
        </w:rPr>
      </w:pPr>
    </w:p>
    <w:p>
      <w:pPr>
        <w:spacing w:after="0"/>
        <w:tabs>
          <w:tab w:leader="none" w:pos="6960" w:val="left"/>
        </w:tabs>
        <w:rPr>
          <w:sz w:val="20"/>
          <w:szCs w:val="20"/>
          <w:color w:val="auto"/>
        </w:rPr>
      </w:pPr>
      <w:r>
        <w:rPr>
          <w:rFonts w:ascii="Courier New" w:cs="Courier New" w:eastAsia="Courier New" w:hAnsi="Courier New"/>
          <w:sz w:val="16"/>
          <w:szCs w:val="16"/>
          <w:color w:val="auto"/>
        </w:rPr>
        <w:t>GLORIA M. SHATTO, 67</w:t>
      </w:r>
      <w:r>
        <w:rPr>
          <w:sz w:val="20"/>
          <w:szCs w:val="20"/>
          <w:color w:val="auto"/>
        </w:rPr>
        <w:tab/>
      </w:r>
      <w:r>
        <w:rPr>
          <w:rFonts w:ascii="Courier New" w:cs="Courier New" w:eastAsia="Courier New" w:hAnsi="Courier New"/>
          <w:sz w:val="16"/>
          <w:szCs w:val="16"/>
          <w:color w:val="auto"/>
        </w:rPr>
        <w:t>Director</w:t>
      </w:r>
    </w:p>
    <w:p>
      <w:pPr>
        <w:spacing w:after="0" w:line="191" w:lineRule="exact"/>
        <w:rPr>
          <w:sz w:val="20"/>
          <w:szCs w:val="20"/>
          <w:color w:val="auto"/>
        </w:rPr>
      </w:pPr>
    </w:p>
    <w:p>
      <w:pPr>
        <w:ind w:right="2459"/>
        <w:spacing w:after="0" w:line="307" w:lineRule="auto"/>
        <w:rPr>
          <w:sz w:val="20"/>
          <w:szCs w:val="20"/>
          <w:color w:val="auto"/>
        </w:rPr>
      </w:pPr>
      <w:r>
        <w:rPr>
          <w:rFonts w:ascii="Courier New" w:cs="Courier New" w:eastAsia="Courier New" w:hAnsi="Courier New"/>
          <w:sz w:val="16"/>
          <w:szCs w:val="16"/>
          <w:color w:val="auto"/>
        </w:rPr>
        <w:t>President Emerita of Berry College. President of Berry College from 1980 to June 1988. Director, Becton Dickinson and Company, Georgia Power Company and The Southern Company; Trustee, Rice University.</w:t>
      </w:r>
    </w:p>
    <w:p>
      <w:pPr>
        <w:spacing w:after="0" w:line="50" w:lineRule="exact"/>
        <w:rPr>
          <w:sz w:val="20"/>
          <w:szCs w:val="20"/>
          <w:color w:val="auto"/>
        </w:rPr>
      </w:pPr>
    </w:p>
    <w:p>
      <w:pPr>
        <w:spacing w:after="0"/>
        <w:tabs>
          <w:tab w:leader="none" w:pos="6960" w:val="left"/>
        </w:tabs>
        <w:rPr>
          <w:sz w:val="20"/>
          <w:szCs w:val="20"/>
          <w:color w:val="auto"/>
        </w:rPr>
      </w:pPr>
      <w:r>
        <w:rPr>
          <w:rFonts w:ascii="Courier New" w:cs="Courier New" w:eastAsia="Courier New" w:hAnsi="Courier New"/>
          <w:sz w:val="16"/>
          <w:szCs w:val="16"/>
          <w:color w:val="auto"/>
        </w:rPr>
        <w:t>CLAYTON K. YEUTTER, 68</w:t>
      </w:r>
      <w:r>
        <w:rPr>
          <w:sz w:val="20"/>
          <w:szCs w:val="20"/>
          <w:color w:val="auto"/>
        </w:rPr>
        <w:tab/>
      </w:r>
      <w:r>
        <w:rPr>
          <w:rFonts w:ascii="Courier New" w:cs="Courier New" w:eastAsia="Courier New" w:hAnsi="Courier New"/>
          <w:sz w:val="16"/>
          <w:szCs w:val="16"/>
          <w:color w:val="auto"/>
        </w:rPr>
        <w:t>Director</w:t>
      </w:r>
    </w:p>
    <w:p>
      <w:pPr>
        <w:spacing w:after="0" w:line="191" w:lineRule="exact"/>
        <w:rPr>
          <w:sz w:val="20"/>
          <w:szCs w:val="20"/>
          <w:color w:val="auto"/>
        </w:rPr>
      </w:pPr>
    </w:p>
    <w:p>
      <w:pPr>
        <w:ind w:right="2859"/>
        <w:spacing w:after="0" w:line="276" w:lineRule="auto"/>
        <w:rPr>
          <w:sz w:val="20"/>
          <w:szCs w:val="20"/>
          <w:color w:val="auto"/>
        </w:rPr>
      </w:pPr>
      <w:r>
        <w:rPr>
          <w:rFonts w:ascii="Courier New" w:cs="Courier New" w:eastAsia="Courier New" w:hAnsi="Courier New"/>
          <w:sz w:val="16"/>
          <w:szCs w:val="16"/>
          <w:color w:val="auto"/>
        </w:rPr>
        <w:t>Of counsel, Hogan &amp; Hartson. Counselor to President Bush for domestic policy during 1992; Chairman, Republican National Committee, 1991-92; Secretary, Department of Agriculture, 1989-91; U.S. Trade Representative, 1985-89. Director, Allied Zurich, P.L.C., Caterpillar Inc., ConAgra, Inc., FMC Corporation and Oppenheimer Funds.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sz w:val="20"/>
                <w:szCs w:val="20"/>
                <w:color w:val="auto"/>
              </w:rPr>
            </w:pPr>
            <w:r>
              <w:rPr>
                <w:rFonts w:ascii="Courier New" w:cs="Courier New" w:eastAsia="Courier New" w:hAnsi="Courier New"/>
                <w:sz w:val="16"/>
                <w:szCs w:val="16"/>
                <w:color w:val="auto"/>
              </w:rPr>
              <w:t>RICHARD J. AGNICH, 55</w:t>
            </w:r>
          </w:p>
        </w:tc>
        <w:tc>
          <w:tcPr>
            <w:tcW w:w="4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Senior Vice President, Secretary</w:t>
            </w:r>
          </w:p>
        </w:tc>
      </w:tr>
      <w:tr>
        <w:trPr>
          <w:trHeight w:val="273"/>
        </w:trPr>
        <w:tc>
          <w:tcPr>
            <w:tcW w:w="3340" w:type="dxa"/>
            <w:vAlign w:val="bottom"/>
          </w:tcPr>
          <w:p>
            <w:pPr>
              <w:spacing w:after="0"/>
              <w:rPr>
                <w:sz w:val="23"/>
                <w:szCs w:val="23"/>
                <w:color w:val="auto"/>
              </w:rPr>
            </w:pPr>
          </w:p>
        </w:tc>
        <w:tc>
          <w:tcPr>
            <w:tcW w:w="4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and General Counsel</w:t>
            </w:r>
          </w:p>
        </w:tc>
      </w:tr>
      <w:tr>
        <w:trPr>
          <w:trHeight w:val="287"/>
        </w:trPr>
        <w:tc>
          <w:tcPr>
            <w:tcW w:w="3340" w:type="dxa"/>
            <w:vAlign w:val="bottom"/>
          </w:tcPr>
          <w:p>
            <w:pPr>
              <w:spacing w:after="0"/>
              <w:rPr>
                <w:sz w:val="20"/>
                <w:szCs w:val="20"/>
                <w:color w:val="auto"/>
              </w:rPr>
            </w:pPr>
            <w:r>
              <w:rPr>
                <w:rFonts w:ascii="Courier New" w:cs="Courier New" w:eastAsia="Courier New" w:hAnsi="Courier New"/>
                <w:sz w:val="16"/>
                <w:szCs w:val="16"/>
                <w:color w:val="auto"/>
              </w:rPr>
              <w:t>WILLIAM A. AYLESWORTH, 56</w:t>
            </w:r>
          </w:p>
        </w:tc>
        <w:tc>
          <w:tcPr>
            <w:tcW w:w="4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Senior Vice President, Treasurer</w:t>
            </w:r>
          </w:p>
        </w:tc>
      </w:tr>
      <w:tr>
        <w:trPr>
          <w:trHeight w:val="273"/>
        </w:trPr>
        <w:tc>
          <w:tcPr>
            <w:tcW w:w="3340" w:type="dxa"/>
            <w:vAlign w:val="bottom"/>
          </w:tcPr>
          <w:p>
            <w:pPr>
              <w:spacing w:after="0"/>
              <w:rPr>
                <w:sz w:val="23"/>
                <w:szCs w:val="23"/>
                <w:color w:val="auto"/>
              </w:rPr>
            </w:pPr>
          </w:p>
        </w:tc>
        <w:tc>
          <w:tcPr>
            <w:tcW w:w="4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and Chief Financial Officer</w:t>
            </w:r>
          </w:p>
        </w:tc>
      </w:tr>
      <w:tr>
        <w:trPr>
          <w:trHeight w:val="373"/>
        </w:trPr>
        <w:tc>
          <w:tcPr>
            <w:tcW w:w="3340" w:type="dxa"/>
            <w:vAlign w:val="bottom"/>
          </w:tcPr>
          <w:p>
            <w:pPr>
              <w:spacing w:after="0"/>
              <w:rPr>
                <w:sz w:val="20"/>
                <w:szCs w:val="20"/>
                <w:color w:val="auto"/>
              </w:rPr>
            </w:pPr>
            <w:r>
              <w:rPr>
                <w:rFonts w:ascii="Courier New" w:cs="Courier New" w:eastAsia="Courier New" w:hAnsi="Courier New"/>
                <w:sz w:val="16"/>
                <w:szCs w:val="16"/>
                <w:color w:val="auto"/>
              </w:rPr>
              <w:t>STEPHEN H. LEVEN, 47</w:t>
            </w:r>
          </w:p>
        </w:tc>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rPr>
              <w:t>Senior</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Vice President</w:t>
            </w:r>
          </w:p>
        </w:tc>
      </w:tr>
      <w:tr>
        <w:trPr>
          <w:trHeight w:val="373"/>
        </w:trPr>
        <w:tc>
          <w:tcPr>
            <w:tcW w:w="3340" w:type="dxa"/>
            <w:vAlign w:val="bottom"/>
          </w:tcPr>
          <w:p>
            <w:pPr>
              <w:spacing w:after="0"/>
              <w:rPr>
                <w:sz w:val="20"/>
                <w:szCs w:val="20"/>
                <w:color w:val="auto"/>
              </w:rPr>
            </w:pPr>
            <w:r>
              <w:rPr>
                <w:rFonts w:ascii="Courier New" w:cs="Courier New" w:eastAsia="Courier New" w:hAnsi="Courier New"/>
                <w:sz w:val="16"/>
                <w:szCs w:val="16"/>
                <w:color w:val="auto"/>
              </w:rPr>
              <w:t>KEH-SHEW LU, 52</w:t>
            </w:r>
          </w:p>
        </w:tc>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rPr>
              <w:t>Senior</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Vice President</w:t>
            </w:r>
          </w:p>
        </w:tc>
      </w:tr>
      <w:tr>
        <w:trPr>
          <w:trHeight w:val="373"/>
        </w:trPr>
        <w:tc>
          <w:tcPr>
            <w:tcW w:w="3340" w:type="dxa"/>
            <w:vAlign w:val="bottom"/>
          </w:tcPr>
          <w:p>
            <w:pPr>
              <w:spacing w:after="0"/>
              <w:rPr>
                <w:sz w:val="20"/>
                <w:szCs w:val="20"/>
                <w:color w:val="auto"/>
              </w:rPr>
            </w:pPr>
            <w:r>
              <w:rPr>
                <w:rFonts w:ascii="Courier New" w:cs="Courier New" w:eastAsia="Courier New" w:hAnsi="Courier New"/>
                <w:sz w:val="16"/>
                <w:szCs w:val="16"/>
                <w:color w:val="auto"/>
              </w:rPr>
              <w:t>JOHN SCARISBRICK, 46</w:t>
            </w:r>
          </w:p>
        </w:tc>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rPr>
              <w:t>Senior</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Vice President</w:t>
            </w:r>
          </w:p>
        </w:tc>
      </w:tr>
      <w:tr>
        <w:trPr>
          <w:trHeight w:val="287"/>
        </w:trPr>
        <w:tc>
          <w:tcPr>
            <w:tcW w:w="3340" w:type="dxa"/>
            <w:vAlign w:val="bottom"/>
          </w:tcPr>
          <w:p>
            <w:pPr>
              <w:spacing w:after="0"/>
              <w:rPr>
                <w:sz w:val="20"/>
                <w:szCs w:val="20"/>
                <w:color w:val="auto"/>
              </w:rPr>
            </w:pPr>
            <w:r>
              <w:rPr>
                <w:rFonts w:ascii="Courier New" w:cs="Courier New" w:eastAsia="Courier New" w:hAnsi="Courier New"/>
                <w:sz w:val="16"/>
                <w:szCs w:val="16"/>
                <w:color w:val="auto"/>
              </w:rPr>
              <w:t>RICHARD SCHAAR, 53</w:t>
            </w:r>
          </w:p>
        </w:tc>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rPr>
              <w:t>Senior</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Vice President</w:t>
            </w:r>
          </w:p>
        </w:tc>
      </w:tr>
      <w:tr>
        <w:trPr>
          <w:trHeight w:val="186"/>
        </w:trPr>
        <w:tc>
          <w:tcPr>
            <w:tcW w:w="3340" w:type="dxa"/>
            <w:vAlign w:val="bottom"/>
          </w:tcPr>
          <w:p>
            <w:pPr>
              <w:spacing w:after="0"/>
              <w:rPr>
                <w:sz w:val="16"/>
                <w:szCs w:val="16"/>
                <w:color w:val="auto"/>
              </w:rPr>
            </w:pPr>
          </w:p>
        </w:tc>
        <w:tc>
          <w:tcPr>
            <w:tcW w:w="4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(President, Educational &amp;</w:t>
            </w:r>
          </w:p>
        </w:tc>
      </w:tr>
      <w:tr>
        <w:trPr>
          <w:trHeight w:val="273"/>
        </w:trPr>
        <w:tc>
          <w:tcPr>
            <w:tcW w:w="3340" w:type="dxa"/>
            <w:vAlign w:val="bottom"/>
          </w:tcPr>
          <w:p>
            <w:pPr>
              <w:spacing w:after="0"/>
              <w:rPr>
                <w:sz w:val="23"/>
                <w:szCs w:val="23"/>
                <w:color w:val="auto"/>
              </w:rPr>
            </w:pPr>
          </w:p>
        </w:tc>
        <w:tc>
          <w:tcPr>
            <w:tcW w:w="4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Productivity Solutions)</w:t>
            </w:r>
          </w:p>
        </w:tc>
      </w:tr>
      <w:tr>
        <w:trPr>
          <w:trHeight w:val="287"/>
        </w:trPr>
        <w:tc>
          <w:tcPr>
            <w:tcW w:w="3340" w:type="dxa"/>
            <w:vAlign w:val="bottom"/>
          </w:tcPr>
          <w:p>
            <w:pPr>
              <w:spacing w:after="0"/>
              <w:rPr>
                <w:sz w:val="20"/>
                <w:szCs w:val="20"/>
                <w:color w:val="auto"/>
              </w:rPr>
            </w:pPr>
            <w:r>
              <w:rPr>
                <w:rFonts w:ascii="Courier New" w:cs="Courier New" w:eastAsia="Courier New" w:hAnsi="Courier New"/>
                <w:sz w:val="16"/>
                <w:szCs w:val="16"/>
                <w:color w:val="auto"/>
              </w:rPr>
              <w:t>M. SAMUEL SELF, 59</w:t>
            </w:r>
          </w:p>
        </w:tc>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rPr>
              <w:t>Senior Vice President</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and Controller</w:t>
            </w:r>
          </w:p>
        </w:tc>
      </w:tr>
      <w:tr>
        <w:trPr>
          <w:trHeight w:val="273"/>
        </w:trPr>
        <w:tc>
          <w:tcPr>
            <w:tcW w:w="3340" w:type="dxa"/>
            <w:vAlign w:val="bottom"/>
          </w:tcPr>
          <w:p>
            <w:pPr>
              <w:spacing w:after="0"/>
              <w:rPr>
                <w:sz w:val="23"/>
                <w:szCs w:val="23"/>
                <w:color w:val="auto"/>
              </w:rPr>
            </w:pPr>
          </w:p>
        </w:tc>
        <w:tc>
          <w:tcPr>
            <w:tcW w:w="4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(Chief Accounting Officer)</w:t>
            </w:r>
          </w:p>
        </w:tc>
      </w:tr>
      <w:tr>
        <w:trPr>
          <w:trHeight w:val="373"/>
        </w:trPr>
        <w:tc>
          <w:tcPr>
            <w:tcW w:w="3340" w:type="dxa"/>
            <w:vAlign w:val="bottom"/>
          </w:tcPr>
          <w:p>
            <w:pPr>
              <w:spacing w:after="0"/>
              <w:rPr>
                <w:sz w:val="20"/>
                <w:szCs w:val="20"/>
                <w:color w:val="auto"/>
              </w:rPr>
            </w:pPr>
            <w:r>
              <w:rPr>
                <w:rFonts w:ascii="Courier New" w:cs="Courier New" w:eastAsia="Courier New" w:hAnsi="Courier New"/>
                <w:sz w:val="16"/>
                <w:szCs w:val="16"/>
                <w:color w:val="auto"/>
              </w:rPr>
              <w:t>ELWIN L. SKILES, JR., 52</w:t>
            </w:r>
          </w:p>
        </w:tc>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rPr>
              <w:t>Senior</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Vice President</w:t>
            </w:r>
          </w:p>
        </w:tc>
      </w:tr>
      <w:tr>
        <w:trPr>
          <w:trHeight w:val="287"/>
        </w:trPr>
        <w:tc>
          <w:tcPr>
            <w:tcW w:w="3340" w:type="dxa"/>
            <w:vAlign w:val="bottom"/>
          </w:tcPr>
          <w:p>
            <w:pPr>
              <w:spacing w:after="0"/>
              <w:rPr>
                <w:sz w:val="20"/>
                <w:szCs w:val="20"/>
                <w:color w:val="auto"/>
              </w:rPr>
            </w:pPr>
            <w:r>
              <w:rPr>
                <w:rFonts w:ascii="Courier New" w:cs="Courier New" w:eastAsia="Courier New" w:hAnsi="Courier New"/>
                <w:sz w:val="16"/>
                <w:szCs w:val="16"/>
                <w:color w:val="auto"/>
              </w:rPr>
              <w:t>RICHARD K. TEMPLETON, 40</w:t>
            </w:r>
          </w:p>
        </w:tc>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rPr>
              <w:t>Executive</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Vice President</w:t>
            </w:r>
          </w:p>
        </w:tc>
      </w:tr>
      <w:tr>
        <w:trPr>
          <w:trHeight w:val="273"/>
        </w:trPr>
        <w:tc>
          <w:tcPr>
            <w:tcW w:w="3340" w:type="dxa"/>
            <w:vAlign w:val="bottom"/>
          </w:tcPr>
          <w:p>
            <w:pPr>
              <w:spacing w:after="0"/>
              <w:rPr>
                <w:sz w:val="23"/>
                <w:szCs w:val="23"/>
                <w:color w:val="auto"/>
              </w:rPr>
            </w:pPr>
          </w:p>
        </w:tc>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rPr>
              <w:t>(President,</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Semiconductor)</w:t>
            </w:r>
          </w:p>
        </w:tc>
      </w:tr>
      <w:tr>
        <w:trPr>
          <w:trHeight w:val="373"/>
        </w:trPr>
        <w:tc>
          <w:tcPr>
            <w:tcW w:w="3340" w:type="dxa"/>
            <w:vAlign w:val="bottom"/>
          </w:tcPr>
          <w:p>
            <w:pPr>
              <w:spacing w:after="0"/>
              <w:rPr>
                <w:sz w:val="20"/>
                <w:szCs w:val="20"/>
                <w:color w:val="auto"/>
              </w:rPr>
            </w:pPr>
            <w:r>
              <w:rPr>
                <w:rFonts w:ascii="Courier New" w:cs="Courier New" w:eastAsia="Courier New" w:hAnsi="Courier New"/>
                <w:sz w:val="16"/>
                <w:szCs w:val="16"/>
                <w:color w:val="auto"/>
              </w:rPr>
              <w:t>TERESA L. WEST, 38</w:t>
            </w:r>
          </w:p>
        </w:tc>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rPr>
              <w:t>Senior</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Vice President</w:t>
            </w:r>
          </w:p>
        </w:tc>
      </w:tr>
      <w:tr>
        <w:trPr>
          <w:trHeight w:val="373"/>
        </w:trPr>
        <w:tc>
          <w:tcPr>
            <w:tcW w:w="3340" w:type="dxa"/>
            <w:vAlign w:val="bottom"/>
          </w:tcPr>
          <w:p>
            <w:pPr>
              <w:spacing w:after="0"/>
              <w:rPr>
                <w:sz w:val="20"/>
                <w:szCs w:val="20"/>
                <w:color w:val="auto"/>
              </w:rPr>
            </w:pPr>
            <w:r>
              <w:rPr>
                <w:rFonts w:ascii="Courier New" w:cs="Courier New" w:eastAsia="Courier New" w:hAnsi="Courier New"/>
                <w:sz w:val="16"/>
                <w:szCs w:val="16"/>
                <w:color w:val="auto"/>
              </w:rPr>
              <w:t>DELBERT A. WHITAKER, 55</w:t>
            </w:r>
          </w:p>
        </w:tc>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rPr>
              <w:t>Senior</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Vice President</w:t>
            </w:r>
          </w:p>
        </w:tc>
      </w:tr>
      <w:tr>
        <w:trPr>
          <w:trHeight w:val="287"/>
        </w:trPr>
        <w:tc>
          <w:tcPr>
            <w:tcW w:w="3340" w:type="dxa"/>
            <w:vAlign w:val="bottom"/>
          </w:tcPr>
          <w:p>
            <w:pPr>
              <w:spacing w:after="0"/>
              <w:rPr>
                <w:sz w:val="20"/>
                <w:szCs w:val="20"/>
                <w:color w:val="auto"/>
              </w:rPr>
            </w:pPr>
            <w:r>
              <w:rPr>
                <w:rFonts w:ascii="Courier New" w:cs="Courier New" w:eastAsia="Courier New" w:hAnsi="Courier New"/>
                <w:sz w:val="16"/>
                <w:szCs w:val="16"/>
                <w:color w:val="auto"/>
              </w:rPr>
              <w:t>THOMAS WROE, 48</w:t>
            </w:r>
          </w:p>
        </w:tc>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rPr>
              <w:t>Senior</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Vice President</w:t>
            </w:r>
          </w:p>
        </w:tc>
      </w:tr>
      <w:tr>
        <w:trPr>
          <w:trHeight w:val="273"/>
        </w:trPr>
        <w:tc>
          <w:tcPr>
            <w:tcW w:w="3340" w:type="dxa"/>
            <w:vAlign w:val="bottom"/>
          </w:tcPr>
          <w:p>
            <w:pPr>
              <w:spacing w:after="0"/>
              <w:rPr>
                <w:sz w:val="23"/>
                <w:szCs w:val="23"/>
                <w:color w:val="auto"/>
              </w:rPr>
            </w:pPr>
          </w:p>
        </w:tc>
        <w:tc>
          <w:tcPr>
            <w:tcW w:w="4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(President, Materials &amp; Controls)</w:t>
            </w:r>
          </w:p>
        </w:tc>
      </w:tr>
    </w:tbl>
    <w:p>
      <w:pPr>
        <w:spacing w:after="0" w:line="100" w:lineRule="exact"/>
        <w:rPr>
          <w:sz w:val="20"/>
          <w:szCs w:val="20"/>
          <w:color w:val="auto"/>
        </w:rPr>
      </w:pPr>
    </w:p>
    <w:p>
      <w:pPr>
        <w:ind w:right="2459"/>
        <w:spacing w:after="0" w:line="261" w:lineRule="auto"/>
        <w:rPr>
          <w:sz w:val="20"/>
          <w:szCs w:val="20"/>
          <w:color w:val="auto"/>
        </w:rPr>
      </w:pPr>
      <w:r>
        <w:rPr>
          <w:rFonts w:ascii="Courier New" w:cs="Courier New" w:eastAsia="Courier New" w:hAnsi="Courier New"/>
          <w:sz w:val="16"/>
          <w:szCs w:val="16"/>
          <w:color w:val="auto"/>
        </w:rPr>
        <w:t>The term of office of the above listed officers is from the date of their election until their successor shall have been elected and qualified, and the most recent date of election of each of them was April 16, 1998. Messrs. Agnich, Aylesworth and Skiles have served as officers of Parent for more than five years. Mr. Templeton has served as an officer of Parent since 1996, and he has been an employee of Parent for more than five years. Ms. West and Messrs. Leven, Lu, Scarisbrick, Schaar, Self, Whitaker and Wroe have served as officers of Parent since March 19, 1998 and have been employees of Parent for more than five years.</w:t>
      </w:r>
    </w:p>
    <w:p>
      <w:pPr>
        <w:spacing w:after="0" w:line="8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I-2</w:t>
      </w:r>
    </w:p>
    <w:p>
      <w:pPr>
        <w:sectPr>
          <w:pgSz w:w="11900" w:h="16838" w:orient="portrait"/>
          <w:cols w:equalWidth="0" w:num="1">
            <w:col w:w="10219"/>
          </w:cols>
          <w:pgMar w:left="240" w:top="273" w:right="1440" w:bottom="1440" w:gutter="0" w:footer="0" w:header="0"/>
        </w:sectPr>
      </w:pPr>
    </w:p>
    <w:bookmarkStart w:id="43" w:name="page44"/>
    <w:bookmarkEnd w:id="43"/>
    <w:p>
      <w:pPr>
        <w:ind w:left="300"/>
        <w:spacing w:after="0"/>
        <w:rPr>
          <w:sz w:val="20"/>
          <w:szCs w:val="20"/>
          <w:color w:val="auto"/>
        </w:rPr>
      </w:pPr>
      <w:r>
        <w:rPr>
          <w:rFonts w:ascii="Courier New" w:cs="Courier New" w:eastAsia="Courier New" w:hAnsi="Courier New"/>
          <w:sz w:val="16"/>
          <w:szCs w:val="16"/>
          <w:color w:val="auto"/>
        </w:rPr>
        <w:t>36</w:t>
      </w:r>
    </w:p>
    <w:p>
      <w:pPr>
        <w:spacing w:after="0" w:line="191" w:lineRule="exact"/>
        <w:rPr>
          <w:sz w:val="20"/>
          <w:szCs w:val="20"/>
          <w:color w:val="auto"/>
        </w:rPr>
      </w:pPr>
    </w:p>
    <w:p>
      <w:pPr>
        <w:ind w:right="2459" w:firstLine="484"/>
        <w:spacing w:after="0" w:line="270" w:lineRule="auto"/>
        <w:tabs>
          <w:tab w:leader="none" w:pos="77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 AND EXECUTIVE OFFICERS OF THE PURCHASER. The following table sets forth the name and present principal occupation or employment, and material occupations, positions, offices or employments for the past five years of each director and executive officer of the Purchaser. Each such person is a citizen of the United States of America and the business address of each such person is c/o Parent, 8505 Forest Lane, P.O. Box 660199, Dallas, Texas 75266-0199.</w:t>
      </w:r>
    </w:p>
    <w:p>
      <w:pPr>
        <w:sectPr>
          <w:pgSz w:w="11900" w:h="16838" w:orient="portrait"/>
          <w:cols w:equalWidth="0" w:num="1">
            <w:col w:w="10219"/>
          </w:cols>
          <w:pgMar w:left="240" w:top="273"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 SAMUEL SELF, 59</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Director, Vice President and</w:t>
      </w:r>
    </w:p>
    <w:p>
      <w:pPr>
        <w:spacing w:after="0" w:line="3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Assistant Secretary</w:t>
      </w:r>
    </w:p>
    <w:p>
      <w:pPr>
        <w:spacing w:after="0" w:line="161" w:lineRule="exact"/>
        <w:rPr>
          <w:sz w:val="20"/>
          <w:szCs w:val="20"/>
          <w:color w:val="auto"/>
        </w:rPr>
      </w:pPr>
    </w:p>
    <w:p>
      <w:pPr>
        <w:sectPr>
          <w:pgSz w:w="11900" w:h="16838" w:orient="portrait"/>
          <w:cols w:equalWidth="0" w:num="2">
            <w:col w:w="4320" w:space="720"/>
            <w:col w:w="5179"/>
          </w:cols>
          <w:pgMar w:left="240" w:top="273" w:right="1440" w:bottom="1440" w:gutter="0" w:footer="0" w:header="0"/>
          <w:type w:val="continuous"/>
        </w:sectPr>
      </w:pPr>
    </w:p>
    <w:p>
      <w:pPr>
        <w:jc w:val="both"/>
        <w:ind w:right="2559"/>
        <w:spacing w:after="0" w:line="367" w:lineRule="auto"/>
        <w:rPr>
          <w:sz w:val="20"/>
          <w:szCs w:val="20"/>
          <w:color w:val="auto"/>
        </w:rPr>
      </w:pPr>
      <w:r>
        <w:rPr>
          <w:rFonts w:ascii="Courier New" w:cs="Courier New" w:eastAsia="Courier New" w:hAnsi="Courier New"/>
          <w:sz w:val="16"/>
          <w:szCs w:val="16"/>
          <w:color w:val="auto"/>
        </w:rPr>
        <w:t>Senior Vice President and Controller (Chief Accounting Officer) of Parent since March 19, 1998. Mr. Self has been employed by Parent for more than five years.</w:t>
      </w:r>
    </w:p>
    <w:p>
      <w:pPr>
        <w:spacing w:after="0" w:line="5" w:lineRule="exact"/>
        <w:rPr>
          <w:sz w:val="20"/>
          <w:szCs w:val="20"/>
          <w:color w:val="auto"/>
        </w:rPr>
      </w:pPr>
    </w:p>
    <w:p>
      <w:pPr>
        <w:spacing w:after="0"/>
        <w:tabs>
          <w:tab w:leader="none" w:pos="4540" w:val="left"/>
        </w:tabs>
        <w:rPr>
          <w:sz w:val="20"/>
          <w:szCs w:val="20"/>
          <w:color w:val="auto"/>
        </w:rPr>
      </w:pPr>
      <w:r>
        <w:rPr>
          <w:rFonts w:ascii="Courier New" w:cs="Courier New" w:eastAsia="Courier New" w:hAnsi="Courier New"/>
          <w:sz w:val="16"/>
          <w:szCs w:val="16"/>
          <w:color w:val="auto"/>
        </w:rPr>
        <w:t>MARTHA N. SULLIVAN, 42</w:t>
      </w:r>
      <w:r>
        <w:rPr>
          <w:sz w:val="20"/>
          <w:szCs w:val="20"/>
          <w:color w:val="auto"/>
        </w:rPr>
        <w:tab/>
      </w:r>
      <w:r>
        <w:rPr>
          <w:rFonts w:ascii="Courier New" w:cs="Courier New" w:eastAsia="Courier New" w:hAnsi="Courier New"/>
          <w:sz w:val="16"/>
          <w:szCs w:val="16"/>
          <w:color w:val="auto"/>
        </w:rPr>
        <w:t>Director, President and Secretary</w:t>
      </w:r>
    </w:p>
    <w:p>
      <w:pPr>
        <w:spacing w:after="0" w:line="191" w:lineRule="exact"/>
        <w:rPr>
          <w:sz w:val="20"/>
          <w:szCs w:val="20"/>
          <w:color w:val="auto"/>
        </w:rPr>
      </w:pPr>
    </w:p>
    <w:p>
      <w:pPr>
        <w:jc w:val="both"/>
        <w:ind w:right="2559"/>
        <w:spacing w:after="0" w:line="307" w:lineRule="auto"/>
        <w:rPr>
          <w:sz w:val="20"/>
          <w:szCs w:val="20"/>
          <w:color w:val="auto"/>
        </w:rPr>
      </w:pPr>
      <w:r>
        <w:rPr>
          <w:rFonts w:ascii="Courier New" w:cs="Courier New" w:eastAsia="Courier New" w:hAnsi="Courier New"/>
          <w:sz w:val="16"/>
          <w:szCs w:val="16"/>
          <w:color w:val="auto"/>
        </w:rPr>
        <w:t>Vice President of Parent since March 1998; Global Business Manager for Parent's Materials and Controls group since January 1997. Ms. Sullivan has been employed by Parent for more than five years.</w:t>
      </w:r>
    </w:p>
    <w:p>
      <w:pPr>
        <w:spacing w:after="0" w:line="50" w:lineRule="exact"/>
        <w:rPr>
          <w:sz w:val="20"/>
          <w:szCs w:val="20"/>
          <w:color w:val="auto"/>
        </w:rPr>
      </w:pPr>
    </w:p>
    <w:p>
      <w:pPr>
        <w:spacing w:after="0"/>
        <w:tabs>
          <w:tab w:leader="none" w:pos="4040" w:val="left"/>
        </w:tabs>
        <w:rPr>
          <w:sz w:val="20"/>
          <w:szCs w:val="20"/>
          <w:color w:val="auto"/>
        </w:rPr>
      </w:pPr>
      <w:r>
        <w:rPr>
          <w:rFonts w:ascii="Courier New" w:cs="Courier New" w:eastAsia="Courier New" w:hAnsi="Courier New"/>
          <w:sz w:val="16"/>
          <w:szCs w:val="16"/>
          <w:color w:val="auto"/>
        </w:rPr>
        <w:t>WILLIAM A. AYLESWORTH, 56</w:t>
      </w:r>
      <w:r>
        <w:rPr>
          <w:sz w:val="20"/>
          <w:szCs w:val="20"/>
          <w:color w:val="auto"/>
        </w:rPr>
        <w:tab/>
      </w:r>
      <w:r>
        <w:rPr>
          <w:rFonts w:ascii="Courier New" w:cs="Courier New" w:eastAsia="Courier New" w:hAnsi="Courier New"/>
          <w:sz w:val="16"/>
          <w:szCs w:val="16"/>
          <w:color w:val="auto"/>
        </w:rPr>
        <w:t>Vice President and Assistant Secretary</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Treasurer and Chief Financial Officer of Parent. Mr.</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Aylesworth has been an officer of Parent for more than five years.</w:t>
      </w:r>
    </w:p>
    <w:p>
      <w:pPr>
        <w:spacing w:after="0" w:line="16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I-3</w:t>
      </w:r>
    </w:p>
    <w:p>
      <w:pPr>
        <w:sectPr>
          <w:pgSz w:w="11900" w:h="16838" w:orient="portrait"/>
          <w:cols w:equalWidth="0" w:num="1">
            <w:col w:w="10219"/>
          </w:cols>
          <w:pgMar w:left="240" w:top="273" w:right="1440" w:bottom="1440" w:gutter="0" w:footer="0" w:header="0"/>
          <w:type w:val="continuous"/>
        </w:sectPr>
      </w:pPr>
    </w:p>
    <w:bookmarkStart w:id="44" w:name="page45"/>
    <w:bookmarkEnd w:id="44"/>
    <w:p>
      <w:pPr>
        <w:ind w:left="300"/>
        <w:spacing w:after="0"/>
        <w:rPr>
          <w:sz w:val="20"/>
          <w:szCs w:val="20"/>
          <w:color w:val="auto"/>
        </w:rPr>
      </w:pPr>
      <w:r>
        <w:rPr>
          <w:rFonts w:ascii="Courier New" w:cs="Courier New" w:eastAsia="Courier New" w:hAnsi="Courier New"/>
          <w:sz w:val="16"/>
          <w:szCs w:val="16"/>
          <w:color w:val="auto"/>
        </w:rPr>
        <w:t>37</w:t>
      </w:r>
    </w:p>
    <w:p>
      <w:pPr>
        <w:spacing w:after="0" w:line="191" w:lineRule="exact"/>
        <w:rPr>
          <w:sz w:val="20"/>
          <w:szCs w:val="20"/>
          <w:color w:val="auto"/>
        </w:rPr>
      </w:pPr>
    </w:p>
    <w:p>
      <w:pPr>
        <w:ind w:right="3380" w:firstLine="484"/>
        <w:spacing w:after="0" w:line="276" w:lineRule="auto"/>
        <w:rPr>
          <w:sz w:val="20"/>
          <w:szCs w:val="20"/>
          <w:color w:val="auto"/>
        </w:rPr>
      </w:pPr>
      <w:r>
        <w:rPr>
          <w:rFonts w:ascii="Courier New" w:cs="Courier New" w:eastAsia="Courier New" w:hAnsi="Courier New"/>
          <w:sz w:val="16"/>
          <w:szCs w:val="16"/>
          <w:color w:val="auto"/>
        </w:rPr>
        <w:t>Facsimile copies of the Letter of Transmittal, properly completed and duly executed, will be accepted. The Letter of Transmittal, certificates for Shares and any other required documents should be sent or delivered by each stockholder of the Company or his broker, dealer, commercial bank or other nominee to the Depositary at one of its addresses set forth below.</w:t>
      </w:r>
    </w:p>
    <w:p>
      <w:pPr>
        <w:spacing w:after="0" w:line="76" w:lineRule="exact"/>
        <w:rPr>
          <w:sz w:val="20"/>
          <w:szCs w:val="20"/>
          <w:color w:val="auto"/>
        </w:rPr>
      </w:pPr>
    </w:p>
    <w:p>
      <w:pPr>
        <w:jc w:val="center"/>
        <w:ind w:right="3380"/>
        <w:spacing w:after="0"/>
        <w:rPr>
          <w:sz w:val="20"/>
          <w:szCs w:val="20"/>
          <w:color w:val="auto"/>
        </w:rPr>
      </w:pPr>
      <w:r>
        <w:rPr>
          <w:rFonts w:ascii="Courier New" w:cs="Courier New" w:eastAsia="Courier New" w:hAnsi="Courier New"/>
          <w:sz w:val="16"/>
          <w:szCs w:val="16"/>
          <w:color w:val="auto"/>
        </w:rPr>
        <w:t>The Depositary for the Offer is:</w:t>
      </w:r>
    </w:p>
    <w:p>
      <w:pPr>
        <w:spacing w:after="0" w:line="191"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CHASEMELLON SHAREHOLDER SERVICES, L.L.C.</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80" w:type="dxa"/>
            <w:vAlign w:val="bottom"/>
          </w:tcPr>
          <w:p>
            <w:pPr>
              <w:jc w:val="center"/>
              <w:ind w:right="39"/>
              <w:spacing w:after="0"/>
              <w:rPr>
                <w:sz w:val="20"/>
                <w:szCs w:val="20"/>
                <w:color w:val="auto"/>
              </w:rPr>
            </w:pPr>
            <w:r>
              <w:rPr>
                <w:rFonts w:ascii="Courier New" w:cs="Courier New" w:eastAsia="Courier New" w:hAnsi="Courier New"/>
                <w:sz w:val="16"/>
                <w:szCs w:val="16"/>
                <w:color w:val="auto"/>
              </w:rPr>
              <w:t>By Mail:</w:t>
            </w:r>
          </w:p>
        </w:tc>
        <w:tc>
          <w:tcPr>
            <w:tcW w:w="318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By Facsimile Transmission:</w:t>
            </w:r>
          </w:p>
        </w:tc>
        <w:tc>
          <w:tcPr>
            <w:tcW w:w="3980" w:type="dxa"/>
            <w:vAlign w:val="bottom"/>
          </w:tcPr>
          <w:p>
            <w:pPr>
              <w:jc w:val="center"/>
              <w:ind w:left="39"/>
              <w:spacing w:after="0"/>
              <w:rPr>
                <w:sz w:val="20"/>
                <w:szCs w:val="20"/>
                <w:color w:val="auto"/>
              </w:rPr>
            </w:pPr>
            <w:r>
              <w:rPr>
                <w:rFonts w:ascii="Courier New" w:cs="Courier New" w:eastAsia="Courier New" w:hAnsi="Courier New"/>
                <w:sz w:val="16"/>
                <w:szCs w:val="16"/>
                <w:color w:val="auto"/>
              </w:rPr>
              <w:t>By Hand:</w:t>
            </w:r>
          </w:p>
        </w:tc>
      </w:tr>
      <w:tr>
        <w:trPr>
          <w:trHeight w:val="186"/>
        </w:trPr>
        <w:tc>
          <w:tcPr>
            <w:tcW w:w="398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ChaseMellon Shareholder Services, L.L.C.</w:t>
            </w:r>
          </w:p>
        </w:tc>
        <w:tc>
          <w:tcPr>
            <w:tcW w:w="318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(201) 296-4293</w:t>
            </w:r>
          </w:p>
        </w:tc>
        <w:tc>
          <w:tcPr>
            <w:tcW w:w="3980" w:type="dxa"/>
            <w:vAlign w:val="bottom"/>
          </w:tcPr>
          <w:p>
            <w:pPr>
              <w:jc w:val="center"/>
              <w:ind w:left="19"/>
              <w:spacing w:after="0"/>
              <w:rPr>
                <w:sz w:val="20"/>
                <w:szCs w:val="20"/>
                <w:color w:val="auto"/>
              </w:rPr>
            </w:pPr>
            <w:r>
              <w:rPr>
                <w:rFonts w:ascii="Courier New" w:cs="Courier New" w:eastAsia="Courier New" w:hAnsi="Courier New"/>
                <w:sz w:val="16"/>
                <w:szCs w:val="16"/>
                <w:color w:val="auto"/>
              </w:rPr>
              <w:t>ChaseMellon Shareholder Services, L.L.C.</w:t>
            </w:r>
          </w:p>
        </w:tc>
      </w:tr>
      <w:tr>
        <w:trPr>
          <w:trHeight w:val="186"/>
        </w:trPr>
        <w:tc>
          <w:tcPr>
            <w:tcW w:w="398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Attention: Reorganization Department</w:t>
            </w:r>
          </w:p>
        </w:tc>
        <w:tc>
          <w:tcPr>
            <w:tcW w:w="318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(For Eligible Institutions</w:t>
            </w:r>
          </w:p>
        </w:tc>
        <w:tc>
          <w:tcPr>
            <w:tcW w:w="3980" w:type="dxa"/>
            <w:vAlign w:val="bottom"/>
          </w:tcPr>
          <w:p>
            <w:pPr>
              <w:jc w:val="center"/>
              <w:ind w:left="19"/>
              <w:spacing w:after="0"/>
              <w:rPr>
                <w:sz w:val="20"/>
                <w:szCs w:val="20"/>
                <w:color w:val="auto"/>
              </w:rPr>
            </w:pPr>
            <w:r>
              <w:rPr>
                <w:rFonts w:ascii="Courier New" w:cs="Courier New" w:eastAsia="Courier New" w:hAnsi="Courier New"/>
                <w:sz w:val="16"/>
                <w:szCs w:val="16"/>
                <w:color w:val="auto"/>
              </w:rPr>
              <w:t>Attention: Reorganization Department</w:t>
            </w:r>
          </w:p>
        </w:tc>
      </w:tr>
      <w:tr>
        <w:trPr>
          <w:trHeight w:val="186"/>
        </w:trPr>
        <w:tc>
          <w:tcPr>
            <w:tcW w:w="3980" w:type="dxa"/>
            <w:vAlign w:val="bottom"/>
          </w:tcPr>
          <w:p>
            <w:pPr>
              <w:jc w:val="center"/>
              <w:ind w:right="39"/>
              <w:spacing w:after="0"/>
              <w:rPr>
                <w:sz w:val="20"/>
                <w:szCs w:val="20"/>
                <w:color w:val="auto"/>
              </w:rPr>
            </w:pPr>
            <w:r>
              <w:rPr>
                <w:rFonts w:ascii="Courier New" w:cs="Courier New" w:eastAsia="Courier New" w:hAnsi="Courier New"/>
                <w:sz w:val="16"/>
                <w:szCs w:val="16"/>
                <w:color w:val="auto"/>
              </w:rPr>
              <w:t>Post Office Box 3301</w:t>
            </w:r>
          </w:p>
        </w:tc>
        <w:tc>
          <w:tcPr>
            <w:tcW w:w="3180" w:type="dxa"/>
            <w:vAlign w:val="bottom"/>
          </w:tcPr>
          <w:p>
            <w:pPr>
              <w:jc w:val="center"/>
              <w:spacing w:after="0"/>
              <w:rPr>
                <w:sz w:val="20"/>
                <w:szCs w:val="20"/>
                <w:color w:val="auto"/>
              </w:rPr>
            </w:pPr>
            <w:r>
              <w:rPr>
                <w:rFonts w:ascii="Courier New" w:cs="Courier New" w:eastAsia="Courier New" w:hAnsi="Courier New"/>
                <w:sz w:val="16"/>
                <w:szCs w:val="16"/>
                <w:color w:val="auto"/>
              </w:rPr>
              <w:t>Only)</w:t>
            </w:r>
          </w:p>
        </w:tc>
        <w:tc>
          <w:tcPr>
            <w:tcW w:w="3980" w:type="dxa"/>
            <w:vAlign w:val="bottom"/>
          </w:tcPr>
          <w:p>
            <w:pPr>
              <w:jc w:val="center"/>
              <w:ind w:left="19"/>
              <w:spacing w:after="0"/>
              <w:rPr>
                <w:sz w:val="20"/>
                <w:szCs w:val="20"/>
                <w:color w:val="auto"/>
              </w:rPr>
            </w:pPr>
            <w:r>
              <w:rPr>
                <w:rFonts w:ascii="Courier New" w:cs="Courier New" w:eastAsia="Courier New" w:hAnsi="Courier New"/>
                <w:sz w:val="16"/>
                <w:szCs w:val="16"/>
                <w:color w:val="auto"/>
              </w:rPr>
              <w:t>120 Broadway, 13th Floor</w:t>
            </w:r>
          </w:p>
        </w:tc>
      </w:tr>
      <w:tr>
        <w:trPr>
          <w:trHeight w:val="186"/>
        </w:trPr>
        <w:tc>
          <w:tcPr>
            <w:tcW w:w="398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South Hackensack, New Jersey 07606</w:t>
            </w:r>
          </w:p>
        </w:tc>
        <w:tc>
          <w:tcPr>
            <w:tcW w:w="3180" w:type="dxa"/>
            <w:vAlign w:val="bottom"/>
          </w:tcPr>
          <w:p>
            <w:pPr>
              <w:jc w:val="center"/>
              <w:spacing w:after="0"/>
              <w:rPr>
                <w:sz w:val="20"/>
                <w:szCs w:val="20"/>
                <w:color w:val="auto"/>
              </w:rPr>
            </w:pPr>
            <w:r>
              <w:rPr>
                <w:rFonts w:ascii="Courier New" w:cs="Courier New" w:eastAsia="Courier New" w:hAnsi="Courier New"/>
                <w:sz w:val="16"/>
                <w:szCs w:val="16"/>
                <w:color w:val="auto"/>
              </w:rPr>
              <w:t>Confirm Facsimile by Telephone:</w:t>
            </w:r>
          </w:p>
        </w:tc>
        <w:tc>
          <w:tcPr>
            <w:tcW w:w="3980" w:type="dxa"/>
            <w:vAlign w:val="bottom"/>
          </w:tcPr>
          <w:p>
            <w:pPr>
              <w:jc w:val="center"/>
              <w:ind w:left="19"/>
              <w:spacing w:after="0"/>
              <w:rPr>
                <w:sz w:val="20"/>
                <w:szCs w:val="20"/>
                <w:color w:val="auto"/>
              </w:rPr>
            </w:pPr>
            <w:r>
              <w:rPr>
                <w:rFonts w:ascii="Courier New" w:cs="Courier New" w:eastAsia="Courier New" w:hAnsi="Courier New"/>
                <w:sz w:val="16"/>
                <w:szCs w:val="16"/>
                <w:color w:val="auto"/>
              </w:rPr>
              <w:t>New York, New York 10271</w:t>
            </w:r>
          </w:p>
        </w:tc>
      </w:tr>
      <w:tr>
        <w:trPr>
          <w:trHeight w:val="186"/>
        </w:trPr>
        <w:tc>
          <w:tcPr>
            <w:tcW w:w="3980" w:type="dxa"/>
            <w:vAlign w:val="bottom"/>
          </w:tcPr>
          <w:p>
            <w:pPr>
              <w:spacing w:after="0"/>
              <w:rPr>
                <w:sz w:val="16"/>
                <w:szCs w:val="16"/>
                <w:color w:val="auto"/>
              </w:rPr>
            </w:pPr>
          </w:p>
        </w:tc>
        <w:tc>
          <w:tcPr>
            <w:tcW w:w="318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(201) 296-4860</w:t>
            </w:r>
          </w:p>
        </w:tc>
        <w:tc>
          <w:tcPr>
            <w:tcW w:w="3980" w:type="dxa"/>
            <w:vAlign w:val="bottom"/>
          </w:tcPr>
          <w:p>
            <w:pPr>
              <w:jc w:val="center"/>
              <w:spacing w:after="0"/>
              <w:rPr>
                <w:sz w:val="20"/>
                <w:szCs w:val="20"/>
                <w:color w:val="auto"/>
              </w:rPr>
            </w:pPr>
            <w:r>
              <w:rPr>
                <w:rFonts w:ascii="Courier New" w:cs="Courier New" w:eastAsia="Courier New" w:hAnsi="Courier New"/>
                <w:sz w:val="16"/>
                <w:szCs w:val="16"/>
                <w:color w:val="auto"/>
              </w:rPr>
              <w:t>By Overnight Courier:</w:t>
            </w:r>
          </w:p>
        </w:tc>
      </w:tr>
      <w:tr>
        <w:trPr>
          <w:trHeight w:val="186"/>
        </w:trPr>
        <w:tc>
          <w:tcPr>
            <w:tcW w:w="3980" w:type="dxa"/>
            <w:vAlign w:val="bottom"/>
          </w:tcPr>
          <w:p>
            <w:pPr>
              <w:spacing w:after="0"/>
              <w:rPr>
                <w:sz w:val="16"/>
                <w:szCs w:val="16"/>
                <w:color w:val="auto"/>
              </w:rPr>
            </w:pPr>
          </w:p>
        </w:tc>
        <w:tc>
          <w:tcPr>
            <w:tcW w:w="3180" w:type="dxa"/>
            <w:vAlign w:val="bottom"/>
          </w:tcPr>
          <w:p>
            <w:pPr>
              <w:jc w:val="center"/>
              <w:spacing w:after="0"/>
              <w:rPr>
                <w:sz w:val="20"/>
                <w:szCs w:val="20"/>
                <w:color w:val="auto"/>
              </w:rPr>
            </w:pPr>
            <w:r>
              <w:rPr>
                <w:rFonts w:ascii="Courier New" w:cs="Courier New" w:eastAsia="Courier New" w:hAnsi="Courier New"/>
                <w:sz w:val="16"/>
                <w:szCs w:val="16"/>
                <w:color w:val="auto"/>
              </w:rPr>
              <w:t>(For Confirmation Only)</w:t>
            </w:r>
          </w:p>
        </w:tc>
        <w:tc>
          <w:tcPr>
            <w:tcW w:w="3980" w:type="dxa"/>
            <w:vAlign w:val="bottom"/>
          </w:tcPr>
          <w:p>
            <w:pPr>
              <w:jc w:val="center"/>
              <w:ind w:left="19"/>
              <w:spacing w:after="0"/>
              <w:rPr>
                <w:sz w:val="20"/>
                <w:szCs w:val="20"/>
                <w:color w:val="auto"/>
              </w:rPr>
            </w:pPr>
            <w:r>
              <w:rPr>
                <w:rFonts w:ascii="Courier New" w:cs="Courier New" w:eastAsia="Courier New" w:hAnsi="Courier New"/>
                <w:sz w:val="16"/>
                <w:szCs w:val="16"/>
                <w:color w:val="auto"/>
              </w:rPr>
              <w:t>ChaseMellon Shareholder Services, L.L.C.</w:t>
            </w:r>
          </w:p>
        </w:tc>
      </w:tr>
      <w:tr>
        <w:trPr>
          <w:trHeight w:val="186"/>
        </w:trPr>
        <w:tc>
          <w:tcPr>
            <w:tcW w:w="39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980" w:type="dxa"/>
            <w:vAlign w:val="bottom"/>
          </w:tcPr>
          <w:p>
            <w:pPr>
              <w:jc w:val="center"/>
              <w:ind w:left="19"/>
              <w:spacing w:after="0"/>
              <w:rPr>
                <w:sz w:val="20"/>
                <w:szCs w:val="20"/>
                <w:color w:val="auto"/>
              </w:rPr>
            </w:pPr>
            <w:r>
              <w:rPr>
                <w:rFonts w:ascii="Courier New" w:cs="Courier New" w:eastAsia="Courier New" w:hAnsi="Courier New"/>
                <w:sz w:val="16"/>
                <w:szCs w:val="16"/>
                <w:color w:val="auto"/>
              </w:rPr>
              <w:t>Attention: Reorganization Department</w:t>
            </w:r>
          </w:p>
        </w:tc>
      </w:tr>
      <w:tr>
        <w:trPr>
          <w:trHeight w:val="186"/>
        </w:trPr>
        <w:tc>
          <w:tcPr>
            <w:tcW w:w="39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980" w:type="dxa"/>
            <w:vAlign w:val="bottom"/>
          </w:tcPr>
          <w:p>
            <w:pPr>
              <w:jc w:val="center"/>
              <w:ind w:left="39"/>
              <w:spacing w:after="0"/>
              <w:rPr>
                <w:sz w:val="20"/>
                <w:szCs w:val="20"/>
                <w:color w:val="auto"/>
              </w:rPr>
            </w:pPr>
            <w:r>
              <w:rPr>
                <w:rFonts w:ascii="Courier New" w:cs="Courier New" w:eastAsia="Courier New" w:hAnsi="Courier New"/>
                <w:sz w:val="16"/>
                <w:szCs w:val="16"/>
                <w:color w:val="auto"/>
              </w:rPr>
              <w:t>85 Challenger Road</w:t>
            </w:r>
          </w:p>
        </w:tc>
      </w:tr>
      <w:tr>
        <w:trPr>
          <w:trHeight w:val="186"/>
        </w:trPr>
        <w:tc>
          <w:tcPr>
            <w:tcW w:w="39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980" w:type="dxa"/>
            <w:vAlign w:val="bottom"/>
          </w:tcPr>
          <w:p>
            <w:pPr>
              <w:jc w:val="center"/>
              <w:spacing w:after="0"/>
              <w:rPr>
                <w:sz w:val="20"/>
                <w:szCs w:val="20"/>
                <w:color w:val="auto"/>
              </w:rPr>
            </w:pPr>
            <w:r>
              <w:rPr>
                <w:rFonts w:ascii="Courier New" w:cs="Courier New" w:eastAsia="Courier New" w:hAnsi="Courier New"/>
                <w:sz w:val="16"/>
                <w:szCs w:val="16"/>
                <w:color w:val="auto"/>
              </w:rPr>
              <w:t>Mail Drop -- Reorganization</w:t>
            </w:r>
          </w:p>
        </w:tc>
      </w:tr>
      <w:tr>
        <w:trPr>
          <w:trHeight w:val="273"/>
        </w:trPr>
        <w:tc>
          <w:tcPr>
            <w:tcW w:w="398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3980" w:type="dxa"/>
            <w:vAlign w:val="bottom"/>
          </w:tcPr>
          <w:p>
            <w:pPr>
              <w:jc w:val="center"/>
              <w:spacing w:after="0"/>
              <w:rPr>
                <w:sz w:val="20"/>
                <w:szCs w:val="20"/>
                <w:color w:val="auto"/>
              </w:rPr>
            </w:pPr>
            <w:r>
              <w:rPr>
                <w:rFonts w:ascii="Courier New" w:cs="Courier New" w:eastAsia="Courier New" w:hAnsi="Courier New"/>
                <w:sz w:val="16"/>
                <w:szCs w:val="16"/>
                <w:color w:val="auto"/>
              </w:rPr>
              <w:t>Ridgefield Park, New Jersey 07660</w:t>
            </w:r>
          </w:p>
        </w:tc>
      </w:tr>
    </w:tbl>
    <w:p>
      <w:pPr>
        <w:spacing w:after="0" w:line="287" w:lineRule="exact"/>
        <w:rPr>
          <w:sz w:val="20"/>
          <w:szCs w:val="20"/>
          <w:color w:val="auto"/>
        </w:rPr>
      </w:pPr>
    </w:p>
    <w:p>
      <w:pPr>
        <w:ind w:right="3480" w:firstLine="484"/>
        <w:spacing w:after="0" w:line="254" w:lineRule="auto"/>
        <w:rPr>
          <w:sz w:val="20"/>
          <w:szCs w:val="20"/>
          <w:color w:val="auto"/>
        </w:rPr>
      </w:pPr>
      <w:r>
        <w:rPr>
          <w:rFonts w:ascii="Courier New" w:cs="Courier New" w:eastAsia="Courier New" w:hAnsi="Courier New"/>
          <w:sz w:val="16"/>
          <w:szCs w:val="16"/>
          <w:color w:val="auto"/>
        </w:rPr>
        <w:t>Questions and requests for assistance, or for additional copies of this Offer to Purchase, the Letter of Transmittal, and the Notice of Guaranteed Delivery, may be directed to the Information Agent at its address and telephone numbers set forth below. You may also contact your broker, dealer, commercial bank or trust company or nominee for assistance concerning the Offer.</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w:t>
      </w:r>
    </w:p>
    <w:p>
      <w:pPr>
        <w:spacing w:after="0" w:line="161" w:lineRule="exact"/>
        <w:rPr>
          <w:sz w:val="20"/>
          <w:szCs w:val="20"/>
          <w:color w:val="auto"/>
        </w:rPr>
      </w:pPr>
    </w:p>
    <w:p>
      <w:pPr>
        <w:jc w:val="center"/>
        <w:ind w:right="3480"/>
        <w:spacing w:after="0"/>
        <w:rPr>
          <w:sz w:val="20"/>
          <w:szCs w:val="20"/>
          <w:color w:val="auto"/>
        </w:rPr>
      </w:pPr>
      <w:r>
        <w:rPr>
          <w:rFonts w:ascii="Courier New" w:cs="Courier New" w:eastAsia="Courier New" w:hAnsi="Courier New"/>
          <w:sz w:val="16"/>
          <w:szCs w:val="16"/>
          <w:color w:val="auto"/>
        </w:rPr>
        <w:t>The Information Agent for the Offer is:</w:t>
      </w:r>
    </w:p>
    <w:p>
      <w:pPr>
        <w:spacing w:after="0" w:line="19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[GEORGESON LOGO]</w:t>
      </w:r>
    </w:p>
    <w:p>
      <w:pPr>
        <w:spacing w:after="0" w:line="19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Wall Street Plaza</w:t>
      </w:r>
    </w:p>
    <w:p>
      <w:pPr>
        <w:spacing w:after="0" w:line="3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New York, New York 10005</w:t>
      </w:r>
    </w:p>
    <w:p>
      <w:pPr>
        <w:spacing w:after="0" w:line="161" w:lineRule="exact"/>
        <w:rPr>
          <w:sz w:val="20"/>
          <w:szCs w:val="20"/>
          <w:color w:val="auto"/>
        </w:rPr>
      </w:pPr>
    </w:p>
    <w:p>
      <w:pPr>
        <w:jc w:val="center"/>
        <w:ind w:right="3380"/>
        <w:spacing w:after="0"/>
        <w:rPr>
          <w:sz w:val="20"/>
          <w:szCs w:val="20"/>
          <w:color w:val="auto"/>
        </w:rPr>
      </w:pPr>
      <w:r>
        <w:rPr>
          <w:rFonts w:ascii="Courier New" w:cs="Courier New" w:eastAsia="Courier New" w:hAnsi="Courier New"/>
          <w:sz w:val="16"/>
          <w:szCs w:val="16"/>
          <w:color w:val="auto"/>
        </w:rPr>
        <w:t>Banks and Brokers Call Collect: (212) 440-9800</w:t>
      </w:r>
    </w:p>
    <w:p>
      <w:pPr>
        <w:spacing w:after="0" w:line="35" w:lineRule="exact"/>
        <w:rPr>
          <w:sz w:val="20"/>
          <w:szCs w:val="20"/>
          <w:color w:val="auto"/>
        </w:rPr>
      </w:pPr>
    </w:p>
    <w:p>
      <w:pPr>
        <w:jc w:val="center"/>
        <w:ind w:right="3380"/>
        <w:spacing w:after="0"/>
        <w:rPr>
          <w:sz w:val="20"/>
          <w:szCs w:val="20"/>
          <w:color w:val="auto"/>
        </w:rPr>
      </w:pPr>
      <w:r>
        <w:rPr>
          <w:rFonts w:ascii="Courier New" w:cs="Courier New" w:eastAsia="Courier New" w:hAnsi="Courier New"/>
          <w:sz w:val="16"/>
          <w:szCs w:val="16"/>
          <w:color w:val="auto"/>
        </w:rPr>
        <w:t>CALL TOLL-FREE: (800) 223-2064</w:t>
      </w:r>
    </w:p>
    <w:p>
      <w:pPr>
        <w:sectPr>
          <w:pgSz w:w="11900" w:h="16838" w:orient="portrait"/>
          <w:cols w:equalWidth="0" w:num="1">
            <w:col w:w="11140"/>
          </w:cols>
          <w:pgMar w:left="240" w:top="273" w:right="519" w:bottom="1440" w:gutter="0" w:footer="0" w:header="0"/>
        </w:sectPr>
      </w:pPr>
    </w:p>
    <w:bookmarkStart w:id="45" w:name="page46"/>
    <w:bookmarkEnd w:id="45"/>
    <w:p>
      <w:pPr>
        <w:ind w:left="301"/>
        <w:spacing w:after="0"/>
        <w:rPr>
          <w:sz w:val="20"/>
          <w:szCs w:val="20"/>
          <w:color w:val="auto"/>
        </w:rPr>
      </w:pPr>
      <w:r>
        <w:rPr>
          <w:rFonts w:ascii="Courier New" w:cs="Courier New" w:eastAsia="Courier New" w:hAnsi="Courier New"/>
          <w:sz w:val="16"/>
          <w:szCs w:val="16"/>
          <w:color w:val="auto"/>
        </w:rPr>
        <w:t>1</w:t>
      </w:r>
    </w:p>
    <w:p>
      <w:pPr>
        <w:spacing w:after="0" w:line="191" w:lineRule="exact"/>
        <w:rPr>
          <w:sz w:val="20"/>
          <w:szCs w:val="20"/>
          <w:color w:val="auto"/>
        </w:rPr>
      </w:pPr>
    </w:p>
    <w:p>
      <w:pPr>
        <w:ind w:left="6201"/>
        <w:spacing w:after="0"/>
        <w:rPr>
          <w:sz w:val="20"/>
          <w:szCs w:val="20"/>
          <w:color w:val="auto"/>
        </w:rPr>
      </w:pPr>
      <w:r>
        <w:rPr>
          <w:rFonts w:ascii="Courier New" w:cs="Courier New" w:eastAsia="Courier New" w:hAnsi="Courier New"/>
          <w:sz w:val="16"/>
          <w:szCs w:val="16"/>
          <w:color w:val="auto"/>
        </w:rPr>
        <w:t>EXHIBIT 99(a)(2)</w:t>
      </w:r>
    </w:p>
    <w:p>
      <w:pPr>
        <w:spacing w:after="0" w:line="35" w:lineRule="exact"/>
        <w:rPr>
          <w:sz w:val="20"/>
          <w:szCs w:val="20"/>
          <w:color w:val="auto"/>
        </w:rPr>
      </w:pPr>
    </w:p>
    <w:p>
      <w:pPr>
        <w:ind w:left="2801"/>
        <w:spacing w:after="0"/>
        <w:rPr>
          <w:sz w:val="20"/>
          <w:szCs w:val="20"/>
          <w:color w:val="auto"/>
        </w:rPr>
      </w:pPr>
      <w:r>
        <w:rPr>
          <w:rFonts w:ascii="Courier New" w:cs="Courier New" w:eastAsia="Courier New" w:hAnsi="Courier New"/>
          <w:sz w:val="16"/>
          <w:szCs w:val="16"/>
          <w:color w:val="auto"/>
        </w:rPr>
        <w:t>LETTER OF TRANSMITTAL</w:t>
      </w:r>
    </w:p>
    <w:p>
      <w:pPr>
        <w:spacing w:after="0" w:line="5" w:lineRule="exact"/>
        <w:rPr>
          <w:sz w:val="20"/>
          <w:szCs w:val="20"/>
          <w:color w:val="auto"/>
        </w:rPr>
      </w:pPr>
    </w:p>
    <w:p>
      <w:pPr>
        <w:ind w:left="2321"/>
        <w:spacing w:after="0"/>
        <w:rPr>
          <w:sz w:val="20"/>
          <w:szCs w:val="20"/>
          <w:color w:val="auto"/>
        </w:rPr>
      </w:pPr>
      <w:r>
        <w:rPr>
          <w:rFonts w:ascii="Courier New" w:cs="Courier New" w:eastAsia="Courier New" w:hAnsi="Courier New"/>
          <w:sz w:val="16"/>
          <w:szCs w:val="16"/>
          <w:color w:val="auto"/>
        </w:rPr>
        <w:t>TO TENDER SHARES OF COMMON STOCK</w:t>
      </w:r>
    </w:p>
    <w:p>
      <w:pPr>
        <w:spacing w:after="0" w:line="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OF</w:t>
      </w:r>
    </w:p>
    <w:p>
      <w:pPr>
        <w:spacing w:after="0" w:line="161" w:lineRule="exact"/>
        <w:rPr>
          <w:sz w:val="20"/>
          <w:szCs w:val="20"/>
          <w:color w:val="auto"/>
        </w:rPr>
      </w:pPr>
    </w:p>
    <w:p>
      <w:pPr>
        <w:ind w:left="2221"/>
        <w:spacing w:after="0"/>
        <w:rPr>
          <w:sz w:val="20"/>
          <w:szCs w:val="20"/>
          <w:color w:val="auto"/>
        </w:rPr>
      </w:pPr>
      <w:r>
        <w:rPr>
          <w:rFonts w:ascii="Courier New" w:cs="Courier New" w:eastAsia="Courier New" w:hAnsi="Courier New"/>
          <w:sz w:val="16"/>
          <w:szCs w:val="16"/>
          <w:color w:val="auto"/>
        </w:rPr>
        <w:t>INTEGRATED SENSOR SOLUTIONS, INC.</w:t>
      </w:r>
    </w:p>
    <w:p>
      <w:pPr>
        <w:spacing w:after="0" w:line="3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AT</w:t>
      </w:r>
    </w:p>
    <w:p>
      <w:pPr>
        <w:spacing w:after="0" w:line="5" w:lineRule="exact"/>
        <w:rPr>
          <w:sz w:val="20"/>
          <w:szCs w:val="20"/>
          <w:color w:val="auto"/>
        </w:rPr>
      </w:pPr>
    </w:p>
    <w:p>
      <w:pPr>
        <w:ind w:left="2901"/>
        <w:spacing w:after="0"/>
        <w:rPr>
          <w:sz w:val="20"/>
          <w:szCs w:val="20"/>
          <w:color w:val="auto"/>
        </w:rPr>
      </w:pPr>
      <w:r>
        <w:rPr>
          <w:rFonts w:ascii="Courier New" w:cs="Courier New" w:eastAsia="Courier New" w:hAnsi="Courier New"/>
          <w:sz w:val="16"/>
          <w:szCs w:val="16"/>
          <w:color w:val="auto"/>
        </w:rPr>
        <w:t>$8.05 NET PER SHARE</w:t>
      </w:r>
    </w:p>
    <w:p>
      <w:pPr>
        <w:spacing w:after="0" w:line="5" w:lineRule="exact"/>
        <w:rPr>
          <w:sz w:val="20"/>
          <w:szCs w:val="20"/>
          <w:color w:val="auto"/>
        </w:rPr>
      </w:pPr>
    </w:p>
    <w:p>
      <w:pPr>
        <w:ind w:left="2221"/>
        <w:spacing w:after="0"/>
        <w:rPr>
          <w:sz w:val="20"/>
          <w:szCs w:val="20"/>
          <w:color w:val="auto"/>
        </w:rPr>
      </w:pPr>
      <w:r>
        <w:rPr>
          <w:rFonts w:ascii="Courier New" w:cs="Courier New" w:eastAsia="Courier New" w:hAnsi="Courier New"/>
          <w:sz w:val="16"/>
          <w:szCs w:val="16"/>
          <w:color w:val="auto"/>
        </w:rPr>
        <w:t>PURSUANT TO THE OFFER TO PURCHASE</w:t>
      </w:r>
    </w:p>
    <w:p>
      <w:pPr>
        <w:spacing w:after="0" w:line="5" w:lineRule="exact"/>
        <w:rPr>
          <w:sz w:val="20"/>
          <w:szCs w:val="20"/>
          <w:color w:val="auto"/>
        </w:rPr>
      </w:pPr>
    </w:p>
    <w:p>
      <w:pPr>
        <w:ind w:left="3001"/>
        <w:spacing w:after="0"/>
        <w:rPr>
          <w:sz w:val="20"/>
          <w:szCs w:val="20"/>
          <w:color w:val="auto"/>
        </w:rPr>
      </w:pPr>
      <w:r>
        <w:rPr>
          <w:rFonts w:ascii="Courier New" w:cs="Courier New" w:eastAsia="Courier New" w:hAnsi="Courier New"/>
          <w:sz w:val="16"/>
          <w:szCs w:val="16"/>
          <w:color w:val="auto"/>
        </w:rPr>
        <w:t>DATED MAY 7, 1999</w:t>
      </w:r>
    </w:p>
    <w:p>
      <w:pPr>
        <w:spacing w:after="0" w:line="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BY</w:t>
      </w:r>
    </w:p>
    <w:p>
      <w:pPr>
        <w:spacing w:after="0" w:line="161"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6"/>
          <w:szCs w:val="16"/>
          <w:color w:val="auto"/>
        </w:rPr>
        <w:t>SENSOR ACQUISITION CORPORATION</w:t>
      </w:r>
    </w:p>
    <w:p>
      <w:pPr>
        <w:spacing w:after="0" w:line="35"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6"/>
          <w:szCs w:val="16"/>
          <w:color w:val="auto"/>
        </w:rPr>
        <w:t>A DIRECT WHOLLY-OWNED SUBSIDIARY</w:t>
      </w:r>
    </w:p>
    <w:p>
      <w:pPr>
        <w:spacing w:after="0" w:line="5"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6"/>
          <w:szCs w:val="16"/>
          <w:color w:val="auto"/>
        </w:rPr>
        <w:t>OF</w:t>
      </w:r>
    </w:p>
    <w:p>
      <w:pPr>
        <w:spacing w:after="0" w:line="161"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6"/>
          <w:szCs w:val="16"/>
          <w:color w:val="auto"/>
        </w:rPr>
        <w:t>TEXAS INSTRUMENTS INCORPORATED</w:t>
      </w:r>
    </w:p>
    <w:p>
      <w:pPr>
        <w:spacing w:after="0" w:line="191"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6"/>
          <w:szCs w:val="16"/>
          <w:color w:val="auto"/>
        </w:rPr>
        <w:t>THE OFFER AND WITHDRAWAL RIGHTS WILL EXPIRE AT 12:00 MIDNIGHT, NEW</w:t>
      </w:r>
    </w:p>
    <w:p>
      <w:pPr>
        <w:spacing w:after="0" w:line="35"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6"/>
          <w:szCs w:val="16"/>
          <w:color w:val="auto"/>
        </w:rPr>
        <w:t>YORK CITY TIME, ON FRIDAY, JUNE 4, 1999, UNLESS THE OFFER IS EXTENDED.</w:t>
      </w:r>
    </w:p>
    <w:p>
      <w:pPr>
        <w:spacing w:after="0" w:line="161"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6"/>
          <w:szCs w:val="16"/>
          <w:color w:val="auto"/>
        </w:rPr>
        <w:t>The Depositary for the Offer is:</w:t>
      </w:r>
    </w:p>
    <w:p>
      <w:pPr>
        <w:spacing w:after="0" w:line="35" w:lineRule="exact"/>
        <w:rPr>
          <w:sz w:val="20"/>
          <w:szCs w:val="20"/>
          <w:color w:val="auto"/>
        </w:rPr>
      </w:pPr>
    </w:p>
    <w:p>
      <w:pPr>
        <w:ind w:left="1941"/>
        <w:spacing w:after="0"/>
        <w:rPr>
          <w:sz w:val="20"/>
          <w:szCs w:val="20"/>
          <w:color w:val="auto"/>
        </w:rPr>
      </w:pPr>
      <w:r>
        <w:rPr>
          <w:rFonts w:ascii="Courier New" w:cs="Courier New" w:eastAsia="Courier New" w:hAnsi="Courier New"/>
          <w:sz w:val="16"/>
          <w:szCs w:val="16"/>
          <w:color w:val="auto"/>
        </w:rPr>
        <w:t>CHASEMELLON SHAREHOLDER SERVICES, L.L.C.</w:t>
      </w:r>
    </w:p>
    <w:p>
      <w:pPr>
        <w:spacing w:after="0" w:line="200" w:lineRule="exact"/>
        <w:rPr>
          <w:sz w:val="20"/>
          <w:szCs w:val="20"/>
          <w:color w:val="auto"/>
        </w:rPr>
      </w:pPr>
    </w:p>
    <w:p>
      <w:pPr>
        <w:spacing w:after="0" w:line="334" w:lineRule="exact"/>
        <w:rPr>
          <w:sz w:val="20"/>
          <w:szCs w:val="20"/>
          <w:color w:val="auto"/>
        </w:rPr>
      </w:pPr>
    </w:p>
    <w:tbl>
      <w:tblPr>
        <w:tblLayout w:type="fixed"/>
        <w:tblInd w:w="101" w:type="dxa"/>
        <w:tblCellMar>
          <w:top w:w="0" w:type="dxa"/>
          <w:left w:w="0" w:type="dxa"/>
          <w:bottom w:w="0" w:type="dxa"/>
          <w:right w:w="0" w:type="dxa"/>
        </w:tblCellMar>
      </w:tblPr>
      <w:tr>
        <w:trPr>
          <w:trHeight w:val="186"/>
        </w:trPr>
        <w:tc>
          <w:tcPr>
            <w:tcW w:w="3720" w:type="dxa"/>
            <w:vAlign w:val="bottom"/>
          </w:tcPr>
          <w:p>
            <w:pPr>
              <w:jc w:val="center"/>
              <w:ind w:right="159"/>
              <w:spacing w:after="0"/>
              <w:rPr>
                <w:sz w:val="20"/>
                <w:szCs w:val="20"/>
                <w:color w:val="auto"/>
              </w:rPr>
            </w:pPr>
            <w:r>
              <w:rPr>
                <w:rFonts w:ascii="Courier New" w:cs="Courier New" w:eastAsia="Courier New" w:hAnsi="Courier New"/>
                <w:sz w:val="16"/>
                <w:szCs w:val="16"/>
                <w:color w:val="auto"/>
                <w:w w:val="98"/>
              </w:rPr>
              <w:t>By Mail:</w:t>
            </w:r>
          </w:p>
        </w:tc>
        <w:tc>
          <w:tcPr>
            <w:tcW w:w="3600" w:type="dxa"/>
            <w:vAlign w:val="bottom"/>
          </w:tcPr>
          <w:p>
            <w:pPr>
              <w:jc w:val="center"/>
              <w:spacing w:after="0"/>
              <w:rPr>
                <w:sz w:val="20"/>
                <w:szCs w:val="20"/>
                <w:color w:val="auto"/>
              </w:rPr>
            </w:pPr>
            <w:r>
              <w:rPr>
                <w:rFonts w:ascii="Courier New" w:cs="Courier New" w:eastAsia="Courier New" w:hAnsi="Courier New"/>
                <w:sz w:val="16"/>
                <w:szCs w:val="16"/>
                <w:color w:val="auto"/>
              </w:rPr>
              <w:t>By Facsimile Transmission:</w:t>
            </w:r>
          </w:p>
        </w:tc>
        <w:tc>
          <w:tcPr>
            <w:tcW w:w="2600" w:type="dxa"/>
            <w:vAlign w:val="bottom"/>
          </w:tcPr>
          <w:p>
            <w:pPr>
              <w:jc w:val="center"/>
              <w:ind w:left="1279"/>
              <w:spacing w:after="0"/>
              <w:rPr>
                <w:sz w:val="20"/>
                <w:szCs w:val="20"/>
                <w:color w:val="auto"/>
              </w:rPr>
            </w:pPr>
            <w:r>
              <w:rPr>
                <w:rFonts w:ascii="Courier New" w:cs="Courier New" w:eastAsia="Courier New" w:hAnsi="Courier New"/>
                <w:sz w:val="16"/>
                <w:szCs w:val="16"/>
                <w:color w:val="auto"/>
                <w:w w:val="98"/>
              </w:rPr>
              <w:t>By Hand:</w:t>
            </w:r>
          </w:p>
        </w:tc>
        <w:tc>
          <w:tcPr>
            <w:tcW w:w="112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Services,</w:t>
            </w:r>
          </w:p>
        </w:tc>
        <w:tc>
          <w:tcPr>
            <w:tcW w:w="0" w:type="dxa"/>
            <w:vAlign w:val="bottom"/>
          </w:tcPr>
          <w:p>
            <w:pPr>
              <w:spacing w:after="0"/>
              <w:rPr>
                <w:sz w:val="1"/>
                <w:szCs w:val="1"/>
                <w:color w:val="auto"/>
              </w:rPr>
            </w:pPr>
          </w:p>
        </w:tc>
      </w:tr>
      <w:tr>
        <w:trPr>
          <w:trHeight w:val="186"/>
        </w:trPr>
        <w:tc>
          <w:tcPr>
            <w:tcW w:w="3720" w:type="dxa"/>
            <w:vAlign w:val="bottom"/>
          </w:tcPr>
          <w:p>
            <w:pPr>
              <w:ind w:left="100"/>
              <w:spacing w:after="0"/>
              <w:rPr>
                <w:sz w:val="20"/>
                <w:szCs w:val="20"/>
                <w:color w:val="auto"/>
              </w:rPr>
            </w:pPr>
            <w:r>
              <w:rPr>
                <w:rFonts w:ascii="Courier New" w:cs="Courier New" w:eastAsia="Courier New" w:hAnsi="Courier New"/>
                <w:sz w:val="16"/>
                <w:szCs w:val="16"/>
                <w:color w:val="auto"/>
              </w:rPr>
              <w:t>ChaseMellon Shareholder Services,</w:t>
            </w:r>
          </w:p>
        </w:tc>
        <w:tc>
          <w:tcPr>
            <w:tcW w:w="3600" w:type="dxa"/>
            <w:vAlign w:val="bottom"/>
          </w:tcPr>
          <w:p>
            <w:pPr>
              <w:jc w:val="center"/>
              <w:spacing w:after="0"/>
              <w:rPr>
                <w:sz w:val="20"/>
                <w:szCs w:val="20"/>
                <w:color w:val="auto"/>
              </w:rPr>
            </w:pPr>
            <w:r>
              <w:rPr>
                <w:rFonts w:ascii="Courier New" w:cs="Courier New" w:eastAsia="Courier New" w:hAnsi="Courier New"/>
                <w:sz w:val="16"/>
                <w:szCs w:val="16"/>
                <w:color w:val="auto"/>
              </w:rPr>
              <w:t>(201) 296-4293</w:t>
            </w:r>
          </w:p>
        </w:tc>
        <w:tc>
          <w:tcPr>
            <w:tcW w:w="2600" w:type="dxa"/>
            <w:vAlign w:val="bottom"/>
          </w:tcPr>
          <w:p>
            <w:pPr>
              <w:jc w:val="right"/>
              <w:spacing w:after="0"/>
              <w:rPr>
                <w:sz w:val="20"/>
                <w:szCs w:val="20"/>
                <w:color w:val="auto"/>
              </w:rPr>
            </w:pPr>
            <w:r>
              <w:rPr>
                <w:rFonts w:ascii="Courier New" w:cs="Courier New" w:eastAsia="Courier New" w:hAnsi="Courier New"/>
                <w:sz w:val="16"/>
                <w:szCs w:val="16"/>
                <w:color w:val="auto"/>
              </w:rPr>
              <w:t>ChaseMellon Shareholder</w:t>
            </w: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2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L.L.C.</w:t>
            </w:r>
          </w:p>
        </w:tc>
        <w:tc>
          <w:tcPr>
            <w:tcW w:w="3600" w:type="dxa"/>
            <w:vAlign w:val="bottom"/>
          </w:tcPr>
          <w:p>
            <w:pPr>
              <w:jc w:val="center"/>
              <w:spacing w:after="0"/>
              <w:rPr>
                <w:sz w:val="20"/>
                <w:szCs w:val="20"/>
                <w:color w:val="auto"/>
              </w:rPr>
            </w:pPr>
            <w:r>
              <w:rPr>
                <w:rFonts w:ascii="Courier New" w:cs="Courier New" w:eastAsia="Courier New" w:hAnsi="Courier New"/>
                <w:sz w:val="16"/>
                <w:szCs w:val="16"/>
                <w:color w:val="auto"/>
              </w:rPr>
              <w:t>(For Eligible Institutions Only)</w:t>
            </w:r>
          </w:p>
        </w:tc>
        <w:tc>
          <w:tcPr>
            <w:tcW w:w="2600" w:type="dxa"/>
            <w:vAlign w:val="bottom"/>
          </w:tcPr>
          <w:p>
            <w:pPr>
              <w:jc w:val="center"/>
              <w:ind w:left="1259"/>
              <w:spacing w:after="0"/>
              <w:rPr>
                <w:sz w:val="20"/>
                <w:szCs w:val="20"/>
                <w:color w:val="auto"/>
              </w:rPr>
            </w:pPr>
            <w:r>
              <w:rPr>
                <w:rFonts w:ascii="Courier New" w:cs="Courier New" w:eastAsia="Courier New" w:hAnsi="Courier New"/>
                <w:sz w:val="16"/>
                <w:szCs w:val="16"/>
                <w:color w:val="auto"/>
              </w:rPr>
              <w:t>L.L.C.</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2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Attention: Reorganization Department</w:t>
            </w:r>
          </w:p>
        </w:tc>
        <w:tc>
          <w:tcPr>
            <w:tcW w:w="3600" w:type="dxa"/>
            <w:vAlign w:val="bottom"/>
            <w:vMerge w:val="restart"/>
          </w:tcPr>
          <w:p>
            <w:pPr>
              <w:jc w:val="center"/>
              <w:ind w:right="19"/>
              <w:spacing w:after="0"/>
              <w:rPr>
                <w:sz w:val="20"/>
                <w:szCs w:val="20"/>
                <w:color w:val="auto"/>
              </w:rPr>
            </w:pPr>
            <w:r>
              <w:rPr>
                <w:rFonts w:ascii="Courier New" w:cs="Courier New" w:eastAsia="Courier New" w:hAnsi="Courier New"/>
                <w:sz w:val="16"/>
                <w:szCs w:val="16"/>
                <w:color w:val="auto"/>
              </w:rPr>
              <w:t>Confirm Facsimile by Telephone:</w:t>
            </w:r>
          </w:p>
        </w:tc>
        <w:tc>
          <w:tcPr>
            <w:tcW w:w="3720" w:type="dxa"/>
            <w:vAlign w:val="bottom"/>
            <w:gridSpan w:val="2"/>
          </w:tcPr>
          <w:p>
            <w:pPr>
              <w:jc w:val="center"/>
              <w:ind w:left="159"/>
              <w:spacing w:after="0"/>
              <w:rPr>
                <w:sz w:val="20"/>
                <w:szCs w:val="20"/>
                <w:color w:val="auto"/>
              </w:rPr>
            </w:pPr>
            <w:r>
              <w:rPr>
                <w:rFonts w:ascii="Courier New" w:cs="Courier New" w:eastAsia="Courier New" w:hAnsi="Courier New"/>
                <w:sz w:val="16"/>
                <w:szCs w:val="16"/>
                <w:color w:val="auto"/>
              </w:rPr>
              <w:t>Attention: Reorganization Department</w:t>
            </w:r>
          </w:p>
        </w:tc>
        <w:tc>
          <w:tcPr>
            <w:tcW w:w="0" w:type="dxa"/>
            <w:vAlign w:val="bottom"/>
          </w:tcPr>
          <w:p>
            <w:pPr>
              <w:spacing w:after="0"/>
              <w:rPr>
                <w:sz w:val="1"/>
                <w:szCs w:val="1"/>
                <w:color w:val="auto"/>
              </w:rPr>
            </w:pPr>
          </w:p>
        </w:tc>
      </w:tr>
      <w:tr>
        <w:trPr>
          <w:trHeight w:val="186"/>
        </w:trPr>
        <w:tc>
          <w:tcPr>
            <w:tcW w:w="3720" w:type="dxa"/>
            <w:vAlign w:val="bottom"/>
          </w:tcPr>
          <w:p>
            <w:pPr>
              <w:jc w:val="center"/>
              <w:ind w:right="159"/>
              <w:spacing w:after="0"/>
              <w:rPr>
                <w:sz w:val="20"/>
                <w:szCs w:val="20"/>
                <w:color w:val="auto"/>
              </w:rPr>
            </w:pPr>
            <w:r>
              <w:rPr>
                <w:rFonts w:ascii="Courier New" w:cs="Courier New" w:eastAsia="Courier New" w:hAnsi="Courier New"/>
                <w:sz w:val="16"/>
                <w:szCs w:val="16"/>
                <w:color w:val="auto"/>
                <w:w w:val="99"/>
              </w:rPr>
              <w:t>Post Office Box 3301</w:t>
            </w:r>
          </w:p>
        </w:tc>
        <w:tc>
          <w:tcPr>
            <w:tcW w:w="3600" w:type="dxa"/>
            <w:vAlign w:val="bottom"/>
            <w:vMerge w:val="continue"/>
          </w:tcPr>
          <w:p>
            <w:pPr>
              <w:spacing w:after="0"/>
              <w:rPr>
                <w:sz w:val="16"/>
                <w:szCs w:val="16"/>
                <w:color w:val="auto"/>
              </w:rPr>
            </w:pPr>
          </w:p>
        </w:tc>
        <w:tc>
          <w:tcPr>
            <w:tcW w:w="2600" w:type="dxa"/>
            <w:vAlign w:val="bottom"/>
          </w:tcPr>
          <w:p>
            <w:pPr>
              <w:jc w:val="right"/>
              <w:spacing w:after="0"/>
              <w:rPr>
                <w:sz w:val="20"/>
                <w:szCs w:val="20"/>
                <w:color w:val="auto"/>
              </w:rPr>
            </w:pPr>
            <w:r>
              <w:rPr>
                <w:rFonts w:ascii="Courier New" w:cs="Courier New" w:eastAsia="Courier New" w:hAnsi="Courier New"/>
                <w:sz w:val="16"/>
                <w:szCs w:val="16"/>
                <w:color w:val="auto"/>
              </w:rPr>
              <w:t>120 Broadway, 13th</w:t>
            </w:r>
          </w:p>
        </w:tc>
        <w:tc>
          <w:tcPr>
            <w:tcW w:w="1120" w:type="dxa"/>
            <w:vAlign w:val="bottom"/>
          </w:tcPr>
          <w:p>
            <w:pPr>
              <w:ind w:left="60"/>
              <w:spacing w:after="0"/>
              <w:rPr>
                <w:sz w:val="20"/>
                <w:szCs w:val="20"/>
                <w:color w:val="auto"/>
              </w:rPr>
            </w:pPr>
            <w:r>
              <w:rPr>
                <w:rFonts w:ascii="Courier New" w:cs="Courier New" w:eastAsia="Courier New" w:hAnsi="Courier New"/>
                <w:sz w:val="16"/>
                <w:szCs w:val="16"/>
                <w:color w:val="auto"/>
              </w:rPr>
              <w:t>Floor</w:t>
            </w:r>
          </w:p>
        </w:tc>
        <w:tc>
          <w:tcPr>
            <w:tcW w:w="0" w:type="dxa"/>
            <w:vAlign w:val="bottom"/>
          </w:tcPr>
          <w:p>
            <w:pPr>
              <w:spacing w:after="0"/>
              <w:rPr>
                <w:sz w:val="1"/>
                <w:szCs w:val="1"/>
                <w:color w:val="auto"/>
              </w:rPr>
            </w:pPr>
          </w:p>
        </w:tc>
      </w:tr>
      <w:tr>
        <w:trPr>
          <w:trHeight w:val="186"/>
        </w:trPr>
        <w:tc>
          <w:tcPr>
            <w:tcW w:w="372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South Hackensack, New Jersey 07606</w:t>
            </w:r>
          </w:p>
        </w:tc>
        <w:tc>
          <w:tcPr>
            <w:tcW w:w="3600" w:type="dxa"/>
            <w:vAlign w:val="bottom"/>
          </w:tcPr>
          <w:p>
            <w:pPr>
              <w:jc w:val="center"/>
              <w:spacing w:after="0"/>
              <w:rPr>
                <w:sz w:val="20"/>
                <w:szCs w:val="20"/>
                <w:color w:val="auto"/>
              </w:rPr>
            </w:pPr>
            <w:r>
              <w:rPr>
                <w:rFonts w:ascii="Courier New" w:cs="Courier New" w:eastAsia="Courier New" w:hAnsi="Courier New"/>
                <w:sz w:val="16"/>
                <w:szCs w:val="16"/>
                <w:color w:val="auto"/>
              </w:rPr>
              <w:t>(201) 296-4860</w:t>
            </w:r>
          </w:p>
        </w:tc>
        <w:tc>
          <w:tcPr>
            <w:tcW w:w="2600" w:type="dxa"/>
            <w:vAlign w:val="bottom"/>
          </w:tcPr>
          <w:p>
            <w:pPr>
              <w:jc w:val="right"/>
              <w:spacing w:after="0"/>
              <w:rPr>
                <w:sz w:val="20"/>
                <w:szCs w:val="20"/>
                <w:color w:val="auto"/>
              </w:rPr>
            </w:pPr>
            <w:r>
              <w:rPr>
                <w:rFonts w:ascii="Courier New" w:cs="Courier New" w:eastAsia="Courier New" w:hAnsi="Courier New"/>
                <w:sz w:val="16"/>
                <w:szCs w:val="16"/>
                <w:color w:val="auto"/>
              </w:rPr>
              <w:t>New York, New York</w:t>
            </w:r>
          </w:p>
        </w:tc>
        <w:tc>
          <w:tcPr>
            <w:tcW w:w="1120" w:type="dxa"/>
            <w:vAlign w:val="bottom"/>
          </w:tcPr>
          <w:p>
            <w:pPr>
              <w:ind w:left="60"/>
              <w:spacing w:after="0"/>
              <w:rPr>
                <w:sz w:val="20"/>
                <w:szCs w:val="20"/>
                <w:color w:val="auto"/>
              </w:rPr>
            </w:pPr>
            <w:r>
              <w:rPr>
                <w:rFonts w:ascii="Courier New" w:cs="Courier New" w:eastAsia="Courier New" w:hAnsi="Courier New"/>
                <w:sz w:val="16"/>
                <w:szCs w:val="16"/>
                <w:color w:val="auto"/>
              </w:rPr>
              <w:t>10271</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360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(For Confirmation Only)</w:t>
            </w: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jc w:val="center"/>
        <w:ind w:left="7280"/>
        <w:spacing w:after="0"/>
        <w:rPr>
          <w:sz w:val="20"/>
          <w:szCs w:val="20"/>
          <w:color w:val="auto"/>
        </w:rPr>
      </w:pPr>
      <w:r>
        <w:rPr>
          <w:rFonts w:ascii="Courier New" w:cs="Courier New" w:eastAsia="Courier New" w:hAnsi="Courier New"/>
          <w:sz w:val="16"/>
          <w:szCs w:val="16"/>
          <w:color w:val="auto"/>
        </w:rPr>
        <w:t>By Overnight Courier:</w:t>
      </w:r>
    </w:p>
    <w:p>
      <w:pPr>
        <w:spacing w:after="0" w:line="5" w:lineRule="exact"/>
        <w:rPr>
          <w:sz w:val="20"/>
          <w:szCs w:val="20"/>
          <w:color w:val="auto"/>
        </w:rPr>
      </w:pPr>
    </w:p>
    <w:p>
      <w:pPr>
        <w:ind w:left="7761"/>
        <w:spacing w:after="0"/>
        <w:rPr>
          <w:sz w:val="20"/>
          <w:szCs w:val="20"/>
          <w:color w:val="auto"/>
        </w:rPr>
      </w:pPr>
      <w:r>
        <w:rPr>
          <w:rFonts w:ascii="Courier New" w:cs="Courier New" w:eastAsia="Courier New" w:hAnsi="Courier New"/>
          <w:sz w:val="16"/>
          <w:szCs w:val="16"/>
          <w:color w:val="auto"/>
        </w:rPr>
        <w:t>ChaseMellon Shareholder Services,</w:t>
      </w:r>
    </w:p>
    <w:p>
      <w:pPr>
        <w:spacing w:after="0" w:line="5" w:lineRule="exact"/>
        <w:rPr>
          <w:sz w:val="20"/>
          <w:szCs w:val="20"/>
          <w:color w:val="auto"/>
        </w:rPr>
      </w:pPr>
    </w:p>
    <w:p>
      <w:pPr>
        <w:ind w:left="9101"/>
        <w:spacing w:after="0"/>
        <w:rPr>
          <w:sz w:val="20"/>
          <w:szCs w:val="20"/>
          <w:color w:val="auto"/>
        </w:rPr>
      </w:pPr>
      <w:r>
        <w:rPr>
          <w:rFonts w:ascii="Courier New" w:cs="Courier New" w:eastAsia="Courier New" w:hAnsi="Courier New"/>
          <w:sz w:val="16"/>
          <w:szCs w:val="16"/>
          <w:color w:val="auto"/>
        </w:rPr>
        <w:t>L.L.C.</w:t>
      </w:r>
    </w:p>
    <w:p>
      <w:pPr>
        <w:spacing w:after="0" w:line="5" w:lineRule="exact"/>
        <w:rPr>
          <w:sz w:val="20"/>
          <w:szCs w:val="20"/>
          <w:color w:val="auto"/>
        </w:rPr>
      </w:pPr>
    </w:p>
    <w:p>
      <w:pPr>
        <w:ind w:left="7661"/>
        <w:spacing w:after="0"/>
        <w:rPr>
          <w:sz w:val="20"/>
          <w:szCs w:val="20"/>
          <w:color w:val="auto"/>
        </w:rPr>
      </w:pPr>
      <w:r>
        <w:rPr>
          <w:rFonts w:ascii="Courier New" w:cs="Courier New" w:eastAsia="Courier New" w:hAnsi="Courier New"/>
          <w:sz w:val="16"/>
          <w:szCs w:val="16"/>
          <w:color w:val="auto"/>
        </w:rPr>
        <w:t>Attention: Reorganization Department</w:t>
      </w:r>
    </w:p>
    <w:p>
      <w:pPr>
        <w:spacing w:after="0" w:line="5" w:lineRule="exact"/>
        <w:rPr>
          <w:sz w:val="20"/>
          <w:szCs w:val="20"/>
          <w:color w:val="auto"/>
        </w:rPr>
      </w:pPr>
    </w:p>
    <w:p>
      <w:pPr>
        <w:ind w:left="8521"/>
        <w:spacing w:after="0"/>
        <w:rPr>
          <w:sz w:val="20"/>
          <w:szCs w:val="20"/>
          <w:color w:val="auto"/>
        </w:rPr>
      </w:pPr>
      <w:r>
        <w:rPr>
          <w:rFonts w:ascii="Courier New" w:cs="Courier New" w:eastAsia="Courier New" w:hAnsi="Courier New"/>
          <w:sz w:val="16"/>
          <w:szCs w:val="16"/>
          <w:color w:val="auto"/>
        </w:rPr>
        <w:t>85 Challenger Road</w:t>
      </w:r>
    </w:p>
    <w:p>
      <w:pPr>
        <w:spacing w:after="0" w:line="5" w:lineRule="exact"/>
        <w:rPr>
          <w:sz w:val="20"/>
          <w:szCs w:val="20"/>
          <w:color w:val="auto"/>
        </w:rPr>
      </w:pPr>
    </w:p>
    <w:p>
      <w:pPr>
        <w:ind w:left="8241"/>
        <w:spacing w:after="0"/>
        <w:rPr>
          <w:sz w:val="20"/>
          <w:szCs w:val="20"/>
          <w:color w:val="auto"/>
        </w:rPr>
      </w:pPr>
      <w:r>
        <w:rPr>
          <w:rFonts w:ascii="Courier New" w:cs="Courier New" w:eastAsia="Courier New" w:hAnsi="Courier New"/>
          <w:sz w:val="16"/>
          <w:szCs w:val="16"/>
          <w:color w:val="auto"/>
        </w:rPr>
        <w:t>Mail Drop-Reorganization</w:t>
      </w:r>
    </w:p>
    <w:p>
      <w:pPr>
        <w:spacing w:after="0" w:line="5" w:lineRule="exact"/>
        <w:rPr>
          <w:sz w:val="20"/>
          <w:szCs w:val="20"/>
          <w:color w:val="auto"/>
        </w:rPr>
      </w:pPr>
    </w:p>
    <w:p>
      <w:pPr>
        <w:ind w:left="7761"/>
        <w:spacing w:after="0"/>
        <w:rPr>
          <w:sz w:val="20"/>
          <w:szCs w:val="20"/>
          <w:color w:val="auto"/>
        </w:rPr>
      </w:pPr>
      <w:r>
        <w:rPr>
          <w:rFonts w:ascii="Courier New" w:cs="Courier New" w:eastAsia="Courier New" w:hAnsi="Courier New"/>
          <w:sz w:val="16"/>
          <w:szCs w:val="16"/>
          <w:color w:val="auto"/>
        </w:rPr>
        <w:t>Ridgefield Park, New Jersey 07660</w:t>
      </w:r>
    </w:p>
    <w:p>
      <w:pPr>
        <w:spacing w:after="0" w:line="348" w:lineRule="exact"/>
        <w:rPr>
          <w:sz w:val="20"/>
          <w:szCs w:val="20"/>
          <w:color w:val="auto"/>
        </w:rPr>
      </w:pPr>
    </w:p>
    <w:p>
      <w:pPr>
        <w:ind w:left="310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jc w:val="center"/>
        <w:ind w:right="3679"/>
        <w:spacing w:after="0" w:line="307" w:lineRule="auto"/>
        <w:rPr>
          <w:sz w:val="20"/>
          <w:szCs w:val="20"/>
          <w:color w:val="auto"/>
        </w:rPr>
      </w:pPr>
      <w:r>
        <w:rPr>
          <w:rFonts w:ascii="Courier New" w:cs="Courier New" w:eastAsia="Courier New" w:hAnsi="Courier New"/>
          <w:sz w:val="16"/>
          <w:szCs w:val="16"/>
          <w:color w:val="auto"/>
        </w:rPr>
        <w:t>DELIVERY OF THIS LETTER OF TRANSMITTAL TO AN ADDRESS OTHER THAN AS SET FORTH ABOVE, OR TRANSMISSION VIA A FACSIMILE NUMBER OTHER THAN AS SET FORTH ABOVE, WILL NOT CONSTITUTE A VALID DELIVERY.</w:t>
      </w:r>
    </w:p>
    <w:p>
      <w:pPr>
        <w:spacing w:after="0" w:line="50"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6"/>
          <w:szCs w:val="16"/>
          <w:color w:val="auto"/>
        </w:rPr>
        <w:t>THE INSTRUCTIONS ACCOMPANYING THIS LETTER OF TRANSMITTAL SHOULD BE READ</w:t>
      </w:r>
    </w:p>
    <w:p>
      <w:pPr>
        <w:spacing w:after="0" w:line="35"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6"/>
          <w:szCs w:val="16"/>
          <w:color w:val="auto"/>
        </w:rPr>
        <w:t>CAREFULLY BEFORE THIS LETTER OF TRANSMITTAL IS COMPLETED.</w:t>
      </w:r>
    </w:p>
    <w:p>
      <w:pPr>
        <w:spacing w:after="0" w:line="200" w:lineRule="exact"/>
        <w:rPr>
          <w:sz w:val="20"/>
          <w:szCs w:val="20"/>
          <w:color w:val="auto"/>
        </w:rPr>
      </w:pPr>
    </w:p>
    <w:p>
      <w:pPr>
        <w:spacing w:after="0" w:line="334" w:lineRule="exact"/>
        <w:rPr>
          <w:sz w:val="20"/>
          <w:szCs w:val="20"/>
          <w:color w:val="auto"/>
        </w:rPr>
      </w:pPr>
    </w:p>
    <w:p>
      <w:pPr>
        <w:ind w:left="201" w:hanging="201"/>
        <w:spacing w:after="0"/>
        <w:tabs>
          <w:tab w:leader="none" w:pos="201"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 w:lineRule="exact"/>
        <w:rPr>
          <w:rFonts w:ascii="Courier New" w:cs="Courier New" w:eastAsia="Courier New" w:hAnsi="Courier New"/>
          <w:sz w:val="16"/>
          <w:szCs w:val="16"/>
          <w:color w:val="auto"/>
        </w:rPr>
      </w:pPr>
    </w:p>
    <w:p>
      <w:pPr>
        <w:ind w:left="41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SHARES TENDERED</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1" w:lineRule="exact"/>
        <w:rPr>
          <w:sz w:val="20"/>
          <w:szCs w:val="20"/>
          <w:color w:val="auto"/>
        </w:rPr>
      </w:pPr>
    </w:p>
    <w:p>
      <w:pPr>
        <w:ind w:left="1" w:right="400" w:firstLine="872"/>
        <w:spacing w:after="0" w:line="266" w:lineRule="auto"/>
        <w:rPr>
          <w:sz w:val="20"/>
          <w:szCs w:val="20"/>
          <w:color w:val="auto"/>
        </w:rPr>
      </w:pPr>
      <w:r>
        <w:rPr>
          <w:rFonts w:ascii="Courier New" w:cs="Courier New" w:eastAsia="Courier New" w:hAnsi="Courier New"/>
          <w:sz w:val="16"/>
          <w:szCs w:val="16"/>
          <w:color w:val="auto"/>
        </w:rPr>
        <w:t>NAME(S) AND ADDRESS(ES) OF REGISTERED HOLDER(S) STOCK CERTIFICATE(S) AND SHARE(S) TENDERED (PLEASE FILL IN, IF BLANK, EXACTLY AS NAME(S) APPEAR(S) ON SHARES) (ATTACH ADDITIONAL SIGNED LIST, IF NECESSARY)</w:t>
      </w:r>
    </w:p>
    <w:p>
      <w:pPr>
        <w:spacing w:after="0" w:line="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tbl>
      <w:tblPr>
        <w:tblLayout w:type="fixed"/>
        <w:tblInd w:w="6501" w:type="dxa"/>
        <w:tblCellMar>
          <w:top w:w="0" w:type="dxa"/>
          <w:left w:w="0" w:type="dxa"/>
          <w:bottom w:w="0" w:type="dxa"/>
          <w:right w:w="0" w:type="dxa"/>
        </w:tblCellMar>
      </w:tblPr>
      <w:tr>
        <w:trPr>
          <w:trHeight w:val="161"/>
        </w:trPr>
        <w:tc>
          <w:tcPr>
            <w:tcW w:w="1160" w:type="dxa"/>
            <w:vAlign w:val="bottom"/>
          </w:tcPr>
          <w:p>
            <w:pPr>
              <w:jc w:val="right"/>
              <w:ind w:right="319"/>
              <w:spacing w:after="0" w:line="161" w:lineRule="exact"/>
              <w:rPr>
                <w:sz w:val="20"/>
                <w:szCs w:val="20"/>
                <w:color w:val="auto"/>
              </w:rPr>
            </w:pPr>
            <w:r>
              <w:rPr>
                <w:rFonts w:ascii="Courier New" w:cs="Courier New" w:eastAsia="Courier New" w:hAnsi="Courier New"/>
                <w:sz w:val="16"/>
                <w:szCs w:val="16"/>
                <w:color w:val="auto"/>
              </w:rPr>
              <w:t>STOCK</w:t>
            </w:r>
          </w:p>
        </w:tc>
        <w:tc>
          <w:tcPr>
            <w:tcW w:w="1600" w:type="dxa"/>
            <w:vAlign w:val="bottom"/>
          </w:tcPr>
          <w:p>
            <w:pPr>
              <w:jc w:val="right"/>
              <w:spacing w:after="0" w:line="161" w:lineRule="exact"/>
              <w:rPr>
                <w:sz w:val="20"/>
                <w:szCs w:val="20"/>
                <w:color w:val="auto"/>
              </w:rPr>
            </w:pPr>
            <w:r>
              <w:rPr>
                <w:rFonts w:ascii="Courier New" w:cs="Courier New" w:eastAsia="Courier New" w:hAnsi="Courier New"/>
                <w:sz w:val="16"/>
                <w:szCs w:val="16"/>
                <w:color w:val="auto"/>
              </w:rPr>
              <w:t>TOTAL NUMBER OF</w:t>
            </w:r>
          </w:p>
        </w:tc>
        <w:tc>
          <w:tcPr>
            <w:tcW w:w="760" w:type="dxa"/>
            <w:vAlign w:val="bottom"/>
          </w:tcPr>
          <w:p>
            <w:pPr>
              <w:ind w:left="40"/>
              <w:spacing w:after="0" w:line="161" w:lineRule="exact"/>
              <w:rPr>
                <w:sz w:val="20"/>
                <w:szCs w:val="20"/>
                <w:color w:val="auto"/>
              </w:rPr>
            </w:pPr>
            <w:r>
              <w:rPr>
                <w:rFonts w:ascii="Courier New" w:cs="Courier New" w:eastAsia="Courier New" w:hAnsi="Courier New"/>
                <w:sz w:val="16"/>
                <w:szCs w:val="16"/>
                <w:color w:val="auto"/>
              </w:rPr>
              <w:t>SHARES</w:t>
            </w:r>
          </w:p>
        </w:tc>
        <w:tc>
          <w:tcPr>
            <w:tcW w:w="1120" w:type="dxa"/>
            <w:vAlign w:val="bottom"/>
          </w:tcPr>
          <w:p>
            <w:pPr>
              <w:ind w:left="160"/>
              <w:spacing w:after="0" w:line="161" w:lineRule="exact"/>
              <w:rPr>
                <w:sz w:val="20"/>
                <w:szCs w:val="20"/>
                <w:color w:val="auto"/>
              </w:rPr>
            </w:pPr>
            <w:r>
              <w:rPr>
                <w:rFonts w:ascii="Courier New" w:cs="Courier New" w:eastAsia="Courier New" w:hAnsi="Courier New"/>
                <w:sz w:val="16"/>
                <w:szCs w:val="16"/>
                <w:color w:val="auto"/>
              </w:rPr>
              <w:t>NUMBER OF</w:t>
            </w:r>
          </w:p>
        </w:tc>
      </w:tr>
      <w:tr>
        <w:trPr>
          <w:trHeight w:val="186"/>
        </w:trPr>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CERTIFICATE</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REPRESENTED BY</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STOCK</w:t>
            </w: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SHARES</w:t>
            </w:r>
          </w:p>
        </w:tc>
      </w:tr>
      <w:tr>
        <w:trPr>
          <w:trHeight w:val="216"/>
        </w:trPr>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NUMBER(S)*</w:t>
            </w:r>
          </w:p>
        </w:tc>
        <w:tc>
          <w:tcPr>
            <w:tcW w:w="23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CERTIFICATE(S)*</w:t>
            </w:r>
          </w:p>
        </w:tc>
        <w:tc>
          <w:tcPr>
            <w:tcW w:w="1120" w:type="dxa"/>
            <w:vAlign w:val="bottom"/>
          </w:tcPr>
          <w:p>
            <w:pPr>
              <w:ind w:left="160"/>
              <w:spacing w:after="0"/>
              <w:rPr>
                <w:sz w:val="20"/>
                <w:szCs w:val="20"/>
                <w:color w:val="auto"/>
              </w:rPr>
            </w:pPr>
            <w:r>
              <w:rPr>
                <w:rFonts w:ascii="Courier New" w:cs="Courier New" w:eastAsia="Courier New" w:hAnsi="Courier New"/>
                <w:sz w:val="16"/>
                <w:szCs w:val="16"/>
                <w:color w:val="auto"/>
                <w:w w:val="97"/>
              </w:rPr>
              <w:t>TENDERED**</w:t>
            </w:r>
          </w:p>
        </w:tc>
      </w:tr>
    </w:tbl>
    <w:p>
      <w:pPr>
        <w:ind w:left="6501"/>
        <w:spacing w:after="0"/>
        <w:rPr>
          <w:sz w:val="20"/>
          <w:szCs w:val="20"/>
          <w:color w:val="auto"/>
        </w:rPr>
      </w:pPr>
      <w:r>
        <w:rPr>
          <w:rFonts w:ascii="Courier New" w:cs="Courier New" w:eastAsia="Courier New" w:hAnsi="Courier New"/>
          <w:sz w:val="16"/>
          <w:szCs w:val="16"/>
          <w:color w:val="auto"/>
        </w:rPr>
        <w:t>-------------------------------------------------</w:t>
      </w:r>
    </w:p>
    <w:p>
      <w:pPr>
        <w:spacing w:after="0" w:line="348" w:lineRule="exact"/>
        <w:rPr>
          <w:sz w:val="20"/>
          <w:szCs w:val="20"/>
          <w:color w:val="auto"/>
        </w:rPr>
      </w:pPr>
    </w:p>
    <w:p>
      <w:pPr>
        <w:ind w:left="650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650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650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6501"/>
        <w:spacing w:after="0"/>
        <w:rPr>
          <w:sz w:val="20"/>
          <w:szCs w:val="20"/>
          <w:color w:val="auto"/>
        </w:rPr>
      </w:pPr>
      <w:r>
        <w:rPr>
          <w:rFonts w:ascii="Courier New" w:cs="Courier New" w:eastAsia="Courier New" w:hAnsi="Courier New"/>
          <w:sz w:val="16"/>
          <w:szCs w:val="16"/>
          <w:color w:val="auto"/>
        </w:rPr>
        <w:t>-------------------------------------------------</w:t>
      </w:r>
    </w:p>
    <w:p>
      <w:pPr>
        <w:spacing w:after="0" w:line="35" w:lineRule="exact"/>
        <w:rPr>
          <w:sz w:val="20"/>
          <w:szCs w:val="20"/>
          <w:color w:val="auto"/>
        </w:rPr>
      </w:pPr>
    </w:p>
    <w:p>
      <w:pPr>
        <w:ind w:left="6581"/>
        <w:spacing w:after="0"/>
        <w:rPr>
          <w:sz w:val="20"/>
          <w:szCs w:val="20"/>
          <w:color w:val="auto"/>
        </w:rPr>
      </w:pPr>
      <w:r>
        <w:rPr>
          <w:rFonts w:ascii="Courier New" w:cs="Courier New" w:eastAsia="Courier New" w:hAnsi="Courier New"/>
          <w:sz w:val="16"/>
          <w:szCs w:val="16"/>
          <w:color w:val="auto"/>
        </w:rPr>
        <w:t>TOTAL SHARES.......................</w:t>
      </w:r>
    </w:p>
    <w:p>
      <w:pPr>
        <w:spacing w:after="0" w:line="5"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 Need not be completed by Holders tendering by book-entry transfer.</w:t>
      </w:r>
    </w:p>
    <w:p>
      <w:pPr>
        <w:spacing w:after="0" w:line="5" w:lineRule="exact"/>
        <w:rPr>
          <w:sz w:val="20"/>
          <w:szCs w:val="20"/>
          <w:color w:val="auto"/>
        </w:rPr>
      </w:pPr>
    </w:p>
    <w:p>
      <w:pPr>
        <w:ind w:left="381" w:right="300" w:hanging="284"/>
        <w:spacing w:after="0" w:line="246" w:lineRule="auto"/>
        <w:tabs>
          <w:tab w:leader="none" w:pos="381"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indicated, it will be assumed that all Shares evidenced by each Stock Certificate delivered to the Depositary are being tendered hereby. See Instruction 4.</w:t>
      </w:r>
    </w:p>
    <w:p>
      <w:pPr>
        <w:spacing w:after="0" w:line="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1441"/>
          </w:cols>
          <w:pgMar w:left="239" w:top="112" w:right="219" w:bottom="1440" w:gutter="0" w:footer="0" w:header="0"/>
        </w:sectPr>
      </w:pPr>
    </w:p>
    <w:bookmarkStart w:id="46" w:name="page47"/>
    <w:bookmarkEnd w:id="46"/>
    <w:p>
      <w:pPr>
        <w:ind w:left="301"/>
        <w:spacing w:after="0"/>
        <w:rPr>
          <w:sz w:val="20"/>
          <w:szCs w:val="20"/>
          <w:color w:val="auto"/>
        </w:rPr>
      </w:pPr>
      <w:r>
        <w:rPr>
          <w:rFonts w:ascii="Courier New" w:cs="Courier New" w:eastAsia="Courier New" w:hAnsi="Courier New"/>
          <w:sz w:val="16"/>
          <w:szCs w:val="16"/>
          <w:color w:val="auto"/>
        </w:rPr>
        <w:t>2</w:t>
      </w:r>
    </w:p>
    <w:p>
      <w:pPr>
        <w:spacing w:after="0" w:line="191" w:lineRule="exact"/>
        <w:rPr>
          <w:sz w:val="20"/>
          <w:szCs w:val="20"/>
          <w:color w:val="auto"/>
        </w:rPr>
      </w:pPr>
    </w:p>
    <w:p>
      <w:pPr>
        <w:ind w:left="1" w:right="2459" w:firstLine="484"/>
        <w:spacing w:after="0" w:line="270" w:lineRule="auto"/>
        <w:rPr>
          <w:sz w:val="20"/>
          <w:szCs w:val="20"/>
          <w:color w:val="auto"/>
        </w:rPr>
      </w:pPr>
      <w:r>
        <w:rPr>
          <w:rFonts w:ascii="Courier New" w:cs="Courier New" w:eastAsia="Courier New" w:hAnsi="Courier New"/>
          <w:sz w:val="16"/>
          <w:szCs w:val="16"/>
          <w:color w:val="auto"/>
        </w:rPr>
        <w:t>This Letter of Transmittal is to be completed by stockholders either if certificates evidencing Shares ("Stock Certificates") are to be forwarded herewith or if delivery is to be made by book-entry transfer to the Depositary's account at The Depository Trust Company ("DTC" or the "Book-Entry Transfer Facility") pursuant to the procedures set forth in Section 3 of the Offer to Purchase (as defined below).</w:t>
      </w:r>
    </w:p>
    <w:p>
      <w:pPr>
        <w:spacing w:after="0" w:line="81" w:lineRule="exact"/>
        <w:rPr>
          <w:sz w:val="20"/>
          <w:szCs w:val="20"/>
          <w:color w:val="auto"/>
        </w:rPr>
      </w:pPr>
    </w:p>
    <w:p>
      <w:pPr>
        <w:jc w:val="both"/>
        <w:ind w:left="1" w:right="2559" w:firstLine="484"/>
        <w:spacing w:after="0" w:line="253" w:lineRule="auto"/>
        <w:rPr>
          <w:sz w:val="20"/>
          <w:szCs w:val="20"/>
          <w:color w:val="auto"/>
        </w:rPr>
      </w:pPr>
      <w:r>
        <w:rPr>
          <w:rFonts w:ascii="Courier New" w:cs="Courier New" w:eastAsia="Courier New" w:hAnsi="Courier New"/>
          <w:sz w:val="16"/>
          <w:szCs w:val="16"/>
          <w:color w:val="auto"/>
        </w:rPr>
        <w:t>Stockholders whose Stock Certificates are not immediately available or who cannot deliver their Stock Certificates and all other documents required hereby to the Depositary prior to the Expiration Date (as defined in Section 1 of the Offer to Purchase) or who cannot comply with the book-entry transfer procedures on a timely basis must tender their Shares according to the guaranteed delivery procedures set forth in Section 3 of the Offer to Purchase. See Instruction 2.</w:t>
      </w:r>
    </w:p>
    <w:p>
      <w:pPr>
        <w:spacing w:after="0" w:line="2" w:lineRule="exact"/>
        <w:rPr>
          <w:sz w:val="20"/>
          <w:szCs w:val="20"/>
          <w:color w:val="auto"/>
        </w:rPr>
      </w:pPr>
    </w:p>
    <w:p>
      <w:pPr>
        <w:ind w:left="1" w:right="2759"/>
        <w:spacing w:after="0" w:line="327" w:lineRule="auto"/>
        <w:rPr>
          <w:sz w:val="20"/>
          <w:szCs w:val="20"/>
          <w:color w:val="auto"/>
        </w:rPr>
      </w:pPr>
      <w:r>
        <w:rPr>
          <w:rFonts w:ascii="Courier New" w:cs="Courier New" w:eastAsia="Courier New" w:hAnsi="Courier New"/>
          <w:sz w:val="16"/>
          <w:szCs w:val="16"/>
          <w:color w:val="auto"/>
        </w:rPr>
        <w:t>DELIVERY OF DOCUMENTS TO THE BOOK-ENTRY TRANSFER FACILITY DOES NOT CONSTITUTE DELIVERY TO THE DEPOSITARY.</w:t>
      </w:r>
    </w:p>
    <w:p>
      <w:pPr>
        <w:spacing w:after="0" w:line="35" w:lineRule="exact"/>
        <w:rPr>
          <w:sz w:val="20"/>
          <w:szCs w:val="20"/>
          <w:color w:val="auto"/>
        </w:rPr>
      </w:pPr>
    </w:p>
    <w:p>
      <w:pPr>
        <w:ind w:left="481" w:right="2459" w:hanging="481"/>
        <w:spacing w:after="0" w:line="287" w:lineRule="auto"/>
        <w:tabs>
          <w:tab w:leader="none" w:pos="19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HERE IF TENDERED SHARES ARE BEING DELIVERED BY BOOK-ENTRY TRANSFER TO THE DEPOSITARY'S ACCOUNT AT THE BOOK-ENTRY TRANSFER FACILITY AND COMPLETE THE FOLLOWING (ONLY PARTICIPANTS IN THE BOOK-ENTRY TRANSFER FACILITY MAY DELIVER SHARES BY BOOK-ENTRY TRANSFER):</w:t>
      </w:r>
    </w:p>
    <w:p>
      <w:pPr>
        <w:spacing w:after="0" w:line="6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Name of Tendering Institution:</w:t>
      </w:r>
    </w:p>
    <w:p>
      <w:pPr>
        <w:spacing w:after="0" w:line="3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20"/>
          </w:cols>
          <w:pgMar w:left="239" w:top="273" w:right="1440" w:bottom="1440" w:gutter="0" w:footer="0" w:header="0"/>
        </w:sectPr>
      </w:pPr>
    </w:p>
    <w:p>
      <w:pPr>
        <w:spacing w:after="0" w:line="16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Account Number: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Transaction Code Number:</w:t>
      </w:r>
    </w:p>
    <w:p>
      <w:pPr>
        <w:spacing w:after="0" w:line="91" w:lineRule="exact"/>
        <w:rPr>
          <w:sz w:val="20"/>
          <w:szCs w:val="20"/>
          <w:color w:val="auto"/>
        </w:rPr>
      </w:pPr>
    </w:p>
    <w:p>
      <w:pPr>
        <w:sectPr>
          <w:pgSz w:w="11900" w:h="16838" w:orient="portrait"/>
          <w:cols w:equalWidth="0" w:num="2">
            <w:col w:w="3061" w:space="720"/>
            <w:col w:w="6439"/>
          </w:cols>
          <w:pgMar w:left="239" w:top="273" w:right="1440" w:bottom="1440" w:gutter="0" w:footer="0" w:header="0"/>
          <w:type w:val="continuous"/>
        </w:sectPr>
      </w:pPr>
    </w:p>
    <w:p>
      <w:pPr>
        <w:ind w:left="1541"/>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05" w:lineRule="exact"/>
        <w:rPr>
          <w:sz w:val="20"/>
          <w:szCs w:val="20"/>
          <w:color w:val="auto"/>
        </w:rPr>
      </w:pPr>
    </w:p>
    <w:p>
      <w:pPr>
        <w:sectPr>
          <w:pgSz w:w="11900" w:h="16838" w:orient="portrait"/>
          <w:cols w:equalWidth="0" w:num="2">
            <w:col w:w="5381" w:space="720"/>
            <w:col w:w="4119"/>
          </w:cols>
          <w:pgMar w:left="239" w:top="273" w:right="1440" w:bottom="1440" w:gutter="0" w:footer="0" w:header="0"/>
          <w:type w:val="continuous"/>
        </w:sectPr>
      </w:pPr>
    </w:p>
    <w:p>
      <w:pPr>
        <w:ind w:left="201" w:hanging="201"/>
        <w:spacing w:after="0"/>
        <w:tabs>
          <w:tab w:leader="none" w:pos="20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HERE IF TENDERED SHARES ARE BEING DELIVERED PURSUANT TO A NOTICE OF</w:t>
      </w:r>
    </w:p>
    <w:p>
      <w:pPr>
        <w:spacing w:after="0" w:line="35" w:lineRule="exact"/>
        <w:rPr>
          <w:rFonts w:ascii="Courier New" w:cs="Courier New" w:eastAsia="Courier New" w:hAnsi="Courier New"/>
          <w:sz w:val="16"/>
          <w:szCs w:val="16"/>
          <w:color w:val="auto"/>
        </w:rPr>
      </w:pPr>
    </w:p>
    <w:p>
      <w:pPr>
        <w:ind w:left="481" w:right="2959"/>
        <w:spacing w:after="0" w:line="32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GUARANTEED DELIVERY PREVIOUSLY SENT TO THE DEPOSITARY AND COMPLETE THE FOLLOWING:</w:t>
      </w:r>
    </w:p>
    <w:p>
      <w:pPr>
        <w:spacing w:after="0" w:line="3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Name(s) of Registered Holder(s):</w:t>
      </w:r>
    </w:p>
    <w:p>
      <w:pPr>
        <w:spacing w:after="0" w:line="3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6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Window Ticket No. (if any):</w:t>
      </w:r>
    </w:p>
    <w:p>
      <w:pPr>
        <w:spacing w:after="0" w:line="3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6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Date of Execution of Notice of Guaranteed Delivery:</w:t>
      </w:r>
    </w:p>
    <w:p>
      <w:pPr>
        <w:spacing w:after="0" w:line="3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6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Name of Institution which Guaranteed Delivery:</w:t>
      </w:r>
    </w:p>
    <w:p>
      <w:pPr>
        <w:spacing w:after="0" w:line="3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6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Account Number (if delivered by Book-Entry Transfer):</w:t>
      </w:r>
    </w:p>
    <w:p>
      <w:pPr>
        <w:spacing w:after="0" w:line="3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6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Transaction Code Number (if delivered by Book-Entry Transfer):</w:t>
      </w:r>
    </w:p>
    <w:p>
      <w:pPr>
        <w:spacing w:after="0" w:line="3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20"/>
          </w:cols>
          <w:pgMar w:left="239" w:top="273" w:right="1440" w:bottom="1440" w:gutter="0" w:footer="0" w:header="0"/>
          <w:type w:val="continuous"/>
        </w:sectPr>
      </w:pPr>
    </w:p>
    <w:bookmarkStart w:id="47" w:name="page48"/>
    <w:bookmarkEnd w:id="47"/>
    <w:p>
      <w:pPr>
        <w:ind w:left="300"/>
        <w:spacing w:after="0"/>
        <w:rPr>
          <w:sz w:val="20"/>
          <w:szCs w:val="20"/>
          <w:color w:val="auto"/>
        </w:rPr>
      </w:pPr>
      <w:r>
        <w:rPr>
          <w:rFonts w:ascii="Courier New" w:cs="Courier New" w:eastAsia="Courier New" w:hAnsi="Courier New"/>
          <w:sz w:val="16"/>
          <w:szCs w:val="16"/>
          <w:color w:val="auto"/>
        </w:rPr>
        <w:t>3</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NOTE: SIGNATURES MUST BE PROVIDED BELOW</w:t>
      </w:r>
    </w:p>
    <w:p>
      <w:pPr>
        <w:spacing w:after="0" w:line="3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PLEASE READ THE ACCOMPANYING INSTRUCTIONS CAREFULLY</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1" w:lineRule="exact"/>
        <w:rPr>
          <w:sz w:val="20"/>
          <w:szCs w:val="20"/>
          <w:color w:val="auto"/>
        </w:rPr>
      </w:pPr>
    </w:p>
    <w:p>
      <w:pPr>
        <w:ind w:right="2559" w:firstLine="484"/>
        <w:spacing w:after="0" w:line="256" w:lineRule="auto"/>
        <w:rPr>
          <w:sz w:val="20"/>
          <w:szCs w:val="20"/>
          <w:color w:val="auto"/>
        </w:rPr>
      </w:pPr>
      <w:r>
        <w:rPr>
          <w:rFonts w:ascii="Courier New" w:cs="Courier New" w:eastAsia="Courier New" w:hAnsi="Courier New"/>
          <w:sz w:val="16"/>
          <w:szCs w:val="16"/>
          <w:color w:val="auto"/>
        </w:rPr>
        <w:t>The undersigned hereby tenders to Sensor Acquisition Corporation (the "Purchaser"), a Delaware corporation and a direct wholly-owned subsidiary of Texas Instruments Incorporated, a Delaware corporation ("Parent"), the above-described shares of common stock, par value $.001 per share (the "Shares"), of Integrated Sensor Solutions, Inc., a Delaware corporation (the "Company"), at $8.05 per Share, net to the seller in cash, without interest, upon the terms and subject to the conditions set forth in the Offer to Purchase dated May 7, 1999 (the "Offer to Purchase"), receipt of which is hereby acknowledged, and in this Letter of Transmittal (which, together with any amendments or supplements thereto, collectively constitute the "Offer"). The undersigned understands that the Purchaser reserves the right to transfer or assign, in whole or in part from time to time to Parent or one or more of its affiliates, the right to purchase Shares tendered pursuant to the Offer.</w:t>
      </w:r>
    </w:p>
    <w:p>
      <w:pPr>
        <w:spacing w:after="0" w:line="96" w:lineRule="exact"/>
        <w:rPr>
          <w:sz w:val="20"/>
          <w:szCs w:val="20"/>
          <w:color w:val="auto"/>
        </w:rPr>
      </w:pPr>
    </w:p>
    <w:p>
      <w:pPr>
        <w:ind w:right="2459" w:firstLine="484"/>
        <w:spacing w:after="0" w:line="252" w:lineRule="auto"/>
        <w:rPr>
          <w:sz w:val="20"/>
          <w:szCs w:val="20"/>
          <w:color w:val="auto"/>
        </w:rPr>
      </w:pPr>
      <w:r>
        <w:rPr>
          <w:rFonts w:ascii="Courier New" w:cs="Courier New" w:eastAsia="Courier New" w:hAnsi="Courier New"/>
          <w:sz w:val="16"/>
          <w:szCs w:val="16"/>
          <w:color w:val="auto"/>
        </w:rPr>
        <w:t>Subject to and effective upon acceptance for payment of the Shares tendered herewith in accordance with the terms and subject to the conditions of the Offer, the undersigned hereby sells, assigns, and transfers to, or upon the order of, the Purchaser all right, title, and interest in and to all of the Shares that are being tendered hereby and all other Shares or other securities or property issued or issuable in respect thereof on or after May 3, 1999 (such other Shares, securities, or property being referred to herein as the "Other Securities") and irrevocably appoints the Depositary the true and lawful agent and attorney-in-fact of the undersigned in respect of such Shares and all Other Securities with full power of substitution (such power of attorney being deemed to be an irrevocable power coupled with an interest), to (i) deliver Stock Certificates evidencing such Shares and all Other Securities, or transfer ownership of such Shares and all Other Securities on the account books maintained by the Book-Entry Transfer Facility, together, in either case, with all accompanying evidences of transfer and authenticity, to or upon the order of the Purchaser, upon receipt by the Depositary, as the undersigned's agent, of the purchase price (adjusted, if appropriate, as provided in the Offer to Purchase), (ii) present such Shares and all Other Securities for transfer on the books of the Company, and (iii) receive all benefits and otherwise exercise all rights of beneficial ownership of such Shares and all Other Securities, all in accordance with the terms of the Offer.</w:t>
      </w:r>
    </w:p>
    <w:p>
      <w:pPr>
        <w:spacing w:after="0" w:line="103" w:lineRule="exact"/>
        <w:rPr>
          <w:sz w:val="20"/>
          <w:szCs w:val="20"/>
          <w:color w:val="auto"/>
        </w:rPr>
      </w:pPr>
    </w:p>
    <w:p>
      <w:pPr>
        <w:ind w:right="2459" w:firstLine="484"/>
        <w:spacing w:after="0" w:line="253" w:lineRule="auto"/>
        <w:rPr>
          <w:sz w:val="20"/>
          <w:szCs w:val="20"/>
          <w:color w:val="auto"/>
        </w:rPr>
      </w:pPr>
      <w:r>
        <w:rPr>
          <w:rFonts w:ascii="Courier New" w:cs="Courier New" w:eastAsia="Courier New" w:hAnsi="Courier New"/>
          <w:sz w:val="16"/>
          <w:szCs w:val="16"/>
          <w:color w:val="auto"/>
        </w:rPr>
        <w:t>The undersigned hereby irrevocably appoints designees of the Purchaser as the undersigned's attorneys-in-fact and proxies, each with full power of substitution, to the full extent of the undersigned's rights in respect of all Shares tendered hereby that have been accepted for payment by the Purchaser (and any and all Other Securities issued or issuable in respect thereof on or after May 3, 1999). This proxy and power of attorney is coupled with an interest in the Shares tendered hereby and is irrevocable and is granted in consideration of, and is effective upon, the acceptance for payment of such Shares by the Purchaser in accordance with the terms of the Offer. Such acceptance for payment shall, without further action, revoke all prior proxies and consents granted by the undersigned in respect of such Shares (and all Shares and other securities issued in Other Securities in respect of such Shares), and no subsequent proxy or power of attorney or written consent shall be given (and if given or executed, shall be deemed not to be effective) in respect thereof by the undersigned. The Purchaser reserves the right to require that, in order for Shares to be deemed validly tendered, immediately upon the Purchaser's acceptance for payment of such Shares, the Purchaser is able to exercise full voting and other rights in respect of such Shares (including voting at any meeting of stockholders then scheduled or acting by written consent without a meeting).</w:t>
      </w:r>
    </w:p>
    <w:p>
      <w:pPr>
        <w:spacing w:after="0" w:line="92" w:lineRule="exact"/>
        <w:rPr>
          <w:sz w:val="20"/>
          <w:szCs w:val="20"/>
          <w:color w:val="auto"/>
        </w:rPr>
      </w:pPr>
    </w:p>
    <w:p>
      <w:pPr>
        <w:ind w:right="2459" w:firstLine="484"/>
        <w:spacing w:after="0" w:line="254" w:lineRule="auto"/>
        <w:rPr>
          <w:sz w:val="20"/>
          <w:szCs w:val="20"/>
          <w:color w:val="auto"/>
        </w:rPr>
      </w:pPr>
      <w:r>
        <w:rPr>
          <w:rFonts w:ascii="Courier New" w:cs="Courier New" w:eastAsia="Courier New" w:hAnsi="Courier New"/>
          <w:sz w:val="16"/>
          <w:szCs w:val="16"/>
          <w:color w:val="auto"/>
        </w:rPr>
        <w:t>The undersigned hereby represents and warrants that the undersigned has full power and authority to tender, sell, assign, and transfer the Shares tendered hereby and all Other Securities, and that when such Shares are accepted for payment by the Purchaser, the Purchaser will acquire good, marketable, and unencumbered title thereto, free and clear of all liens, restrictions, charges, and encumbrances, and that none of such Shares and Other Securities will be subject to any adverse claim. The undersigned, upon request, shall execute and deliver any signature guarantees or additional documents deemed by the Depositary or the Purchaser to be necessary or desirable to complete the sale, assignment, and transfer of the Shares tendered hereby and all Other Securities. In addition, the undersigned shall promptly remit and transfer to the Depositary for the account of the Purchaser all Other Securities in respect of the Shares tendered hereby, accompanied by appropriate documentation of transfer, and pending such remittance or appropriate assurance thereof, the Purchaser shall be entitled to all rights and privileges as owner of such Other Securities and may withhold the entire purchase price or deduct from the purchase price the amount or value thereof, as determined by the Purchaser in its sole discretion.</w:t>
      </w:r>
    </w:p>
    <w:p>
      <w:pPr>
        <w:sectPr>
          <w:pgSz w:w="11900" w:h="16838" w:orient="portrait"/>
          <w:cols w:equalWidth="0" w:num="1">
            <w:col w:w="10219"/>
          </w:cols>
          <w:pgMar w:left="240" w:top="273" w:right="1440" w:bottom="813" w:gutter="0" w:footer="0" w:header="0"/>
        </w:sectPr>
      </w:pPr>
    </w:p>
    <w:bookmarkStart w:id="48" w:name="page49"/>
    <w:bookmarkEnd w:id="48"/>
    <w:p>
      <w:pPr>
        <w:spacing w:after="0" w:line="59" w:lineRule="exact"/>
        <w:rPr>
          <w:sz w:val="20"/>
          <w:szCs w:val="20"/>
          <w:color w:val="auto"/>
        </w:rPr>
      </w:pPr>
    </w:p>
    <w:p>
      <w:pPr>
        <w:ind w:left="301"/>
        <w:spacing w:after="0"/>
        <w:rPr>
          <w:sz w:val="20"/>
          <w:szCs w:val="20"/>
          <w:color w:val="auto"/>
        </w:rPr>
      </w:pPr>
      <w:r>
        <w:rPr>
          <w:rFonts w:ascii="Courier New" w:cs="Courier New" w:eastAsia="Courier New" w:hAnsi="Courier New"/>
          <w:sz w:val="16"/>
          <w:szCs w:val="16"/>
          <w:color w:val="auto"/>
        </w:rPr>
        <w:t>4</w:t>
      </w:r>
    </w:p>
    <w:p>
      <w:pPr>
        <w:spacing w:after="0" w:line="191" w:lineRule="exact"/>
        <w:rPr>
          <w:sz w:val="20"/>
          <w:szCs w:val="20"/>
          <w:color w:val="auto"/>
        </w:rPr>
      </w:pPr>
    </w:p>
    <w:p>
      <w:pPr>
        <w:ind w:left="1" w:right="2559" w:firstLine="484"/>
        <w:spacing w:after="0" w:line="276" w:lineRule="auto"/>
        <w:rPr>
          <w:sz w:val="20"/>
          <w:szCs w:val="20"/>
          <w:color w:val="auto"/>
        </w:rPr>
      </w:pPr>
      <w:r>
        <w:rPr>
          <w:rFonts w:ascii="Courier New" w:cs="Courier New" w:eastAsia="Courier New" w:hAnsi="Courier New"/>
          <w:sz w:val="16"/>
          <w:szCs w:val="16"/>
          <w:color w:val="auto"/>
        </w:rPr>
        <w:t>All authority herein conferred or agreed to be conferred shall survive the death or incapacity of the undersigned, and any obligation of the undersigned hereunder shall be binding upon the successors, assigns, heirs, executors, administrators, and legal representatives of the undersigned. Except as stated in the Offer to Purchase, this tender is irrevocable.</w:t>
      </w:r>
    </w:p>
    <w:p>
      <w:pPr>
        <w:spacing w:after="0" w:line="76" w:lineRule="exact"/>
        <w:rPr>
          <w:sz w:val="20"/>
          <w:szCs w:val="20"/>
          <w:color w:val="auto"/>
        </w:rPr>
      </w:pPr>
    </w:p>
    <w:p>
      <w:pPr>
        <w:ind w:left="1" w:right="2459" w:firstLine="484"/>
        <w:spacing w:after="0" w:line="266" w:lineRule="auto"/>
        <w:rPr>
          <w:sz w:val="20"/>
          <w:szCs w:val="20"/>
          <w:color w:val="auto"/>
        </w:rPr>
      </w:pPr>
      <w:r>
        <w:rPr>
          <w:rFonts w:ascii="Courier New" w:cs="Courier New" w:eastAsia="Courier New" w:hAnsi="Courier New"/>
          <w:sz w:val="16"/>
          <w:szCs w:val="16"/>
          <w:color w:val="auto"/>
        </w:rPr>
        <w:t>The undersigned understands that tenders of Shares pursuant to any one of the procedures described in Section 3 of the Offer to Purchase and in the instructions hereto will constitute a binding agreement between the undersigned and the Purchaser upon the terms and subject to the conditions of the Offer. The undersigned recognizes that under certain circumstances set forth in the Offer to Purchase, the Purchaser may not be required to accept for payment any of the Shares tendered hereby.</w:t>
      </w:r>
    </w:p>
    <w:p>
      <w:pPr>
        <w:spacing w:after="0" w:line="85" w:lineRule="exact"/>
        <w:rPr>
          <w:sz w:val="20"/>
          <w:szCs w:val="20"/>
          <w:color w:val="auto"/>
        </w:rPr>
      </w:pPr>
    </w:p>
    <w:p>
      <w:pPr>
        <w:ind w:left="1" w:right="2459" w:firstLine="484"/>
        <w:spacing w:after="0" w:line="252" w:lineRule="auto"/>
        <w:rPr>
          <w:sz w:val="20"/>
          <w:szCs w:val="20"/>
          <w:color w:val="auto"/>
        </w:rPr>
      </w:pPr>
      <w:r>
        <w:rPr>
          <w:rFonts w:ascii="Courier New" w:cs="Courier New" w:eastAsia="Courier New" w:hAnsi="Courier New"/>
          <w:sz w:val="16"/>
          <w:szCs w:val="16"/>
          <w:color w:val="auto"/>
        </w:rPr>
        <w:t>Unless otherwise indicated herein under "Special Payment Instructions," please issue the check for the purchase price and/or return any Stock Certificates evidencing Shares not tendered or not accepted for payment in the name(s) of the registered holder(s) appearing under "Description of Shares Tendered." Similarly, unless otherwise indicated under "Special Delivery Instructions," please mail the check for the purchase price and/or return any Stock Certificates evidencing Shares not tendered or accepted for payment (and accompanying documents, as appropriate) to the address(es) of the registered holder(s) appearing under "Description of Shares Tendered." In the event that both the Special Delivery Instructions and the Special Payment Instructions are completed, please issue the check for the purchase price and/or return any Stock Certificates evidencing Shares not purchased (together with accompanying documents as appropriate) in the name(s) of, and deliver such check and/or return such Stock Certificates to, the person or persons so indicated. Stockholders tendering Shares by book-entry transfer may request that any Shares not accepted for payment be returned by crediting such account maintained at DTC as such stockholder may designate by making an appropriate entry under "Special Payment Instructions." The undersigned recognizes that the Purchaser has no obligation pursuant to the Special Payment Instructions to transfer any Shares from the name of the registered holder(s) thereof if the Purchaser does not accept for payment any of the Shares so tendered.</w:t>
      </w:r>
    </w:p>
    <w:p>
      <w:pPr>
        <w:spacing w:after="0" w:line="103" w:lineRule="exact"/>
        <w:rPr>
          <w:sz w:val="20"/>
          <w:szCs w:val="20"/>
          <w:color w:val="auto"/>
        </w:rPr>
      </w:pPr>
    </w:p>
    <w:p>
      <w:pPr>
        <w:ind w:left="2521"/>
        <w:spacing w:after="0"/>
        <w:rPr>
          <w:sz w:val="20"/>
          <w:szCs w:val="20"/>
          <w:color w:val="auto"/>
        </w:rPr>
      </w:pPr>
      <w:r>
        <w:rPr>
          <w:rFonts w:ascii="Courier New" w:cs="Courier New" w:eastAsia="Courier New" w:hAnsi="Courier New"/>
          <w:sz w:val="16"/>
          <w:szCs w:val="16"/>
          <w:color w:val="auto"/>
        </w:rPr>
        <w:t>SPECIAL PAYMENT INSTRUCTIONS</w:t>
      </w:r>
    </w:p>
    <w:p>
      <w:pPr>
        <w:spacing w:after="0" w:line="35" w:lineRule="exact"/>
        <w:rPr>
          <w:sz w:val="20"/>
          <w:szCs w:val="20"/>
          <w:color w:val="auto"/>
        </w:rPr>
      </w:pPr>
    </w:p>
    <w:p>
      <w:pPr>
        <w:ind w:left="2221"/>
        <w:spacing w:after="0"/>
        <w:rPr>
          <w:sz w:val="20"/>
          <w:szCs w:val="20"/>
          <w:color w:val="auto"/>
        </w:rPr>
      </w:pPr>
      <w:r>
        <w:rPr>
          <w:rFonts w:ascii="Courier New" w:cs="Courier New" w:eastAsia="Courier New" w:hAnsi="Courier New"/>
          <w:sz w:val="16"/>
          <w:szCs w:val="16"/>
          <w:color w:val="auto"/>
        </w:rPr>
        <w:t>(SEE INSTRUCTIONS 1, 5, 6, AND 7)</w:t>
      </w:r>
    </w:p>
    <w:p>
      <w:pPr>
        <w:spacing w:after="0" w:line="161" w:lineRule="exact"/>
        <w:rPr>
          <w:sz w:val="20"/>
          <w:szCs w:val="20"/>
          <w:color w:val="auto"/>
        </w:rPr>
      </w:pPr>
    </w:p>
    <w:p>
      <w:pPr>
        <w:ind w:left="1" w:right="2459"/>
        <w:spacing w:after="0" w:line="270" w:lineRule="auto"/>
        <w:rPr>
          <w:sz w:val="20"/>
          <w:szCs w:val="20"/>
          <w:color w:val="auto"/>
        </w:rPr>
      </w:pPr>
      <w:r>
        <w:rPr>
          <w:rFonts w:ascii="Courier New" w:cs="Courier New" w:eastAsia="Courier New" w:hAnsi="Courier New"/>
          <w:sz w:val="16"/>
          <w:szCs w:val="16"/>
          <w:color w:val="auto"/>
        </w:rPr>
        <w:t>To be completed ONLY if Stock Certificates for Shares not tendered or not accepted for payment and/or the check for the purchase price of Shares accepted for payment are to be issued in the name of someone other than the undersigned, of if Shares delivered by book-entry transfer that are not accepted for payment are to be returned by credit to an account maintained at the Book-Entry Transfer Facility, other than to the account indicated above.</w:t>
      </w:r>
    </w:p>
    <w:p>
      <w:pPr>
        <w:spacing w:after="0" w:line="8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Issue (check appropriate box(es)):</w:t>
      </w:r>
    </w:p>
    <w:p>
      <w:pPr>
        <w:spacing w:after="0" w:line="35" w:lineRule="exact"/>
        <w:rPr>
          <w:sz w:val="20"/>
          <w:szCs w:val="20"/>
          <w:color w:val="auto"/>
        </w:rPr>
      </w:pPr>
    </w:p>
    <w:p>
      <w:pPr>
        <w:ind w:left="481"/>
        <w:spacing w:after="0"/>
        <w:tabs>
          <w:tab w:leader="none" w:pos="940" w:val="left"/>
        </w:tabs>
        <w:rPr>
          <w:sz w:val="20"/>
          <w:szCs w:val="20"/>
          <w:color w:val="auto"/>
        </w:rPr>
      </w:pPr>
      <w:r>
        <w:rPr>
          <w:rFonts w:ascii="Courier New" w:cs="Courier New" w:eastAsia="Courier New" w:hAnsi="Courier New"/>
          <w:sz w:val="16"/>
          <w:szCs w:val="16"/>
          <w:color w:val="auto"/>
        </w:rPr>
        <w:t>[ ]</w:t>
        <w:tab/>
        <w:t>Check to:</w:t>
      </w:r>
    </w:p>
    <w:p>
      <w:pPr>
        <w:spacing w:after="0" w:line="5" w:lineRule="exact"/>
        <w:rPr>
          <w:sz w:val="20"/>
          <w:szCs w:val="20"/>
          <w:color w:val="auto"/>
        </w:rPr>
      </w:pPr>
    </w:p>
    <w:p>
      <w:pPr>
        <w:ind w:left="481"/>
        <w:spacing w:after="0"/>
        <w:tabs>
          <w:tab w:leader="none" w:pos="940" w:val="left"/>
        </w:tabs>
        <w:rPr>
          <w:sz w:val="20"/>
          <w:szCs w:val="20"/>
          <w:color w:val="auto"/>
        </w:rPr>
      </w:pPr>
      <w:r>
        <w:rPr>
          <w:rFonts w:ascii="Courier New" w:cs="Courier New" w:eastAsia="Courier New" w:hAnsi="Courier New"/>
          <w:sz w:val="16"/>
          <w:szCs w:val="16"/>
          <w:color w:val="auto"/>
        </w:rPr>
        <w:t>[ ]</w:t>
        <w:tab/>
        <w:t>Stock Certificate to:</w:t>
      </w:r>
    </w:p>
    <w:p>
      <w:pPr>
        <w:spacing w:after="0" w:line="16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Name:</w:t>
      </w:r>
    </w:p>
    <w:p>
      <w:pPr>
        <w:spacing w:after="0" w:line="35" w:lineRule="exact"/>
        <w:rPr>
          <w:sz w:val="20"/>
          <w:szCs w:val="20"/>
          <w:color w:val="auto"/>
        </w:rPr>
      </w:pPr>
    </w:p>
    <w:p>
      <w:pPr>
        <w:ind w:left="201" w:hanging="201"/>
        <w:spacing w:after="0"/>
        <w:tabs>
          <w:tab w:leader="none" w:pos="20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8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(Please Type or Print)</w:t>
      </w:r>
    </w:p>
    <w:p>
      <w:pPr>
        <w:spacing w:after="0" w:line="16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Address:</w:t>
      </w:r>
    </w:p>
    <w:p>
      <w:pPr>
        <w:spacing w:after="0" w:line="35" w:lineRule="exact"/>
        <w:rPr>
          <w:sz w:val="20"/>
          <w:szCs w:val="20"/>
          <w:color w:val="auto"/>
        </w:rPr>
      </w:pPr>
    </w:p>
    <w:p>
      <w:pPr>
        <w:ind w:left="201" w:hanging="201"/>
        <w:spacing w:after="0"/>
        <w:tabs>
          <w:tab w:leader="none" w:pos="20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 w:lineRule="exact"/>
        <w:rPr>
          <w:rFonts w:ascii="Courier New" w:cs="Courier New" w:eastAsia="Courier New" w:hAnsi="Courier New"/>
          <w:sz w:val="16"/>
          <w:szCs w:val="16"/>
          <w:color w:val="auto"/>
        </w:rPr>
      </w:pPr>
    </w:p>
    <w:p>
      <w:pPr>
        <w:ind w:left="30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(Include Zip Code)</w:t>
      </w:r>
    </w:p>
    <w:p>
      <w:pPr>
        <w:spacing w:after="0" w:line="16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 w:lineRule="exact"/>
        <w:rPr>
          <w:rFonts w:ascii="Courier New" w:cs="Courier New" w:eastAsia="Courier New" w:hAnsi="Courier New"/>
          <w:sz w:val="16"/>
          <w:szCs w:val="16"/>
          <w:color w:val="auto"/>
        </w:rPr>
      </w:pPr>
    </w:p>
    <w:p>
      <w:pPr>
        <w:ind w:left="17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(Tax Identification or Social Security No.)</w:t>
      </w:r>
    </w:p>
    <w:p>
      <w:pPr>
        <w:spacing w:after="0" w:line="5" w:lineRule="exact"/>
        <w:rPr>
          <w:rFonts w:ascii="Courier New" w:cs="Courier New" w:eastAsia="Courier New" w:hAnsi="Courier New"/>
          <w:sz w:val="16"/>
          <w:szCs w:val="16"/>
          <w:color w:val="auto"/>
        </w:rPr>
      </w:pPr>
    </w:p>
    <w:p>
      <w:pPr>
        <w:ind w:left="26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(See Substitute Form W-9)</w:t>
      </w:r>
    </w:p>
    <w:p>
      <w:pPr>
        <w:spacing w:after="0" w:line="161" w:lineRule="exact"/>
        <w:rPr>
          <w:sz w:val="20"/>
          <w:szCs w:val="20"/>
          <w:color w:val="auto"/>
        </w:rPr>
      </w:pPr>
    </w:p>
    <w:p>
      <w:pPr>
        <w:ind w:left="1" w:right="2859"/>
        <w:spacing w:after="0" w:line="367" w:lineRule="auto"/>
        <w:rPr>
          <w:sz w:val="20"/>
          <w:szCs w:val="20"/>
          <w:color w:val="auto"/>
        </w:rPr>
      </w:pPr>
      <w:r>
        <w:rPr>
          <w:rFonts w:ascii="Courier New" w:cs="Courier New" w:eastAsia="Courier New" w:hAnsi="Courier New"/>
          <w:sz w:val="16"/>
          <w:szCs w:val="16"/>
          <w:color w:val="auto"/>
        </w:rPr>
        <w:t>Credit unpurchased Shares delivered by book-entry transfer to the Book-Entry Transfer Facility account set forth below:</w:t>
      </w:r>
    </w:p>
    <w:p>
      <w:pPr>
        <w:spacing w:after="0" w:line="5" w:lineRule="exact"/>
        <w:rPr>
          <w:sz w:val="20"/>
          <w:szCs w:val="20"/>
          <w:color w:val="auto"/>
        </w:rPr>
      </w:pPr>
    </w:p>
    <w:p>
      <w:pPr>
        <w:ind w:left="201" w:hanging="201"/>
        <w:spacing w:after="0"/>
        <w:tabs>
          <w:tab w:leader="none" w:pos="201"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 w:lineRule="exact"/>
        <w:rPr>
          <w:rFonts w:ascii="Courier New" w:cs="Courier New" w:eastAsia="Courier New" w:hAnsi="Courier New"/>
          <w:sz w:val="16"/>
          <w:szCs w:val="16"/>
          <w:color w:val="auto"/>
        </w:rPr>
      </w:pPr>
    </w:p>
    <w:p>
      <w:pPr>
        <w:ind w:left="29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(DTC Account Number)</w:t>
      </w:r>
    </w:p>
    <w:p>
      <w:pPr>
        <w:spacing w:after="0" w:line="16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SPECIAL DELIVERY INSTRUCTIONS</w:t>
      </w:r>
    </w:p>
    <w:p>
      <w:pPr>
        <w:spacing w:after="0" w:line="3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(SEE INSTRUCTIONS 1, 5, 6, AND 7)</w:t>
      </w:r>
    </w:p>
    <w:p>
      <w:pPr>
        <w:spacing w:after="0" w:line="161" w:lineRule="exact"/>
        <w:rPr>
          <w:sz w:val="20"/>
          <w:szCs w:val="20"/>
          <w:color w:val="auto"/>
        </w:rPr>
      </w:pPr>
    </w:p>
    <w:p>
      <w:pPr>
        <w:ind w:left="1" w:right="2559"/>
        <w:spacing w:after="0" w:line="287" w:lineRule="auto"/>
        <w:rPr>
          <w:sz w:val="20"/>
          <w:szCs w:val="20"/>
          <w:color w:val="auto"/>
        </w:rPr>
      </w:pPr>
      <w:r>
        <w:rPr>
          <w:rFonts w:ascii="Courier New" w:cs="Courier New" w:eastAsia="Courier New" w:hAnsi="Courier New"/>
          <w:sz w:val="16"/>
          <w:szCs w:val="16"/>
          <w:color w:val="auto"/>
        </w:rPr>
        <w:t>To be completed ONLY if Stock Certificates for Shares not tendered or not accepted for payment and/or the check for the purchase price of Shares accepted for payment are to be sent to someone other than the undersigned or to the undersigned at an address other than that shown above.</w:t>
      </w:r>
    </w:p>
    <w:p>
      <w:pPr>
        <w:spacing w:after="0" w:line="6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Mail (check appropriate box(es)):</w:t>
      </w:r>
    </w:p>
    <w:p>
      <w:pPr>
        <w:spacing w:after="0" w:line="35" w:lineRule="exact"/>
        <w:rPr>
          <w:sz w:val="20"/>
          <w:szCs w:val="20"/>
          <w:color w:val="auto"/>
        </w:rPr>
      </w:pPr>
    </w:p>
    <w:p>
      <w:pPr>
        <w:ind w:left="481"/>
        <w:spacing w:after="0"/>
        <w:tabs>
          <w:tab w:leader="none" w:pos="940" w:val="left"/>
        </w:tabs>
        <w:rPr>
          <w:sz w:val="20"/>
          <w:szCs w:val="20"/>
          <w:color w:val="auto"/>
        </w:rPr>
      </w:pPr>
      <w:r>
        <w:rPr>
          <w:rFonts w:ascii="Courier New" w:cs="Courier New" w:eastAsia="Courier New" w:hAnsi="Courier New"/>
          <w:sz w:val="16"/>
          <w:szCs w:val="16"/>
          <w:color w:val="auto"/>
        </w:rPr>
        <w:t>[ ]</w:t>
        <w:tab/>
        <w:t>Check to:</w:t>
      </w:r>
    </w:p>
    <w:p>
      <w:pPr>
        <w:spacing w:after="0" w:line="5" w:lineRule="exact"/>
        <w:rPr>
          <w:sz w:val="20"/>
          <w:szCs w:val="20"/>
          <w:color w:val="auto"/>
        </w:rPr>
      </w:pPr>
    </w:p>
    <w:p>
      <w:pPr>
        <w:ind w:left="481"/>
        <w:spacing w:after="0"/>
        <w:tabs>
          <w:tab w:leader="none" w:pos="940" w:val="left"/>
        </w:tabs>
        <w:rPr>
          <w:sz w:val="20"/>
          <w:szCs w:val="20"/>
          <w:color w:val="auto"/>
        </w:rPr>
      </w:pPr>
      <w:r>
        <w:rPr>
          <w:rFonts w:ascii="Courier New" w:cs="Courier New" w:eastAsia="Courier New" w:hAnsi="Courier New"/>
          <w:sz w:val="16"/>
          <w:szCs w:val="16"/>
          <w:color w:val="auto"/>
        </w:rPr>
        <w:t>[ ]</w:t>
        <w:tab/>
        <w:t>Stock Certificate to:</w:t>
      </w:r>
    </w:p>
    <w:p>
      <w:pPr>
        <w:spacing w:after="0" w:line="16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Name:</w:t>
      </w:r>
    </w:p>
    <w:p>
      <w:pPr>
        <w:spacing w:after="0" w:line="3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ectPr>
          <w:pgSz w:w="11900" w:h="16897" w:orient="portrait"/>
          <w:cols w:equalWidth="0" w:num="1">
            <w:col w:w="10220"/>
          </w:cols>
          <w:pgMar w:left="239" w:top="273" w:right="1440" w:bottom="0" w:gutter="0" w:footer="0" w:header="0"/>
        </w:sectPr>
      </w:pPr>
    </w:p>
    <w:bookmarkStart w:id="49" w:name="page50"/>
    <w:bookmarkEnd w:id="49"/>
    <w:p>
      <w:pPr>
        <w:ind w:left="2801"/>
        <w:spacing w:after="0"/>
        <w:rPr>
          <w:sz w:val="20"/>
          <w:szCs w:val="20"/>
          <w:color w:val="auto"/>
        </w:rPr>
      </w:pPr>
      <w:r>
        <w:rPr>
          <w:rFonts w:ascii="Courier New" w:cs="Courier New" w:eastAsia="Courier New" w:hAnsi="Courier New"/>
          <w:sz w:val="16"/>
          <w:szCs w:val="16"/>
          <w:color w:val="auto"/>
        </w:rPr>
        <w:t>(Please Type or Print)</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Address:</w:t>
      </w:r>
    </w:p>
    <w:p>
      <w:pPr>
        <w:spacing w:after="0" w:line="35" w:lineRule="exact"/>
        <w:rPr>
          <w:sz w:val="20"/>
          <w:szCs w:val="20"/>
          <w:color w:val="auto"/>
        </w:rPr>
      </w:pPr>
    </w:p>
    <w:p>
      <w:pPr>
        <w:ind w:left="201" w:hanging="201"/>
        <w:spacing w:after="0"/>
        <w:tabs>
          <w:tab w:leader="none" w:pos="20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 w:lineRule="exact"/>
        <w:rPr>
          <w:rFonts w:ascii="Courier New" w:cs="Courier New" w:eastAsia="Courier New" w:hAnsi="Courier New"/>
          <w:sz w:val="16"/>
          <w:szCs w:val="16"/>
          <w:color w:val="auto"/>
        </w:rPr>
      </w:pPr>
    </w:p>
    <w:p>
      <w:pPr>
        <w:ind w:left="30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(Include Zip Code)</w:t>
      </w:r>
    </w:p>
    <w:p>
      <w:pPr>
        <w:spacing w:after="0" w:line="16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 w:lineRule="exact"/>
        <w:rPr>
          <w:rFonts w:ascii="Courier New" w:cs="Courier New" w:eastAsia="Courier New" w:hAnsi="Courier New"/>
          <w:sz w:val="16"/>
          <w:szCs w:val="16"/>
          <w:color w:val="auto"/>
        </w:rPr>
      </w:pPr>
    </w:p>
    <w:p>
      <w:pPr>
        <w:ind w:left="17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(Tax Identification or Social Security No.)</w:t>
      </w:r>
    </w:p>
    <w:p>
      <w:pPr>
        <w:spacing w:after="0" w:line="5" w:lineRule="exact"/>
        <w:rPr>
          <w:rFonts w:ascii="Courier New" w:cs="Courier New" w:eastAsia="Courier New" w:hAnsi="Courier New"/>
          <w:sz w:val="16"/>
          <w:szCs w:val="16"/>
          <w:color w:val="auto"/>
        </w:rPr>
      </w:pPr>
    </w:p>
    <w:p>
      <w:pPr>
        <w:ind w:left="26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(See Substitute Form W-9)</w:t>
      </w:r>
    </w:p>
    <w:p>
      <w:pPr>
        <w:sectPr>
          <w:pgSz w:w="11900" w:h="16838" w:orient="portrait"/>
          <w:cols w:equalWidth="0" w:num="1">
            <w:col w:w="10220"/>
          </w:cols>
          <w:pgMar w:left="239" w:top="112" w:right="1440" w:bottom="1440" w:gutter="0" w:footer="0" w:header="0"/>
        </w:sectPr>
      </w:pPr>
    </w:p>
    <w:bookmarkStart w:id="50" w:name="page51"/>
    <w:bookmarkEnd w:id="50"/>
    <w:p>
      <w:pPr>
        <w:ind w:left="301"/>
        <w:spacing w:after="0"/>
        <w:rPr>
          <w:sz w:val="20"/>
          <w:szCs w:val="20"/>
          <w:color w:val="auto"/>
        </w:rPr>
      </w:pPr>
      <w:r>
        <w:rPr>
          <w:rFonts w:ascii="Courier New" w:cs="Courier New" w:eastAsia="Courier New" w:hAnsi="Courier New"/>
          <w:sz w:val="16"/>
          <w:szCs w:val="16"/>
          <w:color w:val="auto"/>
        </w:rPr>
        <w:t>5</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SIGN HERE</w:t>
      </w:r>
    </w:p>
    <w:p>
      <w:pPr>
        <w:spacing w:after="0" w:line="3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AND COMPLETE SUBSTITUTE FORM W-9</w:t>
      </w:r>
    </w:p>
    <w:p>
      <w:pPr>
        <w:spacing w:after="0" w:line="161" w:lineRule="exact"/>
        <w:rPr>
          <w:sz w:val="20"/>
          <w:szCs w:val="20"/>
          <w:color w:val="auto"/>
        </w:rPr>
      </w:pPr>
    </w:p>
    <w:p>
      <w:pPr>
        <w:ind w:left="201" w:hanging="201"/>
        <w:spacing w:after="0"/>
        <w:tabs>
          <w:tab w:leader="none" w:pos="20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 w:lineRule="exact"/>
        <w:rPr>
          <w:rFonts w:ascii="Courier New" w:cs="Courier New" w:eastAsia="Courier New" w:hAnsi="Courier New"/>
          <w:sz w:val="16"/>
          <w:szCs w:val="16"/>
          <w:color w:val="auto"/>
        </w:rPr>
      </w:pPr>
    </w:p>
    <w:p>
      <w:pPr>
        <w:ind w:left="23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(Signature(s) of Stockholder(s))</w:t>
      </w:r>
    </w:p>
    <w:p>
      <w:pPr>
        <w:spacing w:after="0" w:line="16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Dated:</w:t>
      </w:r>
    </w:p>
    <w:p>
      <w:pPr>
        <w:spacing w:after="0" w:line="3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61" w:lineRule="exact"/>
        <w:rPr>
          <w:sz w:val="20"/>
          <w:szCs w:val="20"/>
          <w:color w:val="auto"/>
        </w:rPr>
      </w:pPr>
    </w:p>
    <w:p>
      <w:pPr>
        <w:ind w:left="1" w:right="2459"/>
        <w:spacing w:after="0" w:line="266" w:lineRule="auto"/>
        <w:rPr>
          <w:sz w:val="20"/>
          <w:szCs w:val="20"/>
          <w:color w:val="auto"/>
        </w:rPr>
      </w:pPr>
      <w:r>
        <w:rPr>
          <w:rFonts w:ascii="Courier New" w:cs="Courier New" w:eastAsia="Courier New" w:hAnsi="Courier New"/>
          <w:sz w:val="16"/>
          <w:szCs w:val="16"/>
          <w:color w:val="auto"/>
        </w:rPr>
        <w:t>Must be signed by the registered holder(s) exactly as name(s) appear(s) on Stock Certificate(s) or on a security position listing or by person(s) authorized to become registered holder(s) by certificates and documents transmitted herewith. If signature is by trustees, executors, administrators, guardians, attorneys-in-fact, officers of corporations, or others acting in a fiduciary or representative capacity, please provide the following information and see Instruction 5.</w:t>
      </w:r>
    </w:p>
    <w:p>
      <w:pPr>
        <w:spacing w:after="0" w:line="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Name(s):</w:t>
      </w:r>
    </w:p>
    <w:p>
      <w:pPr>
        <w:spacing w:after="0" w:line="35" w:lineRule="exact"/>
        <w:rPr>
          <w:sz w:val="20"/>
          <w:szCs w:val="20"/>
          <w:color w:val="auto"/>
        </w:rPr>
      </w:pPr>
    </w:p>
    <w:p>
      <w:pPr>
        <w:ind w:left="201" w:hanging="201"/>
        <w:spacing w:after="0"/>
        <w:tabs>
          <w:tab w:leader="none" w:pos="20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 w:lineRule="exact"/>
        <w:rPr>
          <w:rFonts w:ascii="Courier New" w:cs="Courier New" w:eastAsia="Courier New" w:hAnsi="Courier New"/>
          <w:sz w:val="16"/>
          <w:szCs w:val="16"/>
          <w:color w:val="auto"/>
        </w:rPr>
      </w:pPr>
    </w:p>
    <w:p>
      <w:pPr>
        <w:ind w:left="28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(Please Type or Print)</w:t>
      </w:r>
    </w:p>
    <w:p>
      <w:pPr>
        <w:spacing w:after="0" w:line="16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Capacity (Full Title):</w:t>
      </w:r>
    </w:p>
    <w:p>
      <w:pPr>
        <w:spacing w:after="0" w:line="3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6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Address:</w:t>
      </w:r>
    </w:p>
    <w:p>
      <w:pPr>
        <w:spacing w:after="0" w:line="35" w:lineRule="exact"/>
        <w:rPr>
          <w:sz w:val="20"/>
          <w:szCs w:val="20"/>
          <w:color w:val="auto"/>
        </w:rPr>
      </w:pPr>
    </w:p>
    <w:p>
      <w:pPr>
        <w:ind w:left="201" w:hanging="201"/>
        <w:spacing w:after="0"/>
        <w:tabs>
          <w:tab w:leader="none" w:pos="201"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 w:lineRule="exact"/>
        <w:rPr>
          <w:rFonts w:ascii="Courier New" w:cs="Courier New" w:eastAsia="Courier New" w:hAnsi="Courier New"/>
          <w:sz w:val="16"/>
          <w:szCs w:val="16"/>
          <w:color w:val="auto"/>
        </w:rPr>
      </w:pPr>
    </w:p>
    <w:p>
      <w:pPr>
        <w:ind w:left="29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(Including Zip Code)</w:t>
      </w:r>
    </w:p>
    <w:p>
      <w:pPr>
        <w:spacing w:after="0" w:line="16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Area Code and Telephone No.:</w:t>
      </w:r>
    </w:p>
    <w:p>
      <w:pPr>
        <w:spacing w:after="0" w:line="3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6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Tax Identification or</w:t>
      </w:r>
    </w:p>
    <w:p>
      <w:pPr>
        <w:spacing w:after="0" w:line="3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Social Security No.:</w:t>
      </w:r>
    </w:p>
    <w:p>
      <w:pPr>
        <w:spacing w:after="0" w:line="5" w:lineRule="exact"/>
        <w:rPr>
          <w:sz w:val="20"/>
          <w:szCs w:val="20"/>
          <w:color w:val="auto"/>
        </w:rPr>
      </w:pPr>
    </w:p>
    <w:p>
      <w:pPr>
        <w:ind w:left="201" w:hanging="201"/>
        <w:spacing w:after="0"/>
        <w:tabs>
          <w:tab w:leader="none" w:pos="201"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6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(See Substitute Form W-9)</w:t>
      </w:r>
    </w:p>
    <w:p>
      <w:pPr>
        <w:spacing w:after="0" w:line="16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GUARANTEE OF SIGNATURE(S)</w:t>
      </w:r>
    </w:p>
    <w:p>
      <w:pPr>
        <w:spacing w:after="0" w:line="3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(If Required -- See Instructions 1 and 5)</w:t>
      </w:r>
    </w:p>
    <w:p>
      <w:pPr>
        <w:spacing w:after="0" w:line="16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Authorized Signature:</w:t>
      </w:r>
    </w:p>
    <w:p>
      <w:pPr>
        <w:spacing w:after="0" w:line="3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6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Name:</w:t>
      </w:r>
    </w:p>
    <w:p>
      <w:pPr>
        <w:spacing w:after="0" w:line="35" w:lineRule="exact"/>
        <w:rPr>
          <w:sz w:val="20"/>
          <w:szCs w:val="20"/>
          <w:color w:val="auto"/>
        </w:rPr>
      </w:pPr>
    </w:p>
    <w:p>
      <w:pPr>
        <w:ind w:left="201" w:hanging="201"/>
        <w:spacing w:after="0"/>
        <w:tabs>
          <w:tab w:leader="none" w:pos="201"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5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(Please Print or Type Name)</w:t>
      </w:r>
    </w:p>
    <w:p>
      <w:pPr>
        <w:spacing w:after="0" w:line="16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Name of Firm:</w:t>
      </w:r>
    </w:p>
    <w:p>
      <w:pPr>
        <w:spacing w:after="0" w:line="35" w:lineRule="exact"/>
        <w:rPr>
          <w:sz w:val="20"/>
          <w:szCs w:val="20"/>
          <w:color w:val="auto"/>
        </w:rPr>
      </w:pPr>
    </w:p>
    <w:p>
      <w:pPr>
        <w:ind w:left="201" w:hanging="201"/>
        <w:spacing w:after="0"/>
        <w:tabs>
          <w:tab w:leader="none" w:pos="20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5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(Please Print or Type Name)</w:t>
      </w:r>
    </w:p>
    <w:p>
      <w:pPr>
        <w:spacing w:after="0" w:line="16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Address:</w:t>
      </w:r>
    </w:p>
    <w:p>
      <w:pPr>
        <w:spacing w:after="0" w:line="3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6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Area Code and Telephone Number:</w:t>
      </w:r>
    </w:p>
    <w:p>
      <w:pPr>
        <w:spacing w:after="0" w:line="3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6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Dated:</w:t>
      </w:r>
    </w:p>
    <w:p>
      <w:pPr>
        <w:spacing w:after="0" w:line="3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6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SPACE BELOW IS FOR USE BY FINANCIAL INSTITUTIONS ONLY.</w:t>
      </w:r>
    </w:p>
    <w:p>
      <w:pPr>
        <w:spacing w:after="0" w:line="3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FINANCIAL INSTITUTIONS: PLACE MEDALLION GUARANTEE IN SPACE PROVIDED BELOW.</w:t>
      </w:r>
    </w:p>
    <w:p>
      <w:pPr>
        <w:sectPr>
          <w:pgSz w:w="11900" w:h="16838" w:orient="portrait"/>
          <w:cols w:equalWidth="0" w:num="1">
            <w:col w:w="10220"/>
          </w:cols>
          <w:pgMar w:left="239" w:top="273" w:right="1440" w:bottom="1440" w:gutter="0" w:footer="0" w:header="0"/>
        </w:sectPr>
      </w:pPr>
    </w:p>
    <w:bookmarkStart w:id="51" w:name="page52"/>
    <w:bookmarkEnd w:id="51"/>
    <w:p>
      <w:pPr>
        <w:ind w:left="300"/>
        <w:spacing w:after="0"/>
        <w:rPr>
          <w:sz w:val="20"/>
          <w:szCs w:val="20"/>
          <w:color w:val="auto"/>
        </w:rPr>
      </w:pPr>
      <w:r>
        <w:rPr>
          <w:rFonts w:ascii="Courier New" w:cs="Courier New" w:eastAsia="Courier New" w:hAnsi="Courier New"/>
          <w:sz w:val="16"/>
          <w:szCs w:val="16"/>
          <w:color w:val="auto"/>
        </w:rPr>
        <w:t>6</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INSTRUCTIONS</w:t>
      </w:r>
    </w:p>
    <w:p>
      <w:pPr>
        <w:spacing w:after="0" w:line="191"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FORMING PART OF THE TERMS AND CONDITIONS OF THE OFFER</w:t>
      </w:r>
    </w:p>
    <w:p>
      <w:pPr>
        <w:spacing w:after="0" w:line="191" w:lineRule="exact"/>
        <w:rPr>
          <w:sz w:val="20"/>
          <w:szCs w:val="20"/>
          <w:color w:val="auto"/>
        </w:rPr>
      </w:pPr>
    </w:p>
    <w:p>
      <w:pPr>
        <w:ind w:right="2459" w:firstLine="484"/>
        <w:spacing w:after="0" w:line="253" w:lineRule="auto"/>
        <w:tabs>
          <w:tab w:leader="none" w:pos="775"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GUARANTEE OF SIGNATURES. All signatures on this Letter of Transmittal must be guaranteed by a financial institution (including most commercial banks, savings and loan associations, and brokerage houses) that is a participant in the Security Transfer Agents Medallion Program, the New York Stock Exchange Medallion Signature Guarantee Program, or the Stock Exchange Medallion Program (each, an "Eligible Institution"), unless the Shares tendered hereby are tendered (i) by a registered holder of Shares who has not completed either the box entitled "Special Delivery Instructions" or the box entitled "Special Payment Instructions" on this Letter of Transmittal, or (ii) for the account of an Eligible Institution. See Instruction 5. If the Stock Certificates are registered in the name of a person other than the person whose signature appears on this Letter of Transmittal, or if Stock Certificates evidencing Shares not accepted for payment or not tendered are to be issued to a person other than the registered holder, then the Stock Certificates must be endorsed or accompanied by appropriate stock powers, in either case signed exactly as the name(s) of the registered owner(s) appear on the Stock Certificates, with the signatures on the Stock Certificates or stock powers guaranteed by an Eligible Institution as provided herein. See Instruction 5.</w:t>
      </w:r>
    </w:p>
    <w:p>
      <w:pPr>
        <w:spacing w:after="0" w:line="101" w:lineRule="exact"/>
        <w:rPr>
          <w:rFonts w:ascii="Courier New" w:cs="Courier New" w:eastAsia="Courier New" w:hAnsi="Courier New"/>
          <w:sz w:val="16"/>
          <w:szCs w:val="16"/>
          <w:color w:val="auto"/>
        </w:rPr>
      </w:pPr>
    </w:p>
    <w:p>
      <w:pPr>
        <w:ind w:right="2459" w:firstLine="484"/>
        <w:spacing w:after="0" w:line="253" w:lineRule="auto"/>
        <w:tabs>
          <w:tab w:leader="none" w:pos="775"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REQUIREMENTS OF TENDER. This Letter of Transmittal is to be completed by stockholders if Stock Certificates are to be forwarded herewith or if a delivery of Shares is to be made pursuant to the procedures for book-entry transfer set forth under "Procedure for Tendering Shares -- Book-Entry Transfer" in Section 3 of the Offer to Purchase. For Shares to be validly tendered pursuant to the Offer, this Letter of Transmittal (or facsimile hereof), properly completed and duly executed with all required signature guarantees and all other documents required hereby, must be received by the Depositary at one of its addresses set forth on the cover hereof prior to the Expiration Date (as defined in the Offer to Purchase). In addition, either (i) Stock Certificates evidencing such Shares must be received by the Depositary along with this Letter of Transmittal or such Shares must be tendered pursuant to the procedures for book-entry transfer set forth under "Procedure for Tendering Shares -- Book-Entry Transfer" in Section 3 of the Offer to Purchase and a confirmation of a book-entry transfer (a "Book-Entry Confirmation") must be received by the Depositary, in each case prior to the Expiration Date or (ii) the tendering stockholder must comply with the guaranteed delivery procedures set forth below and under "Procedure for Tendering Shares -- Guaranteed Delivery" in Section 3 of the Offer to Purchase.</w:t>
      </w:r>
    </w:p>
    <w:p>
      <w:pPr>
        <w:spacing w:after="0" w:line="101" w:lineRule="exact"/>
        <w:rPr>
          <w:sz w:val="20"/>
          <w:szCs w:val="20"/>
          <w:color w:val="auto"/>
        </w:rPr>
      </w:pPr>
    </w:p>
    <w:p>
      <w:pPr>
        <w:ind w:right="2459" w:firstLine="484"/>
        <w:spacing w:after="0" w:line="254" w:lineRule="auto"/>
        <w:rPr>
          <w:sz w:val="20"/>
          <w:szCs w:val="20"/>
          <w:color w:val="auto"/>
        </w:rPr>
      </w:pPr>
      <w:r>
        <w:rPr>
          <w:rFonts w:ascii="Courier New" w:cs="Courier New" w:eastAsia="Courier New" w:hAnsi="Courier New"/>
          <w:sz w:val="16"/>
          <w:szCs w:val="16"/>
          <w:color w:val="auto"/>
        </w:rPr>
        <w:t>If a stockholder desires to tender Shares pursuant to the Offer and such stockholder's Stock Certificates are not immediately available or time will not permit all required documents to reach the Depositary prior to the Expiration Date, or the procedures for book-entry transfer cannot be completed on a timely basis, such Shares may nevertheless be tendered if all of the following conditions are satisfied: (i) the tender is made by or through an Eligible Institution, (ii) a properly completed and duly executed Notice of Guaranteed Delivery, substantially in the form provided by the Purchaser, is received by the Depositary prior to the Expiration Date as provided below, and (iii) the Stock Certificates for all tendered Shares, in proper form for transfer (or Book-Entry Confirmation), together with this Letter of Transmittal (or facsimile hereof) properly completed and duly executed, with any required signature guarantees (or, in the case of a book-entry transfer, an Agent's Message (as defined in Section 2 of the Offer to Purchase)) and any other documents required by this Letter of Transmittal, are received by the Depositary within three New York Stock Exchange trading days after the date of execution of such Notice of Guaranteed Delivery.</w:t>
      </w:r>
    </w:p>
    <w:p>
      <w:pPr>
        <w:spacing w:after="0" w:line="93" w:lineRule="exact"/>
        <w:rPr>
          <w:sz w:val="20"/>
          <w:szCs w:val="20"/>
          <w:color w:val="auto"/>
        </w:rPr>
      </w:pPr>
    </w:p>
    <w:p>
      <w:pPr>
        <w:ind w:right="2559" w:firstLine="484"/>
        <w:spacing w:after="0" w:line="264" w:lineRule="auto"/>
        <w:rPr>
          <w:sz w:val="20"/>
          <w:szCs w:val="20"/>
          <w:color w:val="auto"/>
        </w:rPr>
      </w:pPr>
      <w:r>
        <w:rPr>
          <w:rFonts w:ascii="Courier New" w:cs="Courier New" w:eastAsia="Courier New" w:hAnsi="Courier New"/>
          <w:sz w:val="16"/>
          <w:szCs w:val="16"/>
          <w:color w:val="auto"/>
        </w:rPr>
        <w:t>THE METHOD OF DELIVERY OF THIS LETTER OF TRANSMITTAL, STOCK CERTIFICATES, AND ANY OTHER REQUIRED DOCUMENTS, INCLUDING DELIVERY THROUGH THE BOOK-ENTRY TRANSFER FACILITY, IS AT THE OPTION AND RISK OF THE TENDERING STOCKHOLDER AND THE DELIVERY WILL BE DEEMED MADE ONLY WHEN ACTUALLY RECEIVED BY THE DEPOSITARY. IF DELIVERY IS BY MAIL, IT IS RECOMMENDED THAT SUCH STOCK CERTIFICATES AND DOCUMENTS BE SENT BY REGISTERED MAIL, PROPERLY INSURED, WITH RETURN RECEIPT REQUESTED. IN ALL CASES, SUFFICIENT TIME SHOULD BE ALLOWED TO INSURE TIMELY DELIVERY.</w:t>
      </w:r>
    </w:p>
    <w:p>
      <w:pPr>
        <w:spacing w:after="0" w:line="82" w:lineRule="exact"/>
        <w:rPr>
          <w:sz w:val="20"/>
          <w:szCs w:val="20"/>
          <w:color w:val="auto"/>
        </w:rPr>
      </w:pPr>
    </w:p>
    <w:p>
      <w:pPr>
        <w:ind w:right="2459" w:firstLine="484"/>
        <w:spacing w:after="0" w:line="287" w:lineRule="auto"/>
        <w:rPr>
          <w:sz w:val="20"/>
          <w:szCs w:val="20"/>
          <w:color w:val="auto"/>
        </w:rPr>
      </w:pPr>
      <w:r>
        <w:rPr>
          <w:rFonts w:ascii="Courier New" w:cs="Courier New" w:eastAsia="Courier New" w:hAnsi="Courier New"/>
          <w:sz w:val="16"/>
          <w:szCs w:val="16"/>
          <w:color w:val="auto"/>
        </w:rPr>
        <w:t>No alternative, conditional, or contingent tenders will be accepted. All tendering stockholders, by execution of this Letter of Transmittal (or facsimile hereof), waive any right to receive any notice of the acceptance of their Shares for payment.</w:t>
      </w:r>
    </w:p>
    <w:p>
      <w:pPr>
        <w:sectPr>
          <w:pgSz w:w="11900" w:h="16838" w:orient="portrait"/>
          <w:cols w:equalWidth="0" w:num="1">
            <w:col w:w="10219"/>
          </w:cols>
          <w:pgMar w:left="240" w:top="273" w:right="1440" w:bottom="1440" w:gutter="0" w:footer="0" w:header="0"/>
        </w:sectPr>
      </w:pPr>
    </w:p>
    <w:bookmarkStart w:id="52" w:name="page53"/>
    <w:bookmarkEnd w:id="52"/>
    <w:p>
      <w:pPr>
        <w:ind w:left="300"/>
        <w:spacing w:after="0"/>
        <w:rPr>
          <w:sz w:val="20"/>
          <w:szCs w:val="20"/>
          <w:color w:val="auto"/>
        </w:rPr>
      </w:pPr>
      <w:r>
        <w:rPr>
          <w:rFonts w:ascii="Courier New" w:cs="Courier New" w:eastAsia="Courier New" w:hAnsi="Courier New"/>
          <w:sz w:val="16"/>
          <w:szCs w:val="16"/>
          <w:color w:val="auto"/>
        </w:rPr>
        <w:t>7</w:t>
      </w:r>
    </w:p>
    <w:p>
      <w:pPr>
        <w:spacing w:after="0" w:line="191" w:lineRule="exact"/>
        <w:rPr>
          <w:sz w:val="20"/>
          <w:szCs w:val="20"/>
          <w:color w:val="auto"/>
        </w:rPr>
      </w:pPr>
    </w:p>
    <w:p>
      <w:pPr>
        <w:ind w:right="2559" w:firstLine="484"/>
        <w:spacing w:after="0" w:line="287" w:lineRule="auto"/>
        <w:tabs>
          <w:tab w:leader="none" w:pos="775"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INADEQUATE SPACE. If the space provided herein under "Description of Shares Tendered" is inadequate, the Stock Certificate numbers and/or the number of Shares tendered should be listed on a separate signed schedule and attached hereto.</w:t>
      </w:r>
    </w:p>
    <w:p>
      <w:pPr>
        <w:spacing w:after="0" w:line="64" w:lineRule="exact"/>
        <w:rPr>
          <w:rFonts w:ascii="Courier New" w:cs="Courier New" w:eastAsia="Courier New" w:hAnsi="Courier New"/>
          <w:sz w:val="16"/>
          <w:szCs w:val="16"/>
          <w:color w:val="auto"/>
        </w:rPr>
      </w:pPr>
    </w:p>
    <w:p>
      <w:pPr>
        <w:ind w:right="2459" w:firstLine="484"/>
        <w:spacing w:after="0" w:line="261" w:lineRule="auto"/>
        <w:tabs>
          <w:tab w:leader="none" w:pos="775"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PARTIAL TENDERS. If fewer than all the Shares evidenced by any Stock Certificate submitted are to be tendered, fill in the number of Shares which are to be tendered in the box entitled "Number of Shares Tendered." In such case, new Stock Certificate(s) evidencing the remainder of the Shares that were evidenced by the old Stock Certificate(s) will be sent to the registered holder, unless otherwise provided in the appropriate box on this Letter of Transmittal, as soon as practicable after the Expiration Date. All Shares represented by Stock Certificates delivered to the Depositary will be deemed to have been tendered unless otherwise indicated.</w:t>
      </w:r>
    </w:p>
    <w:p>
      <w:pPr>
        <w:spacing w:after="0" w:line="89" w:lineRule="exact"/>
        <w:rPr>
          <w:rFonts w:ascii="Courier New" w:cs="Courier New" w:eastAsia="Courier New" w:hAnsi="Courier New"/>
          <w:sz w:val="16"/>
          <w:szCs w:val="16"/>
          <w:color w:val="auto"/>
        </w:rPr>
      </w:pPr>
    </w:p>
    <w:p>
      <w:pPr>
        <w:ind w:right="2459" w:firstLine="484"/>
        <w:spacing w:after="0" w:line="266" w:lineRule="auto"/>
        <w:tabs>
          <w:tab w:leader="none" w:pos="775"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SIGNATURES ON LETTER OF TRANSMITTAL, STOCK POWERS, AND ENDORSEMENTS. If this Letter of Transmittal is signed by the registered holder(s) of the Shares tendered hereby, the signature(s) must correspond exactly with the name(s) as written on the face of the Stock Certificate(s) without alteration, enlargement, or any change whatsoever. If any of the Shares tendered hereby are held of record by two or more persons, all such persons must sign this Letter of Transmittal.</w:t>
      </w:r>
    </w:p>
    <w:p>
      <w:pPr>
        <w:spacing w:after="0" w:line="85" w:lineRule="exact"/>
        <w:rPr>
          <w:sz w:val="20"/>
          <w:szCs w:val="20"/>
          <w:color w:val="auto"/>
        </w:rPr>
      </w:pPr>
    </w:p>
    <w:p>
      <w:pPr>
        <w:ind w:right="2659" w:firstLine="484"/>
        <w:spacing w:after="0" w:line="287" w:lineRule="auto"/>
        <w:rPr>
          <w:sz w:val="20"/>
          <w:szCs w:val="20"/>
          <w:color w:val="auto"/>
        </w:rPr>
      </w:pPr>
      <w:r>
        <w:rPr>
          <w:rFonts w:ascii="Courier New" w:cs="Courier New" w:eastAsia="Courier New" w:hAnsi="Courier New"/>
          <w:sz w:val="16"/>
          <w:szCs w:val="16"/>
          <w:color w:val="auto"/>
        </w:rPr>
        <w:t>If any tendered Shares are registered in different names on several Stock Certificates, it will be necessary to complete, sign, and submit as many separate Letters of Transmittal as there are different registrations of such Shares.</w:t>
      </w:r>
    </w:p>
    <w:p>
      <w:pPr>
        <w:spacing w:after="0" w:line="65" w:lineRule="exact"/>
        <w:rPr>
          <w:sz w:val="20"/>
          <w:szCs w:val="20"/>
          <w:color w:val="auto"/>
        </w:rPr>
      </w:pPr>
    </w:p>
    <w:p>
      <w:pPr>
        <w:ind w:right="2459" w:firstLine="484"/>
        <w:spacing w:after="0" w:line="260" w:lineRule="auto"/>
        <w:rPr>
          <w:sz w:val="20"/>
          <w:szCs w:val="20"/>
          <w:color w:val="auto"/>
        </w:rPr>
      </w:pPr>
      <w:r>
        <w:rPr>
          <w:rFonts w:ascii="Courier New" w:cs="Courier New" w:eastAsia="Courier New" w:hAnsi="Courier New"/>
          <w:sz w:val="16"/>
          <w:szCs w:val="16"/>
          <w:color w:val="auto"/>
        </w:rPr>
        <w:t>If this Letter of Transmittal is signed by the registered holder(s) of the Shares evidenced by Stock Certificates listed and transmitted hereby, no endorsements of Stock Certificates or separate stock powers are required unless payment is to be made to or Stock Certificates evidencing Shares not tendered or purchased are to be issued in the name of a person other than the registered holder(s), in which case the Stock Certificate(s) evidencing the Shares tendered hereby must be endorsed or accompanied by appropriate stock powers, in either case signed exactly as the name(s) of the registered holder(s) appear(s) on such Stock Certificate(s). Signatures on such Stock Certificates and stock powers must be guaranteed by an Eligible Institution.</w:t>
      </w:r>
    </w:p>
    <w:p>
      <w:pPr>
        <w:spacing w:after="0" w:line="86" w:lineRule="exact"/>
        <w:rPr>
          <w:sz w:val="20"/>
          <w:szCs w:val="20"/>
          <w:color w:val="auto"/>
        </w:rPr>
      </w:pPr>
    </w:p>
    <w:p>
      <w:pPr>
        <w:ind w:right="2559" w:firstLine="484"/>
        <w:spacing w:after="0" w:line="266" w:lineRule="auto"/>
        <w:rPr>
          <w:sz w:val="20"/>
          <w:szCs w:val="20"/>
          <w:color w:val="auto"/>
        </w:rPr>
      </w:pPr>
      <w:r>
        <w:rPr>
          <w:rFonts w:ascii="Courier New" w:cs="Courier New" w:eastAsia="Courier New" w:hAnsi="Courier New"/>
          <w:sz w:val="16"/>
          <w:szCs w:val="16"/>
          <w:color w:val="auto"/>
        </w:rPr>
        <w:t>If this Letter of Transmittal is signed by a person other than the registered holder(s) of the Shares tendered hereby, the Stock Certificate(s) evidencing the Shares tendered hereby must be endorsed or accompanied by appropriate stock powers, in either case signed exactly as the name or names of the registered holder(s) appear on the Stock Certificate(s). Signatures on such Stock Certificate(s) and stock powers must be guaranteed by an Eligible Institution.</w:t>
      </w:r>
    </w:p>
    <w:p>
      <w:pPr>
        <w:spacing w:after="0" w:line="85" w:lineRule="exact"/>
        <w:rPr>
          <w:sz w:val="20"/>
          <w:szCs w:val="20"/>
          <w:color w:val="auto"/>
        </w:rPr>
      </w:pPr>
    </w:p>
    <w:p>
      <w:pPr>
        <w:ind w:right="2459" w:firstLine="484"/>
        <w:spacing w:after="0" w:line="270" w:lineRule="auto"/>
        <w:rPr>
          <w:sz w:val="20"/>
          <w:szCs w:val="20"/>
          <w:color w:val="auto"/>
        </w:rPr>
      </w:pPr>
      <w:r>
        <w:rPr>
          <w:rFonts w:ascii="Courier New" w:cs="Courier New" w:eastAsia="Courier New" w:hAnsi="Courier New"/>
          <w:sz w:val="16"/>
          <w:szCs w:val="16"/>
          <w:color w:val="auto"/>
        </w:rPr>
        <w:t>If this Letter of Transmittal or any Stock Certificates or stock powers are signed by a trustee, executor, administrator, guardian, attorney-in-fact, agent, officer of a corporation, or any person acting in a fiduciary or representative capacity, such person should so indicate when signing, and proper evidence satisfactory to the Purchaser of such person's authority so to act must be submitted.</w:t>
      </w:r>
    </w:p>
    <w:p>
      <w:pPr>
        <w:spacing w:after="0" w:line="81" w:lineRule="exact"/>
        <w:rPr>
          <w:sz w:val="20"/>
          <w:szCs w:val="20"/>
          <w:color w:val="auto"/>
        </w:rPr>
      </w:pPr>
    </w:p>
    <w:p>
      <w:pPr>
        <w:ind w:right="2459" w:firstLine="484"/>
        <w:spacing w:after="0" w:line="257" w:lineRule="auto"/>
        <w:tabs>
          <w:tab w:leader="none" w:pos="775"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TRANSFER TAXES. Except as set forth in this Instruction 6, the Purchaser will pay or cause to be paid any stock transfer taxes in respect of the transfer and sale of Shares to it or its order pursuant to the Offer. If, however, payment of the purchase price is to be made to, or if Stock Certificates evidencing Shares not tendered or purchased are to be registered in the name of, any person other than the registered holder(s), or if Stock Certificates evidencing tendered Shares are registered in the name of any person other than the person(s) signing this Letter of Transmittal, the amount of any stock transfer taxes (whether imposed on the registered holder(s) or such other person) payable on account of the transfer to such person will be deducted from the purchase price unless satisfactory evidence of the payment of such taxes or exemption therefrom is submitted.</w:t>
      </w:r>
    </w:p>
    <w:p>
      <w:pPr>
        <w:spacing w:after="0" w:line="93" w:lineRule="exact"/>
        <w:rPr>
          <w:sz w:val="20"/>
          <w:szCs w:val="20"/>
          <w:color w:val="auto"/>
        </w:rPr>
      </w:pPr>
    </w:p>
    <w:p>
      <w:pPr>
        <w:ind w:right="2859" w:firstLine="484"/>
        <w:spacing w:after="0" w:line="307" w:lineRule="auto"/>
        <w:rPr>
          <w:sz w:val="20"/>
          <w:szCs w:val="20"/>
          <w:color w:val="auto"/>
        </w:rPr>
      </w:pPr>
      <w:r>
        <w:rPr>
          <w:rFonts w:ascii="Courier New" w:cs="Courier New" w:eastAsia="Courier New" w:hAnsi="Courier New"/>
          <w:sz w:val="16"/>
          <w:szCs w:val="16"/>
          <w:color w:val="auto"/>
        </w:rPr>
        <w:t>EXCEPT AS PROVIDED IN THIS INSTRUCTION 6, IT WILL NOT BE NECESSARY FOR TRANSFER TAX STAMPS TO BE AFFIXED TO THE STOCK CERTIFICATE(S) LISTED IN THIS LETTER OF TRANSMITTAL.</w:t>
      </w:r>
    </w:p>
    <w:p>
      <w:pPr>
        <w:spacing w:after="0" w:line="50" w:lineRule="exact"/>
        <w:rPr>
          <w:sz w:val="20"/>
          <w:szCs w:val="20"/>
          <w:color w:val="auto"/>
        </w:rPr>
      </w:pPr>
    </w:p>
    <w:p>
      <w:pPr>
        <w:ind w:right="2659" w:firstLine="484"/>
        <w:spacing w:after="0" w:line="307" w:lineRule="auto"/>
        <w:tabs>
          <w:tab w:leader="none" w:pos="775"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PAYMENT AND DELIVERY INSTRUCTIONS. If a check for the purchase price of any Shares tendered hereby is to be issued, or Stock Certificate(s) evidencing Shares not tendered or not purchased are to be</w:t>
      </w:r>
    </w:p>
    <w:p>
      <w:pPr>
        <w:sectPr>
          <w:pgSz w:w="11900" w:h="16838" w:orient="portrait"/>
          <w:cols w:equalWidth="0" w:num="1">
            <w:col w:w="10219"/>
          </w:cols>
          <w:pgMar w:left="240" w:top="273" w:right="1440" w:bottom="1440" w:gutter="0" w:footer="0" w:header="0"/>
        </w:sectPr>
      </w:pPr>
    </w:p>
    <w:bookmarkStart w:id="53" w:name="page54"/>
    <w:bookmarkEnd w:id="53"/>
    <w:p>
      <w:pPr>
        <w:ind w:left="300"/>
        <w:spacing w:after="0"/>
        <w:rPr>
          <w:sz w:val="20"/>
          <w:szCs w:val="20"/>
          <w:color w:val="auto"/>
        </w:rPr>
      </w:pPr>
      <w:r>
        <w:rPr>
          <w:rFonts w:ascii="Courier New" w:cs="Courier New" w:eastAsia="Courier New" w:hAnsi="Courier New"/>
          <w:sz w:val="16"/>
          <w:szCs w:val="16"/>
          <w:color w:val="auto"/>
        </w:rPr>
        <w:t>8</w:t>
      </w:r>
    </w:p>
    <w:p>
      <w:pPr>
        <w:spacing w:after="0" w:line="191" w:lineRule="exact"/>
        <w:rPr>
          <w:sz w:val="20"/>
          <w:szCs w:val="20"/>
          <w:color w:val="auto"/>
        </w:rPr>
      </w:pPr>
    </w:p>
    <w:p>
      <w:pPr>
        <w:ind w:right="2459"/>
        <w:spacing w:after="0" w:line="258" w:lineRule="auto"/>
        <w:rPr>
          <w:sz w:val="20"/>
          <w:szCs w:val="20"/>
          <w:color w:val="auto"/>
        </w:rPr>
      </w:pPr>
      <w:r>
        <w:rPr>
          <w:rFonts w:ascii="Courier New" w:cs="Courier New" w:eastAsia="Courier New" w:hAnsi="Courier New"/>
          <w:sz w:val="16"/>
          <w:szCs w:val="16"/>
          <w:color w:val="auto"/>
        </w:rPr>
        <w:t>issued, in the name of a person other than the person(s) signing this Letter of Transmittal or if such check or any such Stock Certificate is to be sent and/or any Stock Certificates are to be returned to someone other than the signer above, or to the signer above but at an address other than that shown in the box entitled "Description of Shares Tendered" on the cover hereof, the appropriate boxes on this Letter of Transmittal should be completed. Stockholders tendering Shares by book-entry transfer may request that Shares not purchased be credited to such account maintained at the Book-Entry Transfer Facility as such stockholder may designate under "Special Delivery Instructions." If no such instructions are given, any such Share not purchased will be returned by crediting the account designated above at the Book-Entry Transfer Facility.</w:t>
      </w:r>
    </w:p>
    <w:p>
      <w:pPr>
        <w:spacing w:after="0" w:line="93" w:lineRule="exact"/>
        <w:rPr>
          <w:sz w:val="20"/>
          <w:szCs w:val="20"/>
          <w:color w:val="auto"/>
        </w:rPr>
      </w:pPr>
    </w:p>
    <w:p>
      <w:pPr>
        <w:ind w:right="2459" w:firstLine="484"/>
        <w:spacing w:after="0" w:line="270" w:lineRule="auto"/>
        <w:tabs>
          <w:tab w:leader="none" w:pos="775"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REQUEST FOR ASSISTANCE OR ADDITIONAL COPIES. Requests for assistance may be directed to, or additional copies of the Offer to Purchase, this Letter of Transmittal, and the Notice of Guaranteed Delivery may be obtained from the Information Agent at the telephone numbers and address set forth on the back cover of this Letter of Transmittal. Stockholders may also contact such stockholder's broker, dealer, commercial bank, trust company, or other nominee.</w:t>
      </w:r>
    </w:p>
    <w:p>
      <w:pPr>
        <w:spacing w:after="0" w:line="80" w:lineRule="exact"/>
        <w:rPr>
          <w:rFonts w:ascii="Courier New" w:cs="Courier New" w:eastAsia="Courier New" w:hAnsi="Courier New"/>
          <w:sz w:val="16"/>
          <w:szCs w:val="16"/>
          <w:color w:val="auto"/>
        </w:rPr>
      </w:pPr>
    </w:p>
    <w:p>
      <w:pPr>
        <w:ind w:right="2759" w:firstLine="484"/>
        <w:spacing w:after="0" w:line="276" w:lineRule="auto"/>
        <w:tabs>
          <w:tab w:leader="none" w:pos="775"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 OF CONDITIONS. Except as otherwise provided in the Offer to Purchase, the Purchaser reserves the right in its sole discretion to waive in whole or in part at any time or from time to time any of the specified conditions of the Offer or any defect or irregularity in tender in respect of any Shares tendered.</w:t>
      </w:r>
    </w:p>
    <w:p>
      <w:pPr>
        <w:spacing w:after="0" w:line="75" w:lineRule="exact"/>
        <w:rPr>
          <w:rFonts w:ascii="Courier New" w:cs="Courier New" w:eastAsia="Courier New" w:hAnsi="Courier New"/>
          <w:sz w:val="16"/>
          <w:szCs w:val="16"/>
          <w:color w:val="auto"/>
        </w:rPr>
      </w:pPr>
    </w:p>
    <w:p>
      <w:pPr>
        <w:ind w:right="2459" w:firstLine="484"/>
        <w:spacing w:after="0" w:line="254" w:lineRule="auto"/>
        <w:tabs>
          <w:tab w:leader="none" w:pos="872"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SUBSTITUTE FORM W-9. Except in the case of foreign persons, each tendering stockholder is required to provide the Depositary with a correct Taxpayer Identification Number ("TIN") on Substitute Form W-9, which is provided under "Important Tax Information" herein, and to certify that such stockholder is not subject to backup withholding. Failure to provide the information on Substitute Form W-9 may subject the tendering stockholder to 31% federal income tax backup withholding on the payment of the purchase price for the Shares. The tendering stockholder should indicate in the box in Part I of the Substitute Form W-9 if such stockholder has not been issued a TIN and has applied for a TIN or intends to apply for a TIN in the near future. If the stockholder has indicated in the box in Part I that a TIN has been applied for, the Depositary may withhold 31% of any payments made pursuant to the Offer until a TIN is provided to the Depositary. A tendering stockholder who is a foreign person (i.e., who is not a citizen or resident of the United States) should provide the Depositary with a completed Form W-8. Please contact the Depositary, if necessary, in order to obtain a copy of Form W-8.</w:t>
      </w:r>
    </w:p>
    <w:p>
      <w:pPr>
        <w:spacing w:after="0" w:line="98" w:lineRule="exact"/>
        <w:rPr>
          <w:rFonts w:ascii="Courier New" w:cs="Courier New" w:eastAsia="Courier New" w:hAnsi="Courier New"/>
          <w:sz w:val="16"/>
          <w:szCs w:val="16"/>
          <w:color w:val="auto"/>
        </w:rPr>
      </w:pPr>
    </w:p>
    <w:p>
      <w:pPr>
        <w:ind w:right="2459" w:firstLine="484"/>
        <w:spacing w:after="0" w:line="270" w:lineRule="auto"/>
        <w:tabs>
          <w:tab w:leader="none" w:pos="872"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LOST OR DESTROYED STOCK CERTIFICATES. If any Stock Certificate(s) representing Shares has been lost or destroyed, the holder(s) should promptly notify the Depositary. The holder(s) will then be instructed as to the procedure to be followed in order to replace the Stock Certificate(s). This Letter of Transmittal and related documents cannot be processed until the procedures for replacing lost or destroyed Stock Certificates have been followed.</w:t>
      </w:r>
    </w:p>
    <w:p>
      <w:pPr>
        <w:spacing w:after="0" w:line="81" w:lineRule="exact"/>
        <w:rPr>
          <w:sz w:val="20"/>
          <w:szCs w:val="20"/>
          <w:color w:val="auto"/>
        </w:rPr>
      </w:pPr>
    </w:p>
    <w:p>
      <w:pPr>
        <w:ind w:right="2659" w:firstLine="484"/>
        <w:spacing w:after="0" w:line="276" w:lineRule="auto"/>
        <w:rPr>
          <w:sz w:val="20"/>
          <w:szCs w:val="20"/>
          <w:color w:val="auto"/>
        </w:rPr>
      </w:pPr>
      <w:r>
        <w:rPr>
          <w:rFonts w:ascii="Courier New" w:cs="Courier New" w:eastAsia="Courier New" w:hAnsi="Courier New"/>
          <w:sz w:val="16"/>
          <w:szCs w:val="16"/>
          <w:color w:val="auto"/>
        </w:rPr>
        <w:t>IMPORTANT: THIS LETTER OF TRANSMITTAL (OR FACSIMILE HEREOF), PROPERLY COMPLETED AND DULY EXECUTED, MUST BE RECEIVED BY THE DEPOSITARY (TOGETHER WITH STOCK CERTIFICATES OR A BOOK-ENTRY CONFIRMATION FOR SHARES AND ANY OTHER REQUIRED DOCUMENTS AND/OR SIGNATURES), OR A NOTICE OF GUARANTEED DELIVERY MUST BE RECEIVED BY THE DEPOSITARY, ON OR PRIOR TO THE EXPIRATION DATE.</w:t>
      </w:r>
    </w:p>
    <w:p>
      <w:pPr>
        <w:sectPr>
          <w:pgSz w:w="11900" w:h="16838" w:orient="portrait"/>
          <w:cols w:equalWidth="0" w:num="1">
            <w:col w:w="10219"/>
          </w:cols>
          <w:pgMar w:left="240" w:top="273" w:right="1440" w:bottom="1440" w:gutter="0" w:footer="0" w:header="0"/>
        </w:sectPr>
      </w:pPr>
    </w:p>
    <w:bookmarkStart w:id="54" w:name="page55"/>
    <w:bookmarkEnd w:id="54"/>
    <w:p>
      <w:pPr>
        <w:ind w:left="301"/>
        <w:spacing w:after="0"/>
        <w:rPr>
          <w:sz w:val="20"/>
          <w:szCs w:val="20"/>
          <w:color w:val="auto"/>
        </w:rPr>
      </w:pPr>
      <w:r>
        <w:rPr>
          <w:rFonts w:ascii="Courier New" w:cs="Courier New" w:eastAsia="Courier New" w:hAnsi="Courier New"/>
          <w:sz w:val="16"/>
          <w:szCs w:val="16"/>
          <w:color w:val="auto"/>
        </w:rPr>
        <w:t>9</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IMPORTANT TAX INFORMATION</w:t>
      </w:r>
    </w:p>
    <w:p>
      <w:pPr>
        <w:spacing w:after="0" w:line="191" w:lineRule="exact"/>
        <w:rPr>
          <w:sz w:val="20"/>
          <w:szCs w:val="20"/>
          <w:color w:val="auto"/>
        </w:rPr>
      </w:pPr>
    </w:p>
    <w:p>
      <w:pPr>
        <w:ind w:left="1" w:right="2559" w:firstLine="484"/>
        <w:spacing w:after="0" w:line="261" w:lineRule="auto"/>
        <w:rPr>
          <w:sz w:val="20"/>
          <w:szCs w:val="20"/>
          <w:color w:val="auto"/>
        </w:rPr>
      </w:pPr>
      <w:r>
        <w:rPr>
          <w:rFonts w:ascii="Courier New" w:cs="Courier New" w:eastAsia="Courier New" w:hAnsi="Courier New"/>
          <w:sz w:val="16"/>
          <w:szCs w:val="16"/>
          <w:color w:val="auto"/>
        </w:rPr>
        <w:t>Under federal income tax law, a stockholder whose tendered Shares are accepted for payment is required to provide the Depositary (as payor) with such stockholder's correct TIN on Substitute Form W-9 herein. If such stockholder is an individual, the TIN is such stockholder's Social Security Number. If the Depositary is not provided with the correct TIN or an adequate basis for exemption, the stockholder may be subject to a $50 penalty imposed by the Internal Revenue Service ("IRS") and payments that are made to such stockholder in respect of Shares purchased pursuant to the Offer may be subject to backup withholding in an amount equal to 31% of such payments.</w:t>
      </w:r>
    </w:p>
    <w:p>
      <w:pPr>
        <w:spacing w:after="0" w:line="89" w:lineRule="exact"/>
        <w:rPr>
          <w:sz w:val="20"/>
          <w:szCs w:val="20"/>
          <w:color w:val="auto"/>
        </w:rPr>
      </w:pPr>
    </w:p>
    <w:p>
      <w:pPr>
        <w:ind w:left="1" w:right="2459" w:firstLine="484"/>
        <w:spacing w:after="0" w:line="266" w:lineRule="auto"/>
        <w:rPr>
          <w:sz w:val="20"/>
          <w:szCs w:val="20"/>
          <w:color w:val="auto"/>
        </w:rPr>
      </w:pPr>
      <w:r>
        <w:rPr>
          <w:rFonts w:ascii="Courier New" w:cs="Courier New" w:eastAsia="Courier New" w:hAnsi="Courier New"/>
          <w:sz w:val="16"/>
          <w:szCs w:val="16"/>
          <w:color w:val="auto"/>
        </w:rPr>
        <w:t>Certain stockholders (including, among others, certain corporations) are not subject to these backup withholding and reporting requirements. In order for a foreign individual to qualify as an exempt recipient, that stockholder must submit an IRS Form W-8, signed under penalties of perjury, attesting to that individual's exempt status. Such statements can be obtained from the Depositary. See the enclosed Guidelines for Certification of Taxpayer Identification Number on Substitute Form W-9 for additional instructions.</w:t>
      </w:r>
    </w:p>
    <w:p>
      <w:pPr>
        <w:spacing w:after="0" w:line="85" w:lineRule="exact"/>
        <w:rPr>
          <w:sz w:val="20"/>
          <w:szCs w:val="20"/>
          <w:color w:val="auto"/>
        </w:rPr>
      </w:pPr>
    </w:p>
    <w:p>
      <w:pPr>
        <w:ind w:left="1" w:right="2459" w:firstLine="484"/>
        <w:spacing w:after="0" w:line="270" w:lineRule="auto"/>
        <w:rPr>
          <w:sz w:val="20"/>
          <w:szCs w:val="20"/>
          <w:color w:val="auto"/>
        </w:rPr>
      </w:pPr>
      <w:r>
        <w:rPr>
          <w:rFonts w:ascii="Courier New" w:cs="Courier New" w:eastAsia="Courier New" w:hAnsi="Courier New"/>
          <w:sz w:val="16"/>
          <w:szCs w:val="16"/>
          <w:color w:val="auto"/>
        </w:rPr>
        <w:t>If backup withholding applies, the Depositary is required to withhold 31% of any payments made to the stockholder. Backup withholding is not an additional tax. Rather, the tax liability of persons subject to backup withholding may be reduced by the amount of tax withheld; provided that the required information is provided to the Internal Revenue Service. If withholding results in an overpayment of taxes, a refund may be obtained from the IRS.</w:t>
      </w:r>
    </w:p>
    <w:p>
      <w:pPr>
        <w:spacing w:after="0" w:line="8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PURPOSE OF SUBSTITUTE FORM W-9</w:t>
      </w:r>
    </w:p>
    <w:p>
      <w:pPr>
        <w:spacing w:after="0" w:line="191" w:lineRule="exact"/>
        <w:rPr>
          <w:sz w:val="20"/>
          <w:szCs w:val="20"/>
          <w:color w:val="auto"/>
        </w:rPr>
      </w:pPr>
    </w:p>
    <w:p>
      <w:pPr>
        <w:ind w:left="1" w:right="2459" w:firstLine="484"/>
        <w:spacing w:after="0" w:line="251" w:lineRule="auto"/>
        <w:rPr>
          <w:sz w:val="20"/>
          <w:szCs w:val="20"/>
          <w:color w:val="auto"/>
        </w:rPr>
      </w:pPr>
      <w:r>
        <w:rPr>
          <w:rFonts w:ascii="Courier New" w:cs="Courier New" w:eastAsia="Courier New" w:hAnsi="Courier New"/>
          <w:sz w:val="16"/>
          <w:szCs w:val="16"/>
          <w:color w:val="auto"/>
        </w:rPr>
        <w:t>To prevent backup withholding on payments that are made to a stockholder in respect of Shares purchased pursuant to the Offer, the stockholder is required to notify the Depositary of his correct TIN by completing the Substitute Form W-9 contained herein, certifying that the TIN provided on the Substitute Form W-9 is correct (or that such stockholder is awaiting a TIN), and that (i) the stockholder is exempt from backup withholding, (ii) the stockholder has not been notified by the IRS that he is subject to backup withholding as a result of failure to properly report all interest, dividends or other reportable payments,</w:t>
      </w:r>
    </w:p>
    <w:p>
      <w:pPr>
        <w:spacing w:after="0" w:line="4" w:lineRule="exact"/>
        <w:rPr>
          <w:sz w:val="20"/>
          <w:szCs w:val="20"/>
          <w:color w:val="auto"/>
        </w:rPr>
      </w:pPr>
    </w:p>
    <w:p>
      <w:pPr>
        <w:ind w:left="1" w:right="3039" w:hanging="1"/>
        <w:spacing w:after="0" w:line="327" w:lineRule="auto"/>
        <w:tabs>
          <w:tab w:leader="none" w:pos="582"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IRS has notified the stockholder that he is no longer subject to backup withholding.</w:t>
      </w:r>
    </w:p>
    <w:p>
      <w:pPr>
        <w:spacing w:after="0" w:line="3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WHAT NUMBER TO GIVE THE DEPOSITARY</w:t>
      </w:r>
    </w:p>
    <w:p>
      <w:pPr>
        <w:spacing w:after="0" w:line="191" w:lineRule="exact"/>
        <w:rPr>
          <w:sz w:val="20"/>
          <w:szCs w:val="20"/>
          <w:color w:val="auto"/>
        </w:rPr>
      </w:pPr>
    </w:p>
    <w:p>
      <w:pPr>
        <w:ind w:left="1" w:right="2459" w:firstLine="484"/>
        <w:spacing w:after="0" w:line="256" w:lineRule="auto"/>
        <w:rPr>
          <w:sz w:val="20"/>
          <w:szCs w:val="20"/>
          <w:color w:val="auto"/>
        </w:rPr>
      </w:pPr>
      <w:r>
        <w:rPr>
          <w:rFonts w:ascii="Courier New" w:cs="Courier New" w:eastAsia="Courier New" w:hAnsi="Courier New"/>
          <w:sz w:val="16"/>
          <w:szCs w:val="16"/>
          <w:color w:val="auto"/>
        </w:rPr>
        <w:t>The stockholder is required to give the Depositary the Social Security Number or Employer Identification Number of the record owner of the Shares. If the Shares are in more than one name or are not in the name of the actual owner, consult the enclosed Guidelines for Certification of Taxpayer Identification Number on Substitute Form W-9 for additional guidance on which number to report. If the tendering stockholder has not been issued a TIN and has applied for a number or intends to apply for a number in the near future, he should write "Applied For" in the space provided for the TIN in Part I, sign and date the Substitute Form W-9 and sign and date the Certificate of Awaiting Taxpayer Identification Number. If "Applied For" is written in Part I and the Depositary is not provided with a TIN within 60 days, the Depositary may withhold 31% of any payments made pursuant to the Offer until a TIN is provided to the Depositary.</w:t>
      </w:r>
    </w:p>
    <w:p>
      <w:pPr>
        <w:sectPr>
          <w:pgSz w:w="11900" w:h="16838" w:orient="portrait"/>
          <w:cols w:equalWidth="0" w:num="1">
            <w:col w:w="10220"/>
          </w:cols>
          <w:pgMar w:left="239" w:top="273" w:right="1440" w:bottom="1440" w:gutter="0" w:footer="0" w:header="0"/>
        </w:sectPr>
      </w:pPr>
    </w:p>
    <w:bookmarkStart w:id="55" w:name="page56"/>
    <w:bookmarkEnd w:id="55"/>
    <w:p>
      <w:pPr>
        <w:ind w:left="300"/>
        <w:spacing w:after="0"/>
        <w:rPr>
          <w:sz w:val="20"/>
          <w:szCs w:val="20"/>
          <w:color w:val="auto"/>
        </w:rPr>
      </w:pPr>
      <w:r>
        <w:rPr>
          <w:rFonts w:ascii="Courier New" w:cs="Courier New" w:eastAsia="Courier New" w:hAnsi="Courier New"/>
          <w:sz w:val="16"/>
          <w:szCs w:val="16"/>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PAYOR'S NAME: CHASEMELLON SHAREHOLDER SERVICES, L.L.C., AS DEPOSITARY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1" w:lineRule="exact"/>
        <w:rPr>
          <w:sz w:val="20"/>
          <w:szCs w:val="20"/>
          <w:color w:val="auto"/>
        </w:rPr>
      </w:pPr>
    </w:p>
    <w:tbl>
      <w:tblPr>
        <w:tblLayout w:type="fixed"/>
        <w:tblInd w:w="100" w:type="dxa"/>
        <w:tblCellMar>
          <w:top w:w="0" w:type="dxa"/>
          <w:left w:w="0" w:type="dxa"/>
          <w:bottom w:w="0" w:type="dxa"/>
          <w:right w:w="0" w:type="dxa"/>
        </w:tblCellMar>
      </w:tblP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SUBSTITUTE</w:t>
            </w:r>
          </w:p>
        </w:tc>
        <w:tc>
          <w:tcPr>
            <w:tcW w:w="4500" w:type="dxa"/>
            <w:vAlign w:val="bottom"/>
          </w:tcPr>
          <w:p>
            <w:pPr>
              <w:ind w:left="480"/>
              <w:spacing w:after="0"/>
              <w:rPr>
                <w:sz w:val="20"/>
                <w:szCs w:val="20"/>
                <w:color w:val="auto"/>
              </w:rPr>
            </w:pPr>
            <w:r>
              <w:rPr>
                <w:rFonts w:ascii="Courier New" w:cs="Courier New" w:eastAsia="Courier New" w:hAnsi="Courier New"/>
                <w:sz w:val="16"/>
                <w:szCs w:val="16"/>
                <w:color w:val="auto"/>
              </w:rPr>
              <w:t>PLEASE PROVIDE YOUR TIN IN THE BOX AT THE</w:t>
            </w:r>
          </w:p>
        </w:tc>
        <w:tc>
          <w:tcPr>
            <w:tcW w:w="1120" w:type="dxa"/>
            <w:vAlign w:val="bottom"/>
          </w:tcPr>
          <w:p>
            <w:pPr>
              <w:ind w:left="140"/>
              <w:spacing w:after="0"/>
              <w:rPr>
                <w:sz w:val="20"/>
                <w:szCs w:val="20"/>
                <w:color w:val="auto"/>
              </w:rPr>
            </w:pPr>
            <w:r>
              <w:rPr>
                <w:rFonts w:ascii="Courier New" w:cs="Courier New" w:eastAsia="Courier New" w:hAnsi="Courier New"/>
                <w:sz w:val="16"/>
                <w:szCs w:val="16"/>
                <w:color w:val="auto"/>
              </w:rPr>
              <w:t>PART I --</w:t>
            </w:r>
          </w:p>
        </w:tc>
        <w:tc>
          <w:tcPr>
            <w:tcW w:w="2520" w:type="dxa"/>
            <w:vAlign w:val="bottom"/>
          </w:tcPr>
          <w:p>
            <w:pPr>
              <w:spacing w:after="0"/>
              <w:rPr>
                <w:sz w:val="20"/>
                <w:szCs w:val="20"/>
                <w:color w:val="auto"/>
              </w:rPr>
            </w:pPr>
            <w:r>
              <w:rPr>
                <w:rFonts w:ascii="Courier New" w:cs="Courier New" w:eastAsia="Courier New" w:hAnsi="Courier New"/>
                <w:sz w:val="16"/>
                <w:szCs w:val="16"/>
                <w:color w:val="auto"/>
              </w:rPr>
              <w:t>Social Security Number OR</w:t>
            </w:r>
          </w:p>
        </w:tc>
        <w:tc>
          <w:tcPr>
            <w:tcW w:w="0" w:type="dxa"/>
            <w:vAlign w:val="bottom"/>
          </w:tcPr>
          <w:p>
            <w:pPr>
              <w:spacing w:after="0"/>
              <w:rPr>
                <w:sz w:val="1"/>
                <w:szCs w:val="1"/>
                <w:color w:val="auto"/>
              </w:rPr>
            </w:pP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FORM W-9</w:t>
            </w:r>
          </w:p>
        </w:tc>
        <w:tc>
          <w:tcPr>
            <w:tcW w:w="4500" w:type="dxa"/>
            <w:vAlign w:val="bottom"/>
          </w:tcPr>
          <w:p>
            <w:pPr>
              <w:ind w:left="480"/>
              <w:spacing w:after="0"/>
              <w:rPr>
                <w:sz w:val="20"/>
                <w:szCs w:val="20"/>
                <w:color w:val="auto"/>
              </w:rPr>
            </w:pPr>
            <w:r>
              <w:rPr>
                <w:rFonts w:ascii="Courier New" w:cs="Courier New" w:eastAsia="Courier New" w:hAnsi="Courier New"/>
                <w:sz w:val="16"/>
                <w:szCs w:val="16"/>
                <w:color w:val="auto"/>
              </w:rPr>
              <w:t>RIGHT AND CERTIFY BY SIGNING AND DATING</w:t>
            </w:r>
          </w:p>
        </w:tc>
        <w:tc>
          <w:tcPr>
            <w:tcW w:w="36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Employer Identification Number</w:t>
            </w:r>
          </w:p>
        </w:tc>
        <w:tc>
          <w:tcPr>
            <w:tcW w:w="0" w:type="dxa"/>
            <w:vAlign w:val="bottom"/>
          </w:tcPr>
          <w:p>
            <w:pPr>
              <w:spacing w:after="0"/>
              <w:rPr>
                <w:sz w:val="1"/>
                <w:szCs w:val="1"/>
                <w:color w:val="auto"/>
              </w:rPr>
            </w:pPr>
          </w:p>
        </w:tc>
      </w:tr>
      <w:tr>
        <w:trPr>
          <w:trHeight w:val="186"/>
        </w:trPr>
        <w:tc>
          <w:tcPr>
            <w:tcW w:w="3100" w:type="dxa"/>
            <w:vAlign w:val="bottom"/>
            <w:vMerge w:val="restart"/>
          </w:tcPr>
          <w:p>
            <w:pPr>
              <w:spacing w:after="0"/>
              <w:rPr>
                <w:sz w:val="20"/>
                <w:szCs w:val="20"/>
                <w:color w:val="auto"/>
              </w:rPr>
            </w:pPr>
            <w:r>
              <w:rPr>
                <w:rFonts w:ascii="Courier New" w:cs="Courier New" w:eastAsia="Courier New" w:hAnsi="Courier New"/>
                <w:sz w:val="16"/>
                <w:szCs w:val="16"/>
                <w:color w:val="auto"/>
              </w:rPr>
              <w:t>DEPARTMENT OF THE TREASURY</w:t>
            </w:r>
          </w:p>
        </w:tc>
        <w:tc>
          <w:tcPr>
            <w:tcW w:w="4500" w:type="dxa"/>
            <w:vAlign w:val="bottom"/>
          </w:tcPr>
          <w:p>
            <w:pPr>
              <w:ind w:left="480"/>
              <w:spacing w:after="0"/>
              <w:rPr>
                <w:sz w:val="20"/>
                <w:szCs w:val="20"/>
                <w:color w:val="auto"/>
              </w:rPr>
            </w:pPr>
            <w:r>
              <w:rPr>
                <w:rFonts w:ascii="Courier New" w:cs="Courier New" w:eastAsia="Courier New" w:hAnsi="Courier New"/>
                <w:sz w:val="16"/>
                <w:szCs w:val="16"/>
                <w:color w:val="auto"/>
              </w:rPr>
              <w:t>BELOW.</w:t>
            </w:r>
          </w:p>
        </w:tc>
        <w:tc>
          <w:tcPr>
            <w:tcW w:w="3640" w:type="dxa"/>
            <w:vAlign w:val="bottom"/>
            <w:gridSpan w:val="2"/>
            <w:vMerge w:val="restart"/>
          </w:tcPr>
          <w:p>
            <w:pPr>
              <w:ind w:left="60"/>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6"/>
                <w:szCs w:val="26"/>
                <w:color w:val="auto"/>
                <w:w w:val="70"/>
                <w:vertAlign w:val="subscript"/>
              </w:rPr>
              <w:t>(IfawaitingTIN,write</w:t>
            </w:r>
          </w:p>
        </w:tc>
        <w:tc>
          <w:tcPr>
            <w:tcW w:w="0" w:type="dxa"/>
            <w:vAlign w:val="bottom"/>
          </w:tcPr>
          <w:p>
            <w:pPr>
              <w:spacing w:after="0"/>
              <w:rPr>
                <w:sz w:val="1"/>
                <w:szCs w:val="1"/>
                <w:color w:val="auto"/>
              </w:rPr>
            </w:pPr>
          </w:p>
        </w:tc>
      </w:tr>
      <w:tr>
        <w:trPr>
          <w:trHeight w:val="186"/>
        </w:trPr>
        <w:tc>
          <w:tcPr>
            <w:tcW w:w="3100" w:type="dxa"/>
            <w:vAlign w:val="bottom"/>
            <w:vMerge w:val="continue"/>
          </w:tcPr>
          <w:p>
            <w:pPr>
              <w:spacing w:after="0"/>
              <w:rPr>
                <w:sz w:val="16"/>
                <w:szCs w:val="16"/>
                <w:color w:val="auto"/>
              </w:rPr>
            </w:pPr>
          </w:p>
        </w:tc>
        <w:tc>
          <w:tcPr>
            <w:tcW w:w="4500" w:type="dxa"/>
            <w:vAlign w:val="bottom"/>
            <w:vMerge w:val="restart"/>
          </w:tcPr>
          <w:p>
            <w:pPr>
              <w:ind w:left="480"/>
              <w:spacing w:after="0"/>
              <w:rPr>
                <w:sz w:val="20"/>
                <w:szCs w:val="20"/>
                <w:color w:val="auto"/>
              </w:rPr>
            </w:pPr>
            <w:r>
              <w:rPr>
                <w:rFonts w:ascii="Courier New" w:cs="Courier New" w:eastAsia="Courier New" w:hAnsi="Courier New"/>
                <w:sz w:val="32"/>
                <w:szCs w:val="32"/>
                <w:color w:val="auto"/>
                <w:w w:val="89"/>
                <w:vertAlign w:val="subscript"/>
              </w:rPr>
              <w:t>Name</w:t>
            </w:r>
            <w:r>
              <w:rPr>
                <w:rFonts w:ascii="Courier New" w:cs="Courier New" w:eastAsia="Courier New" w:hAnsi="Courier New"/>
                <w:sz w:val="16"/>
                <w:szCs w:val="16"/>
                <w:color w:val="auto"/>
                <w:w w:val="89"/>
              </w:rPr>
              <w:t>-----------------------------------------</w:t>
            </w:r>
          </w:p>
        </w:tc>
        <w:tc>
          <w:tcPr>
            <w:tcW w:w="3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INTERNAL REVENUE SERVICE</w:t>
            </w:r>
          </w:p>
        </w:tc>
        <w:tc>
          <w:tcPr>
            <w:tcW w:w="4500" w:type="dxa"/>
            <w:vAlign w:val="bottom"/>
            <w:vMerge w:val="continue"/>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"Applied For")</w:t>
            </w:r>
          </w:p>
        </w:tc>
        <w:tc>
          <w:tcPr>
            <w:tcW w:w="0" w:type="dxa"/>
            <w:vAlign w:val="bottom"/>
          </w:tcPr>
          <w:p>
            <w:pPr>
              <w:spacing w:after="0"/>
              <w:rPr>
                <w:sz w:val="1"/>
                <w:szCs w:val="1"/>
                <w:color w:val="auto"/>
              </w:rPr>
            </w:pPr>
          </w:p>
        </w:tc>
      </w:tr>
      <w:tr>
        <w:trPr>
          <w:trHeight w:val="186"/>
        </w:trPr>
        <w:tc>
          <w:tcPr>
            <w:tcW w:w="3100" w:type="dxa"/>
            <w:vAlign w:val="bottom"/>
            <w:vMerge w:val="restart"/>
          </w:tcPr>
          <w:p>
            <w:pPr>
              <w:spacing w:after="0"/>
              <w:rPr>
                <w:sz w:val="20"/>
                <w:szCs w:val="20"/>
                <w:color w:val="auto"/>
              </w:rPr>
            </w:pPr>
            <w:r>
              <w:rPr>
                <w:rFonts w:ascii="Courier New" w:cs="Courier New" w:eastAsia="Courier New" w:hAnsi="Courier New"/>
                <w:sz w:val="16"/>
                <w:szCs w:val="16"/>
                <w:color w:val="auto"/>
              </w:rPr>
              <w:t>PAYOR'S REQUEST FOR TAXPAYER</w:t>
            </w:r>
          </w:p>
        </w:tc>
        <w:tc>
          <w:tcPr>
            <w:tcW w:w="450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120" w:type="dxa"/>
            <w:vAlign w:val="bottom"/>
            <w:vMerge w:val="restart"/>
          </w:tcPr>
          <w:p>
            <w:pPr>
              <w:ind w:left="140"/>
              <w:spacing w:after="0"/>
              <w:rPr>
                <w:sz w:val="20"/>
                <w:szCs w:val="20"/>
                <w:color w:val="auto"/>
              </w:rPr>
            </w:pPr>
            <w:r>
              <w:rPr>
                <w:rFonts w:ascii="Courier New" w:cs="Courier New" w:eastAsia="Courier New" w:hAnsi="Courier New"/>
                <w:sz w:val="16"/>
                <w:szCs w:val="16"/>
                <w:color w:val="auto"/>
                <w:w w:val="99"/>
              </w:rPr>
              <w:t>PART II --</w:t>
            </w:r>
          </w:p>
        </w:tc>
        <w:tc>
          <w:tcPr>
            <w:tcW w:w="252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For Payees exempt from</w:t>
            </w:r>
          </w:p>
        </w:tc>
        <w:tc>
          <w:tcPr>
            <w:tcW w:w="0" w:type="dxa"/>
            <w:vAlign w:val="bottom"/>
          </w:tcPr>
          <w:p>
            <w:pPr>
              <w:spacing w:after="0"/>
              <w:rPr>
                <w:sz w:val="1"/>
                <w:szCs w:val="1"/>
                <w:color w:val="auto"/>
              </w:rPr>
            </w:pPr>
          </w:p>
        </w:tc>
      </w:tr>
      <w:tr>
        <w:trPr>
          <w:trHeight w:val="186"/>
        </w:trPr>
        <w:tc>
          <w:tcPr>
            <w:tcW w:w="3100" w:type="dxa"/>
            <w:vAlign w:val="bottom"/>
            <w:vMerge w:val="continue"/>
          </w:tcPr>
          <w:p>
            <w:pPr>
              <w:spacing w:after="0"/>
              <w:rPr>
                <w:sz w:val="16"/>
                <w:szCs w:val="16"/>
                <w:color w:val="auto"/>
              </w:rPr>
            </w:pPr>
          </w:p>
        </w:tc>
        <w:tc>
          <w:tcPr>
            <w:tcW w:w="4500" w:type="dxa"/>
            <w:vAlign w:val="bottom"/>
          </w:tcPr>
          <w:p>
            <w:pPr>
              <w:ind w:left="480"/>
              <w:spacing w:after="0"/>
              <w:rPr>
                <w:sz w:val="20"/>
                <w:szCs w:val="20"/>
                <w:color w:val="auto"/>
              </w:rPr>
            </w:pPr>
            <w:r>
              <w:rPr>
                <w:rFonts w:ascii="Courier New" w:cs="Courier New" w:eastAsia="Courier New" w:hAnsi="Courier New"/>
                <w:sz w:val="16"/>
                <w:szCs w:val="16"/>
                <w:color w:val="auto"/>
              </w:rPr>
              <w:t>Business Name (if different)</w:t>
            </w:r>
          </w:p>
        </w:tc>
        <w:tc>
          <w:tcPr>
            <w:tcW w:w="1120" w:type="dxa"/>
            <w:vAlign w:val="bottom"/>
            <w:vMerge w:val="continue"/>
          </w:tcPr>
          <w:p>
            <w:pPr>
              <w:spacing w:after="0"/>
              <w:rPr>
                <w:sz w:val="16"/>
                <w:szCs w:val="16"/>
                <w:color w:val="auto"/>
              </w:rPr>
            </w:pPr>
          </w:p>
        </w:tc>
        <w:tc>
          <w:tcPr>
            <w:tcW w:w="2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IDENTIFICATION NUMBER (TIN)</w:t>
            </w:r>
          </w:p>
        </w:tc>
        <w:tc>
          <w:tcPr>
            <w:tcW w:w="4500" w:type="dxa"/>
            <w:vAlign w:val="bottom"/>
            <w:vMerge w:val="restart"/>
          </w:tcPr>
          <w:p>
            <w:pPr>
              <w:ind w:left="480"/>
              <w:spacing w:after="0"/>
              <w:rPr>
                <w:sz w:val="20"/>
                <w:szCs w:val="20"/>
                <w:color w:val="auto"/>
              </w:rPr>
            </w:pPr>
            <w:r>
              <w:rPr>
                <w:rFonts w:ascii="Courier New" w:cs="Courier New" w:eastAsia="Courier New" w:hAnsi="Courier New"/>
                <w:sz w:val="16"/>
                <w:szCs w:val="16"/>
                <w:color w:val="auto"/>
              </w:rPr>
              <w:t>Please check appropriate box:</w:t>
            </w:r>
          </w:p>
        </w:tc>
        <w:tc>
          <w:tcPr>
            <w:tcW w:w="36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backup withholding, see the enclosed</w:t>
            </w:r>
          </w:p>
        </w:tc>
        <w:tc>
          <w:tcPr>
            <w:tcW w:w="0" w:type="dxa"/>
            <w:vAlign w:val="bottom"/>
          </w:tcPr>
          <w:p>
            <w:pPr>
              <w:spacing w:after="0"/>
              <w:rPr>
                <w:sz w:val="1"/>
                <w:szCs w:val="1"/>
                <w:color w:val="auto"/>
              </w:rPr>
            </w:pPr>
          </w:p>
        </w:tc>
      </w:tr>
      <w:tr>
        <w:trPr>
          <w:trHeight w:val="186"/>
        </w:trPr>
        <w:tc>
          <w:tcPr>
            <w:tcW w:w="3100" w:type="dxa"/>
            <w:vAlign w:val="bottom"/>
          </w:tcPr>
          <w:p>
            <w:pPr>
              <w:spacing w:after="0"/>
              <w:rPr>
                <w:sz w:val="16"/>
                <w:szCs w:val="16"/>
                <w:color w:val="auto"/>
              </w:rPr>
            </w:pPr>
          </w:p>
        </w:tc>
        <w:tc>
          <w:tcPr>
            <w:tcW w:w="4500" w:type="dxa"/>
            <w:vAlign w:val="bottom"/>
            <w:vMerge w:val="continue"/>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Guidelines for Certification of</w:t>
            </w:r>
          </w:p>
        </w:tc>
        <w:tc>
          <w:tcPr>
            <w:tcW w:w="0" w:type="dxa"/>
            <w:vAlign w:val="bottom"/>
          </w:tcPr>
          <w:p>
            <w:pPr>
              <w:spacing w:after="0"/>
              <w:rPr>
                <w:sz w:val="1"/>
                <w:szCs w:val="1"/>
                <w:color w:val="auto"/>
              </w:rPr>
            </w:pPr>
          </w:p>
        </w:tc>
      </w:tr>
      <w:tr>
        <w:trPr>
          <w:trHeight w:val="186"/>
        </w:trPr>
        <w:tc>
          <w:tcPr>
            <w:tcW w:w="3100" w:type="dxa"/>
            <w:vAlign w:val="bottom"/>
          </w:tcPr>
          <w:p>
            <w:pPr>
              <w:spacing w:after="0"/>
              <w:rPr>
                <w:sz w:val="16"/>
                <w:szCs w:val="16"/>
                <w:color w:val="auto"/>
              </w:rPr>
            </w:pPr>
          </w:p>
        </w:tc>
        <w:tc>
          <w:tcPr>
            <w:tcW w:w="4500" w:type="dxa"/>
            <w:vAlign w:val="bottom"/>
          </w:tcPr>
          <w:p>
            <w:pPr>
              <w:ind w:left="680"/>
              <w:spacing w:after="0"/>
              <w:rPr>
                <w:sz w:val="20"/>
                <w:szCs w:val="20"/>
                <w:color w:val="auto"/>
              </w:rPr>
            </w:pPr>
            <w:r>
              <w:rPr>
                <w:rFonts w:ascii="Courier New" w:cs="Courier New" w:eastAsia="Courier New" w:hAnsi="Courier New"/>
                <w:sz w:val="16"/>
                <w:szCs w:val="16"/>
                <w:color w:val="auto"/>
              </w:rPr>
              <w:t>[ ]Individual/Sole Proprietor</w:t>
            </w:r>
          </w:p>
        </w:tc>
        <w:tc>
          <w:tcPr>
            <w:tcW w:w="36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Taxpayer Identification Number on</w:t>
            </w:r>
          </w:p>
        </w:tc>
        <w:tc>
          <w:tcPr>
            <w:tcW w:w="0" w:type="dxa"/>
            <w:vAlign w:val="bottom"/>
          </w:tcPr>
          <w:p>
            <w:pPr>
              <w:spacing w:after="0"/>
              <w:rPr>
                <w:sz w:val="1"/>
                <w:szCs w:val="1"/>
                <w:color w:val="auto"/>
              </w:rPr>
            </w:pPr>
          </w:p>
        </w:tc>
      </w:tr>
      <w:tr>
        <w:trPr>
          <w:trHeight w:val="186"/>
        </w:trPr>
        <w:tc>
          <w:tcPr>
            <w:tcW w:w="3100" w:type="dxa"/>
            <w:vAlign w:val="bottom"/>
          </w:tcPr>
          <w:p>
            <w:pPr>
              <w:spacing w:after="0"/>
              <w:rPr>
                <w:sz w:val="16"/>
                <w:szCs w:val="16"/>
                <w:color w:val="auto"/>
              </w:rPr>
            </w:pPr>
          </w:p>
        </w:tc>
        <w:tc>
          <w:tcPr>
            <w:tcW w:w="4500" w:type="dxa"/>
            <w:vAlign w:val="bottom"/>
          </w:tcPr>
          <w:p>
            <w:pPr>
              <w:ind w:left="680"/>
              <w:spacing w:after="0"/>
              <w:rPr>
                <w:sz w:val="20"/>
                <w:szCs w:val="20"/>
                <w:color w:val="auto"/>
              </w:rPr>
            </w:pPr>
            <w:r>
              <w:rPr>
                <w:rFonts w:ascii="Courier New" w:cs="Courier New" w:eastAsia="Courier New" w:hAnsi="Courier New"/>
                <w:sz w:val="16"/>
                <w:szCs w:val="16"/>
                <w:color w:val="auto"/>
              </w:rPr>
              <w:t>[ ]Corporation</w:t>
            </w:r>
          </w:p>
        </w:tc>
        <w:tc>
          <w:tcPr>
            <w:tcW w:w="36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Substitute Form W-9, check the</w:t>
            </w:r>
          </w:p>
        </w:tc>
        <w:tc>
          <w:tcPr>
            <w:tcW w:w="0" w:type="dxa"/>
            <w:vAlign w:val="bottom"/>
          </w:tcPr>
          <w:p>
            <w:pPr>
              <w:spacing w:after="0"/>
              <w:rPr>
                <w:sz w:val="1"/>
                <w:szCs w:val="1"/>
                <w:color w:val="auto"/>
              </w:rPr>
            </w:pPr>
          </w:p>
        </w:tc>
      </w:tr>
      <w:tr>
        <w:trPr>
          <w:trHeight w:val="186"/>
        </w:trPr>
        <w:tc>
          <w:tcPr>
            <w:tcW w:w="3100" w:type="dxa"/>
            <w:vAlign w:val="bottom"/>
          </w:tcPr>
          <w:p>
            <w:pPr>
              <w:spacing w:after="0"/>
              <w:rPr>
                <w:sz w:val="16"/>
                <w:szCs w:val="16"/>
                <w:color w:val="auto"/>
              </w:rPr>
            </w:pPr>
          </w:p>
        </w:tc>
        <w:tc>
          <w:tcPr>
            <w:tcW w:w="4500" w:type="dxa"/>
            <w:vAlign w:val="bottom"/>
          </w:tcPr>
          <w:p>
            <w:pPr>
              <w:ind w:left="680"/>
              <w:spacing w:after="0"/>
              <w:rPr>
                <w:sz w:val="20"/>
                <w:szCs w:val="20"/>
                <w:color w:val="auto"/>
              </w:rPr>
            </w:pPr>
            <w:r>
              <w:rPr>
                <w:rFonts w:ascii="Courier New" w:cs="Courier New" w:eastAsia="Courier New" w:hAnsi="Courier New"/>
                <w:sz w:val="16"/>
                <w:szCs w:val="16"/>
                <w:color w:val="auto"/>
              </w:rPr>
              <w:t>[ ]Partnership</w:t>
            </w:r>
          </w:p>
        </w:tc>
        <w:tc>
          <w:tcPr>
            <w:tcW w:w="36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exempt box below and complete the</w:t>
            </w:r>
          </w:p>
        </w:tc>
        <w:tc>
          <w:tcPr>
            <w:tcW w:w="0" w:type="dxa"/>
            <w:vAlign w:val="bottom"/>
          </w:tcPr>
          <w:p>
            <w:pPr>
              <w:spacing w:after="0"/>
              <w:rPr>
                <w:sz w:val="1"/>
                <w:szCs w:val="1"/>
                <w:color w:val="auto"/>
              </w:rPr>
            </w:pPr>
          </w:p>
        </w:tc>
      </w:tr>
      <w:tr>
        <w:trPr>
          <w:trHeight w:val="186"/>
        </w:trPr>
        <w:tc>
          <w:tcPr>
            <w:tcW w:w="3100" w:type="dxa"/>
            <w:vAlign w:val="bottom"/>
          </w:tcPr>
          <w:p>
            <w:pPr>
              <w:spacing w:after="0"/>
              <w:rPr>
                <w:sz w:val="16"/>
                <w:szCs w:val="16"/>
                <w:color w:val="auto"/>
              </w:rPr>
            </w:pPr>
          </w:p>
        </w:tc>
        <w:tc>
          <w:tcPr>
            <w:tcW w:w="4500" w:type="dxa"/>
            <w:vAlign w:val="bottom"/>
          </w:tcPr>
          <w:p>
            <w:pPr>
              <w:ind w:left="680"/>
              <w:spacing w:after="0"/>
              <w:rPr>
                <w:sz w:val="20"/>
                <w:szCs w:val="20"/>
                <w:color w:val="auto"/>
              </w:rPr>
            </w:pPr>
            <w:r>
              <w:rPr>
                <w:rFonts w:ascii="Courier New" w:cs="Courier New" w:eastAsia="Courier New" w:hAnsi="Courier New"/>
                <w:sz w:val="16"/>
                <w:szCs w:val="16"/>
                <w:color w:val="auto"/>
              </w:rPr>
              <w:t>[ ] Other:</w:t>
            </w:r>
          </w:p>
        </w:tc>
        <w:tc>
          <w:tcPr>
            <w:tcW w:w="1120" w:type="dxa"/>
            <w:vAlign w:val="bottom"/>
          </w:tcPr>
          <w:p>
            <w:pPr>
              <w:ind w:left="140"/>
              <w:spacing w:after="0"/>
              <w:rPr>
                <w:sz w:val="20"/>
                <w:szCs w:val="20"/>
                <w:color w:val="auto"/>
              </w:rPr>
            </w:pPr>
            <w:r>
              <w:rPr>
                <w:rFonts w:ascii="Courier New" w:cs="Courier New" w:eastAsia="Courier New" w:hAnsi="Courier New"/>
                <w:sz w:val="16"/>
                <w:szCs w:val="16"/>
                <w:color w:val="auto"/>
              </w:rPr>
              <w:t>Form W-9.</w:t>
            </w: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3100" w:type="dxa"/>
            <w:vAlign w:val="bottom"/>
          </w:tcPr>
          <w:p>
            <w:pPr>
              <w:spacing w:after="0"/>
              <w:rPr>
                <w:sz w:val="23"/>
                <w:szCs w:val="23"/>
                <w:color w:val="auto"/>
              </w:rPr>
            </w:pPr>
          </w:p>
        </w:tc>
        <w:tc>
          <w:tcPr>
            <w:tcW w:w="4500" w:type="dxa"/>
            <w:vAlign w:val="bottom"/>
            <w:vMerge w:val="restart"/>
          </w:tcPr>
          <w:p>
            <w:pPr>
              <w:ind w:left="380"/>
              <w:spacing w:after="0"/>
              <w:rPr>
                <w:sz w:val="20"/>
                <w:szCs w:val="20"/>
                <w:color w:val="auto"/>
              </w:rPr>
            </w:pPr>
            <w:r>
              <w:rPr>
                <w:rFonts w:ascii="Courier New" w:cs="Courier New" w:eastAsia="Courier New" w:hAnsi="Courier New"/>
                <w:sz w:val="16"/>
                <w:szCs w:val="16"/>
                <w:color w:val="auto"/>
                <w:w w:val="84"/>
              </w:rPr>
              <w:t>-----------------------------------------</w:t>
            </w:r>
            <w:r>
              <w:rPr>
                <w:rFonts w:ascii="Courier New" w:cs="Courier New" w:eastAsia="Courier New" w:hAnsi="Courier New"/>
                <w:sz w:val="32"/>
                <w:szCs w:val="32"/>
                <w:color w:val="auto"/>
                <w:w w:val="84"/>
                <w:vertAlign w:val="subscript"/>
              </w:rPr>
              <w:t>Address</w:t>
            </w:r>
          </w:p>
        </w:tc>
        <w:tc>
          <w:tcPr>
            <w:tcW w:w="1120" w:type="dxa"/>
            <w:vAlign w:val="bottom"/>
          </w:tcPr>
          <w:p>
            <w:pPr>
              <w:ind w:left="140"/>
              <w:spacing w:after="0"/>
              <w:rPr>
                <w:sz w:val="20"/>
                <w:szCs w:val="20"/>
                <w:color w:val="auto"/>
              </w:rPr>
            </w:pPr>
            <w:r>
              <w:rPr>
                <w:rFonts w:ascii="Courier New" w:cs="Courier New" w:eastAsia="Courier New" w:hAnsi="Courier New"/>
                <w:sz w:val="16"/>
                <w:szCs w:val="16"/>
                <w:color w:val="auto"/>
                <w:w w:val="99"/>
              </w:rPr>
              <w:t>Exempt [ ]</w:t>
            </w:r>
          </w:p>
        </w:tc>
        <w:tc>
          <w:tcPr>
            <w:tcW w:w="2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0"/>
        </w:trPr>
        <w:tc>
          <w:tcPr>
            <w:tcW w:w="3100" w:type="dxa"/>
            <w:vAlign w:val="bottom"/>
          </w:tcPr>
          <w:p>
            <w:pPr>
              <w:spacing w:after="0"/>
              <w:rPr>
                <w:sz w:val="8"/>
                <w:szCs w:val="8"/>
                <w:color w:val="auto"/>
              </w:rPr>
            </w:pPr>
          </w:p>
        </w:tc>
        <w:tc>
          <w:tcPr>
            <w:tcW w:w="450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3100" w:type="dxa"/>
            <w:vAlign w:val="bottom"/>
          </w:tcPr>
          <w:p>
            <w:pPr>
              <w:spacing w:after="0"/>
              <w:rPr>
                <w:sz w:val="16"/>
                <w:szCs w:val="16"/>
                <w:color w:val="auto"/>
              </w:rPr>
            </w:pPr>
          </w:p>
        </w:tc>
        <w:tc>
          <w:tcPr>
            <w:tcW w:w="450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4500" w:type="dxa"/>
            <w:vAlign w:val="bottom"/>
          </w:tcPr>
          <w:p>
            <w:pPr>
              <w:ind w:left="480"/>
              <w:spacing w:after="0"/>
              <w:rPr>
                <w:sz w:val="20"/>
                <w:szCs w:val="20"/>
                <w:color w:val="auto"/>
              </w:rPr>
            </w:pPr>
            <w:r>
              <w:rPr>
                <w:rFonts w:ascii="Courier New" w:cs="Courier New" w:eastAsia="Courier New" w:hAnsi="Courier New"/>
                <w:sz w:val="16"/>
                <w:szCs w:val="16"/>
                <w:color w:val="auto"/>
              </w:rPr>
              <w:t>City, State, and Zip Code</w:t>
            </w:r>
          </w:p>
        </w:tc>
        <w:tc>
          <w:tcPr>
            <w:tcW w:w="1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34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CERTIFICATION -- Under penalties of perjury, I certify that:</w:t>
      </w:r>
    </w:p>
    <w:p>
      <w:pPr>
        <w:spacing w:after="0" w:line="191" w:lineRule="exact"/>
        <w:rPr>
          <w:sz w:val="20"/>
          <w:szCs w:val="20"/>
          <w:color w:val="auto"/>
        </w:rPr>
      </w:pPr>
    </w:p>
    <w:p>
      <w:pPr>
        <w:ind w:left="480" w:right="3860" w:hanging="384"/>
        <w:spacing w:after="0" w:line="367" w:lineRule="auto"/>
        <w:tabs>
          <w:tab w:leader="none" w:pos="48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shown on this form is my correct Taxpayer Identification Number (or I am waiting for a number to be issued to me), and</w:t>
      </w:r>
    </w:p>
    <w:p>
      <w:pPr>
        <w:spacing w:after="0" w:line="4" w:lineRule="exact"/>
        <w:rPr>
          <w:rFonts w:ascii="Courier New" w:cs="Courier New" w:eastAsia="Courier New" w:hAnsi="Courier New"/>
          <w:sz w:val="16"/>
          <w:szCs w:val="16"/>
          <w:color w:val="auto"/>
        </w:rPr>
      </w:pPr>
    </w:p>
    <w:p>
      <w:pPr>
        <w:ind w:left="480" w:right="3860" w:hanging="384"/>
        <w:spacing w:after="0" w:line="270" w:lineRule="auto"/>
        <w:tabs>
          <w:tab w:leader="none" w:pos="48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am not subject to backup withholding either because (a) I am exempt from backup withholding, or (b) I have not been notified by the Internal Revenue Service ("IRS") that I am subject to backup withholding as a result of a failure to properly report all interest, dividends, or other reportable payments, or (c) the IRS has notified me that I am no longer subject to backup withholding.</w:t>
      </w:r>
    </w:p>
    <w:p>
      <w:pPr>
        <w:spacing w:after="0" w:line="81" w:lineRule="exact"/>
        <w:rPr>
          <w:sz w:val="20"/>
          <w:szCs w:val="20"/>
          <w:color w:val="auto"/>
        </w:rPr>
      </w:pPr>
    </w:p>
    <w:p>
      <w:pPr>
        <w:ind w:left="100" w:right="3860"/>
        <w:spacing w:after="0" w:line="251" w:lineRule="auto"/>
        <w:rPr>
          <w:sz w:val="20"/>
          <w:szCs w:val="20"/>
          <w:color w:val="auto"/>
        </w:rPr>
      </w:pPr>
      <w:r>
        <w:rPr>
          <w:rFonts w:ascii="Courier New" w:cs="Courier New" w:eastAsia="Courier New" w:hAnsi="Courier New"/>
          <w:sz w:val="16"/>
          <w:szCs w:val="16"/>
          <w:color w:val="auto"/>
        </w:rPr>
        <w:t>CERTIFICATION INSTRUCTIONS -- You must cross out item (2) above if you have been notified by the IRS that you are subject to backup withholding because of underreporting interest or dividends on your tax return. However, if after being notified by the IRS that you were subject to backup withholding you received another notification from the IRS that you are no longer subject to backup withholding, do not cross out item (2). (Also see instructions in the enclosed Guidelines for Certification of Taxpayer Identification Number on Substitute Form W-9.)</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78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57"/>
        </w:trPr>
        <w:tc>
          <w:tcPr>
            <w:tcW w:w="1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82"/>
              </w:rPr>
              <w:t>-</w:t>
            </w:r>
          </w:p>
        </w:tc>
        <w:tc>
          <w:tcPr>
            <w:tcW w:w="4160" w:type="dxa"/>
            <w:vAlign w:val="bottom"/>
          </w:tcPr>
          <w:p>
            <w:pPr>
              <w:spacing w:after="0"/>
              <w:rPr>
                <w:sz w:val="20"/>
                <w:szCs w:val="20"/>
                <w:color w:val="auto"/>
              </w:rPr>
            </w:pPr>
            <w:r>
              <w:rPr>
                <w:rFonts w:ascii="Courier New" w:cs="Courier New" w:eastAsia="Courier New" w:hAnsi="Courier New"/>
                <w:sz w:val="16"/>
                <w:szCs w:val="16"/>
                <w:color w:val="auto"/>
              </w:rPr>
              <w:t>SIGNATURE: ------------------------------</w:t>
            </w:r>
          </w:p>
        </w:tc>
        <w:tc>
          <w:tcPr>
            <w:tcW w:w="2760" w:type="dxa"/>
            <w:vAlign w:val="bottom"/>
          </w:tcPr>
          <w:p>
            <w:pPr>
              <w:ind w:left="200"/>
              <w:spacing w:after="0"/>
              <w:rPr>
                <w:sz w:val="20"/>
                <w:szCs w:val="20"/>
                <w:color w:val="auto"/>
              </w:rPr>
            </w:pPr>
            <w:r>
              <w:rPr>
                <w:rFonts w:ascii="Courier New" w:cs="Courier New" w:eastAsia="Courier New" w:hAnsi="Courier New"/>
                <w:sz w:val="16"/>
                <w:szCs w:val="16"/>
                <w:color w:val="auto"/>
              </w:rPr>
              <w:t>DATE: --------------------</w:t>
            </w:r>
          </w:p>
        </w:tc>
        <w:tc>
          <w:tcPr>
            <w:tcW w:w="9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 1999</w:t>
            </w:r>
          </w:p>
        </w:tc>
        <w:tc>
          <w:tcPr>
            <w:tcW w:w="0" w:type="dxa"/>
            <w:vAlign w:val="bottom"/>
          </w:tcPr>
          <w:p>
            <w:pPr>
              <w:spacing w:after="0"/>
              <w:rPr>
                <w:sz w:val="1"/>
                <w:szCs w:val="1"/>
                <w:color w:val="auto"/>
              </w:rPr>
            </w:pPr>
          </w:p>
        </w:tc>
      </w:tr>
      <w:tr>
        <w:trPr>
          <w:trHeight w:val="273"/>
        </w:trPr>
        <w:tc>
          <w:tcPr>
            <w:tcW w:w="100" w:type="dxa"/>
            <w:vAlign w:val="bottom"/>
            <w:vMerge w:val="continue"/>
          </w:tcPr>
          <w:p>
            <w:pPr>
              <w:spacing w:after="0"/>
              <w:rPr>
                <w:sz w:val="23"/>
                <w:szCs w:val="23"/>
                <w:color w:val="auto"/>
              </w:rPr>
            </w:pPr>
          </w:p>
        </w:tc>
        <w:tc>
          <w:tcPr>
            <w:tcW w:w="78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FAILURE TO COMPLETE AND RETURN THIS SUBSTITUTE FORM W-9 MAY RESULT IN</w:t>
      </w:r>
    </w:p>
    <w:p>
      <w:pPr>
        <w:spacing w:after="0" w:line="3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BACKUP WITHHOLDING OF 31% OF ANY PAYMENTS MADE TO YOU PURSUANT TO THE</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OFFER. PLEASE REVIEW THE ENCLOSED GUIDELINES FOR CERTIFICATION OF TAXPAYER</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IDENTIFICATION NUMBER ON SUBSTITUTE FORM W-9 FOR ADDITIONAL INSTRUCTIONS.</w:t>
      </w:r>
    </w:p>
    <w:p>
      <w:pPr>
        <w:spacing w:after="0" w:line="161" w:lineRule="exact"/>
        <w:rPr>
          <w:sz w:val="20"/>
          <w:szCs w:val="20"/>
          <w:color w:val="auto"/>
        </w:rPr>
      </w:pPr>
    </w:p>
    <w:p>
      <w:pPr>
        <w:ind w:left="580" w:right="3860"/>
        <w:spacing w:after="0" w:line="367" w:lineRule="auto"/>
        <w:rPr>
          <w:sz w:val="20"/>
          <w:szCs w:val="20"/>
          <w:color w:val="auto"/>
        </w:rPr>
      </w:pPr>
      <w:r>
        <w:rPr>
          <w:rFonts w:ascii="Courier New" w:cs="Courier New" w:eastAsia="Courier New" w:hAnsi="Courier New"/>
          <w:sz w:val="16"/>
          <w:szCs w:val="16"/>
          <w:color w:val="auto"/>
        </w:rPr>
        <w:t>YOU MUST COMPLETE THE FOLLOWING CERTIFICATE IF YOU WROTE "APPLIED FOR" IN PART I OF SUBSTITUTE FORM W-9.</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CERTIFICATE OF PAYEE AWAITING TAXPAYER IDENTIFICATION NUMBER</w:t>
      </w:r>
    </w:p>
    <w:p>
      <w:pPr>
        <w:spacing w:after="0" w:line="191" w:lineRule="exact"/>
        <w:rPr>
          <w:sz w:val="20"/>
          <w:szCs w:val="20"/>
          <w:color w:val="auto"/>
        </w:rPr>
      </w:pPr>
    </w:p>
    <w:p>
      <w:pPr>
        <w:ind w:right="3760" w:firstLine="484"/>
        <w:spacing w:after="0" w:line="257" w:lineRule="auto"/>
        <w:rPr>
          <w:sz w:val="20"/>
          <w:szCs w:val="20"/>
          <w:color w:val="auto"/>
        </w:rPr>
      </w:pPr>
      <w:r>
        <w:rPr>
          <w:rFonts w:ascii="Courier New" w:cs="Courier New" w:eastAsia="Courier New" w:hAnsi="Courier New"/>
          <w:sz w:val="16"/>
          <w:szCs w:val="16"/>
          <w:color w:val="auto"/>
        </w:rPr>
        <w:t>I certify, under penalties of perjury, that a Taxpayer Identification Number has not been issued to me, and that I mailed or delivered an application to receive a Taxpayer Identification Number to the appropriate IRS Center or Social Security Administration Office (or I intend to mail or deliver an application in the near future). I understand that if I do not provide a Taxpayer Identification Number to the payor, 31% of all payments made to me pursuant to the Offer shall be retained until I provide a Tax Identification Number to the payor and that, if I do not provide my Taxpayer Identification Number within 60 days, such retained amounts shall be remitted to the IRS as backup withholding and 31% of all reportable payments made to me thereafter will be withheld and remitted to the IRS until I provide a Taxpayer Identification Number.</w:t>
      </w:r>
    </w:p>
    <w:p>
      <w:pPr>
        <w:spacing w:after="0" w:line="93" w:lineRule="exact"/>
        <w:rPr>
          <w:sz w:val="20"/>
          <w:szCs w:val="20"/>
          <w:color w:val="auto"/>
        </w:rPr>
      </w:pPr>
    </w:p>
    <w:p>
      <w:pPr>
        <w:spacing w:after="0"/>
        <w:tabs>
          <w:tab w:leader="none" w:pos="4540" w:val="left"/>
        </w:tabs>
        <w:rPr>
          <w:sz w:val="20"/>
          <w:szCs w:val="20"/>
          <w:color w:val="auto"/>
        </w:rPr>
      </w:pPr>
      <w:r>
        <w:rPr>
          <w:rFonts w:ascii="Courier New" w:cs="Courier New" w:eastAsia="Courier New" w:hAnsi="Courier New"/>
          <w:sz w:val="16"/>
          <w:szCs w:val="16"/>
          <w:color w:val="auto"/>
        </w:rPr>
        <w:t>SIGNATURE: ------------------------------</w:t>
      </w:r>
      <w:r>
        <w:rPr>
          <w:sz w:val="20"/>
          <w:szCs w:val="20"/>
          <w:color w:val="auto"/>
        </w:rPr>
        <w:tab/>
      </w:r>
      <w:r>
        <w:rPr>
          <w:rFonts w:ascii="Courier New" w:cs="Courier New" w:eastAsia="Courier New" w:hAnsi="Courier New"/>
          <w:sz w:val="16"/>
          <w:szCs w:val="16"/>
          <w:color w:val="auto"/>
        </w:rPr>
        <w:t>DATE: -------------------- , 1999</w:t>
      </w:r>
    </w:p>
    <w:p>
      <w:pPr>
        <w:sectPr>
          <w:pgSz w:w="11900" w:h="16838" w:orient="portrait"/>
          <w:cols w:equalWidth="0" w:num="1">
            <w:col w:w="11520"/>
          </w:cols>
          <w:pgMar w:left="240" w:top="273" w:right="139"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6"/>
          <w:szCs w:val="16"/>
          <w:color w:val="auto"/>
        </w:rPr>
        <w:t>11</w:t>
      </w:r>
    </w:p>
    <w:p>
      <w:pPr>
        <w:spacing w:after="0" w:line="191"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6"/>
          <w:szCs w:val="16"/>
          <w:color w:val="auto"/>
        </w:rPr>
        <w:t>The Information Agent for the Offer is:</w:t>
      </w:r>
    </w:p>
    <w:p>
      <w:pPr>
        <w:spacing w:after="0" w:line="191"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6"/>
          <w:szCs w:val="16"/>
          <w:color w:val="auto"/>
        </w:rPr>
        <w:t>[Georgeson &amp; Co, Inc. Logo]</w:t>
      </w:r>
    </w:p>
    <w:p>
      <w:pPr>
        <w:spacing w:after="0" w:line="191"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Wall Street Plaza</w:t>
      </w:r>
    </w:p>
    <w:p>
      <w:pPr>
        <w:spacing w:after="0" w:line="35"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New York, New York 10005</w:t>
      </w:r>
    </w:p>
    <w:p>
      <w:pPr>
        <w:spacing w:after="0" w:line="161"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Bankers and Brokers Call Collect: (212) 440-9800</w:t>
      </w:r>
    </w:p>
    <w:p>
      <w:pPr>
        <w:spacing w:after="0" w:line="35"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ALL OTHERS CALL TOLL-FREE: (800) 223-2064</w:t>
      </w:r>
    </w:p>
    <w:p>
      <w:pPr>
        <w:sectPr>
          <w:pgSz w:w="11900" w:h="16838" w:orient="portrait"/>
          <w:cols w:equalWidth="0" w:num="1">
            <w:col w:w="9919"/>
          </w:cols>
          <w:pgMar w:left="540" w:top="273" w:right="1440" w:bottom="1440" w:gutter="0" w:footer="0" w:header="0"/>
        </w:sectPr>
      </w:pPr>
    </w:p>
    <w:bookmarkStart w:id="57" w:name="page58"/>
    <w:bookmarkEnd w:id="57"/>
    <w:p>
      <w:pPr>
        <w:ind w:left="300"/>
        <w:spacing w:after="0"/>
        <w:rPr>
          <w:sz w:val="20"/>
          <w:szCs w:val="20"/>
          <w:color w:val="auto"/>
        </w:rPr>
      </w:pPr>
      <w:r>
        <w:rPr>
          <w:rFonts w:ascii="Courier New" w:cs="Courier New" w:eastAsia="Courier New" w:hAnsi="Courier New"/>
          <w:sz w:val="16"/>
          <w:szCs w:val="16"/>
          <w:color w:val="auto"/>
        </w:rPr>
        <w:t>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3580" w:type="dxa"/>
            <w:vAlign w:val="bottom"/>
          </w:tcPr>
          <w:p>
            <w:pPr>
              <w:spacing w:after="0"/>
              <w:rPr>
                <w:sz w:val="23"/>
                <w:szCs w:val="23"/>
                <w:color w:val="auto"/>
              </w:rPr>
            </w:pPr>
          </w:p>
        </w:tc>
        <w:tc>
          <w:tcPr>
            <w:tcW w:w="4260" w:type="dxa"/>
            <w:vAlign w:val="bottom"/>
          </w:tcPr>
          <w:p>
            <w:pPr>
              <w:jc w:val="right"/>
              <w:spacing w:after="0"/>
              <w:rPr>
                <w:sz w:val="20"/>
                <w:szCs w:val="20"/>
                <w:color w:val="auto"/>
              </w:rPr>
            </w:pPr>
            <w:r>
              <w:rPr>
                <w:rFonts w:ascii="Courier New" w:cs="Courier New" w:eastAsia="Courier New" w:hAnsi="Courier New"/>
                <w:sz w:val="16"/>
                <w:szCs w:val="16"/>
                <w:color w:val="auto"/>
              </w:rPr>
              <w:t>EXHIBIT 99(a)(3)</w:t>
            </w:r>
          </w:p>
        </w:tc>
        <w:tc>
          <w:tcPr>
            <w:tcW w:w="3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3"/>
        </w:trPr>
        <w:tc>
          <w:tcPr>
            <w:tcW w:w="7840" w:type="dxa"/>
            <w:vAlign w:val="bottom"/>
            <w:gridSpan w:val="2"/>
          </w:tcPr>
          <w:p>
            <w:pPr>
              <w:jc w:val="center"/>
              <w:ind w:right="99"/>
              <w:spacing w:after="0"/>
              <w:rPr>
                <w:sz w:val="20"/>
                <w:szCs w:val="20"/>
                <w:color w:val="auto"/>
              </w:rPr>
            </w:pPr>
            <w:r>
              <w:rPr>
                <w:rFonts w:ascii="Courier New" w:cs="Courier New" w:eastAsia="Courier New" w:hAnsi="Courier New"/>
                <w:sz w:val="16"/>
                <w:szCs w:val="16"/>
                <w:color w:val="auto"/>
              </w:rPr>
              <w:t>NOTICE OF GUARANTEED DELIVERY</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580" w:type="dxa"/>
            <w:vAlign w:val="bottom"/>
          </w:tcPr>
          <w:p>
            <w:pPr>
              <w:spacing w:after="0"/>
              <w:rPr>
                <w:sz w:val="24"/>
                <w:szCs w:val="24"/>
                <w:color w:val="auto"/>
              </w:rPr>
            </w:pPr>
          </w:p>
        </w:tc>
        <w:tc>
          <w:tcPr>
            <w:tcW w:w="4260" w:type="dxa"/>
            <w:vAlign w:val="bottom"/>
          </w:tcPr>
          <w:p>
            <w:pPr>
              <w:jc w:val="center"/>
              <w:ind w:right="3679"/>
              <w:spacing w:after="0"/>
              <w:rPr>
                <w:sz w:val="20"/>
                <w:szCs w:val="20"/>
                <w:color w:val="auto"/>
              </w:rPr>
            </w:pPr>
            <w:r>
              <w:rPr>
                <w:rFonts w:ascii="Courier New" w:cs="Courier New" w:eastAsia="Courier New" w:hAnsi="Courier New"/>
                <w:sz w:val="16"/>
                <w:szCs w:val="16"/>
                <w:color w:val="auto"/>
              </w:rPr>
              <w:t>FOR</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7840" w:type="dxa"/>
            <w:vAlign w:val="bottom"/>
            <w:gridSpan w:val="2"/>
          </w:tcPr>
          <w:p>
            <w:pPr>
              <w:jc w:val="center"/>
              <w:ind w:right="19"/>
              <w:spacing w:after="0"/>
              <w:rPr>
                <w:sz w:val="20"/>
                <w:szCs w:val="20"/>
                <w:color w:val="auto"/>
              </w:rPr>
            </w:pPr>
            <w:r>
              <w:rPr>
                <w:rFonts w:ascii="Courier New" w:cs="Courier New" w:eastAsia="Courier New" w:hAnsi="Courier New"/>
                <w:sz w:val="16"/>
                <w:szCs w:val="16"/>
                <w:color w:val="auto"/>
              </w:rPr>
              <w:t>TENDER OF SHARES OF COMMON STOCK</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580" w:type="dxa"/>
            <w:vAlign w:val="bottom"/>
          </w:tcPr>
          <w:p>
            <w:pPr>
              <w:spacing w:after="0"/>
              <w:rPr>
                <w:sz w:val="24"/>
                <w:szCs w:val="24"/>
                <w:color w:val="auto"/>
              </w:rPr>
            </w:pPr>
          </w:p>
        </w:tc>
        <w:tc>
          <w:tcPr>
            <w:tcW w:w="4260" w:type="dxa"/>
            <w:vAlign w:val="bottom"/>
          </w:tcPr>
          <w:p>
            <w:pPr>
              <w:jc w:val="center"/>
              <w:ind w:right="3579"/>
              <w:spacing w:after="0"/>
              <w:rPr>
                <w:sz w:val="20"/>
                <w:szCs w:val="20"/>
                <w:color w:val="auto"/>
              </w:rPr>
            </w:pPr>
            <w:r>
              <w:rPr>
                <w:rFonts w:ascii="Courier New" w:cs="Courier New" w:eastAsia="Courier New" w:hAnsi="Courier New"/>
                <w:sz w:val="16"/>
                <w:szCs w:val="16"/>
                <w:color w:val="auto"/>
              </w:rPr>
              <w:t>OF</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784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INTEGRATED SENSOR SOLUTIONS, INC.</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580" w:type="dxa"/>
            <w:vAlign w:val="bottom"/>
          </w:tcPr>
          <w:p>
            <w:pPr>
              <w:spacing w:after="0"/>
              <w:rPr>
                <w:sz w:val="24"/>
                <w:szCs w:val="24"/>
                <w:color w:val="auto"/>
              </w:rPr>
            </w:pPr>
          </w:p>
        </w:tc>
        <w:tc>
          <w:tcPr>
            <w:tcW w:w="4260" w:type="dxa"/>
            <w:vAlign w:val="bottom"/>
          </w:tcPr>
          <w:p>
            <w:pPr>
              <w:jc w:val="center"/>
              <w:ind w:right="3579"/>
              <w:spacing w:after="0"/>
              <w:rPr>
                <w:sz w:val="20"/>
                <w:szCs w:val="20"/>
                <w:color w:val="auto"/>
              </w:rPr>
            </w:pPr>
            <w:r>
              <w:rPr>
                <w:rFonts w:ascii="Courier New" w:cs="Courier New" w:eastAsia="Courier New" w:hAnsi="Courier New"/>
                <w:sz w:val="16"/>
                <w:szCs w:val="16"/>
                <w:color w:val="auto"/>
              </w:rPr>
              <w:t>TO</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7840" w:type="dxa"/>
            <w:vAlign w:val="bottom"/>
            <w:gridSpan w:val="2"/>
          </w:tcPr>
          <w:p>
            <w:pPr>
              <w:jc w:val="center"/>
              <w:ind w:right="19"/>
              <w:spacing w:after="0"/>
              <w:rPr>
                <w:sz w:val="20"/>
                <w:szCs w:val="20"/>
                <w:color w:val="auto"/>
              </w:rPr>
            </w:pPr>
            <w:r>
              <w:rPr>
                <w:rFonts w:ascii="Courier New" w:cs="Courier New" w:eastAsia="Courier New" w:hAnsi="Courier New"/>
                <w:sz w:val="16"/>
                <w:szCs w:val="16"/>
                <w:color w:val="auto"/>
              </w:rPr>
              <w:t>SENSOR ACQUISITION CORPORATION</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7840" w:type="dxa"/>
            <w:vAlign w:val="bottom"/>
            <w:gridSpan w:val="2"/>
          </w:tcPr>
          <w:p>
            <w:pPr>
              <w:jc w:val="center"/>
              <w:ind w:right="19"/>
              <w:spacing w:after="0"/>
              <w:rPr>
                <w:sz w:val="20"/>
                <w:szCs w:val="20"/>
                <w:color w:val="auto"/>
              </w:rPr>
            </w:pPr>
            <w:r>
              <w:rPr>
                <w:rFonts w:ascii="Courier New" w:cs="Courier New" w:eastAsia="Courier New" w:hAnsi="Courier New"/>
                <w:sz w:val="16"/>
                <w:szCs w:val="16"/>
                <w:color w:val="auto"/>
              </w:rPr>
              <w:t>A DIRECT WHOLLY-OWNED SUBSIDIARY</w:t>
            </w:r>
          </w:p>
        </w:tc>
        <w:tc>
          <w:tcPr>
            <w:tcW w:w="3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3"/>
        </w:trPr>
        <w:tc>
          <w:tcPr>
            <w:tcW w:w="3580" w:type="dxa"/>
            <w:vAlign w:val="bottom"/>
          </w:tcPr>
          <w:p>
            <w:pPr>
              <w:spacing w:after="0"/>
              <w:rPr>
                <w:sz w:val="24"/>
                <w:szCs w:val="24"/>
                <w:color w:val="auto"/>
              </w:rPr>
            </w:pPr>
          </w:p>
        </w:tc>
        <w:tc>
          <w:tcPr>
            <w:tcW w:w="4260" w:type="dxa"/>
            <w:vAlign w:val="bottom"/>
          </w:tcPr>
          <w:p>
            <w:pPr>
              <w:jc w:val="center"/>
              <w:ind w:right="3579"/>
              <w:spacing w:after="0"/>
              <w:rPr>
                <w:sz w:val="20"/>
                <w:szCs w:val="20"/>
                <w:color w:val="auto"/>
              </w:rPr>
            </w:pPr>
            <w:r>
              <w:rPr>
                <w:rFonts w:ascii="Courier New" w:cs="Courier New" w:eastAsia="Courier New" w:hAnsi="Courier New"/>
                <w:sz w:val="16"/>
                <w:szCs w:val="16"/>
                <w:color w:val="auto"/>
              </w:rPr>
              <w:t>OF</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7840" w:type="dxa"/>
            <w:vAlign w:val="bottom"/>
            <w:gridSpan w:val="2"/>
          </w:tcPr>
          <w:p>
            <w:pPr>
              <w:jc w:val="center"/>
              <w:ind w:right="19"/>
              <w:spacing w:after="0"/>
              <w:rPr>
                <w:sz w:val="20"/>
                <w:szCs w:val="20"/>
                <w:color w:val="auto"/>
              </w:rPr>
            </w:pPr>
            <w:r>
              <w:rPr>
                <w:rFonts w:ascii="Courier New" w:cs="Courier New" w:eastAsia="Courier New" w:hAnsi="Courier New"/>
                <w:sz w:val="16"/>
                <w:szCs w:val="16"/>
                <w:color w:val="auto"/>
              </w:rPr>
              <w:t>TEXAS INSTRUMENTS INCORPORATED</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7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As set forth in Section 3 of the Offer to Purchase (as defined below), this</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840" w:type="dxa"/>
            <w:vAlign w:val="bottom"/>
            <w:gridSpan w:val="2"/>
          </w:tcPr>
          <w:p>
            <w:pPr>
              <w:spacing w:after="0"/>
              <w:rPr>
                <w:sz w:val="20"/>
                <w:szCs w:val="20"/>
                <w:color w:val="auto"/>
              </w:rPr>
            </w:pPr>
            <w:r>
              <w:rPr>
                <w:rFonts w:ascii="Courier New" w:cs="Courier New" w:eastAsia="Courier New" w:hAnsi="Courier New"/>
                <w:sz w:val="16"/>
                <w:szCs w:val="16"/>
                <w:color w:val="auto"/>
              </w:rPr>
              <w:t>form, or a form substantially equivalent to this form, must be used to accept</w:t>
            </w: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40" w:type="dxa"/>
            <w:vAlign w:val="bottom"/>
            <w:gridSpan w:val="2"/>
          </w:tcPr>
          <w:p>
            <w:pPr>
              <w:spacing w:after="0"/>
              <w:rPr>
                <w:sz w:val="20"/>
                <w:szCs w:val="20"/>
                <w:color w:val="auto"/>
              </w:rPr>
            </w:pPr>
            <w:r>
              <w:rPr>
                <w:rFonts w:ascii="Courier New" w:cs="Courier New" w:eastAsia="Courier New" w:hAnsi="Courier New"/>
                <w:sz w:val="16"/>
                <w:szCs w:val="16"/>
                <w:color w:val="auto"/>
              </w:rPr>
              <w:t>the Offer (as defined below) if the certificates representing shares of common</w:t>
            </w: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40" w:type="dxa"/>
            <w:vAlign w:val="bottom"/>
            <w:gridSpan w:val="2"/>
          </w:tcPr>
          <w:p>
            <w:pPr>
              <w:spacing w:after="0"/>
              <w:rPr>
                <w:sz w:val="20"/>
                <w:szCs w:val="20"/>
                <w:color w:val="auto"/>
              </w:rPr>
            </w:pPr>
            <w:r>
              <w:rPr>
                <w:rFonts w:ascii="Courier New" w:cs="Courier New" w:eastAsia="Courier New" w:hAnsi="Courier New"/>
                <w:sz w:val="16"/>
                <w:szCs w:val="16"/>
                <w:color w:val="auto"/>
              </w:rPr>
              <w:t>stock, par value $.001 per share of Integrated Sensor Solutions, Inc. (the</w:t>
            </w: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40" w:type="dxa"/>
            <w:vAlign w:val="bottom"/>
            <w:gridSpan w:val="2"/>
          </w:tcPr>
          <w:p>
            <w:pPr>
              <w:spacing w:after="0"/>
              <w:rPr>
                <w:sz w:val="20"/>
                <w:szCs w:val="20"/>
                <w:color w:val="auto"/>
              </w:rPr>
            </w:pPr>
            <w:r>
              <w:rPr>
                <w:rFonts w:ascii="Courier New" w:cs="Courier New" w:eastAsia="Courier New" w:hAnsi="Courier New"/>
                <w:sz w:val="16"/>
                <w:szCs w:val="16"/>
                <w:color w:val="auto"/>
              </w:rPr>
              <w:t>"Shares"), are not immediately available or time will not permit all required</w:t>
            </w: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40" w:type="dxa"/>
            <w:vAlign w:val="bottom"/>
            <w:gridSpan w:val="2"/>
          </w:tcPr>
          <w:p>
            <w:pPr>
              <w:spacing w:after="0"/>
              <w:rPr>
                <w:sz w:val="20"/>
                <w:szCs w:val="20"/>
                <w:color w:val="auto"/>
              </w:rPr>
            </w:pPr>
            <w:r>
              <w:rPr>
                <w:rFonts w:ascii="Courier New" w:cs="Courier New" w:eastAsia="Courier New" w:hAnsi="Courier New"/>
                <w:sz w:val="16"/>
                <w:szCs w:val="16"/>
                <w:color w:val="auto"/>
              </w:rPr>
              <w:t>documents to reach the Depositary prior to the Expiration Date (as defined in</w:t>
            </w: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40" w:type="dxa"/>
            <w:vAlign w:val="bottom"/>
            <w:gridSpan w:val="2"/>
          </w:tcPr>
          <w:p>
            <w:pPr>
              <w:spacing w:after="0"/>
              <w:rPr>
                <w:sz w:val="20"/>
                <w:szCs w:val="20"/>
                <w:color w:val="auto"/>
              </w:rPr>
            </w:pPr>
            <w:r>
              <w:rPr>
                <w:rFonts w:ascii="Courier New" w:cs="Courier New" w:eastAsia="Courier New" w:hAnsi="Courier New"/>
                <w:sz w:val="16"/>
                <w:szCs w:val="16"/>
                <w:color w:val="auto"/>
              </w:rPr>
              <w:t>the Offer to Purchase) or the procedures for book-entry transfer cannot be</w:t>
            </w: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40" w:type="dxa"/>
            <w:vAlign w:val="bottom"/>
            <w:gridSpan w:val="2"/>
          </w:tcPr>
          <w:p>
            <w:pPr>
              <w:spacing w:after="0"/>
              <w:rPr>
                <w:sz w:val="20"/>
                <w:szCs w:val="20"/>
                <w:color w:val="auto"/>
              </w:rPr>
            </w:pPr>
            <w:r>
              <w:rPr>
                <w:rFonts w:ascii="Courier New" w:cs="Courier New" w:eastAsia="Courier New" w:hAnsi="Courier New"/>
                <w:sz w:val="16"/>
                <w:szCs w:val="16"/>
                <w:color w:val="auto"/>
              </w:rPr>
              <w:t>completed on a timely basis. Such form may be delivered by hand or transmitted</w:t>
            </w: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40" w:type="dxa"/>
            <w:vAlign w:val="bottom"/>
            <w:gridSpan w:val="2"/>
          </w:tcPr>
          <w:p>
            <w:pPr>
              <w:spacing w:after="0"/>
              <w:rPr>
                <w:sz w:val="20"/>
                <w:szCs w:val="20"/>
                <w:color w:val="auto"/>
              </w:rPr>
            </w:pPr>
            <w:r>
              <w:rPr>
                <w:rFonts w:ascii="Courier New" w:cs="Courier New" w:eastAsia="Courier New" w:hAnsi="Courier New"/>
                <w:sz w:val="16"/>
                <w:szCs w:val="16"/>
                <w:color w:val="auto"/>
              </w:rPr>
              <w:t>by telegram, facsimile transmission, or mail to the Depositary and must include</w:t>
            </w: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40" w:type="dxa"/>
            <w:vAlign w:val="bottom"/>
            <w:gridSpan w:val="2"/>
          </w:tcPr>
          <w:p>
            <w:pPr>
              <w:spacing w:after="0"/>
              <w:rPr>
                <w:sz w:val="20"/>
                <w:szCs w:val="20"/>
                <w:color w:val="auto"/>
              </w:rPr>
            </w:pPr>
            <w:r>
              <w:rPr>
                <w:rFonts w:ascii="Courier New" w:cs="Courier New" w:eastAsia="Courier New" w:hAnsi="Courier New"/>
                <w:sz w:val="16"/>
                <w:szCs w:val="16"/>
                <w:color w:val="auto"/>
              </w:rPr>
              <w:t>a guarantee by an Eligible Institution (as defined in Section 3 of the Offer to</w:t>
            </w: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40" w:type="dxa"/>
            <w:vAlign w:val="bottom"/>
            <w:gridSpan w:val="2"/>
          </w:tcPr>
          <w:p>
            <w:pPr>
              <w:spacing w:after="0"/>
              <w:rPr>
                <w:sz w:val="20"/>
                <w:szCs w:val="20"/>
                <w:color w:val="auto"/>
              </w:rPr>
            </w:pPr>
            <w:r>
              <w:rPr>
                <w:rFonts w:ascii="Courier New" w:cs="Courier New" w:eastAsia="Courier New" w:hAnsi="Courier New"/>
                <w:sz w:val="16"/>
                <w:szCs w:val="16"/>
                <w:color w:val="auto"/>
              </w:rPr>
              <w:t>Purchase). See Section 3 of the Offer to Purchase.</w:t>
            </w: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784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3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7840" w:type="dxa"/>
            <w:vAlign w:val="bottom"/>
            <w:gridSpan w:val="2"/>
          </w:tcPr>
          <w:p>
            <w:pPr>
              <w:jc w:val="center"/>
              <w:ind w:right="19"/>
              <w:spacing w:after="0"/>
              <w:rPr>
                <w:sz w:val="20"/>
                <w:szCs w:val="20"/>
                <w:color w:val="auto"/>
              </w:rPr>
            </w:pPr>
            <w:r>
              <w:rPr>
                <w:rFonts w:ascii="Courier New" w:cs="Courier New" w:eastAsia="Courier New" w:hAnsi="Courier New"/>
                <w:sz w:val="16"/>
                <w:szCs w:val="16"/>
                <w:color w:val="auto"/>
              </w:rPr>
              <w:t>The Depositary for the Offer is:</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784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CHASEMELLON SHAREHOLDER SERVICES, L.L.C.</w:t>
            </w:r>
          </w:p>
        </w:tc>
        <w:tc>
          <w:tcPr>
            <w:tcW w:w="3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9"/>
        </w:trPr>
        <w:tc>
          <w:tcPr>
            <w:tcW w:w="35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8"/>
              </w:rPr>
              <w:t>By Mail:</w:t>
            </w:r>
          </w:p>
        </w:tc>
        <w:tc>
          <w:tcPr>
            <w:tcW w:w="4260" w:type="dxa"/>
            <w:vAlign w:val="bottom"/>
          </w:tcPr>
          <w:p>
            <w:pPr>
              <w:jc w:val="center"/>
              <w:spacing w:after="0"/>
              <w:rPr>
                <w:sz w:val="20"/>
                <w:szCs w:val="20"/>
                <w:color w:val="auto"/>
              </w:rPr>
            </w:pPr>
            <w:r>
              <w:rPr>
                <w:rFonts w:ascii="Courier New" w:cs="Courier New" w:eastAsia="Courier New" w:hAnsi="Courier New"/>
                <w:sz w:val="16"/>
                <w:szCs w:val="16"/>
                <w:color w:val="auto"/>
              </w:rPr>
              <w:t>By Facsimile Transmission:</w:t>
            </w:r>
          </w:p>
        </w:tc>
        <w:tc>
          <w:tcPr>
            <w:tcW w:w="3300" w:type="dxa"/>
            <w:vAlign w:val="bottom"/>
          </w:tcPr>
          <w:p>
            <w:pPr>
              <w:jc w:val="center"/>
              <w:ind w:left="119"/>
              <w:spacing w:after="0"/>
              <w:rPr>
                <w:sz w:val="20"/>
                <w:szCs w:val="20"/>
                <w:color w:val="auto"/>
              </w:rPr>
            </w:pPr>
            <w:r>
              <w:rPr>
                <w:rFonts w:ascii="Courier New" w:cs="Courier New" w:eastAsia="Courier New" w:hAnsi="Courier New"/>
                <w:sz w:val="16"/>
                <w:szCs w:val="16"/>
                <w:color w:val="auto"/>
              </w:rPr>
              <w:t>By Hand:</w:t>
            </w:r>
          </w:p>
        </w:tc>
        <w:tc>
          <w:tcPr>
            <w:tcW w:w="0" w:type="dxa"/>
            <w:vAlign w:val="bottom"/>
          </w:tcPr>
          <w:p>
            <w:pPr>
              <w:spacing w:after="0"/>
              <w:rPr>
                <w:sz w:val="1"/>
                <w:szCs w:val="1"/>
                <w:color w:val="auto"/>
              </w:rPr>
            </w:pPr>
          </w:p>
        </w:tc>
      </w:tr>
      <w:tr>
        <w:trPr>
          <w:trHeight w:val="186"/>
        </w:trPr>
        <w:tc>
          <w:tcPr>
            <w:tcW w:w="3580" w:type="dxa"/>
            <w:vAlign w:val="bottom"/>
          </w:tcPr>
          <w:p>
            <w:pPr>
              <w:ind w:left="200"/>
              <w:spacing w:after="0"/>
              <w:rPr>
                <w:sz w:val="20"/>
                <w:szCs w:val="20"/>
                <w:color w:val="auto"/>
              </w:rPr>
            </w:pPr>
            <w:r>
              <w:rPr>
                <w:rFonts w:ascii="Courier New" w:cs="Courier New" w:eastAsia="Courier New" w:hAnsi="Courier New"/>
                <w:sz w:val="16"/>
                <w:szCs w:val="16"/>
                <w:color w:val="auto"/>
              </w:rPr>
              <w:t>ChaseMellon Shareholder Services,</w:t>
            </w:r>
          </w:p>
        </w:tc>
        <w:tc>
          <w:tcPr>
            <w:tcW w:w="4260" w:type="dxa"/>
            <w:vAlign w:val="bottom"/>
          </w:tcPr>
          <w:p>
            <w:pPr>
              <w:jc w:val="center"/>
              <w:spacing w:after="0"/>
              <w:rPr>
                <w:sz w:val="20"/>
                <w:szCs w:val="20"/>
                <w:color w:val="auto"/>
              </w:rPr>
            </w:pPr>
            <w:r>
              <w:rPr>
                <w:rFonts w:ascii="Courier New" w:cs="Courier New" w:eastAsia="Courier New" w:hAnsi="Courier New"/>
                <w:sz w:val="16"/>
                <w:szCs w:val="16"/>
                <w:color w:val="auto"/>
              </w:rPr>
              <w:t>(201) 296-4293</w:t>
            </w:r>
          </w:p>
        </w:tc>
        <w:tc>
          <w:tcPr>
            <w:tcW w:w="3300" w:type="dxa"/>
            <w:vAlign w:val="bottom"/>
          </w:tcPr>
          <w:p>
            <w:pPr>
              <w:jc w:val="center"/>
              <w:ind w:left="19"/>
              <w:spacing w:after="0"/>
              <w:rPr>
                <w:sz w:val="20"/>
                <w:szCs w:val="20"/>
                <w:color w:val="auto"/>
              </w:rPr>
            </w:pPr>
            <w:r>
              <w:rPr>
                <w:rFonts w:ascii="Courier New" w:cs="Courier New" w:eastAsia="Courier New" w:hAnsi="Courier New"/>
                <w:sz w:val="16"/>
                <w:szCs w:val="16"/>
                <w:color w:val="auto"/>
              </w:rPr>
              <w:t>ChaseMellon Shareholder Services,</w:t>
            </w:r>
          </w:p>
        </w:tc>
        <w:tc>
          <w:tcPr>
            <w:tcW w:w="0" w:type="dxa"/>
            <w:vAlign w:val="bottom"/>
          </w:tcPr>
          <w:p>
            <w:pPr>
              <w:spacing w:after="0"/>
              <w:rPr>
                <w:sz w:val="1"/>
                <w:szCs w:val="1"/>
                <w:color w:val="auto"/>
              </w:rPr>
            </w:pPr>
          </w:p>
        </w:tc>
      </w:tr>
      <w:tr>
        <w:trPr>
          <w:trHeight w:val="186"/>
        </w:trPr>
        <w:tc>
          <w:tcPr>
            <w:tcW w:w="3580" w:type="dxa"/>
            <w:vAlign w:val="bottom"/>
          </w:tcPr>
          <w:p>
            <w:pPr>
              <w:jc w:val="center"/>
              <w:ind w:left="19"/>
              <w:spacing w:after="0"/>
              <w:rPr>
                <w:sz w:val="20"/>
                <w:szCs w:val="20"/>
                <w:color w:val="auto"/>
              </w:rPr>
            </w:pPr>
            <w:r>
              <w:rPr>
                <w:rFonts w:ascii="Courier New" w:cs="Courier New" w:eastAsia="Courier New" w:hAnsi="Courier New"/>
                <w:sz w:val="16"/>
                <w:szCs w:val="16"/>
                <w:color w:val="auto"/>
              </w:rPr>
              <w:t>L.L.C.</w:t>
            </w:r>
          </w:p>
        </w:tc>
        <w:tc>
          <w:tcPr>
            <w:tcW w:w="4260" w:type="dxa"/>
            <w:vAlign w:val="bottom"/>
          </w:tcPr>
          <w:p>
            <w:pPr>
              <w:jc w:val="center"/>
              <w:spacing w:after="0"/>
              <w:rPr>
                <w:sz w:val="20"/>
                <w:szCs w:val="20"/>
                <w:color w:val="auto"/>
              </w:rPr>
            </w:pPr>
            <w:r>
              <w:rPr>
                <w:rFonts w:ascii="Courier New" w:cs="Courier New" w:eastAsia="Courier New" w:hAnsi="Courier New"/>
                <w:sz w:val="16"/>
                <w:szCs w:val="16"/>
                <w:color w:val="auto"/>
              </w:rPr>
              <w:t>(For Eligible Institutions Only)</w:t>
            </w:r>
          </w:p>
        </w:tc>
        <w:tc>
          <w:tcPr>
            <w:tcW w:w="3300" w:type="dxa"/>
            <w:vAlign w:val="bottom"/>
          </w:tcPr>
          <w:p>
            <w:pPr>
              <w:jc w:val="center"/>
              <w:ind w:left="119"/>
              <w:spacing w:after="0"/>
              <w:rPr>
                <w:sz w:val="20"/>
                <w:szCs w:val="20"/>
                <w:color w:val="auto"/>
              </w:rPr>
            </w:pPr>
            <w:r>
              <w:rPr>
                <w:rFonts w:ascii="Courier New" w:cs="Courier New" w:eastAsia="Courier New" w:hAnsi="Courier New"/>
                <w:sz w:val="16"/>
                <w:szCs w:val="16"/>
                <w:color w:val="auto"/>
              </w:rPr>
              <w:t>L.L.C.</w:t>
            </w:r>
          </w:p>
        </w:tc>
        <w:tc>
          <w:tcPr>
            <w:tcW w:w="0" w:type="dxa"/>
            <w:vAlign w:val="bottom"/>
          </w:tcPr>
          <w:p>
            <w:pPr>
              <w:spacing w:after="0"/>
              <w:rPr>
                <w:sz w:val="1"/>
                <w:szCs w:val="1"/>
                <w:color w:val="auto"/>
              </w:rPr>
            </w:pPr>
          </w:p>
        </w:tc>
      </w:tr>
      <w:tr>
        <w:trPr>
          <w:trHeight w:val="186"/>
        </w:trPr>
        <w:tc>
          <w:tcPr>
            <w:tcW w:w="3580" w:type="dxa"/>
            <w:vAlign w:val="bottom"/>
          </w:tcPr>
          <w:p>
            <w:pPr>
              <w:ind w:left="300"/>
              <w:spacing w:after="0"/>
              <w:rPr>
                <w:sz w:val="20"/>
                <w:szCs w:val="20"/>
                <w:color w:val="auto"/>
              </w:rPr>
            </w:pPr>
            <w:r>
              <w:rPr>
                <w:rFonts w:ascii="Courier New" w:cs="Courier New" w:eastAsia="Courier New" w:hAnsi="Courier New"/>
                <w:sz w:val="16"/>
                <w:szCs w:val="16"/>
                <w:color w:val="auto"/>
              </w:rPr>
              <w:t>Attn: Reorganization Department</w:t>
            </w:r>
          </w:p>
        </w:tc>
        <w:tc>
          <w:tcPr>
            <w:tcW w:w="4260" w:type="dxa"/>
            <w:vAlign w:val="bottom"/>
            <w:vMerge w:val="restart"/>
          </w:tcPr>
          <w:p>
            <w:pPr>
              <w:jc w:val="right"/>
              <w:ind w:right="579"/>
              <w:spacing w:after="0"/>
              <w:rPr>
                <w:sz w:val="20"/>
                <w:szCs w:val="20"/>
                <w:color w:val="auto"/>
              </w:rPr>
            </w:pPr>
            <w:r>
              <w:rPr>
                <w:rFonts w:ascii="Courier New" w:cs="Courier New" w:eastAsia="Courier New" w:hAnsi="Courier New"/>
                <w:sz w:val="16"/>
                <w:szCs w:val="16"/>
                <w:color w:val="auto"/>
              </w:rPr>
              <w:t>Confirm Facsimile by Telephone:</w:t>
            </w:r>
          </w:p>
        </w:tc>
        <w:tc>
          <w:tcPr>
            <w:tcW w:w="3300" w:type="dxa"/>
            <w:vAlign w:val="bottom"/>
          </w:tcPr>
          <w:p>
            <w:pPr>
              <w:jc w:val="center"/>
              <w:ind w:left="19"/>
              <w:spacing w:after="0"/>
              <w:rPr>
                <w:sz w:val="20"/>
                <w:szCs w:val="20"/>
                <w:color w:val="auto"/>
              </w:rPr>
            </w:pPr>
            <w:r>
              <w:rPr>
                <w:rFonts w:ascii="Courier New" w:cs="Courier New" w:eastAsia="Courier New" w:hAnsi="Courier New"/>
                <w:sz w:val="16"/>
                <w:szCs w:val="16"/>
                <w:color w:val="auto"/>
              </w:rPr>
              <w:t>Attn: Reorganization Department</w:t>
            </w:r>
          </w:p>
        </w:tc>
        <w:tc>
          <w:tcPr>
            <w:tcW w:w="0" w:type="dxa"/>
            <w:vAlign w:val="bottom"/>
          </w:tcPr>
          <w:p>
            <w:pPr>
              <w:spacing w:after="0"/>
              <w:rPr>
                <w:sz w:val="1"/>
                <w:szCs w:val="1"/>
                <w:color w:val="auto"/>
              </w:rPr>
            </w:pPr>
          </w:p>
        </w:tc>
      </w:tr>
      <w:tr>
        <w:trPr>
          <w:trHeight w:val="186"/>
        </w:trPr>
        <w:tc>
          <w:tcPr>
            <w:tcW w:w="3580" w:type="dxa"/>
            <w:vAlign w:val="bottom"/>
          </w:tcPr>
          <w:p>
            <w:pPr>
              <w:jc w:val="center"/>
              <w:ind w:left="19"/>
              <w:spacing w:after="0"/>
              <w:rPr>
                <w:sz w:val="20"/>
                <w:szCs w:val="20"/>
                <w:color w:val="auto"/>
              </w:rPr>
            </w:pPr>
            <w:r>
              <w:rPr>
                <w:rFonts w:ascii="Courier New" w:cs="Courier New" w:eastAsia="Courier New" w:hAnsi="Courier New"/>
                <w:sz w:val="16"/>
                <w:szCs w:val="16"/>
                <w:color w:val="auto"/>
                <w:w w:val="99"/>
              </w:rPr>
              <w:t>Post Office Box 3301</w:t>
            </w:r>
          </w:p>
        </w:tc>
        <w:tc>
          <w:tcPr>
            <w:tcW w:w="4260" w:type="dxa"/>
            <w:vAlign w:val="bottom"/>
            <w:vMerge w:val="continue"/>
          </w:tcPr>
          <w:p>
            <w:pPr>
              <w:spacing w:after="0"/>
              <w:rPr>
                <w:sz w:val="16"/>
                <w:szCs w:val="16"/>
                <w:color w:val="auto"/>
              </w:rPr>
            </w:pPr>
          </w:p>
        </w:tc>
        <w:tc>
          <w:tcPr>
            <w:tcW w:w="3300" w:type="dxa"/>
            <w:vAlign w:val="bottom"/>
          </w:tcPr>
          <w:p>
            <w:pPr>
              <w:jc w:val="center"/>
              <w:ind w:left="119"/>
              <w:spacing w:after="0"/>
              <w:rPr>
                <w:sz w:val="20"/>
                <w:szCs w:val="20"/>
                <w:color w:val="auto"/>
              </w:rPr>
            </w:pPr>
            <w:r>
              <w:rPr>
                <w:rFonts w:ascii="Courier New" w:cs="Courier New" w:eastAsia="Courier New" w:hAnsi="Courier New"/>
                <w:sz w:val="16"/>
                <w:szCs w:val="16"/>
                <w:color w:val="auto"/>
              </w:rPr>
              <w:t>120 Broadway, 13th Floor</w:t>
            </w:r>
          </w:p>
        </w:tc>
        <w:tc>
          <w:tcPr>
            <w:tcW w:w="0" w:type="dxa"/>
            <w:vAlign w:val="bottom"/>
          </w:tcPr>
          <w:p>
            <w:pPr>
              <w:spacing w:after="0"/>
              <w:rPr>
                <w:sz w:val="1"/>
                <w:szCs w:val="1"/>
                <w:color w:val="auto"/>
              </w:rPr>
            </w:pPr>
          </w:p>
        </w:tc>
      </w:tr>
      <w:tr>
        <w:trPr>
          <w:trHeight w:val="186"/>
        </w:trPr>
        <w:tc>
          <w:tcPr>
            <w:tcW w:w="3580" w:type="dxa"/>
            <w:vAlign w:val="bottom"/>
          </w:tcPr>
          <w:p>
            <w:pPr>
              <w:jc w:val="center"/>
              <w:ind w:left="19"/>
              <w:spacing w:after="0"/>
              <w:rPr>
                <w:sz w:val="20"/>
                <w:szCs w:val="20"/>
                <w:color w:val="auto"/>
              </w:rPr>
            </w:pPr>
            <w:r>
              <w:rPr>
                <w:rFonts w:ascii="Courier New" w:cs="Courier New" w:eastAsia="Courier New" w:hAnsi="Courier New"/>
                <w:sz w:val="16"/>
                <w:szCs w:val="16"/>
                <w:color w:val="auto"/>
              </w:rPr>
              <w:t>South Hackensack, New Jersey 07606</w:t>
            </w:r>
          </w:p>
        </w:tc>
        <w:tc>
          <w:tcPr>
            <w:tcW w:w="4260" w:type="dxa"/>
            <w:vAlign w:val="bottom"/>
          </w:tcPr>
          <w:p>
            <w:pPr>
              <w:jc w:val="center"/>
              <w:spacing w:after="0"/>
              <w:rPr>
                <w:sz w:val="20"/>
                <w:szCs w:val="20"/>
                <w:color w:val="auto"/>
              </w:rPr>
            </w:pPr>
            <w:r>
              <w:rPr>
                <w:rFonts w:ascii="Courier New" w:cs="Courier New" w:eastAsia="Courier New" w:hAnsi="Courier New"/>
                <w:sz w:val="16"/>
                <w:szCs w:val="16"/>
                <w:color w:val="auto"/>
              </w:rPr>
              <w:t>(201) 296-4860</w:t>
            </w:r>
          </w:p>
        </w:tc>
        <w:tc>
          <w:tcPr>
            <w:tcW w:w="3300" w:type="dxa"/>
            <w:vAlign w:val="bottom"/>
          </w:tcPr>
          <w:p>
            <w:pPr>
              <w:jc w:val="center"/>
              <w:ind w:left="119"/>
              <w:spacing w:after="0"/>
              <w:rPr>
                <w:sz w:val="20"/>
                <w:szCs w:val="20"/>
                <w:color w:val="auto"/>
              </w:rPr>
            </w:pPr>
            <w:r>
              <w:rPr>
                <w:rFonts w:ascii="Courier New" w:cs="Courier New" w:eastAsia="Courier New" w:hAnsi="Courier New"/>
                <w:sz w:val="16"/>
                <w:szCs w:val="16"/>
                <w:color w:val="auto"/>
              </w:rPr>
              <w:t>New York, New York 10271</w:t>
            </w:r>
          </w:p>
        </w:tc>
        <w:tc>
          <w:tcPr>
            <w:tcW w:w="0" w:type="dxa"/>
            <w:vAlign w:val="bottom"/>
          </w:tcPr>
          <w:p>
            <w:pPr>
              <w:spacing w:after="0"/>
              <w:rPr>
                <w:sz w:val="1"/>
                <w:szCs w:val="1"/>
                <w:color w:val="auto"/>
              </w:rPr>
            </w:pPr>
          </w:p>
        </w:tc>
      </w:tr>
      <w:tr>
        <w:trPr>
          <w:trHeight w:val="273"/>
        </w:trPr>
        <w:tc>
          <w:tcPr>
            <w:tcW w:w="3580" w:type="dxa"/>
            <w:vAlign w:val="bottom"/>
          </w:tcPr>
          <w:p>
            <w:pPr>
              <w:spacing w:after="0"/>
              <w:rPr>
                <w:sz w:val="23"/>
                <w:szCs w:val="23"/>
                <w:color w:val="auto"/>
              </w:rPr>
            </w:pPr>
          </w:p>
        </w:tc>
        <w:tc>
          <w:tcPr>
            <w:tcW w:w="426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(For Confirmation Only)</w:t>
            </w:r>
          </w:p>
        </w:tc>
        <w:tc>
          <w:tcPr>
            <w:tcW w:w="3300" w:type="dxa"/>
            <w:vAlign w:val="bottom"/>
            <w:vMerge w:val="restart"/>
          </w:tcPr>
          <w:p>
            <w:pPr>
              <w:jc w:val="center"/>
              <w:ind w:left="19"/>
              <w:spacing w:after="0"/>
              <w:rPr>
                <w:sz w:val="20"/>
                <w:szCs w:val="20"/>
                <w:color w:val="auto"/>
              </w:rPr>
            </w:pPr>
            <w:r>
              <w:rPr>
                <w:rFonts w:ascii="Courier New" w:cs="Courier New" w:eastAsia="Courier New" w:hAnsi="Courier New"/>
                <w:sz w:val="16"/>
                <w:szCs w:val="16"/>
                <w:color w:val="auto"/>
              </w:rPr>
              <w:t>By Overnight Courier:</w:t>
            </w:r>
          </w:p>
        </w:tc>
        <w:tc>
          <w:tcPr>
            <w:tcW w:w="0" w:type="dxa"/>
            <w:vAlign w:val="bottom"/>
          </w:tcPr>
          <w:p>
            <w:pPr>
              <w:spacing w:after="0"/>
              <w:rPr>
                <w:sz w:val="1"/>
                <w:szCs w:val="1"/>
                <w:color w:val="auto"/>
              </w:rPr>
            </w:pPr>
          </w:p>
        </w:tc>
      </w:tr>
      <w:tr>
        <w:trPr>
          <w:trHeight w:val="130"/>
        </w:trPr>
        <w:tc>
          <w:tcPr>
            <w:tcW w:w="358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3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jc w:val="right"/>
        <w:spacing w:after="0"/>
        <w:rPr>
          <w:sz w:val="20"/>
          <w:szCs w:val="20"/>
          <w:color w:val="auto"/>
        </w:rPr>
      </w:pPr>
      <w:r>
        <w:rPr>
          <w:rFonts w:ascii="Courier New" w:cs="Courier New" w:eastAsia="Courier New" w:hAnsi="Courier New"/>
          <w:sz w:val="16"/>
          <w:szCs w:val="16"/>
          <w:color w:val="auto"/>
        </w:rPr>
        <w:t>ChaseMellon Shareholder Services,</w:t>
      </w:r>
    </w:p>
    <w:p>
      <w:pPr>
        <w:spacing w:after="0" w:line="5" w:lineRule="exact"/>
        <w:rPr>
          <w:sz w:val="20"/>
          <w:szCs w:val="20"/>
          <w:color w:val="auto"/>
        </w:rPr>
      </w:pPr>
    </w:p>
    <w:p>
      <w:pPr>
        <w:ind w:left="9300"/>
        <w:spacing w:after="0"/>
        <w:rPr>
          <w:sz w:val="20"/>
          <w:szCs w:val="20"/>
          <w:color w:val="auto"/>
        </w:rPr>
      </w:pPr>
      <w:r>
        <w:rPr>
          <w:rFonts w:ascii="Courier New" w:cs="Courier New" w:eastAsia="Courier New" w:hAnsi="Courier New"/>
          <w:sz w:val="16"/>
          <w:szCs w:val="16"/>
          <w:color w:val="auto"/>
        </w:rPr>
        <w:t>L.L.C.</w:t>
      </w:r>
    </w:p>
    <w:p>
      <w:pPr>
        <w:spacing w:after="0" w:line="5" w:lineRule="exact"/>
        <w:rPr>
          <w:sz w:val="20"/>
          <w:szCs w:val="20"/>
          <w:color w:val="auto"/>
        </w:rPr>
      </w:pPr>
    </w:p>
    <w:p>
      <w:pPr>
        <w:ind w:left="8040"/>
        <w:spacing w:after="0"/>
        <w:rPr>
          <w:sz w:val="20"/>
          <w:szCs w:val="20"/>
          <w:color w:val="auto"/>
        </w:rPr>
      </w:pPr>
      <w:r>
        <w:rPr>
          <w:rFonts w:ascii="Courier New" w:cs="Courier New" w:eastAsia="Courier New" w:hAnsi="Courier New"/>
          <w:sz w:val="16"/>
          <w:szCs w:val="16"/>
          <w:color w:val="auto"/>
        </w:rPr>
        <w:t>Attn: Reorganization Department</w:t>
      </w:r>
    </w:p>
    <w:p>
      <w:pPr>
        <w:spacing w:after="0" w:line="5" w:lineRule="exact"/>
        <w:rPr>
          <w:sz w:val="20"/>
          <w:szCs w:val="20"/>
          <w:color w:val="auto"/>
        </w:rPr>
      </w:pPr>
    </w:p>
    <w:p>
      <w:pPr>
        <w:ind w:left="8720"/>
        <w:spacing w:after="0"/>
        <w:rPr>
          <w:sz w:val="20"/>
          <w:szCs w:val="20"/>
          <w:color w:val="auto"/>
        </w:rPr>
      </w:pPr>
      <w:r>
        <w:rPr>
          <w:rFonts w:ascii="Courier New" w:cs="Courier New" w:eastAsia="Courier New" w:hAnsi="Courier New"/>
          <w:sz w:val="16"/>
          <w:szCs w:val="16"/>
          <w:color w:val="auto"/>
        </w:rPr>
        <w:t>85 Challenger Road</w:t>
      </w:r>
    </w:p>
    <w:p>
      <w:pPr>
        <w:spacing w:after="0" w:line="5" w:lineRule="exact"/>
        <w:rPr>
          <w:sz w:val="20"/>
          <w:szCs w:val="20"/>
          <w:color w:val="auto"/>
        </w:rPr>
      </w:pPr>
    </w:p>
    <w:p>
      <w:pPr>
        <w:ind w:left="8240"/>
        <w:spacing w:after="0"/>
        <w:rPr>
          <w:sz w:val="20"/>
          <w:szCs w:val="20"/>
          <w:color w:val="auto"/>
        </w:rPr>
      </w:pPr>
      <w:r>
        <w:rPr>
          <w:rFonts w:ascii="Courier New" w:cs="Courier New" w:eastAsia="Courier New" w:hAnsi="Courier New"/>
          <w:sz w:val="16"/>
          <w:szCs w:val="16"/>
          <w:color w:val="auto"/>
        </w:rPr>
        <w:t>Mail Drop -- Reorganization</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Ridgefield Park, New Jersey 07660</w:t>
      </w:r>
    </w:p>
    <w:p>
      <w:pPr>
        <w:spacing w:after="0" w:line="34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jc w:val="center"/>
        <w:ind w:right="3380"/>
        <w:spacing w:after="0" w:line="307" w:lineRule="auto"/>
        <w:rPr>
          <w:sz w:val="20"/>
          <w:szCs w:val="20"/>
          <w:color w:val="auto"/>
        </w:rPr>
      </w:pPr>
      <w:r>
        <w:rPr>
          <w:rFonts w:ascii="Courier New" w:cs="Courier New" w:eastAsia="Courier New" w:hAnsi="Courier New"/>
          <w:sz w:val="16"/>
          <w:szCs w:val="16"/>
          <w:color w:val="auto"/>
        </w:rPr>
        <w:t>DELIVERY OF THIS NOTICE OF GUARANTEED DELIVERY TO AN ADDRESS OTHER THAN AS SET FORTH ABOVE, OR TRANSMISSION VIA A FACSIMILE NUMBER OTHER THAN AS SET FORTH ABOVE, WILL NOT CONSTITUTE A VALID DELIVERY.</w:t>
      </w:r>
    </w:p>
    <w:p>
      <w:pPr>
        <w:spacing w:after="0" w:line="50" w:lineRule="exact"/>
        <w:rPr>
          <w:sz w:val="20"/>
          <w:szCs w:val="20"/>
          <w:color w:val="auto"/>
        </w:rPr>
      </w:pPr>
    </w:p>
    <w:p>
      <w:pPr>
        <w:ind w:right="3780" w:firstLine="484"/>
        <w:spacing w:after="0" w:line="276" w:lineRule="auto"/>
        <w:rPr>
          <w:sz w:val="20"/>
          <w:szCs w:val="20"/>
          <w:color w:val="auto"/>
        </w:rPr>
      </w:pPr>
      <w:r>
        <w:rPr>
          <w:rFonts w:ascii="Courier New" w:cs="Courier New" w:eastAsia="Courier New" w:hAnsi="Courier New"/>
          <w:sz w:val="16"/>
          <w:szCs w:val="16"/>
          <w:color w:val="auto"/>
        </w:rPr>
        <w:t>This Notice of Guaranteed Delivery is not to be used to guarantee signatures. If a signature on a Letter of Transmittal is required to be guaranteed by an "Eligible Institution" under the instructions thereto, such signature guarantee must appear in the applicable space provided in the signature box on the Letter of Transmittal.</w:t>
      </w:r>
    </w:p>
    <w:p>
      <w:pPr>
        <w:sectPr>
          <w:pgSz w:w="11900" w:h="16838" w:orient="portrait"/>
          <w:cols w:equalWidth="0" w:num="1">
            <w:col w:w="11140"/>
          </w:cols>
          <w:pgMar w:left="240" w:top="112" w:right="519" w:bottom="1440" w:gutter="0" w:footer="0" w:header="0"/>
        </w:sectPr>
      </w:pPr>
    </w:p>
    <w:bookmarkStart w:id="58" w:name="page59"/>
    <w:bookmarkEnd w:id="58"/>
    <w:p>
      <w:pPr>
        <w:ind w:left="301"/>
        <w:spacing w:after="0"/>
        <w:rPr>
          <w:sz w:val="20"/>
          <w:szCs w:val="20"/>
          <w:color w:val="auto"/>
        </w:rPr>
      </w:pPr>
      <w:r>
        <w:rPr>
          <w:rFonts w:ascii="Courier New" w:cs="Courier New" w:eastAsia="Courier New" w:hAnsi="Courier New"/>
          <w:sz w:val="16"/>
          <w:szCs w:val="16"/>
          <w:color w:val="auto"/>
        </w:rPr>
        <w:t>2</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Ladies and Gentlemen:</w:t>
      </w:r>
    </w:p>
    <w:p>
      <w:pPr>
        <w:spacing w:after="0" w:line="191" w:lineRule="exact"/>
        <w:rPr>
          <w:sz w:val="20"/>
          <w:szCs w:val="20"/>
          <w:color w:val="auto"/>
        </w:rPr>
      </w:pPr>
    </w:p>
    <w:p>
      <w:pPr>
        <w:ind w:left="1" w:right="2659" w:firstLine="484"/>
        <w:spacing w:after="0" w:line="261" w:lineRule="auto"/>
        <w:rPr>
          <w:sz w:val="20"/>
          <w:szCs w:val="20"/>
          <w:color w:val="auto"/>
        </w:rPr>
      </w:pPr>
      <w:r>
        <w:rPr>
          <w:rFonts w:ascii="Courier New" w:cs="Courier New" w:eastAsia="Courier New" w:hAnsi="Courier New"/>
          <w:sz w:val="16"/>
          <w:szCs w:val="16"/>
          <w:color w:val="auto"/>
        </w:rPr>
        <w:t>The undersigned hereby tenders to Sensor Acquisition Corporation, a Delaware corporation and a direct wholly-owned subsidiary of Texas Instruments Incorporated, a Delaware corporation, upon the terms and subject to the conditions set forth in the Offer to Purchase dated May 7, 1999 (the "Offer to Purchase") and the related Letter of Transmittal (which, as amended or supplemented from time to time, together constitute the "Offer"), receipt of which is hereby acknowledged, the number of Shares indicated below pursuant to the guaranteed delivery procedures set forth in Section 3 of the Offer to Purchase.</w:t>
      </w:r>
    </w:p>
    <w:p>
      <w:pPr>
        <w:spacing w:after="0" w:line="89"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Number of Shares:</w:t>
      </w:r>
    </w:p>
    <w:p>
      <w:pPr>
        <w:spacing w:after="0" w:line="3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6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Stock Certificate Numbers (if available):</w:t>
      </w:r>
    </w:p>
    <w:p>
      <w:pPr>
        <w:spacing w:after="0" w:line="3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61" w:lineRule="exact"/>
        <w:rPr>
          <w:sz w:val="20"/>
          <w:szCs w:val="20"/>
          <w:color w:val="auto"/>
        </w:rPr>
      </w:pPr>
    </w:p>
    <w:p>
      <w:pPr>
        <w:ind w:left="781" w:right="3139" w:hanging="781"/>
        <w:spacing w:after="0" w:line="367" w:lineRule="auto"/>
        <w:tabs>
          <w:tab w:leader="none" w:pos="199"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here if Shares will be delivered by book-entry transfer and provide Account Number in the space provided below.</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Account Number (if delivery by book-entry transfer):</w:t>
      </w:r>
    </w:p>
    <w:p>
      <w:pPr>
        <w:spacing w:after="0" w:line="3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6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Dated:</w:t>
      </w:r>
    </w:p>
    <w:p>
      <w:pPr>
        <w:spacing w:after="0" w:line="3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 , 1999</w:t>
      </w:r>
    </w:p>
    <w:p>
      <w:pPr>
        <w:spacing w:after="0" w:line="161" w:lineRule="exact"/>
        <w:rPr>
          <w:sz w:val="20"/>
          <w:szCs w:val="20"/>
          <w:color w:val="auto"/>
        </w:rPr>
      </w:pPr>
    </w:p>
    <w:p>
      <w:pPr>
        <w:ind w:left="2901"/>
        <w:spacing w:after="0"/>
        <w:rPr>
          <w:sz w:val="20"/>
          <w:szCs w:val="20"/>
          <w:color w:val="auto"/>
        </w:rPr>
      </w:pPr>
      <w:r>
        <w:rPr>
          <w:rFonts w:ascii="Courier New" w:cs="Courier New" w:eastAsia="Courier New" w:hAnsi="Courier New"/>
          <w:sz w:val="16"/>
          <w:szCs w:val="16"/>
          <w:color w:val="auto"/>
        </w:rPr>
        <w:t>PLEASE TYPE OR PRINT</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Name(s) of Record Holder(s):</w:t>
      </w:r>
    </w:p>
    <w:p>
      <w:pPr>
        <w:spacing w:after="0" w:line="3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6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Address(es):</w:t>
      </w:r>
    </w:p>
    <w:p>
      <w:pPr>
        <w:spacing w:after="0" w:line="35" w:lineRule="exact"/>
        <w:rPr>
          <w:sz w:val="20"/>
          <w:szCs w:val="20"/>
          <w:color w:val="auto"/>
        </w:rPr>
      </w:pPr>
    </w:p>
    <w:p>
      <w:pPr>
        <w:ind w:left="201" w:hanging="201"/>
        <w:spacing w:after="0"/>
        <w:tabs>
          <w:tab w:leader="none" w:pos="20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3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(Include Zip Code)</w:t>
      </w:r>
    </w:p>
    <w:p>
      <w:pPr>
        <w:spacing w:after="0" w:line="16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Area Code and Telephone Number:</w:t>
      </w:r>
    </w:p>
    <w:p>
      <w:pPr>
        <w:spacing w:after="0" w:line="35" w:lineRule="exact"/>
        <w:rPr>
          <w:sz w:val="20"/>
          <w:szCs w:val="20"/>
          <w:color w:val="auto"/>
        </w:rPr>
      </w:pPr>
    </w:p>
    <w:p>
      <w:pPr>
        <w:ind w:left="201" w:hanging="201"/>
        <w:spacing w:after="0"/>
        <w:tabs>
          <w:tab w:leader="none" w:pos="201"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 w:lineRule="exact"/>
        <w:rPr>
          <w:rFonts w:ascii="Courier New" w:cs="Courier New" w:eastAsia="Courier New" w:hAnsi="Courier New"/>
          <w:sz w:val="16"/>
          <w:szCs w:val="16"/>
          <w:color w:val="auto"/>
        </w:rPr>
      </w:pPr>
    </w:p>
    <w:p>
      <w:pPr>
        <w:ind w:left="33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SIGNATURE(S)</w:t>
      </w:r>
    </w:p>
    <w:p>
      <w:pPr>
        <w:sectPr>
          <w:pgSz w:w="11900" w:h="16838" w:orient="portrait"/>
          <w:cols w:equalWidth="0" w:num="1">
            <w:col w:w="10220"/>
          </w:cols>
          <w:pgMar w:left="239" w:top="273" w:right="1440" w:bottom="1440" w:gutter="0" w:footer="0" w:header="0"/>
        </w:sectPr>
      </w:pPr>
    </w:p>
    <w:bookmarkStart w:id="59" w:name="page60"/>
    <w:bookmarkEnd w:id="59"/>
    <w:p>
      <w:pPr>
        <w:ind w:left="301"/>
        <w:spacing w:after="0"/>
        <w:rPr>
          <w:sz w:val="20"/>
          <w:szCs w:val="20"/>
          <w:color w:val="auto"/>
        </w:rPr>
      </w:pPr>
      <w:r>
        <w:rPr>
          <w:rFonts w:ascii="Courier New" w:cs="Courier New" w:eastAsia="Courier New" w:hAnsi="Courier New"/>
          <w:sz w:val="16"/>
          <w:szCs w:val="16"/>
          <w:color w:val="auto"/>
        </w:rPr>
        <w:t>3</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GUARANTEE</w:t>
      </w:r>
    </w:p>
    <w:p>
      <w:pPr>
        <w:spacing w:after="0" w:line="3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 TO BE USED FOR SIGNATURE GUARANTEE)</w:t>
      </w:r>
    </w:p>
    <w:p>
      <w:pPr>
        <w:spacing w:after="0" w:line="161" w:lineRule="exact"/>
        <w:rPr>
          <w:sz w:val="20"/>
          <w:szCs w:val="20"/>
          <w:color w:val="auto"/>
        </w:rPr>
      </w:pPr>
    </w:p>
    <w:p>
      <w:pPr>
        <w:ind w:left="1" w:right="2559" w:firstLine="484"/>
        <w:spacing w:after="0" w:line="256" w:lineRule="auto"/>
        <w:rPr>
          <w:sz w:val="20"/>
          <w:szCs w:val="20"/>
          <w:color w:val="auto"/>
        </w:rPr>
      </w:pPr>
      <w:r>
        <w:rPr>
          <w:rFonts w:ascii="Courier New" w:cs="Courier New" w:eastAsia="Courier New" w:hAnsi="Courier New"/>
          <w:sz w:val="16"/>
          <w:szCs w:val="16"/>
          <w:color w:val="auto"/>
        </w:rPr>
        <w:t>The undersigned, a participant in the Security Transfer Agents Medallion Program, the New York Stock Exchange Medallion Signature Guarantee Program, or the Stock Exchange Medallion Program (each, an "Eligible Institution"), hereby guarantees that either the certificates representing the Shares tendered hereby in proper form for transfer, or timely confirmation of a book-entry transfer of such Shares into the Depositary's account at The Depository Trust Company (pursuant to procedures set forth in Section 3 of the Offer to Purchase), together with a properly completed and duly executed Letter of Transmittal (or facsimile thereof) with any required signature guarantees (or, in the case of a book-entry transfer, an Agent's Message (as defined in the Offer to Purchase)) and any other documents required by the Letter of Transmittal, will be received by the Depositary at one of its addresses set forth above within three New York Stock Exchange trading days after the date of execution hereof.</w:t>
      </w:r>
    </w:p>
    <w:p>
      <w:pPr>
        <w:spacing w:after="0" w:line="96" w:lineRule="exact"/>
        <w:rPr>
          <w:sz w:val="20"/>
          <w:szCs w:val="20"/>
          <w:color w:val="auto"/>
        </w:rPr>
      </w:pPr>
    </w:p>
    <w:p>
      <w:pPr>
        <w:ind w:left="1" w:right="2959" w:firstLine="484"/>
        <w:spacing w:after="0" w:line="276" w:lineRule="auto"/>
        <w:rPr>
          <w:sz w:val="20"/>
          <w:szCs w:val="20"/>
          <w:color w:val="auto"/>
        </w:rPr>
      </w:pPr>
      <w:r>
        <w:rPr>
          <w:rFonts w:ascii="Courier New" w:cs="Courier New" w:eastAsia="Courier New" w:hAnsi="Courier New"/>
          <w:sz w:val="16"/>
          <w:szCs w:val="16"/>
          <w:color w:val="auto"/>
        </w:rPr>
        <w:t>The Eligible Institution that completes this form must communicate the guarantee to the Depositary and must deliver the Letter of Transmittal, certificates for Shares, and any other required documents to the Depositary within the time period shown herein. Failure to do so could result in a financial loss to such Eligible Institution.</w:t>
      </w:r>
    </w:p>
    <w:p>
      <w:pPr>
        <w:spacing w:after="0" w:line="7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Name of Firm:</w:t>
      </w:r>
    </w:p>
    <w:p>
      <w:pPr>
        <w:spacing w:after="0" w:line="3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6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Address:</w:t>
      </w:r>
    </w:p>
    <w:p>
      <w:pPr>
        <w:spacing w:after="0" w:line="35" w:lineRule="exact"/>
        <w:rPr>
          <w:sz w:val="20"/>
          <w:szCs w:val="20"/>
          <w:color w:val="auto"/>
        </w:rPr>
      </w:pPr>
    </w:p>
    <w:p>
      <w:pPr>
        <w:ind w:left="201" w:hanging="201"/>
        <w:spacing w:after="0"/>
        <w:tabs>
          <w:tab w:leader="none" w:pos="20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 w:lineRule="exact"/>
        <w:rPr>
          <w:rFonts w:ascii="Courier New" w:cs="Courier New" w:eastAsia="Courier New" w:hAnsi="Courier New"/>
          <w:sz w:val="16"/>
          <w:szCs w:val="16"/>
          <w:color w:val="auto"/>
        </w:rPr>
      </w:pPr>
    </w:p>
    <w:p>
      <w:pPr>
        <w:ind w:left="30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(Include Zip Code)</w:t>
      </w:r>
    </w:p>
    <w:p>
      <w:pPr>
        <w:spacing w:after="0" w:line="16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Area Code and</w:t>
      </w:r>
    </w:p>
    <w:p>
      <w:pPr>
        <w:spacing w:after="0" w:line="3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Telephone Number:</w:t>
      </w:r>
    </w:p>
    <w:p>
      <w:pPr>
        <w:spacing w:after="0" w:line="5" w:lineRule="exact"/>
        <w:rPr>
          <w:sz w:val="20"/>
          <w:szCs w:val="20"/>
          <w:color w:val="auto"/>
        </w:rPr>
      </w:pPr>
    </w:p>
    <w:p>
      <w:pPr>
        <w:ind w:left="201" w:hanging="201"/>
        <w:spacing w:after="0"/>
        <w:tabs>
          <w:tab w:leader="none" w:pos="20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 w:lineRule="exact"/>
        <w:rPr>
          <w:rFonts w:ascii="Courier New" w:cs="Courier New" w:eastAsia="Courier New" w:hAnsi="Courier New"/>
          <w:sz w:val="16"/>
          <w:szCs w:val="16"/>
          <w:color w:val="auto"/>
        </w:rPr>
      </w:pPr>
    </w:p>
    <w:p>
      <w:pPr>
        <w:ind w:left="29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AUTHORIZED SIGNATURE</w:t>
      </w:r>
    </w:p>
    <w:p>
      <w:pPr>
        <w:spacing w:after="0" w:line="16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Name:</w:t>
      </w:r>
    </w:p>
    <w:p>
      <w:pPr>
        <w:spacing w:after="0" w:line="35" w:lineRule="exact"/>
        <w:rPr>
          <w:sz w:val="20"/>
          <w:szCs w:val="20"/>
          <w:color w:val="auto"/>
        </w:rPr>
      </w:pPr>
    </w:p>
    <w:p>
      <w:pPr>
        <w:ind w:left="201" w:hanging="201"/>
        <w:spacing w:after="0"/>
        <w:tabs>
          <w:tab w:leader="none" w:pos="201"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9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PLEASE TYPE OR PRINT</w:t>
      </w:r>
    </w:p>
    <w:p>
      <w:pPr>
        <w:spacing w:after="0" w:line="16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Title:</w:t>
      </w:r>
    </w:p>
    <w:p>
      <w:pPr>
        <w:spacing w:after="0" w:line="3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6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Dated:</w:t>
      </w:r>
    </w:p>
    <w:p>
      <w:pPr>
        <w:spacing w:after="0" w:line="3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 , 1999</w:t>
      </w:r>
    </w:p>
    <w:p>
      <w:pPr>
        <w:spacing w:after="0" w:line="161" w:lineRule="exact"/>
        <w:rPr>
          <w:sz w:val="20"/>
          <w:szCs w:val="20"/>
          <w:color w:val="auto"/>
        </w:rPr>
      </w:pPr>
    </w:p>
    <w:p>
      <w:pPr>
        <w:ind w:left="581" w:right="2659" w:hanging="579"/>
        <w:spacing w:after="0" w:line="307" w:lineRule="auto"/>
        <w:tabs>
          <w:tab w:leader="none" w:pos="560" w:val="left"/>
        </w:tabs>
        <w:rPr>
          <w:sz w:val="20"/>
          <w:szCs w:val="20"/>
          <w:color w:val="auto"/>
        </w:rPr>
      </w:pPr>
      <w:r>
        <w:rPr>
          <w:rFonts w:ascii="Courier New" w:cs="Courier New" w:eastAsia="Courier New" w:hAnsi="Courier New"/>
          <w:sz w:val="16"/>
          <w:szCs w:val="16"/>
          <w:color w:val="auto"/>
        </w:rPr>
        <w:t>NOTE:</w:t>
        <w:tab/>
        <w:t>DO NOT SEND CERTIFICATES FOR SHARES WITH THIS NOTICE OF GUARANTEED DELIVERY. CERTIFICATES FOR SHARES ARE TO BE DELIVERED WITH THE LETTER OF TRANSMITTAL.</w:t>
      </w:r>
    </w:p>
    <w:p>
      <w:pPr>
        <w:sectPr>
          <w:pgSz w:w="11900" w:h="16838" w:orient="portrait"/>
          <w:cols w:equalWidth="0" w:num="1">
            <w:col w:w="10220"/>
          </w:cols>
          <w:pgMar w:left="239" w:top="273" w:right="1440" w:bottom="1440" w:gutter="0" w:footer="0" w:header="0"/>
        </w:sectPr>
      </w:pPr>
    </w:p>
    <w:bookmarkStart w:id="60" w:name="page61"/>
    <w:bookmarkEnd w:id="60"/>
    <w:p>
      <w:pPr>
        <w:ind w:left="300"/>
        <w:spacing w:after="0"/>
        <w:rPr>
          <w:sz w:val="20"/>
          <w:szCs w:val="20"/>
          <w:color w:val="auto"/>
        </w:rPr>
      </w:pPr>
      <w:r>
        <w:rPr>
          <w:rFonts w:ascii="Courier New" w:cs="Courier New" w:eastAsia="Courier New" w:hAnsi="Courier New"/>
          <w:sz w:val="16"/>
          <w:szCs w:val="16"/>
          <w:color w:val="auto"/>
        </w:rPr>
        <w:t>1</w:t>
      </w:r>
    </w:p>
    <w:p>
      <w:pPr>
        <w:spacing w:after="0" w:line="191"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EXHIBIT 99(a)(4)</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OFFER TO PURCHASE FOR CASH</w:t>
      </w:r>
    </w:p>
    <w:p>
      <w:pPr>
        <w:spacing w:after="0" w:line="3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ALL OUTSTANDING SHARES OF COMMON STOCK</w:t>
      </w:r>
    </w:p>
    <w:p>
      <w:pPr>
        <w:spacing w:after="0" w:line="16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OF</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INTEGRATED SENSOR SOLUTIONS, INC.</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AT</w:t>
      </w:r>
    </w:p>
    <w:p>
      <w:pPr>
        <w:spacing w:after="0" w:line="3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$8.05 NET PER SHARE</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BY</w:t>
      </w:r>
    </w:p>
    <w:p>
      <w:pPr>
        <w:spacing w:after="0" w:line="16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SENSOR ACQUISITION CORPORATION</w:t>
      </w:r>
    </w:p>
    <w:p>
      <w:pPr>
        <w:spacing w:after="0" w:line="3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 DIRECT WHOLLY-OWNED SUBSIDIARY</w:t>
      </w:r>
    </w:p>
    <w:p>
      <w:pPr>
        <w:spacing w:after="0" w:line="16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OF</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TEXAS INSTRUMENTS INCORPORATED</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THE OFFER AND WITHDRAWAL RIGHTS WILL EXPIRE AT 12:00 MIDNIGHT, NEW YORK CITY</w:t>
      </w:r>
    </w:p>
    <w:p>
      <w:pPr>
        <w:spacing w:after="0" w:line="3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TIME, ON FRIDAY, JUNE 4, 1999, UNLESS THE OFFER IS EXTENDED.</w:t>
      </w:r>
    </w:p>
    <w:p>
      <w:pPr>
        <w:spacing w:after="0" w:line="161"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May 7, 1999</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Brokers, Dealers, Commercial Banks,</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 Companies, and Other Nominees:</w:t>
      </w:r>
    </w:p>
    <w:p>
      <w:pPr>
        <w:spacing w:after="0" w:line="161" w:lineRule="exact"/>
        <w:rPr>
          <w:sz w:val="20"/>
          <w:szCs w:val="20"/>
          <w:color w:val="auto"/>
        </w:rPr>
      </w:pPr>
    </w:p>
    <w:p>
      <w:pPr>
        <w:ind w:right="2459" w:firstLine="484"/>
        <w:spacing w:after="0" w:line="258" w:lineRule="auto"/>
        <w:rPr>
          <w:sz w:val="20"/>
          <w:szCs w:val="20"/>
          <w:color w:val="auto"/>
        </w:rPr>
      </w:pPr>
      <w:r>
        <w:rPr>
          <w:rFonts w:ascii="Courier New" w:cs="Courier New" w:eastAsia="Courier New" w:hAnsi="Courier New"/>
          <w:sz w:val="16"/>
          <w:szCs w:val="16"/>
          <w:color w:val="auto"/>
        </w:rPr>
        <w:t>We have been appointed by Sensor Acquisition Corporation (the "Purchaser"), a Delaware corporation and a direct wholly-owned subsidiary of Texas Instruments Incorporated, a Delaware corporation ("Parent"), to act as Information Agent in connection with its offer to purchase all outstanding shares of common stock, par value $.001 per share (the "Shares"), of Integrated Sensor Solutions, Inc., a Delaware corporation (the "Company"), at $8.05 per Share, net to the seller in cash, without interest, upon the terms and subject to the conditions set forth in the Offer to Purchase dated May 7, 1999 (the "Offer to Purchase") and in the related Letter of Transmittal (which, together with any amendments and supplements thereto, collectively constitute the "Offer"), copies of which are enclosed herewith.</w:t>
      </w:r>
    </w:p>
    <w:p>
      <w:pPr>
        <w:spacing w:after="0" w:line="93" w:lineRule="exact"/>
        <w:rPr>
          <w:sz w:val="20"/>
          <w:szCs w:val="20"/>
          <w:color w:val="auto"/>
        </w:rPr>
      </w:pPr>
    </w:p>
    <w:p>
      <w:pPr>
        <w:jc w:val="both"/>
        <w:ind w:right="2559" w:firstLine="484"/>
        <w:spacing w:after="0" w:line="307" w:lineRule="auto"/>
        <w:rPr>
          <w:sz w:val="20"/>
          <w:szCs w:val="20"/>
          <w:color w:val="auto"/>
        </w:rPr>
      </w:pPr>
      <w:r>
        <w:rPr>
          <w:rFonts w:ascii="Courier New" w:cs="Courier New" w:eastAsia="Courier New" w:hAnsi="Courier New"/>
          <w:sz w:val="16"/>
          <w:szCs w:val="16"/>
          <w:color w:val="auto"/>
        </w:rPr>
        <w:t>For your information and for forwarding to your clients for whose accounts you hold Shares registered in your name or in the name of your nominee, we are enclosing the following documents:</w:t>
      </w:r>
    </w:p>
    <w:p>
      <w:pPr>
        <w:spacing w:after="0" w:line="50" w:lineRule="exact"/>
        <w:rPr>
          <w:sz w:val="20"/>
          <w:szCs w:val="20"/>
          <w:color w:val="auto"/>
        </w:rPr>
      </w:pPr>
    </w:p>
    <w:p>
      <w:pPr>
        <w:ind w:left="1260" w:hanging="292"/>
        <w:spacing w:after="0"/>
        <w:tabs>
          <w:tab w:leader="none" w:pos="126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Offer to Purchase;</w:t>
      </w:r>
    </w:p>
    <w:p>
      <w:pPr>
        <w:spacing w:after="0" w:line="191" w:lineRule="exact"/>
        <w:rPr>
          <w:rFonts w:ascii="Courier New" w:cs="Courier New" w:eastAsia="Courier New" w:hAnsi="Courier New"/>
          <w:sz w:val="16"/>
          <w:szCs w:val="16"/>
          <w:color w:val="auto"/>
        </w:rPr>
      </w:pPr>
    </w:p>
    <w:p>
      <w:pPr>
        <w:ind w:left="480" w:right="2459" w:firstLine="488"/>
        <w:spacing w:after="0" w:line="287" w:lineRule="auto"/>
        <w:tabs>
          <w:tab w:leader="none" w:pos="1255"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Letter of Transmittal for your use and for the information of your clients, together with Guidelines for Certification of Taxpayer Identification Number on Substitute Form W-9 providing information relating to backup federal income tax withholding;</w:t>
      </w:r>
    </w:p>
    <w:p>
      <w:pPr>
        <w:spacing w:after="0" w:line="64" w:lineRule="exact"/>
        <w:rPr>
          <w:rFonts w:ascii="Courier New" w:cs="Courier New" w:eastAsia="Courier New" w:hAnsi="Courier New"/>
          <w:sz w:val="16"/>
          <w:szCs w:val="16"/>
          <w:color w:val="auto"/>
        </w:rPr>
      </w:pPr>
    </w:p>
    <w:p>
      <w:pPr>
        <w:ind w:left="480" w:right="2459" w:firstLine="488"/>
        <w:spacing w:after="0" w:line="307" w:lineRule="auto"/>
        <w:tabs>
          <w:tab w:leader="none" w:pos="1255"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Guaranteed Delivery to be used to accept the Offer if the Shares and all other required documents cannot be delivered to the Depositary by the Expiration Date (as defined in the Offer to Purchase);</w:t>
      </w:r>
    </w:p>
    <w:p>
      <w:pPr>
        <w:spacing w:after="0" w:line="49" w:lineRule="exact"/>
        <w:rPr>
          <w:rFonts w:ascii="Courier New" w:cs="Courier New" w:eastAsia="Courier New" w:hAnsi="Courier New"/>
          <w:sz w:val="16"/>
          <w:szCs w:val="16"/>
          <w:color w:val="auto"/>
        </w:rPr>
      </w:pPr>
    </w:p>
    <w:p>
      <w:pPr>
        <w:ind w:left="480" w:right="2759" w:firstLine="488"/>
        <w:spacing w:after="0" w:line="287" w:lineRule="auto"/>
        <w:tabs>
          <w:tab w:leader="none" w:pos="1255"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form of letter which may be sent to your clients for whose accounts you hold Shares registered in your name or in the name of your nominee, with space provided for obtaining such clients' instructions in regard to the Offer;</w:t>
      </w:r>
    </w:p>
    <w:p>
      <w:pPr>
        <w:spacing w:after="0" w:line="64" w:lineRule="exact"/>
        <w:rPr>
          <w:rFonts w:ascii="Courier New" w:cs="Courier New" w:eastAsia="Courier New" w:hAnsi="Courier New"/>
          <w:sz w:val="16"/>
          <w:szCs w:val="16"/>
          <w:color w:val="auto"/>
        </w:rPr>
      </w:pPr>
    </w:p>
    <w:p>
      <w:pPr>
        <w:ind w:left="480" w:right="2659" w:firstLine="488"/>
        <w:spacing w:after="0" w:line="367" w:lineRule="auto"/>
        <w:tabs>
          <w:tab w:leader="none" w:pos="1255"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Solicitation/Recommendation Statement on Schedule 14D-9 issued by the Company; and</w:t>
      </w:r>
    </w:p>
    <w:p>
      <w:pPr>
        <w:spacing w:after="0" w:line="4" w:lineRule="exact"/>
        <w:rPr>
          <w:rFonts w:ascii="Courier New" w:cs="Courier New" w:eastAsia="Courier New" w:hAnsi="Courier New"/>
          <w:sz w:val="16"/>
          <w:szCs w:val="16"/>
          <w:color w:val="auto"/>
        </w:rPr>
      </w:pPr>
    </w:p>
    <w:p>
      <w:pPr>
        <w:ind w:left="480" w:right="2959" w:firstLine="488"/>
        <w:spacing w:after="0" w:line="367" w:lineRule="auto"/>
        <w:tabs>
          <w:tab w:leader="none" w:pos="1255"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Return envelope addressed to ChaseMellon Shareholder Services, L.L.C., as the Depositary.</w:t>
      </w:r>
    </w:p>
    <w:p>
      <w:pPr>
        <w:sectPr>
          <w:pgSz w:w="11900" w:h="16838" w:orient="portrait"/>
          <w:cols w:equalWidth="0" w:num="1">
            <w:col w:w="10219"/>
          </w:cols>
          <w:pgMar w:left="240" w:top="112" w:right="1440" w:bottom="1440" w:gutter="0" w:footer="0" w:header="0"/>
        </w:sectPr>
      </w:pPr>
    </w:p>
    <w:bookmarkStart w:id="61" w:name="page62"/>
    <w:bookmarkEnd w:id="61"/>
    <w:p>
      <w:pPr>
        <w:ind w:left="300"/>
        <w:spacing w:after="0"/>
        <w:rPr>
          <w:sz w:val="20"/>
          <w:szCs w:val="20"/>
          <w:color w:val="auto"/>
        </w:rPr>
      </w:pPr>
      <w:r>
        <w:rPr>
          <w:rFonts w:ascii="Courier New" w:cs="Courier New" w:eastAsia="Courier New" w:hAnsi="Courier New"/>
          <w:sz w:val="16"/>
          <w:szCs w:val="16"/>
          <w:color w:val="auto"/>
        </w:rPr>
        <w:t>2</w:t>
      </w:r>
    </w:p>
    <w:p>
      <w:pPr>
        <w:spacing w:after="0" w:line="191" w:lineRule="exact"/>
        <w:rPr>
          <w:sz w:val="20"/>
          <w:szCs w:val="20"/>
          <w:color w:val="auto"/>
        </w:rPr>
      </w:pPr>
    </w:p>
    <w:p>
      <w:pPr>
        <w:ind w:right="2459" w:firstLine="484"/>
        <w:spacing w:after="0" w:line="257" w:lineRule="auto"/>
        <w:rPr>
          <w:sz w:val="20"/>
          <w:szCs w:val="20"/>
          <w:color w:val="auto"/>
        </w:rPr>
      </w:pPr>
      <w:r>
        <w:rPr>
          <w:rFonts w:ascii="Courier New" w:cs="Courier New" w:eastAsia="Courier New" w:hAnsi="Courier New"/>
          <w:sz w:val="16"/>
          <w:szCs w:val="16"/>
          <w:color w:val="auto"/>
        </w:rPr>
        <w:t>The Offer is being made pursuant to an Agreement and Plan of Merger, dated as of May 3, 1999 (the "Merger Agreement"), by and among the Company, Parent, and the Purchaser. The Merger Agreement provides that, among other things, following the consummation of the Offer and the satisfaction or waiver of the other conditions set forth in the Merger Agreement, the Purchaser will be merged with and into the Company (the "Merger"). Following the Merger, the Company will continue as the surviving corporation and will be a direct wholly-owned subsidiary of Parent. At the effective time of the Merger, each outstanding Share (other than Shares owned by Parent, the Purchaser, or any of their respective affiliates or held by stockholders who have demanded and perfected dissenter's rights under Delaware law) will be converted into the right to receive the per Share price paid in the Offer in cash, without interest.</w:t>
      </w:r>
    </w:p>
    <w:p>
      <w:pPr>
        <w:spacing w:after="0" w:line="93" w:lineRule="exact"/>
        <w:rPr>
          <w:sz w:val="20"/>
          <w:szCs w:val="20"/>
          <w:color w:val="auto"/>
        </w:rPr>
      </w:pPr>
    </w:p>
    <w:p>
      <w:pPr>
        <w:ind w:right="2559" w:firstLine="484"/>
        <w:spacing w:after="0" w:line="276" w:lineRule="auto"/>
        <w:rPr>
          <w:sz w:val="20"/>
          <w:szCs w:val="20"/>
          <w:color w:val="auto"/>
        </w:rPr>
      </w:pPr>
      <w:r>
        <w:rPr>
          <w:rFonts w:ascii="Courier New" w:cs="Courier New" w:eastAsia="Courier New" w:hAnsi="Courier New"/>
          <w:sz w:val="16"/>
          <w:szCs w:val="16"/>
          <w:color w:val="auto"/>
        </w:rPr>
        <w:t>THE BOARD OF DIRECTORS OF THE COMPANY HAS UNANIMOUSLY APPROVED THE MERGER AGREEMENT, THE OFFER, AND THE MERGER, HAS DETERMINED THAT THE OFFER AND THE MERGER ARE FAIR TO, ADVISABLE, AND IN THE BEST INTERESTS OF THE STOCKHOLDERS OF THE COMPANY, AND UNANIMOUSLY RECOMMENDS THAT COMPANY'S STOCKHOLDERS ACCEPT THE OFFER AND TENDER THEIR SHARES IN THE OFFER.</w:t>
      </w:r>
    </w:p>
    <w:p>
      <w:pPr>
        <w:spacing w:after="0" w:line="76" w:lineRule="exact"/>
        <w:rPr>
          <w:sz w:val="20"/>
          <w:szCs w:val="20"/>
          <w:color w:val="auto"/>
        </w:rPr>
      </w:pPr>
    </w:p>
    <w:p>
      <w:pPr>
        <w:ind w:right="2459" w:firstLine="484"/>
        <w:spacing w:after="0" w:line="255" w:lineRule="auto"/>
        <w:rPr>
          <w:sz w:val="20"/>
          <w:szCs w:val="20"/>
          <w:color w:val="auto"/>
        </w:rPr>
      </w:pPr>
      <w:r>
        <w:rPr>
          <w:rFonts w:ascii="Courier New" w:cs="Courier New" w:eastAsia="Courier New" w:hAnsi="Courier New"/>
          <w:sz w:val="16"/>
          <w:szCs w:val="16"/>
          <w:color w:val="auto"/>
        </w:rPr>
        <w:t>Upon the terms and subject to the conditions of the Offer (including, if the Offer is extended or amended, the terms and conditions of any such extension or amendment), the Purchaser will purchase, by accepting for payment, and will pay for, all Shares validly tendered and not properly withdrawn prior to the Expiration Date (as defined in the Offer to Purchase), if, as, and when the Purchaser gives oral or written notice to the Depositary of the Purchaser's acceptance of the tenders of such Shares for payment pursuant to the Offer. Payment for Shares purchased pursuant to the Offer will be made only after timely receipt by the Depositary of (i) certificates evidencing such Shares or timely confirmation of a book-entry transfer of such Shares into the Depositary's account at the Book-Entry Transfer Facility (as defined in the Offer to Purchase), (ii) a properly completed and duly executed Letter of Transmittal (or facsimile thereof) or, in the case of a book-entry transfer, an Agent's Message (as defined in the Offer to Purchase), and (iii) any other documents required by the Letter of Transmittal.</w:t>
      </w:r>
    </w:p>
    <w:p>
      <w:pPr>
        <w:spacing w:after="0" w:line="93" w:lineRule="exact"/>
        <w:rPr>
          <w:sz w:val="20"/>
          <w:szCs w:val="20"/>
          <w:color w:val="auto"/>
        </w:rPr>
      </w:pPr>
    </w:p>
    <w:p>
      <w:pPr>
        <w:ind w:right="2459" w:firstLine="484"/>
        <w:spacing w:after="0" w:line="264" w:lineRule="auto"/>
        <w:rPr>
          <w:sz w:val="20"/>
          <w:szCs w:val="20"/>
          <w:color w:val="auto"/>
        </w:rPr>
      </w:pPr>
      <w:r>
        <w:rPr>
          <w:rFonts w:ascii="Courier New" w:cs="Courier New" w:eastAsia="Courier New" w:hAnsi="Courier New"/>
          <w:sz w:val="16"/>
          <w:szCs w:val="16"/>
          <w:color w:val="auto"/>
        </w:rPr>
        <w:t>In order to tender Shares pursuant to the Offer, a properly completed and duly executed Letter of Transmittal (or facsimile thereof), with any required signature guarantees, or an Agent's Message (in the case of any book-entry transfer), and any other documents required by the Letter of Transmittal, should be sent to the Depositary, and either certificates representing the tendered Shares should be delivered or such Shares must be delivered to the Depositary pursuant to the procedures for book-entry transfers, all in accordance with the instructions set forth in the Letter of Transmittal and the Offer to Purchase.</w:t>
      </w:r>
    </w:p>
    <w:p>
      <w:pPr>
        <w:spacing w:after="0" w:line="82" w:lineRule="exact"/>
        <w:rPr>
          <w:sz w:val="20"/>
          <w:szCs w:val="20"/>
          <w:color w:val="auto"/>
        </w:rPr>
      </w:pPr>
    </w:p>
    <w:p>
      <w:pPr>
        <w:ind w:right="2559" w:firstLine="484"/>
        <w:spacing w:after="0" w:line="270" w:lineRule="auto"/>
        <w:rPr>
          <w:sz w:val="20"/>
          <w:szCs w:val="20"/>
          <w:color w:val="auto"/>
        </w:rPr>
      </w:pPr>
      <w:r>
        <w:rPr>
          <w:rFonts w:ascii="Courier New" w:cs="Courier New" w:eastAsia="Courier New" w:hAnsi="Courier New"/>
          <w:sz w:val="16"/>
          <w:szCs w:val="16"/>
          <w:color w:val="auto"/>
        </w:rPr>
        <w:t>If a stockholder desires to tender Shares pursuant to the Offer and such stockholder's stock certificates are not immediately available or time will not permit all required documents to reach the Depositary prior to the Expiration Date, or the procedures for book-entry transfer cannot be completed on a timely basis, such Shares may nevertheless be tendered by following the guaranteed delivery procedures specified in Section 3 of the Offer to Purchase.</w:t>
      </w:r>
    </w:p>
    <w:p>
      <w:pPr>
        <w:spacing w:after="0" w:line="81" w:lineRule="exact"/>
        <w:rPr>
          <w:sz w:val="20"/>
          <w:szCs w:val="20"/>
          <w:color w:val="auto"/>
        </w:rPr>
      </w:pPr>
    </w:p>
    <w:p>
      <w:pPr>
        <w:ind w:right="2459" w:firstLine="484"/>
        <w:spacing w:after="0" w:line="264" w:lineRule="auto"/>
        <w:rPr>
          <w:sz w:val="20"/>
          <w:szCs w:val="20"/>
          <w:color w:val="auto"/>
        </w:rPr>
      </w:pPr>
      <w:r>
        <w:rPr>
          <w:rFonts w:ascii="Courier New" w:cs="Courier New" w:eastAsia="Courier New" w:hAnsi="Courier New"/>
          <w:sz w:val="16"/>
          <w:szCs w:val="16"/>
          <w:color w:val="auto"/>
        </w:rPr>
        <w:t>Neither Parent nor the Purchaser will pay any fees or commissions to any broker, dealer, or other person (other than the Information Agent as described in the Offer to Purchase) in connection with the solicitation of tenders of Shares pursuant to the Offer. The Purchaser will, however, upon request, reimburse brokers, dealers, commercial banks, and trust companies for reasonable expenses incurred by them in forwarding materials to their customers. The Purchaser will pay all stock transfer taxes applicable to its purchase of Shares pursuant to the Offer, subject to Instruction 6 of the Letter of Transmittal.</w:t>
      </w:r>
    </w:p>
    <w:p>
      <w:pPr>
        <w:spacing w:after="0" w:line="82" w:lineRule="exact"/>
        <w:rPr>
          <w:sz w:val="20"/>
          <w:szCs w:val="20"/>
          <w:color w:val="auto"/>
        </w:rPr>
      </w:pPr>
    </w:p>
    <w:p>
      <w:pPr>
        <w:ind w:right="2759" w:firstLine="484"/>
        <w:spacing w:after="0" w:line="287" w:lineRule="auto"/>
        <w:rPr>
          <w:sz w:val="20"/>
          <w:szCs w:val="20"/>
          <w:color w:val="auto"/>
        </w:rPr>
      </w:pPr>
      <w:r>
        <w:rPr>
          <w:rFonts w:ascii="Courier New" w:cs="Courier New" w:eastAsia="Courier New" w:hAnsi="Courier New"/>
          <w:sz w:val="16"/>
          <w:szCs w:val="16"/>
          <w:color w:val="auto"/>
        </w:rPr>
        <w:t>YOUR PROMPT ACTION IS REQUESTED. WE URGE YOU TO CONTACT YOUR CLIENTS AS PROMPTLY AS PRACTICABLE. THE OFFER AND WITHDRAWAL RIGHTS WILL EXPIRE AT 12:00 MIDNIGHT, NEW YORK CITY TIME, ON FRIDAY, JUNE 4, 1999, UNLESS THE OFFER IS EXTENDED.</w:t>
      </w:r>
    </w:p>
    <w:p>
      <w:pPr>
        <w:sectPr>
          <w:pgSz w:w="11900" w:h="16838" w:orient="portrait"/>
          <w:cols w:equalWidth="0" w:num="1">
            <w:col w:w="10219"/>
          </w:cols>
          <w:pgMar w:left="240" w:top="273" w:right="1440" w:bottom="1440" w:gutter="0" w:footer="0" w:header="0"/>
        </w:sectPr>
      </w:pPr>
    </w:p>
    <w:bookmarkStart w:id="62" w:name="page63"/>
    <w:bookmarkEnd w:id="62"/>
    <w:p>
      <w:pPr>
        <w:ind w:left="300"/>
        <w:spacing w:after="0"/>
        <w:rPr>
          <w:sz w:val="20"/>
          <w:szCs w:val="20"/>
          <w:color w:val="auto"/>
        </w:rPr>
      </w:pPr>
      <w:r>
        <w:rPr>
          <w:rFonts w:ascii="Courier New" w:cs="Courier New" w:eastAsia="Courier New" w:hAnsi="Courier New"/>
          <w:sz w:val="16"/>
          <w:szCs w:val="16"/>
          <w:color w:val="auto"/>
        </w:rPr>
        <w:t>3</w:t>
      </w:r>
    </w:p>
    <w:p>
      <w:pPr>
        <w:spacing w:after="0" w:line="191" w:lineRule="exact"/>
        <w:rPr>
          <w:sz w:val="20"/>
          <w:szCs w:val="20"/>
          <w:color w:val="auto"/>
        </w:rPr>
      </w:pPr>
    </w:p>
    <w:p>
      <w:pPr>
        <w:ind w:right="2559" w:firstLine="484"/>
        <w:spacing w:after="0" w:line="287" w:lineRule="auto"/>
        <w:rPr>
          <w:sz w:val="20"/>
          <w:szCs w:val="20"/>
          <w:color w:val="auto"/>
        </w:rPr>
      </w:pPr>
      <w:r>
        <w:rPr>
          <w:rFonts w:ascii="Courier New" w:cs="Courier New" w:eastAsia="Courier New" w:hAnsi="Courier New"/>
          <w:sz w:val="16"/>
          <w:szCs w:val="16"/>
          <w:color w:val="auto"/>
        </w:rPr>
        <w:t>Any inquiries you may have in respect of the Offer, or any requests for additional copies of the enclosed materials, may be directed to the Information Agent at the address and telephone number set forth on the back cover page of the Offer to Purchase.</w:t>
      </w:r>
    </w:p>
    <w:p>
      <w:pPr>
        <w:spacing w:after="0" w:line="6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Very truly yours,</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GEORGESON &amp; COMPANY INC.</w:t>
      </w:r>
    </w:p>
    <w:p>
      <w:pPr>
        <w:spacing w:after="0" w:line="191" w:lineRule="exact"/>
        <w:rPr>
          <w:sz w:val="20"/>
          <w:szCs w:val="20"/>
          <w:color w:val="auto"/>
        </w:rPr>
      </w:pPr>
    </w:p>
    <w:p>
      <w:pPr>
        <w:ind w:right="2459" w:firstLine="484"/>
        <w:spacing w:after="0" w:line="270" w:lineRule="auto"/>
        <w:rPr>
          <w:sz w:val="20"/>
          <w:szCs w:val="20"/>
          <w:color w:val="auto"/>
        </w:rPr>
      </w:pPr>
      <w:r>
        <w:rPr>
          <w:rFonts w:ascii="Courier New" w:cs="Courier New" w:eastAsia="Courier New" w:hAnsi="Courier New"/>
          <w:sz w:val="16"/>
          <w:szCs w:val="16"/>
          <w:color w:val="auto"/>
        </w:rPr>
        <w:t>NOTHING CONTAINED HEREIN OR IN THE ENCLOSED DOCUMENTS SHALL RENDER YOU OR ANY PERSON THE AGENT OF THE PURCHASER, PARENT, THE COMPANY, ANY AFFILIATE OF THE COMPANY, THE INFORMATION AGENT, OR THE DEPOSITARY, OR AUTHORIZE YOU OR ANY OTHER PERSON TO USE ANY DOCUMENT OR MAKE ANY STATEMENT ON BEHALF OF ANY OF THEM IN CONNECTION WITH THE OFFER OTHER THAN THE DOCUMENTS ENCLOSED HEREWITH AND THE STATEMENTS CONTAINED THEREIN.</w:t>
      </w:r>
    </w:p>
    <w:p>
      <w:pPr>
        <w:sectPr>
          <w:pgSz w:w="11900" w:h="16838" w:orient="portrait"/>
          <w:cols w:equalWidth="0" w:num="1">
            <w:col w:w="10219"/>
          </w:cols>
          <w:pgMar w:left="240" w:top="273" w:right="1440" w:bottom="1440" w:gutter="0" w:footer="0" w:header="0"/>
        </w:sectPr>
      </w:pPr>
    </w:p>
    <w:bookmarkStart w:id="63" w:name="page64"/>
    <w:bookmarkEnd w:id="63"/>
    <w:p>
      <w:pPr>
        <w:ind w:left="300"/>
        <w:spacing w:after="0"/>
        <w:rPr>
          <w:sz w:val="20"/>
          <w:szCs w:val="20"/>
          <w:color w:val="auto"/>
        </w:rPr>
      </w:pPr>
      <w:r>
        <w:rPr>
          <w:rFonts w:ascii="Courier New" w:cs="Courier New" w:eastAsia="Courier New" w:hAnsi="Courier New"/>
          <w:sz w:val="16"/>
          <w:szCs w:val="16"/>
          <w:color w:val="auto"/>
        </w:rPr>
        <w:t>1</w:t>
      </w:r>
    </w:p>
    <w:p>
      <w:pPr>
        <w:spacing w:after="0" w:line="191"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EXHIBIT 99(a)(5)</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OFFER TO PURCHASE FOR CASH</w:t>
      </w:r>
    </w:p>
    <w:p>
      <w:pPr>
        <w:spacing w:after="0" w:line="3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ALL OUTSTANDING SHARES OF COMMON STOCK</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OF</w:t>
      </w:r>
    </w:p>
    <w:p>
      <w:pPr>
        <w:spacing w:after="0" w:line="161"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INTEGRATED SENSOR SOLUTIONS, INC.</w:t>
      </w:r>
    </w:p>
    <w:p>
      <w:pPr>
        <w:spacing w:after="0" w:line="3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AT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$8.05 NET PER SHARE</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BY</w:t>
      </w:r>
    </w:p>
    <w:p>
      <w:pPr>
        <w:spacing w:after="0" w:line="16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SENSOR ACQUISITION CORPORATION</w:t>
      </w:r>
    </w:p>
    <w:p>
      <w:pPr>
        <w:spacing w:after="0" w:line="3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 DIRECT WHOLLY-OWNED SUBSIDIARY</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OF</w:t>
      </w:r>
    </w:p>
    <w:p>
      <w:pPr>
        <w:spacing w:after="0" w:line="16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TEXAS INSTRUMENTS INCORPORATED</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THE OFFER AND WITHDRAWAL RIGHTS WILL EXPIRE AT 12:00 MIDNIGHT, NEW YORK CITY</w:t>
      </w:r>
    </w:p>
    <w:p>
      <w:pPr>
        <w:spacing w:after="0" w:line="3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TIME, ON FRIDAY, JUNE 4, 1999, UNLESS THE OFFER IS EXTENDED.</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Our Clients:</w:t>
      </w:r>
    </w:p>
    <w:p>
      <w:pPr>
        <w:spacing w:after="0" w:line="191" w:lineRule="exact"/>
        <w:rPr>
          <w:sz w:val="20"/>
          <w:szCs w:val="20"/>
          <w:color w:val="auto"/>
        </w:rPr>
      </w:pPr>
    </w:p>
    <w:p>
      <w:pPr>
        <w:ind w:right="2459" w:firstLine="484"/>
        <w:spacing w:after="0" w:line="253" w:lineRule="auto"/>
        <w:rPr>
          <w:sz w:val="20"/>
          <w:szCs w:val="20"/>
          <w:color w:val="auto"/>
        </w:rPr>
      </w:pPr>
      <w:r>
        <w:rPr>
          <w:rFonts w:ascii="Courier New" w:cs="Courier New" w:eastAsia="Courier New" w:hAnsi="Courier New"/>
          <w:sz w:val="16"/>
          <w:szCs w:val="16"/>
          <w:color w:val="auto"/>
        </w:rPr>
        <w:t>Enclosed for your consideration are the Offer to Purchase dated May 7, 1999 (the "Offer to Purchase") and the related Letter of Transmittal (which, together with any amendments and supplements thereto, collectively constitute the "Offer") and other materials relating to the Offer by Sensor Acquisition Corporation (the "Purchaser"), a Delaware corporation and a direct wholly-owned subsidiary of Texas Instruments Incorporated, a Delaware corporation ("Parent"), to purchase all outstanding shares of common stock, par value $.001 per share (the "Shares"), of Integrated Sensor Solutions, Inc., a Delaware corporation (the "Company"), at $8.05 per Share, net to the seller in cash, without interest, upon the terms and subject to the conditions set forth in the Offer. Also enclosed is the letter to stockholders of the Company from the Chairman of the Board and Chief Executive Officer of the Company accompanied by the Company's Solicitation/Recommendation Statement on Schedule 14D-9. This material is being sent to you as the beneficial owner of Shares held by us for your account but not registered in your name. A tender of such Shares can be made only by us as the holder of record and pursuant to your instructions. The Letter of Transmittal accompanying this letter is furnished to you for your information only and cannot be used by you to tender Shares held by us for your account.</w:t>
      </w:r>
    </w:p>
    <w:p>
      <w:pPr>
        <w:spacing w:after="0" w:line="101" w:lineRule="exact"/>
        <w:rPr>
          <w:sz w:val="20"/>
          <w:szCs w:val="20"/>
          <w:color w:val="auto"/>
        </w:rPr>
      </w:pPr>
    </w:p>
    <w:p>
      <w:pPr>
        <w:ind w:right="2459" w:firstLine="484"/>
        <w:spacing w:after="0" w:line="307" w:lineRule="auto"/>
        <w:rPr>
          <w:sz w:val="20"/>
          <w:szCs w:val="20"/>
          <w:color w:val="auto"/>
        </w:rPr>
      </w:pPr>
      <w:r>
        <w:rPr>
          <w:rFonts w:ascii="Courier New" w:cs="Courier New" w:eastAsia="Courier New" w:hAnsi="Courier New"/>
          <w:sz w:val="16"/>
          <w:szCs w:val="16"/>
          <w:color w:val="auto"/>
        </w:rPr>
        <w:t>We request instructions as to whether you wish to have us tender any or all of the Shares held by us for your account, upon the terms and subject to the conditions set forth in the Offer.</w:t>
      </w:r>
    </w:p>
    <w:p>
      <w:pPr>
        <w:spacing w:after="0" w:line="50"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Your attention is directed to the following:</w:t>
      </w:r>
    </w:p>
    <w:p>
      <w:pPr>
        <w:spacing w:after="0" w:line="191" w:lineRule="exact"/>
        <w:rPr>
          <w:sz w:val="20"/>
          <w:szCs w:val="20"/>
          <w:color w:val="auto"/>
        </w:rPr>
      </w:pPr>
    </w:p>
    <w:p>
      <w:pPr>
        <w:ind w:left="480" w:right="2859" w:firstLine="488"/>
        <w:spacing w:after="0" w:line="307" w:lineRule="auto"/>
        <w:tabs>
          <w:tab w:leader="none" w:pos="1255"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tender price is $8.05 per Share, net to the seller in cash, without interest, upon the terms and subject to the conditions of the Offer.</w:t>
      </w:r>
    </w:p>
    <w:p>
      <w:pPr>
        <w:spacing w:after="0" w:line="49" w:lineRule="exact"/>
        <w:rPr>
          <w:rFonts w:ascii="Courier New" w:cs="Courier New" w:eastAsia="Courier New" w:hAnsi="Courier New"/>
          <w:sz w:val="16"/>
          <w:szCs w:val="16"/>
          <w:color w:val="auto"/>
        </w:rPr>
      </w:pPr>
    </w:p>
    <w:p>
      <w:pPr>
        <w:ind w:left="480" w:right="2559" w:firstLine="488"/>
        <w:spacing w:after="0" w:line="367" w:lineRule="auto"/>
        <w:tabs>
          <w:tab w:leader="none" w:pos="1255"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Offer and withdrawal rights will expire at 12:00 Midnight, New York City time, on Friday, June 4, 1999, unless the Offer is extended.</w:t>
      </w:r>
    </w:p>
    <w:p>
      <w:pPr>
        <w:spacing w:after="0" w:line="4" w:lineRule="exact"/>
        <w:rPr>
          <w:rFonts w:ascii="Courier New" w:cs="Courier New" w:eastAsia="Courier New" w:hAnsi="Courier New"/>
          <w:sz w:val="16"/>
          <w:szCs w:val="16"/>
          <w:color w:val="auto"/>
        </w:rPr>
      </w:pPr>
    </w:p>
    <w:p>
      <w:pPr>
        <w:ind w:left="480" w:right="2459" w:firstLine="488"/>
        <w:spacing w:after="0" w:line="261" w:lineRule="auto"/>
        <w:tabs>
          <w:tab w:leader="none" w:pos="1255"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Offer is being made pursuant to an Agreement and Plan of Merger, dated as of May 3, 1999 (the "Merger Agreement"), by and among the Company, Parent, and the Purchaser. The Merger Agreement provides that, among other things, following the consummation of the Offer and the satisfaction or waiver of the other conditions set forth in the Merger Agreement, the Purchaser will be merged with and into the Company (the "Merger"). Following the Merger, the Company will continue as the surviving corporation and will be a direct wholly-owned subsidiary of Parent. At the effective time</w:t>
      </w:r>
    </w:p>
    <w:p>
      <w:pPr>
        <w:sectPr>
          <w:pgSz w:w="11900" w:h="16838" w:orient="portrait"/>
          <w:cols w:equalWidth="0" w:num="1">
            <w:col w:w="10219"/>
          </w:cols>
          <w:pgMar w:left="240" w:top="112" w:right="1440" w:bottom="1440" w:gutter="0" w:footer="0" w:header="0"/>
        </w:sectPr>
      </w:pPr>
    </w:p>
    <w:bookmarkStart w:id="64" w:name="page65"/>
    <w:bookmarkEnd w:id="64"/>
    <w:p>
      <w:pPr>
        <w:ind w:left="300"/>
        <w:spacing w:after="0"/>
        <w:rPr>
          <w:sz w:val="20"/>
          <w:szCs w:val="20"/>
          <w:color w:val="auto"/>
        </w:rPr>
      </w:pPr>
      <w:r>
        <w:rPr>
          <w:rFonts w:ascii="Courier New" w:cs="Courier New" w:eastAsia="Courier New" w:hAnsi="Courier New"/>
          <w:sz w:val="16"/>
          <w:szCs w:val="16"/>
          <w:color w:val="auto"/>
        </w:rPr>
        <w:t>2</w:t>
      </w:r>
    </w:p>
    <w:p>
      <w:pPr>
        <w:spacing w:after="0" w:line="191" w:lineRule="exact"/>
        <w:rPr>
          <w:sz w:val="20"/>
          <w:szCs w:val="20"/>
          <w:color w:val="auto"/>
        </w:rPr>
      </w:pPr>
    </w:p>
    <w:p>
      <w:pPr>
        <w:ind w:left="480" w:right="2659"/>
        <w:spacing w:after="0" w:line="276" w:lineRule="auto"/>
        <w:rPr>
          <w:sz w:val="20"/>
          <w:szCs w:val="20"/>
          <w:color w:val="auto"/>
        </w:rPr>
      </w:pPr>
      <w:r>
        <w:rPr>
          <w:rFonts w:ascii="Courier New" w:cs="Courier New" w:eastAsia="Courier New" w:hAnsi="Courier New"/>
          <w:sz w:val="16"/>
          <w:szCs w:val="16"/>
          <w:color w:val="auto"/>
        </w:rPr>
        <w:t>of the Merger, each outstanding Share (other than Shares owned by Parent, the Purchaser, or any of their respective affiliates or held by stockholders who have demanded and perfected dissenter's rights under Delaware law) will be converted into the right to receive the per Share price paid in the Offer, without interest.</w:t>
      </w:r>
    </w:p>
    <w:p>
      <w:pPr>
        <w:spacing w:after="0" w:line="76" w:lineRule="exact"/>
        <w:rPr>
          <w:sz w:val="20"/>
          <w:szCs w:val="20"/>
          <w:color w:val="auto"/>
        </w:rPr>
      </w:pPr>
    </w:p>
    <w:p>
      <w:pPr>
        <w:ind w:left="480" w:right="2459" w:firstLine="488"/>
        <w:spacing w:after="0" w:line="260" w:lineRule="auto"/>
        <w:tabs>
          <w:tab w:leader="none" w:pos="1255"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Concurrently with the execution of the Merger Agreement, the Purchaser entered into a Stockholders Agreement dated as of May 3, 1999 (the "Stockholders Agreement") with Manher D. Naik, Donald Paulus, Ramesh Sirsi, David Satterfield, Nagano Keiki Co., Ltd., Breed Technologies, Inc., WK Technology Funds, and Vinod K. Sood, Sood Family Trust dated 5/14/90 (collectively, the "Selling Stockholders"), who own, in the aggregate, 1,948,480 Shares (or approximately 22.3% of the outstanding Shares calculated on a fully diluted basis. Pursuant to the Stockholders Agreement, the Selling Stockholders have agreed to validly tender and not withdraw all Shares beneficially owned by them in the Offer.</w:t>
      </w:r>
    </w:p>
    <w:p>
      <w:pPr>
        <w:spacing w:after="0" w:line="86" w:lineRule="exact"/>
        <w:rPr>
          <w:rFonts w:ascii="Courier New" w:cs="Courier New" w:eastAsia="Courier New" w:hAnsi="Courier New"/>
          <w:sz w:val="16"/>
          <w:szCs w:val="16"/>
          <w:color w:val="auto"/>
        </w:rPr>
      </w:pPr>
    </w:p>
    <w:p>
      <w:pPr>
        <w:ind w:left="480" w:right="2559" w:firstLine="488"/>
        <w:spacing w:after="0" w:line="276" w:lineRule="auto"/>
        <w:tabs>
          <w:tab w:leader="none" w:pos="1255"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of the Company has unanimously approved the Merger Agreement, the Offer, and the Merger, has determined that the Offer and the Merger are fair to, advisable, and in the best interests of the stockholders of the Company, and unanimously recommends that the Company's stockholders accept the Offer and tender their Shares in the Offer.</w:t>
      </w:r>
    </w:p>
    <w:p>
      <w:pPr>
        <w:spacing w:after="0" w:line="75" w:lineRule="exact"/>
        <w:rPr>
          <w:rFonts w:ascii="Courier New" w:cs="Courier New" w:eastAsia="Courier New" w:hAnsi="Courier New"/>
          <w:sz w:val="16"/>
          <w:szCs w:val="16"/>
          <w:color w:val="auto"/>
        </w:rPr>
      </w:pPr>
    </w:p>
    <w:p>
      <w:pPr>
        <w:ind w:left="480" w:right="2459" w:firstLine="488"/>
        <w:spacing w:after="0" w:line="256" w:lineRule="auto"/>
        <w:tabs>
          <w:tab w:leader="none" w:pos="1255"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Offer is conditioned upon, among other things, there being validly tendered and not withdrawn prior to the expiration of the Offer, that number of Shares which, together with any Shares beneficially owned by Parent or the Purchaser, represent at least a majority of the Shares outstanding on a fully diluted basis. Subject to the terms of the Merger Agreement, the Offer is also subject to other terms and conditions set forth in the Offer to Purchase. Pursuant to the Merger Agreement, the Purchaser has agreed to extend the Offer from time to time until October 31, 1999 (as such date may be extended pursuant to the terms of the Merger Agreement), if at the initial Expiration Date (as defined in the Offer to Purchase), or any extension thereof, all conditions to the Offer have not been satisfied or waived; provided that all such conditions are reasonably capable of being satisfied prior to October 31, 1999. Any or all conditions to the Offer may be waived by the Purchaser.</w:t>
      </w:r>
    </w:p>
    <w:p>
      <w:pPr>
        <w:spacing w:after="0" w:line="88" w:lineRule="exact"/>
        <w:rPr>
          <w:rFonts w:ascii="Courier New" w:cs="Courier New" w:eastAsia="Courier New" w:hAnsi="Courier New"/>
          <w:sz w:val="16"/>
          <w:szCs w:val="16"/>
          <w:color w:val="auto"/>
        </w:rPr>
      </w:pPr>
    </w:p>
    <w:p>
      <w:pPr>
        <w:jc w:val="both"/>
        <w:ind w:left="480" w:right="2759" w:firstLine="488"/>
        <w:spacing w:after="0" w:line="307" w:lineRule="auto"/>
        <w:tabs>
          <w:tab w:leader="none" w:pos="1255"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stock transfer taxes applicable to the sale of Shares to the Purchaser pursuant to the Offer will be paid by the Purchaser, except as otherwise provided in Instruction 6 of the Letter of Transmittal.</w:t>
      </w:r>
    </w:p>
    <w:p>
      <w:pPr>
        <w:spacing w:after="0" w:line="50" w:lineRule="exact"/>
        <w:rPr>
          <w:sz w:val="20"/>
          <w:szCs w:val="20"/>
          <w:color w:val="auto"/>
        </w:rPr>
      </w:pPr>
    </w:p>
    <w:p>
      <w:pPr>
        <w:ind w:right="2459" w:firstLine="484"/>
        <w:spacing w:after="0" w:line="261" w:lineRule="auto"/>
        <w:rPr>
          <w:sz w:val="20"/>
          <w:szCs w:val="20"/>
          <w:color w:val="auto"/>
        </w:rPr>
      </w:pPr>
      <w:r>
        <w:rPr>
          <w:rFonts w:ascii="Courier New" w:cs="Courier New" w:eastAsia="Courier New" w:hAnsi="Courier New"/>
          <w:sz w:val="16"/>
          <w:szCs w:val="16"/>
          <w:color w:val="auto"/>
        </w:rPr>
        <w:t>In order to tender Shares pursuant to the Offer, a properly completed and duly executed Letter of Transmittal (or facsimile thereof), with any required signature guarantees, or, in the case of any book-entry transfer, an Agent's Message (as defined in the Offer to Purchase), and any other documents required by the Letter of Transmittal, should be sent to the Depositary, and either certificates representing the tendered Shares should be delivered or such Shares must be delivered to the Depositary pursuant to the procedures for book-entry transfers, all in accordance with the instructions set forth in the Letter of Transmittal and the Offer to Purchase.</w:t>
      </w:r>
    </w:p>
    <w:p>
      <w:pPr>
        <w:spacing w:after="0" w:line="89" w:lineRule="exact"/>
        <w:rPr>
          <w:sz w:val="20"/>
          <w:szCs w:val="20"/>
          <w:color w:val="auto"/>
        </w:rPr>
      </w:pPr>
    </w:p>
    <w:p>
      <w:pPr>
        <w:ind w:right="2459" w:firstLine="484"/>
        <w:spacing w:after="0" w:line="287" w:lineRule="auto"/>
        <w:rPr>
          <w:sz w:val="20"/>
          <w:szCs w:val="20"/>
          <w:color w:val="auto"/>
        </w:rPr>
      </w:pPr>
      <w:r>
        <w:rPr>
          <w:rFonts w:ascii="Courier New" w:cs="Courier New" w:eastAsia="Courier New" w:hAnsi="Courier New"/>
          <w:sz w:val="16"/>
          <w:szCs w:val="16"/>
          <w:color w:val="auto"/>
        </w:rPr>
        <w:t>The Offer is being made to all holders of Shares. The Offer is not being made to, nor will tenders be accepted from or on behalf of, holders of Shares in any jurisdiction in which the making of the Offer or acceptance thereof would not be in compliance with the laws of such jurisdiction.</w:t>
      </w:r>
    </w:p>
    <w:p>
      <w:pPr>
        <w:spacing w:after="0" w:line="65" w:lineRule="exact"/>
        <w:rPr>
          <w:sz w:val="20"/>
          <w:szCs w:val="20"/>
          <w:color w:val="auto"/>
        </w:rPr>
      </w:pPr>
    </w:p>
    <w:p>
      <w:pPr>
        <w:ind w:right="2459" w:firstLine="484"/>
        <w:spacing w:after="0" w:line="266" w:lineRule="auto"/>
        <w:rPr>
          <w:sz w:val="20"/>
          <w:szCs w:val="20"/>
          <w:color w:val="auto"/>
        </w:rPr>
      </w:pPr>
      <w:r>
        <w:rPr>
          <w:rFonts w:ascii="Courier New" w:cs="Courier New" w:eastAsia="Courier New" w:hAnsi="Courier New"/>
          <w:sz w:val="16"/>
          <w:szCs w:val="16"/>
          <w:color w:val="auto"/>
        </w:rPr>
        <w:t>If you wish to have us tender any or all of the Shares held by us for your account, please so instruct us by completing, executing, and returning to us the instruction form set forth below. Please forward your instructions to us in ample time to permit us to submit a tender on your behalf prior to the expiration of the Offer. If you authorize the tender of your Shares, all such Shares will be tendered unless otherwise specified on the instruction form set forth below.</w:t>
      </w:r>
    </w:p>
    <w:p>
      <w:pPr>
        <w:sectPr>
          <w:pgSz w:w="11900" w:h="16838" w:orient="portrait"/>
          <w:cols w:equalWidth="0" w:num="1">
            <w:col w:w="10219"/>
          </w:cols>
          <w:pgMar w:left="240" w:top="273" w:right="1440" w:bottom="1440" w:gutter="0" w:footer="0" w:header="0"/>
        </w:sectPr>
      </w:pPr>
    </w:p>
    <w:bookmarkStart w:id="65" w:name="page66"/>
    <w:bookmarkEnd w:id="65"/>
    <w:p>
      <w:pPr>
        <w:ind w:left="301"/>
        <w:spacing w:after="0"/>
        <w:rPr>
          <w:sz w:val="20"/>
          <w:szCs w:val="20"/>
          <w:color w:val="auto"/>
        </w:rPr>
      </w:pPr>
      <w:r>
        <w:rPr>
          <w:rFonts w:ascii="Courier New" w:cs="Courier New" w:eastAsia="Courier New" w:hAnsi="Courier New"/>
          <w:sz w:val="16"/>
          <w:szCs w:val="16"/>
          <w:color w:val="auto"/>
        </w:rPr>
        <w:t>3</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INSTRUCTIONS IN RESPECT OF</w:t>
      </w:r>
    </w:p>
    <w:p>
      <w:pPr>
        <w:spacing w:after="0" w:line="3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OFFER TO PURCHASE FOR CASH</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ALL OUTSTANDING SHARES OF COMMON STOCK</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OF</w:t>
      </w:r>
    </w:p>
    <w:p>
      <w:pPr>
        <w:spacing w:after="0" w:line="161" w:lineRule="exact"/>
        <w:rPr>
          <w:sz w:val="20"/>
          <w:szCs w:val="20"/>
          <w:color w:val="auto"/>
        </w:rPr>
      </w:pPr>
    </w:p>
    <w:p>
      <w:pPr>
        <w:ind w:left="2221"/>
        <w:spacing w:after="0"/>
        <w:rPr>
          <w:sz w:val="20"/>
          <w:szCs w:val="20"/>
          <w:color w:val="auto"/>
        </w:rPr>
      </w:pPr>
      <w:r>
        <w:rPr>
          <w:rFonts w:ascii="Courier New" w:cs="Courier New" w:eastAsia="Courier New" w:hAnsi="Courier New"/>
          <w:sz w:val="16"/>
          <w:szCs w:val="16"/>
          <w:color w:val="auto"/>
        </w:rPr>
        <w:t>INTEGRATED SENSOR SOLUTIONS, INC.</w:t>
      </w:r>
    </w:p>
    <w:p>
      <w:pPr>
        <w:spacing w:after="0" w:line="3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AT</w:t>
      </w:r>
    </w:p>
    <w:p>
      <w:pPr>
        <w:spacing w:after="0" w:line="5" w:lineRule="exact"/>
        <w:rPr>
          <w:sz w:val="20"/>
          <w:szCs w:val="20"/>
          <w:color w:val="auto"/>
        </w:rPr>
      </w:pPr>
    </w:p>
    <w:p>
      <w:pPr>
        <w:ind w:left="2901"/>
        <w:spacing w:after="0"/>
        <w:rPr>
          <w:sz w:val="20"/>
          <w:szCs w:val="20"/>
          <w:color w:val="auto"/>
        </w:rPr>
      </w:pPr>
      <w:r>
        <w:rPr>
          <w:rFonts w:ascii="Courier New" w:cs="Courier New" w:eastAsia="Courier New" w:hAnsi="Courier New"/>
          <w:sz w:val="16"/>
          <w:szCs w:val="16"/>
          <w:color w:val="auto"/>
        </w:rPr>
        <w:t>$8.05 NET PER SHARE</w:t>
      </w:r>
    </w:p>
    <w:p>
      <w:pPr>
        <w:spacing w:after="0" w:line="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BY</w:t>
      </w:r>
    </w:p>
    <w:p>
      <w:pPr>
        <w:spacing w:after="0" w:line="16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SENSOR ACQUISITION CORPORATION</w:t>
      </w:r>
    </w:p>
    <w:p>
      <w:pPr>
        <w:spacing w:after="0" w:line="3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 DIRECT WHOLLY-OWNED SUBSIDIARY</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OF</w:t>
      </w:r>
    </w:p>
    <w:p>
      <w:pPr>
        <w:spacing w:after="0" w:line="16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TEXAS INSTRUMENTS INCORPORATED</w:t>
      </w:r>
    </w:p>
    <w:p>
      <w:pPr>
        <w:spacing w:after="0" w:line="191" w:lineRule="exact"/>
        <w:rPr>
          <w:sz w:val="20"/>
          <w:szCs w:val="20"/>
          <w:color w:val="auto"/>
        </w:rPr>
      </w:pPr>
    </w:p>
    <w:p>
      <w:pPr>
        <w:ind w:left="1" w:right="2559" w:firstLine="484"/>
        <w:spacing w:after="0" w:line="266" w:lineRule="auto"/>
        <w:rPr>
          <w:sz w:val="20"/>
          <w:szCs w:val="20"/>
          <w:color w:val="auto"/>
        </w:rPr>
      </w:pPr>
      <w:r>
        <w:rPr>
          <w:rFonts w:ascii="Courier New" w:cs="Courier New" w:eastAsia="Courier New" w:hAnsi="Courier New"/>
          <w:sz w:val="16"/>
          <w:szCs w:val="16"/>
          <w:color w:val="auto"/>
        </w:rPr>
        <w:t>The undersigned acknowledge(s) receipt of your letter and the enclosed Offer to Purchase dated May 7, 1999 and the related Letter of Transmittal, in connection with the offer by Sensor Acquisition Corporation, a Delaware corporation and a direct wholly-owned subsidiary of Texas Instruments Incorporated, a Delaware corporation, to purchase for cash all outstanding shares of common stock, par value $.001 per share (the "Shares"), of Integrated Sensor Solutions, Inc., a Delaware corporation.</w:t>
      </w:r>
    </w:p>
    <w:p>
      <w:pPr>
        <w:spacing w:after="0" w:line="85" w:lineRule="exact"/>
        <w:rPr>
          <w:sz w:val="20"/>
          <w:szCs w:val="20"/>
          <w:color w:val="auto"/>
        </w:rPr>
      </w:pPr>
    </w:p>
    <w:p>
      <w:pPr>
        <w:ind w:left="1" w:right="2659" w:firstLine="484"/>
        <w:spacing w:after="0" w:line="287" w:lineRule="auto"/>
        <w:rPr>
          <w:sz w:val="20"/>
          <w:szCs w:val="20"/>
          <w:color w:val="auto"/>
        </w:rPr>
      </w:pPr>
      <w:r>
        <w:rPr>
          <w:rFonts w:ascii="Courier New" w:cs="Courier New" w:eastAsia="Courier New" w:hAnsi="Courier New"/>
          <w:sz w:val="16"/>
          <w:szCs w:val="16"/>
          <w:color w:val="auto"/>
        </w:rPr>
        <w:t>This instruction form will instruct you to tender the number of Shares indicated below (or if no number is indicated below, all Shares) that are held by you for the account of the undersigned, upon the terms and subject to the conditions set forth in the Offer and the related Letter of Transmittal.</w:t>
      </w:r>
    </w:p>
    <w:p>
      <w:pPr>
        <w:spacing w:after="0" w:line="65"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Dated: ________________________, 1999.</w:t>
      </w:r>
    </w:p>
    <w:p>
      <w:pPr>
        <w:spacing w:after="0" w:line="191" w:lineRule="exact"/>
        <w:rPr>
          <w:sz w:val="20"/>
          <w:szCs w:val="20"/>
          <w:color w:val="auto"/>
        </w:rPr>
      </w:pPr>
    </w:p>
    <w:p>
      <w:pPr>
        <w:ind w:left="2321"/>
        <w:spacing w:after="0"/>
        <w:rPr>
          <w:sz w:val="20"/>
          <w:szCs w:val="20"/>
          <w:color w:val="auto"/>
        </w:rPr>
      </w:pPr>
      <w:r>
        <w:rPr>
          <w:rFonts w:ascii="Courier New" w:cs="Courier New" w:eastAsia="Courier New" w:hAnsi="Courier New"/>
          <w:sz w:val="16"/>
          <w:szCs w:val="16"/>
          <w:color w:val="auto"/>
        </w:rPr>
        <w:t>NUMBER OF SHARES TO BE TENDERED:</w:t>
      </w:r>
    </w:p>
    <w:p>
      <w:pPr>
        <w:spacing w:after="0" w:line="191" w:lineRule="exact"/>
        <w:rPr>
          <w:sz w:val="20"/>
          <w:szCs w:val="20"/>
          <w:color w:val="auto"/>
        </w:rPr>
      </w:pPr>
    </w:p>
    <w:p>
      <w:pPr>
        <w:ind w:left="2321"/>
        <w:spacing w:after="0"/>
        <w:rPr>
          <w:sz w:val="20"/>
          <w:szCs w:val="20"/>
          <w:color w:val="auto"/>
        </w:rPr>
      </w:pPr>
      <w:r>
        <w:rPr>
          <w:rFonts w:ascii="Courier New" w:cs="Courier New" w:eastAsia="Courier New" w:hAnsi="Courier New"/>
          <w:sz w:val="16"/>
          <w:szCs w:val="16"/>
          <w:color w:val="auto"/>
        </w:rPr>
        <w:t>________________________ SHARES*</w:t>
      </w:r>
    </w:p>
    <w:p>
      <w:pPr>
        <w:spacing w:after="0" w:line="191" w:lineRule="exact"/>
        <w:rPr>
          <w:sz w:val="20"/>
          <w:szCs w:val="20"/>
          <w:color w:val="auto"/>
        </w:rPr>
      </w:pPr>
    </w:p>
    <w:p>
      <w:pPr>
        <w:ind w:left="201" w:hanging="201"/>
        <w:spacing w:after="0"/>
        <w:tabs>
          <w:tab w:leader="none" w:pos="201"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 w:lineRule="exact"/>
        <w:rPr>
          <w:rFonts w:ascii="Courier New" w:cs="Courier New" w:eastAsia="Courier New" w:hAnsi="Courier New"/>
          <w:sz w:val="16"/>
          <w:szCs w:val="16"/>
          <w:color w:val="auto"/>
        </w:rPr>
      </w:pPr>
    </w:p>
    <w:p>
      <w:pPr>
        <w:ind w:left="33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Signature(s)</w:t>
      </w:r>
    </w:p>
    <w:p>
      <w:pPr>
        <w:spacing w:after="0" w:line="16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 w:lineRule="exact"/>
        <w:rPr>
          <w:rFonts w:ascii="Courier New" w:cs="Courier New" w:eastAsia="Courier New" w:hAnsi="Courier New"/>
          <w:sz w:val="16"/>
          <w:szCs w:val="16"/>
          <w:color w:val="auto"/>
        </w:rPr>
      </w:pPr>
    </w:p>
    <w:p>
      <w:pPr>
        <w:ind w:left="25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Please Type or Print Name(s)</w:t>
      </w:r>
    </w:p>
    <w:p>
      <w:pPr>
        <w:spacing w:after="0" w:line="16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 w:lineRule="exact"/>
        <w:rPr>
          <w:rFonts w:ascii="Courier New" w:cs="Courier New" w:eastAsia="Courier New" w:hAnsi="Courier New"/>
          <w:sz w:val="16"/>
          <w:szCs w:val="16"/>
          <w:color w:val="auto"/>
        </w:rPr>
      </w:pPr>
    </w:p>
    <w:p>
      <w:pPr>
        <w:ind w:left="23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Please Type or Print Address(es)</w:t>
      </w:r>
    </w:p>
    <w:p>
      <w:pPr>
        <w:spacing w:after="0" w:line="16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 w:lineRule="exact"/>
        <w:rPr>
          <w:rFonts w:ascii="Courier New" w:cs="Courier New" w:eastAsia="Courier New" w:hAnsi="Courier New"/>
          <w:sz w:val="16"/>
          <w:szCs w:val="16"/>
          <w:color w:val="auto"/>
        </w:rPr>
      </w:pPr>
    </w:p>
    <w:p>
      <w:pPr>
        <w:ind w:left="22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Area Code and Telephone Number(s)</w:t>
      </w:r>
    </w:p>
    <w:p>
      <w:pPr>
        <w:spacing w:after="0" w:line="16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 w:lineRule="exact"/>
        <w:rPr>
          <w:rFonts w:ascii="Courier New" w:cs="Courier New" w:eastAsia="Courier New" w:hAnsi="Courier New"/>
          <w:sz w:val="16"/>
          <w:szCs w:val="16"/>
          <w:color w:val="auto"/>
        </w:rPr>
      </w:pPr>
    </w:p>
    <w:p>
      <w:pPr>
        <w:ind w:left="15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Tax Identification or Social Security Number(s)</w:t>
      </w:r>
    </w:p>
    <w:p>
      <w:pPr>
        <w:spacing w:after="0" w:line="161" w:lineRule="exact"/>
        <w:rPr>
          <w:sz w:val="20"/>
          <w:szCs w:val="20"/>
          <w:color w:val="auto"/>
        </w:rPr>
      </w:pPr>
    </w:p>
    <w:p>
      <w:pPr>
        <w:ind w:left="201" w:right="2459" w:hanging="201"/>
        <w:spacing w:after="0" w:line="307" w:lineRule="auto"/>
        <w:tabs>
          <w:tab w:leader="none" w:pos="201"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(We) understand that if I (we) sign this instruction form without indicating a lesser number of Shares in the space above, all Shares held by you for my (our) account will be tendered.</w:t>
      </w:r>
    </w:p>
    <w:p>
      <w:pPr>
        <w:sectPr>
          <w:pgSz w:w="11900" w:h="16838" w:orient="portrait"/>
          <w:cols w:equalWidth="0" w:num="1">
            <w:col w:w="10220"/>
          </w:cols>
          <w:pgMar w:left="239" w:top="273" w:right="1440" w:bottom="1440" w:gutter="0" w:footer="0" w:header="0"/>
        </w:sectPr>
      </w:pPr>
    </w:p>
    <w:bookmarkStart w:id="66" w:name="page67"/>
    <w:bookmarkEnd w:id="66"/>
    <w:p>
      <w:pPr>
        <w:ind w:left="301"/>
        <w:spacing w:after="0"/>
        <w:rPr>
          <w:sz w:val="20"/>
          <w:szCs w:val="20"/>
          <w:color w:val="auto"/>
        </w:rPr>
      </w:pPr>
      <w:r>
        <w:rPr>
          <w:rFonts w:ascii="Courier New" w:cs="Courier New" w:eastAsia="Courier New" w:hAnsi="Courier New"/>
          <w:sz w:val="16"/>
          <w:szCs w:val="16"/>
          <w:color w:val="auto"/>
        </w:rPr>
        <w:t>1</w:t>
      </w:r>
    </w:p>
    <w:p>
      <w:pPr>
        <w:spacing w:after="0" w:line="191" w:lineRule="exact"/>
        <w:rPr>
          <w:sz w:val="20"/>
          <w:szCs w:val="20"/>
          <w:color w:val="auto"/>
        </w:rPr>
      </w:pPr>
    </w:p>
    <w:p>
      <w:pPr>
        <w:ind w:left="6101"/>
        <w:spacing w:after="0"/>
        <w:rPr>
          <w:sz w:val="20"/>
          <w:szCs w:val="20"/>
          <w:color w:val="auto"/>
        </w:rPr>
      </w:pPr>
      <w:r>
        <w:rPr>
          <w:rFonts w:ascii="Courier New" w:cs="Courier New" w:eastAsia="Courier New" w:hAnsi="Courier New"/>
          <w:sz w:val="16"/>
          <w:szCs w:val="16"/>
          <w:color w:val="auto"/>
        </w:rPr>
        <w:t>EXHIBIT 99.(a)(6)</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GUIDELINES FOR CERTIFICATION OF TAXPAYER IDENTIFICATION</w:t>
      </w:r>
    </w:p>
    <w:p>
      <w:pPr>
        <w:spacing w:after="0" w:line="3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NUMBER ON SUBSTITUTE FORM W-9</w:t>
      </w:r>
    </w:p>
    <w:p>
      <w:pPr>
        <w:spacing w:after="0" w:line="161" w:lineRule="exact"/>
        <w:rPr>
          <w:sz w:val="20"/>
          <w:szCs w:val="20"/>
          <w:color w:val="auto"/>
        </w:rPr>
      </w:pPr>
    </w:p>
    <w:p>
      <w:pPr>
        <w:ind w:left="1" w:right="2959"/>
        <w:spacing w:after="0" w:line="266" w:lineRule="auto"/>
        <w:rPr>
          <w:sz w:val="20"/>
          <w:szCs w:val="20"/>
          <w:color w:val="auto"/>
        </w:rPr>
      </w:pPr>
      <w:r>
        <w:rPr>
          <w:rFonts w:ascii="Courier New" w:cs="Courier New" w:eastAsia="Courier New" w:hAnsi="Courier New"/>
          <w:sz w:val="16"/>
          <w:szCs w:val="16"/>
          <w:color w:val="auto"/>
        </w:rPr>
        <w:t>GUIDELINES FOR DETERMINING THE PROPER IDENTIFICATION NUMBER TO GIVE THE PAYER -- Social Security numbers have nine digits separated by two hyphens:</w:t>
      </w:r>
    </w:p>
    <w:p>
      <w:pPr>
        <w:spacing w:after="0" w:line="1" w:lineRule="exact"/>
        <w:rPr>
          <w:sz w:val="20"/>
          <w:szCs w:val="20"/>
          <w:color w:val="auto"/>
        </w:rPr>
      </w:pPr>
    </w:p>
    <w:p>
      <w:pPr>
        <w:ind w:left="1" w:right="2459"/>
        <w:spacing w:after="0" w:line="287" w:lineRule="auto"/>
        <w:rPr>
          <w:sz w:val="20"/>
          <w:szCs w:val="20"/>
          <w:color w:val="auto"/>
        </w:rPr>
      </w:pPr>
      <w:r>
        <w:rPr>
          <w:rFonts w:ascii="Courier New" w:cs="Courier New" w:eastAsia="Courier New" w:hAnsi="Courier New"/>
          <w:sz w:val="16"/>
          <w:szCs w:val="16"/>
          <w:color w:val="auto"/>
        </w:rPr>
        <w:t>i.e., 000-00-0000. Employer identification numbers have nine digits separated by only one hyphen: i.e., 00-0000000. The table below will help determine the name and number to give the payer.</w:t>
      </w:r>
    </w:p>
    <w:p>
      <w:pPr>
        <w:spacing w:after="0" w:line="200" w:lineRule="exact"/>
        <w:rPr>
          <w:sz w:val="20"/>
          <w:szCs w:val="20"/>
          <w:color w:val="auto"/>
        </w:rPr>
      </w:pPr>
    </w:p>
    <w:p>
      <w:pPr>
        <w:spacing w:after="0" w:line="23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35" w:lineRule="exact"/>
        <w:rPr>
          <w:sz w:val="20"/>
          <w:szCs w:val="20"/>
          <w:color w:val="auto"/>
        </w:rPr>
      </w:pPr>
    </w:p>
    <w:p>
      <w:pPr>
        <w:jc w:val="center"/>
        <w:ind w:right="5459"/>
        <w:spacing w:after="0"/>
        <w:tabs>
          <w:tab w:leader="none" w:pos="860" w:val="left"/>
        </w:tabs>
        <w:rPr>
          <w:sz w:val="20"/>
          <w:szCs w:val="20"/>
          <w:color w:val="auto"/>
        </w:rPr>
      </w:pPr>
      <w:r>
        <w:rPr>
          <w:rFonts w:ascii="Courier New" w:cs="Courier New" w:eastAsia="Courier New" w:hAnsi="Courier New"/>
          <w:sz w:val="16"/>
          <w:szCs w:val="16"/>
          <w:color w:val="auto"/>
        </w:rPr>
        <w:t>FOR THIS TYPE OF ACCOUNT:</w:t>
      </w:r>
      <w:r>
        <w:rPr>
          <w:sz w:val="20"/>
          <w:szCs w:val="20"/>
          <w:color w:val="auto"/>
        </w:rPr>
        <w:tab/>
      </w:r>
      <w:r>
        <w:rPr>
          <w:rFonts w:ascii="Courier New" w:cs="Courier New" w:eastAsia="Courier New" w:hAnsi="Courier New"/>
          <w:sz w:val="16"/>
          <w:szCs w:val="16"/>
          <w:color w:val="auto"/>
        </w:rPr>
        <w:t>GIVE THE NAME</w:t>
      </w:r>
    </w:p>
    <w:p>
      <w:pPr>
        <w:spacing w:after="0" w:line="5"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6"/>
          <w:szCs w:val="16"/>
          <w:color w:val="auto"/>
        </w:rPr>
        <w:t>AND SOCIAL</w:t>
      </w:r>
    </w:p>
    <w:p>
      <w:pPr>
        <w:spacing w:after="0" w:line="5"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6"/>
          <w:szCs w:val="16"/>
          <w:color w:val="auto"/>
        </w:rPr>
        <w:t>SECURITY</w:t>
      </w:r>
    </w:p>
    <w:p>
      <w:pPr>
        <w:spacing w:after="0" w:line="5"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6"/>
          <w:szCs w:val="16"/>
          <w:color w:val="auto"/>
        </w:rPr>
        <w:t>NUMBER OF --</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61" w:lineRule="exact"/>
        <w:rPr>
          <w:sz w:val="20"/>
          <w:szCs w:val="20"/>
          <w:color w:val="auto"/>
        </w:rPr>
      </w:pPr>
    </w:p>
    <w:tbl>
      <w:tblPr>
        <w:tblLayout w:type="fixed"/>
        <w:tblInd w:w="101" w:type="dxa"/>
        <w:tblCellMar>
          <w:top w:w="0" w:type="dxa"/>
          <w:left w:w="0" w:type="dxa"/>
          <w:bottom w:w="0" w:type="dxa"/>
          <w:right w:w="0" w:type="dxa"/>
        </w:tblCellMar>
      </w:tblPr>
      <w:tr>
        <w:trPr>
          <w:trHeight w:val="186"/>
        </w:trPr>
        <w:tc>
          <w:tcPr>
            <w:tcW w:w="280" w:type="dxa"/>
            <w:vAlign w:val="bottom"/>
          </w:tcPr>
          <w:p>
            <w:pPr>
              <w:jc w:val="right"/>
              <w:spacing w:after="0"/>
              <w:rPr>
                <w:sz w:val="20"/>
                <w:szCs w:val="20"/>
                <w:color w:val="auto"/>
              </w:rPr>
            </w:pPr>
            <w:r>
              <w:rPr>
                <w:rFonts w:ascii="Courier New" w:cs="Courier New" w:eastAsia="Courier New" w:hAnsi="Courier New"/>
                <w:sz w:val="16"/>
                <w:szCs w:val="16"/>
                <w:color w:val="auto"/>
                <w:w w:val="93"/>
              </w:rPr>
              <w:t>1.</w:t>
            </w:r>
          </w:p>
        </w:tc>
        <w:tc>
          <w:tcPr>
            <w:tcW w:w="2480" w:type="dxa"/>
            <w:vAlign w:val="bottom"/>
          </w:tcPr>
          <w:p>
            <w:pPr>
              <w:ind w:left="100"/>
              <w:spacing w:after="0"/>
              <w:rPr>
                <w:sz w:val="20"/>
                <w:szCs w:val="20"/>
                <w:color w:val="auto"/>
              </w:rPr>
            </w:pPr>
            <w:r>
              <w:rPr>
                <w:rFonts w:ascii="Courier New" w:cs="Courier New" w:eastAsia="Courier New" w:hAnsi="Courier New"/>
                <w:sz w:val="16"/>
                <w:szCs w:val="16"/>
                <w:color w:val="auto"/>
              </w:rPr>
              <w:t>Individual</w:t>
            </w:r>
          </w:p>
        </w:tc>
        <w:tc>
          <w:tcPr>
            <w:tcW w:w="1980" w:type="dxa"/>
            <w:vAlign w:val="bottom"/>
          </w:tcPr>
          <w:p>
            <w:pPr>
              <w:ind w:left="140"/>
              <w:spacing w:after="0"/>
              <w:rPr>
                <w:sz w:val="20"/>
                <w:szCs w:val="20"/>
                <w:color w:val="auto"/>
              </w:rPr>
            </w:pPr>
            <w:r>
              <w:rPr>
                <w:rFonts w:ascii="Courier New" w:cs="Courier New" w:eastAsia="Courier New" w:hAnsi="Courier New"/>
                <w:sz w:val="16"/>
                <w:szCs w:val="16"/>
                <w:color w:val="auto"/>
              </w:rPr>
              <w:t>The individual</w:t>
            </w:r>
          </w:p>
        </w:tc>
        <w:tc>
          <w:tcPr>
            <w:tcW w:w="0" w:type="dxa"/>
            <w:vAlign w:val="bottom"/>
          </w:tcPr>
          <w:p>
            <w:pPr>
              <w:spacing w:after="0"/>
              <w:rPr>
                <w:sz w:val="1"/>
                <w:szCs w:val="1"/>
                <w:color w:val="auto"/>
              </w:rPr>
            </w:pPr>
          </w:p>
        </w:tc>
      </w:tr>
      <w:tr>
        <w:trPr>
          <w:trHeight w:val="186"/>
        </w:trPr>
        <w:tc>
          <w:tcPr>
            <w:tcW w:w="280" w:type="dxa"/>
            <w:vAlign w:val="bottom"/>
          </w:tcPr>
          <w:p>
            <w:pPr>
              <w:jc w:val="right"/>
              <w:spacing w:after="0"/>
              <w:rPr>
                <w:sz w:val="20"/>
                <w:szCs w:val="20"/>
                <w:color w:val="auto"/>
              </w:rPr>
            </w:pPr>
            <w:r>
              <w:rPr>
                <w:rFonts w:ascii="Courier New" w:cs="Courier New" w:eastAsia="Courier New" w:hAnsi="Courier New"/>
                <w:sz w:val="16"/>
                <w:szCs w:val="16"/>
                <w:color w:val="auto"/>
                <w:w w:val="93"/>
              </w:rPr>
              <w:t>2.</w:t>
            </w:r>
          </w:p>
        </w:tc>
        <w:tc>
          <w:tcPr>
            <w:tcW w:w="2480" w:type="dxa"/>
            <w:vAlign w:val="bottom"/>
          </w:tcPr>
          <w:p>
            <w:pPr>
              <w:ind w:left="100"/>
              <w:spacing w:after="0"/>
              <w:rPr>
                <w:sz w:val="20"/>
                <w:szCs w:val="20"/>
                <w:color w:val="auto"/>
              </w:rPr>
            </w:pPr>
            <w:r>
              <w:rPr>
                <w:rFonts w:ascii="Courier New" w:cs="Courier New" w:eastAsia="Courier New" w:hAnsi="Courier New"/>
                <w:sz w:val="16"/>
                <w:szCs w:val="16"/>
                <w:color w:val="auto"/>
              </w:rPr>
              <w:t>Two or more individuals</w:t>
            </w:r>
          </w:p>
        </w:tc>
        <w:tc>
          <w:tcPr>
            <w:tcW w:w="1980" w:type="dxa"/>
            <w:vAlign w:val="bottom"/>
          </w:tcPr>
          <w:p>
            <w:pPr>
              <w:ind w:left="140"/>
              <w:spacing w:after="0"/>
              <w:rPr>
                <w:sz w:val="20"/>
                <w:szCs w:val="20"/>
                <w:color w:val="auto"/>
              </w:rPr>
            </w:pPr>
            <w:r>
              <w:rPr>
                <w:rFonts w:ascii="Courier New" w:cs="Courier New" w:eastAsia="Courier New" w:hAnsi="Courier New"/>
                <w:sz w:val="16"/>
                <w:szCs w:val="16"/>
                <w:color w:val="auto"/>
                <w:w w:val="99"/>
              </w:rPr>
              <w:t>The actual owner of</w:t>
            </w:r>
          </w:p>
        </w:tc>
        <w:tc>
          <w:tcPr>
            <w:tcW w:w="0" w:type="dxa"/>
            <w:vAlign w:val="bottom"/>
          </w:tcPr>
          <w:p>
            <w:pPr>
              <w:spacing w:after="0"/>
              <w:rPr>
                <w:sz w:val="1"/>
                <w:szCs w:val="1"/>
                <w:color w:val="auto"/>
              </w:rPr>
            </w:pPr>
          </w:p>
        </w:tc>
      </w:tr>
      <w:tr>
        <w:trPr>
          <w:trHeight w:val="186"/>
        </w:trPr>
        <w:tc>
          <w:tcPr>
            <w:tcW w:w="280" w:type="dxa"/>
            <w:vAlign w:val="bottom"/>
          </w:tcPr>
          <w:p>
            <w:pPr>
              <w:spacing w:after="0"/>
              <w:rPr>
                <w:sz w:val="16"/>
                <w:szCs w:val="16"/>
                <w:color w:val="auto"/>
              </w:rPr>
            </w:pPr>
          </w:p>
        </w:tc>
        <w:tc>
          <w:tcPr>
            <w:tcW w:w="2480" w:type="dxa"/>
            <w:vAlign w:val="bottom"/>
          </w:tcPr>
          <w:p>
            <w:pPr>
              <w:ind w:left="100"/>
              <w:spacing w:after="0"/>
              <w:rPr>
                <w:sz w:val="20"/>
                <w:szCs w:val="20"/>
                <w:color w:val="auto"/>
              </w:rPr>
            </w:pPr>
            <w:r>
              <w:rPr>
                <w:rFonts w:ascii="Courier New" w:cs="Courier New" w:eastAsia="Courier New" w:hAnsi="Courier New"/>
                <w:sz w:val="16"/>
                <w:szCs w:val="16"/>
                <w:color w:val="auto"/>
              </w:rPr>
              <w:t>(joint account)</w:t>
            </w:r>
          </w:p>
        </w:tc>
        <w:tc>
          <w:tcPr>
            <w:tcW w:w="1980" w:type="dxa"/>
            <w:vAlign w:val="bottom"/>
          </w:tcPr>
          <w:p>
            <w:pPr>
              <w:ind w:left="140"/>
              <w:spacing w:after="0"/>
              <w:rPr>
                <w:sz w:val="20"/>
                <w:szCs w:val="20"/>
                <w:color w:val="auto"/>
              </w:rPr>
            </w:pPr>
            <w:r>
              <w:rPr>
                <w:rFonts w:ascii="Courier New" w:cs="Courier New" w:eastAsia="Courier New" w:hAnsi="Courier New"/>
                <w:sz w:val="16"/>
                <w:szCs w:val="16"/>
                <w:color w:val="auto"/>
              </w:rPr>
              <w:t>the account or, if</w:t>
            </w:r>
          </w:p>
        </w:tc>
        <w:tc>
          <w:tcPr>
            <w:tcW w:w="0" w:type="dxa"/>
            <w:vAlign w:val="bottom"/>
          </w:tcPr>
          <w:p>
            <w:pPr>
              <w:spacing w:after="0"/>
              <w:rPr>
                <w:sz w:val="1"/>
                <w:szCs w:val="1"/>
                <w:color w:val="auto"/>
              </w:rPr>
            </w:pPr>
          </w:p>
        </w:tc>
      </w:tr>
      <w:tr>
        <w:trPr>
          <w:trHeight w:val="186"/>
        </w:trPr>
        <w:tc>
          <w:tcPr>
            <w:tcW w:w="2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980" w:type="dxa"/>
            <w:vAlign w:val="bottom"/>
          </w:tcPr>
          <w:p>
            <w:pPr>
              <w:ind w:left="140"/>
              <w:spacing w:after="0"/>
              <w:rPr>
                <w:sz w:val="20"/>
                <w:szCs w:val="20"/>
                <w:color w:val="auto"/>
              </w:rPr>
            </w:pPr>
            <w:r>
              <w:rPr>
                <w:rFonts w:ascii="Courier New" w:cs="Courier New" w:eastAsia="Courier New" w:hAnsi="Courier New"/>
                <w:sz w:val="16"/>
                <w:szCs w:val="16"/>
                <w:color w:val="auto"/>
                <w:w w:val="99"/>
              </w:rPr>
              <w:t>combined funds, the</w:t>
            </w:r>
          </w:p>
        </w:tc>
        <w:tc>
          <w:tcPr>
            <w:tcW w:w="0" w:type="dxa"/>
            <w:vAlign w:val="bottom"/>
          </w:tcPr>
          <w:p>
            <w:pPr>
              <w:spacing w:after="0"/>
              <w:rPr>
                <w:sz w:val="1"/>
                <w:szCs w:val="1"/>
                <w:color w:val="auto"/>
              </w:rPr>
            </w:pPr>
          </w:p>
        </w:tc>
      </w:tr>
      <w:tr>
        <w:trPr>
          <w:trHeight w:val="186"/>
        </w:trPr>
        <w:tc>
          <w:tcPr>
            <w:tcW w:w="2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980" w:type="dxa"/>
            <w:vAlign w:val="bottom"/>
          </w:tcPr>
          <w:p>
            <w:pPr>
              <w:ind w:left="140"/>
              <w:spacing w:after="0"/>
              <w:rPr>
                <w:sz w:val="20"/>
                <w:szCs w:val="20"/>
                <w:color w:val="auto"/>
              </w:rPr>
            </w:pPr>
            <w:r>
              <w:rPr>
                <w:rFonts w:ascii="Courier New" w:cs="Courier New" w:eastAsia="Courier New" w:hAnsi="Courier New"/>
                <w:sz w:val="16"/>
                <w:szCs w:val="16"/>
                <w:color w:val="auto"/>
                <w:w w:val="99"/>
              </w:rPr>
              <w:t>first individual on</w:t>
            </w:r>
          </w:p>
        </w:tc>
        <w:tc>
          <w:tcPr>
            <w:tcW w:w="0" w:type="dxa"/>
            <w:vAlign w:val="bottom"/>
          </w:tcPr>
          <w:p>
            <w:pPr>
              <w:spacing w:after="0"/>
              <w:rPr>
                <w:sz w:val="1"/>
                <w:szCs w:val="1"/>
                <w:color w:val="auto"/>
              </w:rPr>
            </w:pPr>
          </w:p>
        </w:tc>
      </w:tr>
      <w:tr>
        <w:trPr>
          <w:trHeight w:val="186"/>
        </w:trPr>
        <w:tc>
          <w:tcPr>
            <w:tcW w:w="2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3"/>
              </w:rPr>
              <w:t>3.</w:t>
            </w:r>
          </w:p>
        </w:tc>
        <w:tc>
          <w:tcPr>
            <w:tcW w:w="248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Custodian account of a</w:t>
            </w:r>
          </w:p>
        </w:tc>
        <w:tc>
          <w:tcPr>
            <w:tcW w:w="1980" w:type="dxa"/>
            <w:vAlign w:val="bottom"/>
          </w:tcPr>
          <w:p>
            <w:pPr>
              <w:ind w:left="140"/>
              <w:spacing w:after="0"/>
              <w:rPr>
                <w:sz w:val="20"/>
                <w:szCs w:val="20"/>
                <w:color w:val="auto"/>
              </w:rPr>
            </w:pPr>
            <w:r>
              <w:rPr>
                <w:rFonts w:ascii="Courier New" w:cs="Courier New" w:eastAsia="Courier New" w:hAnsi="Courier New"/>
                <w:sz w:val="16"/>
                <w:szCs w:val="16"/>
                <w:color w:val="auto"/>
              </w:rPr>
              <w:t>the account(1)</w:t>
            </w:r>
          </w:p>
        </w:tc>
        <w:tc>
          <w:tcPr>
            <w:tcW w:w="0" w:type="dxa"/>
            <w:vAlign w:val="bottom"/>
          </w:tcPr>
          <w:p>
            <w:pPr>
              <w:spacing w:after="0"/>
              <w:rPr>
                <w:sz w:val="1"/>
                <w:szCs w:val="1"/>
                <w:color w:val="auto"/>
              </w:rPr>
            </w:pPr>
          </w:p>
        </w:tc>
      </w:tr>
      <w:tr>
        <w:trPr>
          <w:trHeight w:val="186"/>
        </w:trPr>
        <w:tc>
          <w:tcPr>
            <w:tcW w:w="280" w:type="dxa"/>
            <w:vAlign w:val="bottom"/>
            <w:vMerge w:val="continue"/>
          </w:tcPr>
          <w:p>
            <w:pPr>
              <w:spacing w:after="0"/>
              <w:rPr>
                <w:sz w:val="16"/>
                <w:szCs w:val="16"/>
                <w:color w:val="auto"/>
              </w:rPr>
            </w:pPr>
          </w:p>
        </w:tc>
        <w:tc>
          <w:tcPr>
            <w:tcW w:w="2480" w:type="dxa"/>
            <w:vAlign w:val="bottom"/>
            <w:vMerge w:val="continue"/>
          </w:tcPr>
          <w:p>
            <w:pPr>
              <w:spacing w:after="0"/>
              <w:rPr>
                <w:sz w:val="16"/>
                <w:szCs w:val="16"/>
                <w:color w:val="auto"/>
              </w:rPr>
            </w:pPr>
          </w:p>
        </w:tc>
        <w:tc>
          <w:tcPr>
            <w:tcW w:w="1980" w:type="dxa"/>
            <w:vAlign w:val="bottom"/>
          </w:tcPr>
          <w:p>
            <w:pPr>
              <w:ind w:left="140"/>
              <w:spacing w:after="0"/>
              <w:rPr>
                <w:sz w:val="20"/>
                <w:szCs w:val="20"/>
                <w:color w:val="auto"/>
              </w:rPr>
            </w:pPr>
            <w:r>
              <w:rPr>
                <w:rFonts w:ascii="Courier New" w:cs="Courier New" w:eastAsia="Courier New" w:hAnsi="Courier New"/>
                <w:sz w:val="16"/>
                <w:szCs w:val="16"/>
                <w:color w:val="auto"/>
              </w:rPr>
              <w:t>The minor(2)</w:t>
            </w:r>
          </w:p>
        </w:tc>
        <w:tc>
          <w:tcPr>
            <w:tcW w:w="0" w:type="dxa"/>
            <w:vAlign w:val="bottom"/>
          </w:tcPr>
          <w:p>
            <w:pPr>
              <w:spacing w:after="0"/>
              <w:rPr>
                <w:sz w:val="1"/>
                <w:szCs w:val="1"/>
                <w:color w:val="auto"/>
              </w:rPr>
            </w:pPr>
          </w:p>
        </w:tc>
      </w:tr>
      <w:tr>
        <w:trPr>
          <w:trHeight w:val="186"/>
        </w:trPr>
        <w:tc>
          <w:tcPr>
            <w:tcW w:w="280" w:type="dxa"/>
            <w:vAlign w:val="bottom"/>
          </w:tcPr>
          <w:p>
            <w:pPr>
              <w:spacing w:after="0"/>
              <w:rPr>
                <w:sz w:val="16"/>
                <w:szCs w:val="16"/>
                <w:color w:val="auto"/>
              </w:rPr>
            </w:pPr>
          </w:p>
        </w:tc>
        <w:tc>
          <w:tcPr>
            <w:tcW w:w="2480" w:type="dxa"/>
            <w:vAlign w:val="bottom"/>
          </w:tcPr>
          <w:p>
            <w:pPr>
              <w:ind w:left="100"/>
              <w:spacing w:after="0"/>
              <w:rPr>
                <w:sz w:val="20"/>
                <w:szCs w:val="20"/>
                <w:color w:val="auto"/>
              </w:rPr>
            </w:pPr>
            <w:r>
              <w:rPr>
                <w:rFonts w:ascii="Courier New" w:cs="Courier New" w:eastAsia="Courier New" w:hAnsi="Courier New"/>
                <w:sz w:val="16"/>
                <w:szCs w:val="16"/>
                <w:color w:val="auto"/>
              </w:rPr>
              <w:t>minor (Uniform Gift to</w:t>
            </w: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3"/>
              </w:rPr>
              <w:t>4.</w:t>
            </w:r>
          </w:p>
        </w:tc>
        <w:tc>
          <w:tcPr>
            <w:tcW w:w="2480" w:type="dxa"/>
            <w:vAlign w:val="bottom"/>
          </w:tcPr>
          <w:p>
            <w:pPr>
              <w:ind w:left="100"/>
              <w:spacing w:after="0"/>
              <w:rPr>
                <w:sz w:val="20"/>
                <w:szCs w:val="20"/>
                <w:color w:val="auto"/>
              </w:rPr>
            </w:pPr>
            <w:r>
              <w:rPr>
                <w:rFonts w:ascii="Courier New" w:cs="Courier New" w:eastAsia="Courier New" w:hAnsi="Courier New"/>
                <w:sz w:val="16"/>
                <w:szCs w:val="16"/>
                <w:color w:val="auto"/>
              </w:rPr>
              <w:t>Minors Act)</w:t>
            </w:r>
          </w:p>
        </w:tc>
        <w:tc>
          <w:tcPr>
            <w:tcW w:w="1980" w:type="dxa"/>
            <w:vAlign w:val="bottom"/>
            <w:vMerge w:val="restart"/>
          </w:tcPr>
          <w:p>
            <w:pPr>
              <w:ind w:left="140"/>
              <w:spacing w:after="0"/>
              <w:rPr>
                <w:sz w:val="20"/>
                <w:szCs w:val="20"/>
                <w:color w:val="auto"/>
              </w:rPr>
            </w:pPr>
            <w:r>
              <w:rPr>
                <w:rFonts w:ascii="Courier New" w:cs="Courier New" w:eastAsia="Courier New" w:hAnsi="Courier New"/>
                <w:sz w:val="16"/>
                <w:szCs w:val="16"/>
                <w:color w:val="auto"/>
              </w:rPr>
              <w:t>The grantor-</w:t>
            </w:r>
          </w:p>
        </w:tc>
        <w:tc>
          <w:tcPr>
            <w:tcW w:w="0" w:type="dxa"/>
            <w:vAlign w:val="bottom"/>
          </w:tcPr>
          <w:p>
            <w:pPr>
              <w:spacing w:after="0"/>
              <w:rPr>
                <w:sz w:val="1"/>
                <w:szCs w:val="1"/>
                <w:color w:val="auto"/>
              </w:rPr>
            </w:pPr>
          </w:p>
        </w:tc>
      </w:tr>
      <w:tr>
        <w:trPr>
          <w:trHeight w:val="186"/>
        </w:trPr>
        <w:tc>
          <w:tcPr>
            <w:tcW w:w="280" w:type="dxa"/>
            <w:vAlign w:val="bottom"/>
            <w:vMerge w:val="continue"/>
          </w:tcPr>
          <w:p>
            <w:pPr>
              <w:spacing w:after="0"/>
              <w:rPr>
                <w:sz w:val="16"/>
                <w:szCs w:val="16"/>
                <w:color w:val="auto"/>
              </w:rPr>
            </w:pPr>
          </w:p>
        </w:tc>
        <w:tc>
          <w:tcPr>
            <w:tcW w:w="2480" w:type="dxa"/>
            <w:vAlign w:val="bottom"/>
          </w:tcPr>
          <w:p>
            <w:pPr>
              <w:ind w:left="100"/>
              <w:spacing w:after="0"/>
              <w:rPr>
                <w:sz w:val="20"/>
                <w:szCs w:val="20"/>
                <w:color w:val="auto"/>
              </w:rPr>
            </w:pPr>
            <w:r>
              <w:rPr>
                <w:rFonts w:ascii="Courier New" w:cs="Courier New" w:eastAsia="Courier New" w:hAnsi="Courier New"/>
                <w:sz w:val="16"/>
                <w:szCs w:val="16"/>
                <w:color w:val="auto"/>
              </w:rPr>
              <w:t>a. The usual revocable</w:t>
            </w:r>
          </w:p>
        </w:tc>
        <w:tc>
          <w:tcPr>
            <w:tcW w:w="1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0" w:type="dxa"/>
            <w:vAlign w:val="bottom"/>
          </w:tcPr>
          <w:p>
            <w:pPr>
              <w:spacing w:after="0"/>
              <w:rPr>
                <w:sz w:val="16"/>
                <w:szCs w:val="16"/>
                <w:color w:val="auto"/>
              </w:rPr>
            </w:pPr>
          </w:p>
        </w:tc>
        <w:tc>
          <w:tcPr>
            <w:tcW w:w="2480" w:type="dxa"/>
            <w:vAlign w:val="bottom"/>
          </w:tcPr>
          <w:p>
            <w:pPr>
              <w:ind w:left="400"/>
              <w:spacing w:after="0"/>
              <w:rPr>
                <w:sz w:val="20"/>
                <w:szCs w:val="20"/>
                <w:color w:val="auto"/>
              </w:rPr>
            </w:pPr>
            <w:r>
              <w:rPr>
                <w:rFonts w:ascii="Courier New" w:cs="Courier New" w:eastAsia="Courier New" w:hAnsi="Courier New"/>
                <w:sz w:val="16"/>
                <w:szCs w:val="16"/>
                <w:color w:val="auto"/>
              </w:rPr>
              <w:t>savings trust</w:t>
            </w:r>
          </w:p>
        </w:tc>
        <w:tc>
          <w:tcPr>
            <w:tcW w:w="1980" w:type="dxa"/>
            <w:vAlign w:val="bottom"/>
          </w:tcPr>
          <w:p>
            <w:pPr>
              <w:ind w:left="140"/>
              <w:spacing w:after="0"/>
              <w:rPr>
                <w:sz w:val="20"/>
                <w:szCs w:val="20"/>
                <w:color w:val="auto"/>
              </w:rPr>
            </w:pPr>
            <w:r>
              <w:rPr>
                <w:rFonts w:ascii="Courier New" w:cs="Courier New" w:eastAsia="Courier New" w:hAnsi="Courier New"/>
                <w:sz w:val="16"/>
                <w:szCs w:val="16"/>
                <w:color w:val="auto"/>
              </w:rPr>
              <w:t>trustee(1)</w:t>
            </w:r>
          </w:p>
        </w:tc>
        <w:tc>
          <w:tcPr>
            <w:tcW w:w="0" w:type="dxa"/>
            <w:vAlign w:val="bottom"/>
          </w:tcPr>
          <w:p>
            <w:pPr>
              <w:spacing w:after="0"/>
              <w:rPr>
                <w:sz w:val="1"/>
                <w:szCs w:val="1"/>
                <w:color w:val="auto"/>
              </w:rPr>
            </w:pPr>
          </w:p>
        </w:tc>
      </w:tr>
      <w:tr>
        <w:trPr>
          <w:trHeight w:val="186"/>
        </w:trPr>
        <w:tc>
          <w:tcPr>
            <w:tcW w:w="280" w:type="dxa"/>
            <w:vAlign w:val="bottom"/>
          </w:tcPr>
          <w:p>
            <w:pPr>
              <w:spacing w:after="0"/>
              <w:rPr>
                <w:sz w:val="16"/>
                <w:szCs w:val="16"/>
                <w:color w:val="auto"/>
              </w:rPr>
            </w:pPr>
          </w:p>
        </w:tc>
        <w:tc>
          <w:tcPr>
            <w:tcW w:w="2480" w:type="dxa"/>
            <w:vAlign w:val="bottom"/>
          </w:tcPr>
          <w:p>
            <w:pPr>
              <w:ind w:left="400"/>
              <w:spacing w:after="0"/>
              <w:rPr>
                <w:sz w:val="20"/>
                <w:szCs w:val="20"/>
                <w:color w:val="auto"/>
              </w:rPr>
            </w:pPr>
            <w:r>
              <w:rPr>
                <w:rFonts w:ascii="Courier New" w:cs="Courier New" w:eastAsia="Courier New" w:hAnsi="Courier New"/>
                <w:sz w:val="16"/>
                <w:szCs w:val="16"/>
                <w:color w:val="auto"/>
              </w:rPr>
              <w:t>account (grantor is</w:t>
            </w: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0" w:type="dxa"/>
            <w:vAlign w:val="bottom"/>
          </w:tcPr>
          <w:p>
            <w:pPr>
              <w:spacing w:after="0"/>
              <w:rPr>
                <w:sz w:val="16"/>
                <w:szCs w:val="16"/>
                <w:color w:val="auto"/>
              </w:rPr>
            </w:pPr>
          </w:p>
        </w:tc>
        <w:tc>
          <w:tcPr>
            <w:tcW w:w="2480" w:type="dxa"/>
            <w:vAlign w:val="bottom"/>
          </w:tcPr>
          <w:p>
            <w:pPr>
              <w:ind w:left="400"/>
              <w:spacing w:after="0"/>
              <w:rPr>
                <w:sz w:val="20"/>
                <w:szCs w:val="20"/>
                <w:color w:val="auto"/>
              </w:rPr>
            </w:pPr>
            <w:r>
              <w:rPr>
                <w:rFonts w:ascii="Courier New" w:cs="Courier New" w:eastAsia="Courier New" w:hAnsi="Courier New"/>
                <w:sz w:val="16"/>
                <w:szCs w:val="16"/>
                <w:color w:val="auto"/>
              </w:rPr>
              <w:t>also trustee)</w:t>
            </w:r>
          </w:p>
        </w:tc>
        <w:tc>
          <w:tcPr>
            <w:tcW w:w="1980" w:type="dxa"/>
            <w:vAlign w:val="bottom"/>
            <w:vMerge w:val="restart"/>
          </w:tcPr>
          <w:p>
            <w:pPr>
              <w:ind w:left="140"/>
              <w:spacing w:after="0"/>
              <w:rPr>
                <w:sz w:val="20"/>
                <w:szCs w:val="20"/>
                <w:color w:val="auto"/>
              </w:rPr>
            </w:pPr>
            <w:r>
              <w:rPr>
                <w:rFonts w:ascii="Courier New" w:cs="Courier New" w:eastAsia="Courier New" w:hAnsi="Courier New"/>
                <w:sz w:val="16"/>
                <w:szCs w:val="16"/>
                <w:color w:val="auto"/>
                <w:w w:val="99"/>
              </w:rPr>
              <w:t>The actual owner(1)</w:t>
            </w:r>
          </w:p>
        </w:tc>
        <w:tc>
          <w:tcPr>
            <w:tcW w:w="0" w:type="dxa"/>
            <w:vAlign w:val="bottom"/>
          </w:tcPr>
          <w:p>
            <w:pPr>
              <w:spacing w:after="0"/>
              <w:rPr>
                <w:sz w:val="1"/>
                <w:szCs w:val="1"/>
                <w:color w:val="auto"/>
              </w:rPr>
            </w:pPr>
          </w:p>
        </w:tc>
      </w:tr>
      <w:tr>
        <w:trPr>
          <w:trHeight w:val="186"/>
        </w:trPr>
        <w:tc>
          <w:tcPr>
            <w:tcW w:w="280" w:type="dxa"/>
            <w:vAlign w:val="bottom"/>
          </w:tcPr>
          <w:p>
            <w:pPr>
              <w:spacing w:after="0"/>
              <w:rPr>
                <w:sz w:val="16"/>
                <w:szCs w:val="16"/>
                <w:color w:val="auto"/>
              </w:rPr>
            </w:pPr>
          </w:p>
        </w:tc>
        <w:tc>
          <w:tcPr>
            <w:tcW w:w="2480" w:type="dxa"/>
            <w:vAlign w:val="bottom"/>
          </w:tcPr>
          <w:p>
            <w:pPr>
              <w:ind w:left="100"/>
              <w:spacing w:after="0"/>
              <w:rPr>
                <w:sz w:val="20"/>
                <w:szCs w:val="20"/>
                <w:color w:val="auto"/>
              </w:rPr>
            </w:pPr>
            <w:r>
              <w:rPr>
                <w:rFonts w:ascii="Courier New" w:cs="Courier New" w:eastAsia="Courier New" w:hAnsi="Courier New"/>
                <w:sz w:val="16"/>
                <w:szCs w:val="16"/>
                <w:color w:val="auto"/>
              </w:rPr>
              <w:t>b. So-called trust</w:t>
            </w:r>
          </w:p>
        </w:tc>
        <w:tc>
          <w:tcPr>
            <w:tcW w:w="1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0" w:type="dxa"/>
            <w:vAlign w:val="bottom"/>
          </w:tcPr>
          <w:p>
            <w:pPr>
              <w:spacing w:after="0"/>
              <w:rPr>
                <w:sz w:val="16"/>
                <w:szCs w:val="16"/>
                <w:color w:val="auto"/>
              </w:rPr>
            </w:pPr>
          </w:p>
        </w:tc>
        <w:tc>
          <w:tcPr>
            <w:tcW w:w="2480" w:type="dxa"/>
            <w:vAlign w:val="bottom"/>
          </w:tcPr>
          <w:p>
            <w:pPr>
              <w:ind w:left="100"/>
              <w:spacing w:after="0"/>
              <w:rPr>
                <w:sz w:val="20"/>
                <w:szCs w:val="20"/>
                <w:color w:val="auto"/>
              </w:rPr>
            </w:pPr>
            <w:r>
              <w:rPr>
                <w:rFonts w:ascii="Courier New" w:cs="Courier New" w:eastAsia="Courier New" w:hAnsi="Courier New"/>
                <w:sz w:val="16"/>
                <w:szCs w:val="16"/>
                <w:color w:val="auto"/>
              </w:rPr>
              <w:t>account that is not a</w:t>
            </w: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0" w:type="dxa"/>
            <w:vAlign w:val="bottom"/>
          </w:tcPr>
          <w:p>
            <w:pPr>
              <w:spacing w:after="0"/>
              <w:rPr>
                <w:sz w:val="16"/>
                <w:szCs w:val="16"/>
                <w:color w:val="auto"/>
              </w:rPr>
            </w:pPr>
          </w:p>
        </w:tc>
        <w:tc>
          <w:tcPr>
            <w:tcW w:w="2480" w:type="dxa"/>
            <w:vAlign w:val="bottom"/>
          </w:tcPr>
          <w:p>
            <w:pPr>
              <w:ind w:left="400"/>
              <w:spacing w:after="0"/>
              <w:rPr>
                <w:sz w:val="20"/>
                <w:szCs w:val="20"/>
                <w:color w:val="auto"/>
              </w:rPr>
            </w:pPr>
            <w:r>
              <w:rPr>
                <w:rFonts w:ascii="Courier New" w:cs="Courier New" w:eastAsia="Courier New" w:hAnsi="Courier New"/>
                <w:sz w:val="16"/>
                <w:szCs w:val="16"/>
                <w:color w:val="auto"/>
              </w:rPr>
              <w:t>legal or valid trust</w:t>
            </w: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3"/>
              </w:rPr>
              <w:t>5.</w:t>
            </w:r>
          </w:p>
        </w:tc>
        <w:tc>
          <w:tcPr>
            <w:tcW w:w="2480" w:type="dxa"/>
            <w:vAlign w:val="bottom"/>
          </w:tcPr>
          <w:p>
            <w:pPr>
              <w:ind w:left="400"/>
              <w:spacing w:after="0"/>
              <w:rPr>
                <w:sz w:val="20"/>
                <w:szCs w:val="20"/>
                <w:color w:val="auto"/>
              </w:rPr>
            </w:pPr>
            <w:r>
              <w:rPr>
                <w:rFonts w:ascii="Courier New" w:cs="Courier New" w:eastAsia="Courier New" w:hAnsi="Courier New"/>
                <w:sz w:val="16"/>
                <w:szCs w:val="16"/>
                <w:color w:val="auto"/>
              </w:rPr>
              <w:t>under state law</w:t>
            </w:r>
          </w:p>
        </w:tc>
        <w:tc>
          <w:tcPr>
            <w:tcW w:w="1980" w:type="dxa"/>
            <w:vAlign w:val="bottom"/>
            <w:vMerge w:val="restart"/>
          </w:tcPr>
          <w:p>
            <w:pPr>
              <w:ind w:left="140"/>
              <w:spacing w:after="0"/>
              <w:rPr>
                <w:sz w:val="20"/>
                <w:szCs w:val="20"/>
                <w:color w:val="auto"/>
              </w:rPr>
            </w:pPr>
            <w:r>
              <w:rPr>
                <w:rFonts w:ascii="Courier New" w:cs="Courier New" w:eastAsia="Courier New" w:hAnsi="Courier New"/>
                <w:sz w:val="16"/>
                <w:szCs w:val="16"/>
                <w:color w:val="auto"/>
              </w:rPr>
              <w:t>The owner(3)</w:t>
            </w:r>
          </w:p>
        </w:tc>
        <w:tc>
          <w:tcPr>
            <w:tcW w:w="0" w:type="dxa"/>
            <w:vAlign w:val="bottom"/>
          </w:tcPr>
          <w:p>
            <w:pPr>
              <w:spacing w:after="0"/>
              <w:rPr>
                <w:sz w:val="1"/>
                <w:szCs w:val="1"/>
                <w:color w:val="auto"/>
              </w:rPr>
            </w:pPr>
          </w:p>
        </w:tc>
      </w:tr>
      <w:tr>
        <w:trPr>
          <w:trHeight w:val="273"/>
        </w:trPr>
        <w:tc>
          <w:tcPr>
            <w:tcW w:w="280" w:type="dxa"/>
            <w:vAlign w:val="bottom"/>
            <w:vMerge w:val="continue"/>
          </w:tcPr>
          <w:p>
            <w:pPr>
              <w:spacing w:after="0"/>
              <w:rPr>
                <w:sz w:val="23"/>
                <w:szCs w:val="23"/>
                <w:color w:val="auto"/>
              </w:rPr>
            </w:pPr>
          </w:p>
        </w:tc>
        <w:tc>
          <w:tcPr>
            <w:tcW w:w="2480" w:type="dxa"/>
            <w:vAlign w:val="bottom"/>
          </w:tcPr>
          <w:p>
            <w:pPr>
              <w:ind w:left="100"/>
              <w:spacing w:after="0"/>
              <w:rPr>
                <w:sz w:val="20"/>
                <w:szCs w:val="20"/>
                <w:color w:val="auto"/>
              </w:rPr>
            </w:pPr>
            <w:r>
              <w:rPr>
                <w:rFonts w:ascii="Courier New" w:cs="Courier New" w:eastAsia="Courier New" w:hAnsi="Courier New"/>
                <w:sz w:val="16"/>
                <w:szCs w:val="16"/>
                <w:color w:val="auto"/>
              </w:rPr>
              <w:t>Sole proprietorship</w:t>
            </w:r>
          </w:p>
        </w:tc>
        <w:tc>
          <w:tcPr>
            <w:tcW w:w="19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01" w:hanging="201"/>
        <w:spacing w:after="0"/>
        <w:tabs>
          <w:tab w:leader="none" w:pos="201"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50"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 w:lineRule="exact"/>
        <w:rPr>
          <w:sz w:val="20"/>
          <w:szCs w:val="20"/>
          <w:color w:val="auto"/>
        </w:rPr>
      </w:pPr>
    </w:p>
    <w:p>
      <w:pPr>
        <w:ind w:left="101"/>
        <w:spacing w:after="0"/>
        <w:tabs>
          <w:tab w:leader="none" w:pos="3380" w:val="left"/>
        </w:tabs>
        <w:rPr>
          <w:sz w:val="20"/>
          <w:szCs w:val="20"/>
          <w:color w:val="auto"/>
        </w:rPr>
      </w:pPr>
      <w:r>
        <w:rPr>
          <w:rFonts w:ascii="Courier New" w:cs="Courier New" w:eastAsia="Courier New" w:hAnsi="Courier New"/>
          <w:sz w:val="16"/>
          <w:szCs w:val="16"/>
          <w:color w:val="auto"/>
        </w:rPr>
        <w:t>FOR THIS TYPE OF ACCOUNT:</w:t>
      </w:r>
      <w:r>
        <w:rPr>
          <w:sz w:val="20"/>
          <w:szCs w:val="20"/>
          <w:color w:val="auto"/>
        </w:rPr>
        <w:tab/>
      </w:r>
      <w:r>
        <w:rPr>
          <w:rFonts w:ascii="Courier New" w:cs="Courier New" w:eastAsia="Courier New" w:hAnsi="Courier New"/>
          <w:sz w:val="16"/>
          <w:szCs w:val="16"/>
          <w:color w:val="auto"/>
        </w:rPr>
        <w:t>GIVE THE NAME</w:t>
      </w:r>
    </w:p>
    <w:p>
      <w:pPr>
        <w:spacing w:after="0" w:line="5" w:lineRule="exact"/>
        <w:rPr>
          <w:sz w:val="20"/>
          <w:szCs w:val="20"/>
          <w:color w:val="auto"/>
        </w:rPr>
      </w:pPr>
    </w:p>
    <w:p>
      <w:pPr>
        <w:ind w:left="3481"/>
        <w:spacing w:after="0"/>
        <w:rPr>
          <w:sz w:val="20"/>
          <w:szCs w:val="20"/>
          <w:color w:val="auto"/>
        </w:rPr>
      </w:pPr>
      <w:r>
        <w:rPr>
          <w:rFonts w:ascii="Courier New" w:cs="Courier New" w:eastAsia="Courier New" w:hAnsi="Courier New"/>
          <w:sz w:val="16"/>
          <w:szCs w:val="16"/>
          <w:color w:val="auto"/>
        </w:rPr>
        <w:t>AND EMPLOYER</w:t>
      </w:r>
    </w:p>
    <w:p>
      <w:pPr>
        <w:spacing w:after="0" w:line="5" w:lineRule="exact"/>
        <w:rPr>
          <w:sz w:val="20"/>
          <w:szCs w:val="20"/>
          <w:color w:val="auto"/>
        </w:rPr>
      </w:pPr>
    </w:p>
    <w:p>
      <w:pPr>
        <w:ind w:left="3401"/>
        <w:spacing w:after="0"/>
        <w:rPr>
          <w:sz w:val="20"/>
          <w:szCs w:val="20"/>
          <w:color w:val="auto"/>
        </w:rPr>
      </w:pPr>
      <w:r>
        <w:rPr>
          <w:rFonts w:ascii="Courier New" w:cs="Courier New" w:eastAsia="Courier New" w:hAnsi="Courier New"/>
          <w:sz w:val="16"/>
          <w:szCs w:val="16"/>
          <w:color w:val="auto"/>
        </w:rPr>
        <w:t>IDENTIFICATION</w:t>
      </w:r>
    </w:p>
    <w:p>
      <w:pPr>
        <w:spacing w:after="0" w:line="5" w:lineRule="exact"/>
        <w:rPr>
          <w:sz w:val="20"/>
          <w:szCs w:val="20"/>
          <w:color w:val="auto"/>
        </w:rPr>
      </w:pPr>
    </w:p>
    <w:p>
      <w:pPr>
        <w:ind w:left="3481"/>
        <w:spacing w:after="0"/>
        <w:rPr>
          <w:sz w:val="20"/>
          <w:szCs w:val="20"/>
          <w:color w:val="auto"/>
        </w:rPr>
      </w:pPr>
      <w:r>
        <w:rPr>
          <w:rFonts w:ascii="Courier New" w:cs="Courier New" w:eastAsia="Courier New" w:hAnsi="Courier New"/>
          <w:sz w:val="16"/>
          <w:szCs w:val="16"/>
          <w:color w:val="auto"/>
        </w:rPr>
        <w:t>NUMBER OF --</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61" w:lineRule="exact"/>
        <w:rPr>
          <w:sz w:val="20"/>
          <w:szCs w:val="20"/>
          <w:color w:val="auto"/>
        </w:rPr>
      </w:pPr>
    </w:p>
    <w:tbl>
      <w:tblPr>
        <w:tblLayout w:type="fixed"/>
        <w:tblInd w:w="1" w:type="dxa"/>
        <w:tblCellMar>
          <w:top w:w="0" w:type="dxa"/>
          <w:left w:w="0" w:type="dxa"/>
          <w:bottom w:w="0" w:type="dxa"/>
          <w:right w:w="0" w:type="dxa"/>
        </w:tblCellMar>
      </w:tblPr>
      <w:tr>
        <w:trPr>
          <w:trHeight w:val="186"/>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c>
          <w:tcPr>
            <w:tcW w:w="2480" w:type="dxa"/>
            <w:vAlign w:val="bottom"/>
          </w:tcPr>
          <w:p>
            <w:pPr>
              <w:ind w:left="100"/>
              <w:spacing w:after="0"/>
              <w:rPr>
                <w:sz w:val="20"/>
                <w:szCs w:val="20"/>
                <w:color w:val="auto"/>
              </w:rPr>
            </w:pPr>
            <w:r>
              <w:rPr>
                <w:rFonts w:ascii="Courier New" w:cs="Courier New" w:eastAsia="Courier New" w:hAnsi="Courier New"/>
                <w:sz w:val="16"/>
                <w:szCs w:val="16"/>
                <w:color w:val="auto"/>
              </w:rPr>
              <w:t>A valid trust, estate,</w:t>
            </w:r>
          </w:p>
        </w:tc>
        <w:tc>
          <w:tcPr>
            <w:tcW w:w="2280" w:type="dxa"/>
            <w:vAlign w:val="bottom"/>
          </w:tcPr>
          <w:p>
            <w:pPr>
              <w:ind w:left="140"/>
              <w:spacing w:after="0"/>
              <w:rPr>
                <w:sz w:val="20"/>
                <w:szCs w:val="20"/>
                <w:color w:val="auto"/>
              </w:rPr>
            </w:pPr>
            <w:r>
              <w:rPr>
                <w:rFonts w:ascii="Courier New" w:cs="Courier New" w:eastAsia="Courier New" w:hAnsi="Courier New"/>
                <w:sz w:val="16"/>
                <w:szCs w:val="16"/>
                <w:color w:val="auto"/>
              </w:rPr>
              <w:t>Legal entity (Do not</w:t>
            </w:r>
          </w:p>
        </w:tc>
        <w:tc>
          <w:tcPr>
            <w:tcW w:w="0" w:type="dxa"/>
            <w:vAlign w:val="bottom"/>
          </w:tcPr>
          <w:p>
            <w:pPr>
              <w:spacing w:after="0"/>
              <w:rPr>
                <w:sz w:val="1"/>
                <w:szCs w:val="1"/>
                <w:color w:val="auto"/>
              </w:rPr>
            </w:pPr>
          </w:p>
        </w:tc>
      </w:tr>
      <w:tr>
        <w:trPr>
          <w:trHeight w:val="186"/>
        </w:trPr>
        <w:tc>
          <w:tcPr>
            <w:tcW w:w="380" w:type="dxa"/>
            <w:vAlign w:val="bottom"/>
          </w:tcPr>
          <w:p>
            <w:pPr>
              <w:spacing w:after="0"/>
              <w:rPr>
                <w:sz w:val="16"/>
                <w:szCs w:val="16"/>
                <w:color w:val="auto"/>
              </w:rPr>
            </w:pPr>
          </w:p>
        </w:tc>
        <w:tc>
          <w:tcPr>
            <w:tcW w:w="2480" w:type="dxa"/>
            <w:vAlign w:val="bottom"/>
          </w:tcPr>
          <w:p>
            <w:pPr>
              <w:ind w:left="100"/>
              <w:spacing w:after="0"/>
              <w:rPr>
                <w:sz w:val="20"/>
                <w:szCs w:val="20"/>
                <w:color w:val="auto"/>
              </w:rPr>
            </w:pPr>
            <w:r>
              <w:rPr>
                <w:rFonts w:ascii="Courier New" w:cs="Courier New" w:eastAsia="Courier New" w:hAnsi="Courier New"/>
                <w:sz w:val="16"/>
                <w:szCs w:val="16"/>
                <w:color w:val="auto"/>
              </w:rPr>
              <w:t>or pension trust</w:t>
            </w:r>
          </w:p>
        </w:tc>
        <w:tc>
          <w:tcPr>
            <w:tcW w:w="2280" w:type="dxa"/>
            <w:vAlign w:val="bottom"/>
          </w:tcPr>
          <w:p>
            <w:pPr>
              <w:ind w:left="140"/>
              <w:spacing w:after="0"/>
              <w:rPr>
                <w:sz w:val="20"/>
                <w:szCs w:val="20"/>
                <w:color w:val="auto"/>
              </w:rPr>
            </w:pPr>
            <w:r>
              <w:rPr>
                <w:rFonts w:ascii="Courier New" w:cs="Courier New" w:eastAsia="Courier New" w:hAnsi="Courier New"/>
                <w:sz w:val="16"/>
                <w:szCs w:val="16"/>
                <w:color w:val="auto"/>
              </w:rPr>
              <w:t>furnish the</w:t>
            </w:r>
          </w:p>
        </w:tc>
        <w:tc>
          <w:tcPr>
            <w:tcW w:w="0" w:type="dxa"/>
            <w:vAlign w:val="bottom"/>
          </w:tcPr>
          <w:p>
            <w:pPr>
              <w:spacing w:after="0"/>
              <w:rPr>
                <w:sz w:val="1"/>
                <w:szCs w:val="1"/>
                <w:color w:val="auto"/>
              </w:rPr>
            </w:pPr>
          </w:p>
        </w:tc>
      </w:tr>
      <w:tr>
        <w:trPr>
          <w:trHeight w:val="186"/>
        </w:trPr>
        <w:tc>
          <w:tcPr>
            <w:tcW w:w="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280" w:type="dxa"/>
            <w:vAlign w:val="bottom"/>
          </w:tcPr>
          <w:p>
            <w:pPr>
              <w:ind w:left="140"/>
              <w:spacing w:after="0"/>
              <w:rPr>
                <w:sz w:val="20"/>
                <w:szCs w:val="20"/>
                <w:color w:val="auto"/>
              </w:rPr>
            </w:pPr>
            <w:r>
              <w:rPr>
                <w:rFonts w:ascii="Courier New" w:cs="Courier New" w:eastAsia="Courier New" w:hAnsi="Courier New"/>
                <w:sz w:val="16"/>
                <w:szCs w:val="16"/>
                <w:color w:val="auto"/>
              </w:rPr>
              <w:t>identifying number of</w:t>
            </w:r>
          </w:p>
        </w:tc>
        <w:tc>
          <w:tcPr>
            <w:tcW w:w="0" w:type="dxa"/>
            <w:vAlign w:val="bottom"/>
          </w:tcPr>
          <w:p>
            <w:pPr>
              <w:spacing w:after="0"/>
              <w:rPr>
                <w:sz w:val="1"/>
                <w:szCs w:val="1"/>
                <w:color w:val="auto"/>
              </w:rPr>
            </w:pPr>
          </w:p>
        </w:tc>
      </w:tr>
      <w:tr>
        <w:trPr>
          <w:trHeight w:val="186"/>
        </w:trPr>
        <w:tc>
          <w:tcPr>
            <w:tcW w:w="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280" w:type="dxa"/>
            <w:vAlign w:val="bottom"/>
          </w:tcPr>
          <w:p>
            <w:pPr>
              <w:ind w:left="140"/>
              <w:spacing w:after="0"/>
              <w:rPr>
                <w:sz w:val="20"/>
                <w:szCs w:val="20"/>
                <w:color w:val="auto"/>
              </w:rPr>
            </w:pPr>
            <w:r>
              <w:rPr>
                <w:rFonts w:ascii="Courier New" w:cs="Courier New" w:eastAsia="Courier New" w:hAnsi="Courier New"/>
                <w:sz w:val="16"/>
                <w:szCs w:val="16"/>
                <w:color w:val="auto"/>
              </w:rPr>
              <w:t>the personal</w:t>
            </w:r>
          </w:p>
        </w:tc>
        <w:tc>
          <w:tcPr>
            <w:tcW w:w="0" w:type="dxa"/>
            <w:vAlign w:val="bottom"/>
          </w:tcPr>
          <w:p>
            <w:pPr>
              <w:spacing w:after="0"/>
              <w:rPr>
                <w:sz w:val="1"/>
                <w:szCs w:val="1"/>
                <w:color w:val="auto"/>
              </w:rPr>
            </w:pPr>
          </w:p>
        </w:tc>
      </w:tr>
      <w:tr>
        <w:trPr>
          <w:trHeight w:val="186"/>
        </w:trPr>
        <w:tc>
          <w:tcPr>
            <w:tcW w:w="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280" w:type="dxa"/>
            <w:vAlign w:val="bottom"/>
          </w:tcPr>
          <w:p>
            <w:pPr>
              <w:ind w:left="140"/>
              <w:spacing w:after="0"/>
              <w:rPr>
                <w:sz w:val="20"/>
                <w:szCs w:val="20"/>
                <w:color w:val="auto"/>
              </w:rPr>
            </w:pPr>
            <w:r>
              <w:rPr>
                <w:rFonts w:ascii="Courier New" w:cs="Courier New" w:eastAsia="Courier New" w:hAnsi="Courier New"/>
                <w:sz w:val="16"/>
                <w:szCs w:val="16"/>
                <w:color w:val="auto"/>
              </w:rPr>
              <w:t>representative or</w:t>
            </w:r>
          </w:p>
        </w:tc>
        <w:tc>
          <w:tcPr>
            <w:tcW w:w="0" w:type="dxa"/>
            <w:vAlign w:val="bottom"/>
          </w:tcPr>
          <w:p>
            <w:pPr>
              <w:spacing w:after="0"/>
              <w:rPr>
                <w:sz w:val="1"/>
                <w:szCs w:val="1"/>
                <w:color w:val="auto"/>
              </w:rPr>
            </w:pPr>
          </w:p>
        </w:tc>
      </w:tr>
      <w:tr>
        <w:trPr>
          <w:trHeight w:val="186"/>
        </w:trPr>
        <w:tc>
          <w:tcPr>
            <w:tcW w:w="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280" w:type="dxa"/>
            <w:vAlign w:val="bottom"/>
          </w:tcPr>
          <w:p>
            <w:pPr>
              <w:ind w:left="140"/>
              <w:spacing w:after="0"/>
              <w:rPr>
                <w:sz w:val="20"/>
                <w:szCs w:val="20"/>
                <w:color w:val="auto"/>
              </w:rPr>
            </w:pPr>
            <w:r>
              <w:rPr>
                <w:rFonts w:ascii="Courier New" w:cs="Courier New" w:eastAsia="Courier New" w:hAnsi="Courier New"/>
                <w:sz w:val="16"/>
                <w:szCs w:val="16"/>
                <w:color w:val="auto"/>
              </w:rPr>
              <w:t>trustee unless the</w:t>
            </w:r>
          </w:p>
        </w:tc>
        <w:tc>
          <w:tcPr>
            <w:tcW w:w="0" w:type="dxa"/>
            <w:vAlign w:val="bottom"/>
          </w:tcPr>
          <w:p>
            <w:pPr>
              <w:spacing w:after="0"/>
              <w:rPr>
                <w:sz w:val="1"/>
                <w:szCs w:val="1"/>
                <w:color w:val="auto"/>
              </w:rPr>
            </w:pPr>
          </w:p>
        </w:tc>
      </w:tr>
      <w:tr>
        <w:trPr>
          <w:trHeight w:val="186"/>
        </w:trPr>
        <w:tc>
          <w:tcPr>
            <w:tcW w:w="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280" w:type="dxa"/>
            <w:vAlign w:val="bottom"/>
          </w:tcPr>
          <w:p>
            <w:pPr>
              <w:ind w:left="140"/>
              <w:spacing w:after="0"/>
              <w:rPr>
                <w:sz w:val="20"/>
                <w:szCs w:val="20"/>
                <w:color w:val="auto"/>
              </w:rPr>
            </w:pPr>
            <w:r>
              <w:rPr>
                <w:rFonts w:ascii="Courier New" w:cs="Courier New" w:eastAsia="Courier New" w:hAnsi="Courier New"/>
                <w:sz w:val="16"/>
                <w:szCs w:val="16"/>
                <w:color w:val="auto"/>
              </w:rPr>
              <w:t>legal entity itself is</w:t>
            </w:r>
          </w:p>
        </w:tc>
        <w:tc>
          <w:tcPr>
            <w:tcW w:w="0" w:type="dxa"/>
            <w:vAlign w:val="bottom"/>
          </w:tcPr>
          <w:p>
            <w:pPr>
              <w:spacing w:after="0"/>
              <w:rPr>
                <w:sz w:val="1"/>
                <w:szCs w:val="1"/>
                <w:color w:val="auto"/>
              </w:rPr>
            </w:pPr>
          </w:p>
        </w:tc>
      </w:tr>
      <w:tr>
        <w:trPr>
          <w:trHeight w:val="186"/>
        </w:trPr>
        <w:tc>
          <w:tcPr>
            <w:tcW w:w="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280" w:type="dxa"/>
            <w:vAlign w:val="bottom"/>
          </w:tcPr>
          <w:p>
            <w:pPr>
              <w:ind w:left="140"/>
              <w:spacing w:after="0"/>
              <w:rPr>
                <w:sz w:val="20"/>
                <w:szCs w:val="20"/>
                <w:color w:val="auto"/>
              </w:rPr>
            </w:pPr>
            <w:r>
              <w:rPr>
                <w:rFonts w:ascii="Courier New" w:cs="Courier New" w:eastAsia="Courier New" w:hAnsi="Courier New"/>
                <w:sz w:val="16"/>
                <w:szCs w:val="16"/>
                <w:color w:val="auto"/>
              </w:rPr>
              <w:t>not designated in the</w:t>
            </w:r>
          </w:p>
        </w:tc>
        <w:tc>
          <w:tcPr>
            <w:tcW w:w="0" w:type="dxa"/>
            <w:vAlign w:val="bottom"/>
          </w:tcPr>
          <w:p>
            <w:pPr>
              <w:spacing w:after="0"/>
              <w:rPr>
                <w:sz w:val="1"/>
                <w:szCs w:val="1"/>
                <w:color w:val="auto"/>
              </w:rPr>
            </w:pPr>
          </w:p>
        </w:tc>
      </w:tr>
      <w:tr>
        <w:trPr>
          <w:trHeight w:val="186"/>
        </w:trPr>
        <w:tc>
          <w:tcPr>
            <w:tcW w:w="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w:t>
            </w:r>
          </w:p>
        </w:tc>
        <w:tc>
          <w:tcPr>
            <w:tcW w:w="248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Corporate</w:t>
            </w:r>
          </w:p>
        </w:tc>
        <w:tc>
          <w:tcPr>
            <w:tcW w:w="2280" w:type="dxa"/>
            <w:vAlign w:val="bottom"/>
          </w:tcPr>
          <w:p>
            <w:pPr>
              <w:ind w:left="140"/>
              <w:spacing w:after="0"/>
              <w:rPr>
                <w:sz w:val="20"/>
                <w:szCs w:val="20"/>
                <w:color w:val="auto"/>
              </w:rPr>
            </w:pPr>
            <w:r>
              <w:rPr>
                <w:rFonts w:ascii="Courier New" w:cs="Courier New" w:eastAsia="Courier New" w:hAnsi="Courier New"/>
                <w:sz w:val="16"/>
                <w:szCs w:val="16"/>
                <w:color w:val="auto"/>
              </w:rPr>
              <w:t>account title.)(4)</w:t>
            </w:r>
          </w:p>
        </w:tc>
        <w:tc>
          <w:tcPr>
            <w:tcW w:w="0" w:type="dxa"/>
            <w:vAlign w:val="bottom"/>
          </w:tcPr>
          <w:p>
            <w:pPr>
              <w:spacing w:after="0"/>
              <w:rPr>
                <w:sz w:val="1"/>
                <w:szCs w:val="1"/>
                <w:color w:val="auto"/>
              </w:rPr>
            </w:pPr>
          </w:p>
        </w:tc>
      </w:tr>
      <w:tr>
        <w:trPr>
          <w:trHeight w:val="186"/>
        </w:trPr>
        <w:tc>
          <w:tcPr>
            <w:tcW w:w="380" w:type="dxa"/>
            <w:vAlign w:val="bottom"/>
            <w:vMerge w:val="continue"/>
          </w:tcPr>
          <w:p>
            <w:pPr>
              <w:spacing w:after="0"/>
              <w:rPr>
                <w:sz w:val="16"/>
                <w:szCs w:val="16"/>
                <w:color w:val="auto"/>
              </w:rPr>
            </w:pPr>
          </w:p>
        </w:tc>
        <w:tc>
          <w:tcPr>
            <w:tcW w:w="2480" w:type="dxa"/>
            <w:vAlign w:val="bottom"/>
            <w:vMerge w:val="continue"/>
          </w:tcPr>
          <w:p>
            <w:pPr>
              <w:spacing w:after="0"/>
              <w:rPr>
                <w:sz w:val="16"/>
                <w:szCs w:val="16"/>
                <w:color w:val="auto"/>
              </w:rPr>
            </w:pPr>
          </w:p>
        </w:tc>
        <w:tc>
          <w:tcPr>
            <w:tcW w:w="2280" w:type="dxa"/>
            <w:vAlign w:val="bottom"/>
          </w:tcPr>
          <w:p>
            <w:pPr>
              <w:ind w:left="140"/>
              <w:spacing w:after="0"/>
              <w:rPr>
                <w:sz w:val="20"/>
                <w:szCs w:val="20"/>
                <w:color w:val="auto"/>
              </w:rPr>
            </w:pPr>
            <w:r>
              <w:rPr>
                <w:rFonts w:ascii="Courier New" w:cs="Courier New" w:eastAsia="Courier New" w:hAnsi="Courier New"/>
                <w:sz w:val="16"/>
                <w:szCs w:val="16"/>
                <w:color w:val="auto"/>
              </w:rPr>
              <w:t>The corporation</w:t>
            </w:r>
          </w:p>
        </w:tc>
        <w:tc>
          <w:tcPr>
            <w:tcW w:w="0" w:type="dxa"/>
            <w:vAlign w:val="bottom"/>
          </w:tcPr>
          <w:p>
            <w:pPr>
              <w:spacing w:after="0"/>
              <w:rPr>
                <w:sz w:val="1"/>
                <w:szCs w:val="1"/>
                <w:color w:val="auto"/>
              </w:rPr>
            </w:pPr>
          </w:p>
        </w:tc>
      </w:tr>
      <w:tr>
        <w:trPr>
          <w:trHeight w:val="186"/>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c>
          <w:tcPr>
            <w:tcW w:w="2480" w:type="dxa"/>
            <w:vAlign w:val="bottom"/>
          </w:tcPr>
          <w:p>
            <w:pPr>
              <w:ind w:left="100"/>
              <w:spacing w:after="0"/>
              <w:rPr>
                <w:sz w:val="20"/>
                <w:szCs w:val="20"/>
                <w:color w:val="auto"/>
              </w:rPr>
            </w:pPr>
            <w:r>
              <w:rPr>
                <w:rFonts w:ascii="Courier New" w:cs="Courier New" w:eastAsia="Courier New" w:hAnsi="Courier New"/>
                <w:sz w:val="16"/>
                <w:szCs w:val="16"/>
                <w:color w:val="auto"/>
              </w:rPr>
              <w:t>Association, club,</w:t>
            </w:r>
          </w:p>
        </w:tc>
        <w:tc>
          <w:tcPr>
            <w:tcW w:w="2280" w:type="dxa"/>
            <w:vAlign w:val="bottom"/>
          </w:tcPr>
          <w:p>
            <w:pPr>
              <w:ind w:left="140"/>
              <w:spacing w:after="0"/>
              <w:rPr>
                <w:sz w:val="20"/>
                <w:szCs w:val="20"/>
                <w:color w:val="auto"/>
              </w:rPr>
            </w:pPr>
            <w:r>
              <w:rPr>
                <w:rFonts w:ascii="Courier New" w:cs="Courier New" w:eastAsia="Courier New" w:hAnsi="Courier New"/>
                <w:sz w:val="16"/>
                <w:szCs w:val="16"/>
                <w:color w:val="auto"/>
              </w:rPr>
              <w:t>The organization</w:t>
            </w:r>
          </w:p>
        </w:tc>
        <w:tc>
          <w:tcPr>
            <w:tcW w:w="0" w:type="dxa"/>
            <w:vAlign w:val="bottom"/>
          </w:tcPr>
          <w:p>
            <w:pPr>
              <w:spacing w:after="0"/>
              <w:rPr>
                <w:sz w:val="1"/>
                <w:szCs w:val="1"/>
                <w:color w:val="auto"/>
              </w:rPr>
            </w:pPr>
          </w:p>
        </w:tc>
      </w:tr>
      <w:tr>
        <w:trPr>
          <w:trHeight w:val="186"/>
        </w:trPr>
        <w:tc>
          <w:tcPr>
            <w:tcW w:w="380" w:type="dxa"/>
            <w:vAlign w:val="bottom"/>
          </w:tcPr>
          <w:p>
            <w:pPr>
              <w:spacing w:after="0"/>
              <w:rPr>
                <w:sz w:val="16"/>
                <w:szCs w:val="16"/>
                <w:color w:val="auto"/>
              </w:rPr>
            </w:pPr>
          </w:p>
        </w:tc>
        <w:tc>
          <w:tcPr>
            <w:tcW w:w="2480" w:type="dxa"/>
            <w:vAlign w:val="bottom"/>
          </w:tcPr>
          <w:p>
            <w:pPr>
              <w:ind w:left="100"/>
              <w:spacing w:after="0"/>
              <w:rPr>
                <w:sz w:val="20"/>
                <w:szCs w:val="20"/>
                <w:color w:val="auto"/>
              </w:rPr>
            </w:pPr>
            <w:r>
              <w:rPr>
                <w:rFonts w:ascii="Courier New" w:cs="Courier New" w:eastAsia="Courier New" w:hAnsi="Courier New"/>
                <w:sz w:val="16"/>
                <w:szCs w:val="16"/>
                <w:color w:val="auto"/>
              </w:rPr>
              <w:t>religious, charitable,</w:t>
            </w: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0" w:type="dxa"/>
            <w:vAlign w:val="bottom"/>
          </w:tcPr>
          <w:p>
            <w:pPr>
              <w:spacing w:after="0"/>
              <w:rPr>
                <w:sz w:val="16"/>
                <w:szCs w:val="16"/>
                <w:color w:val="auto"/>
              </w:rPr>
            </w:pPr>
          </w:p>
        </w:tc>
        <w:tc>
          <w:tcPr>
            <w:tcW w:w="2480" w:type="dxa"/>
            <w:vAlign w:val="bottom"/>
          </w:tcPr>
          <w:p>
            <w:pPr>
              <w:ind w:left="100"/>
              <w:spacing w:after="0"/>
              <w:rPr>
                <w:sz w:val="20"/>
                <w:szCs w:val="20"/>
                <w:color w:val="auto"/>
              </w:rPr>
            </w:pPr>
            <w:r>
              <w:rPr>
                <w:rFonts w:ascii="Courier New" w:cs="Courier New" w:eastAsia="Courier New" w:hAnsi="Courier New"/>
                <w:sz w:val="16"/>
                <w:szCs w:val="16"/>
                <w:color w:val="auto"/>
              </w:rPr>
              <w:t>educational, or other</w:t>
            </w: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0" w:type="dxa"/>
            <w:vAlign w:val="bottom"/>
          </w:tcPr>
          <w:p>
            <w:pPr>
              <w:spacing w:after="0"/>
              <w:rPr>
                <w:sz w:val="16"/>
                <w:szCs w:val="16"/>
                <w:color w:val="auto"/>
              </w:rPr>
            </w:pPr>
          </w:p>
        </w:tc>
        <w:tc>
          <w:tcPr>
            <w:tcW w:w="2480" w:type="dxa"/>
            <w:vAlign w:val="bottom"/>
          </w:tcPr>
          <w:p>
            <w:pPr>
              <w:ind w:left="100"/>
              <w:spacing w:after="0"/>
              <w:rPr>
                <w:sz w:val="20"/>
                <w:szCs w:val="20"/>
                <w:color w:val="auto"/>
              </w:rPr>
            </w:pPr>
            <w:r>
              <w:rPr>
                <w:rFonts w:ascii="Courier New" w:cs="Courier New" w:eastAsia="Courier New" w:hAnsi="Courier New"/>
                <w:sz w:val="16"/>
                <w:szCs w:val="16"/>
                <w:color w:val="auto"/>
              </w:rPr>
              <w:t>tax-exempt organization</w:t>
            </w: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9.</w:t>
            </w:r>
          </w:p>
        </w:tc>
        <w:tc>
          <w:tcPr>
            <w:tcW w:w="2480" w:type="dxa"/>
            <w:vAlign w:val="bottom"/>
          </w:tcPr>
          <w:p>
            <w:pPr>
              <w:ind w:left="100"/>
              <w:spacing w:after="0"/>
              <w:rPr>
                <w:sz w:val="20"/>
                <w:szCs w:val="20"/>
                <w:color w:val="auto"/>
              </w:rPr>
            </w:pPr>
            <w:r>
              <w:rPr>
                <w:rFonts w:ascii="Courier New" w:cs="Courier New" w:eastAsia="Courier New" w:hAnsi="Courier New"/>
                <w:sz w:val="16"/>
                <w:szCs w:val="16"/>
                <w:color w:val="auto"/>
              </w:rPr>
              <w:t>account</w:t>
            </w:r>
          </w:p>
        </w:tc>
        <w:tc>
          <w:tcPr>
            <w:tcW w:w="2280" w:type="dxa"/>
            <w:vAlign w:val="bottom"/>
            <w:vMerge w:val="restart"/>
          </w:tcPr>
          <w:p>
            <w:pPr>
              <w:ind w:left="140"/>
              <w:spacing w:after="0"/>
              <w:rPr>
                <w:sz w:val="20"/>
                <w:szCs w:val="20"/>
                <w:color w:val="auto"/>
              </w:rPr>
            </w:pPr>
            <w:r>
              <w:rPr>
                <w:rFonts w:ascii="Courier New" w:cs="Courier New" w:eastAsia="Courier New" w:hAnsi="Courier New"/>
                <w:sz w:val="16"/>
                <w:szCs w:val="16"/>
                <w:color w:val="auto"/>
              </w:rPr>
              <w:t>The partnership</w:t>
            </w:r>
          </w:p>
        </w:tc>
        <w:tc>
          <w:tcPr>
            <w:tcW w:w="0" w:type="dxa"/>
            <w:vAlign w:val="bottom"/>
          </w:tcPr>
          <w:p>
            <w:pPr>
              <w:spacing w:after="0"/>
              <w:rPr>
                <w:sz w:val="1"/>
                <w:szCs w:val="1"/>
                <w:color w:val="auto"/>
              </w:rPr>
            </w:pPr>
          </w:p>
        </w:tc>
      </w:tr>
      <w:tr>
        <w:trPr>
          <w:trHeight w:val="186"/>
        </w:trPr>
        <w:tc>
          <w:tcPr>
            <w:tcW w:w="380" w:type="dxa"/>
            <w:vAlign w:val="bottom"/>
            <w:vMerge w:val="continue"/>
          </w:tcPr>
          <w:p>
            <w:pPr>
              <w:spacing w:after="0"/>
              <w:rPr>
                <w:sz w:val="16"/>
                <w:szCs w:val="16"/>
                <w:color w:val="auto"/>
              </w:rPr>
            </w:pPr>
          </w:p>
        </w:tc>
        <w:tc>
          <w:tcPr>
            <w:tcW w:w="2480" w:type="dxa"/>
            <w:vAlign w:val="bottom"/>
          </w:tcPr>
          <w:p>
            <w:pPr>
              <w:ind w:left="100"/>
              <w:spacing w:after="0"/>
              <w:rPr>
                <w:sz w:val="20"/>
                <w:szCs w:val="20"/>
                <w:color w:val="auto"/>
              </w:rPr>
            </w:pPr>
            <w:r>
              <w:rPr>
                <w:rFonts w:ascii="Courier New" w:cs="Courier New" w:eastAsia="Courier New" w:hAnsi="Courier New"/>
                <w:sz w:val="16"/>
                <w:szCs w:val="16"/>
                <w:color w:val="auto"/>
              </w:rPr>
              <w:t>Partnership</w:t>
            </w:r>
          </w:p>
        </w:tc>
        <w:tc>
          <w:tcPr>
            <w:tcW w:w="2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7"/>
              </w:rPr>
              <w:t>10.</w:t>
            </w:r>
          </w:p>
        </w:tc>
        <w:tc>
          <w:tcPr>
            <w:tcW w:w="2480" w:type="dxa"/>
            <w:vAlign w:val="bottom"/>
          </w:tcPr>
          <w:p>
            <w:pPr>
              <w:ind w:left="100"/>
              <w:spacing w:after="0"/>
              <w:rPr>
                <w:sz w:val="20"/>
                <w:szCs w:val="20"/>
                <w:color w:val="auto"/>
              </w:rPr>
            </w:pPr>
            <w:r>
              <w:rPr>
                <w:rFonts w:ascii="Courier New" w:cs="Courier New" w:eastAsia="Courier New" w:hAnsi="Courier New"/>
                <w:sz w:val="16"/>
                <w:szCs w:val="16"/>
                <w:color w:val="auto"/>
              </w:rPr>
              <w:t>A broker or registered</w:t>
            </w:r>
          </w:p>
        </w:tc>
        <w:tc>
          <w:tcPr>
            <w:tcW w:w="2280" w:type="dxa"/>
            <w:vAlign w:val="bottom"/>
          </w:tcPr>
          <w:p>
            <w:pPr>
              <w:ind w:left="140"/>
              <w:spacing w:after="0"/>
              <w:rPr>
                <w:sz w:val="20"/>
                <w:szCs w:val="20"/>
                <w:color w:val="auto"/>
              </w:rPr>
            </w:pPr>
            <w:r>
              <w:rPr>
                <w:rFonts w:ascii="Courier New" w:cs="Courier New" w:eastAsia="Courier New" w:hAnsi="Courier New"/>
                <w:sz w:val="16"/>
                <w:szCs w:val="16"/>
                <w:color w:val="auto"/>
              </w:rPr>
              <w:t>The broker or nominee</w:t>
            </w:r>
          </w:p>
        </w:tc>
        <w:tc>
          <w:tcPr>
            <w:tcW w:w="0" w:type="dxa"/>
            <w:vAlign w:val="bottom"/>
          </w:tcPr>
          <w:p>
            <w:pPr>
              <w:spacing w:after="0"/>
              <w:rPr>
                <w:sz w:val="1"/>
                <w:szCs w:val="1"/>
                <w:color w:val="auto"/>
              </w:rPr>
            </w:pPr>
          </w:p>
        </w:tc>
      </w:tr>
      <w:tr>
        <w:trPr>
          <w:trHeight w:val="186"/>
        </w:trPr>
        <w:tc>
          <w:tcPr>
            <w:tcW w:w="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7"/>
              </w:rPr>
              <w:t>11.</w:t>
            </w:r>
          </w:p>
        </w:tc>
        <w:tc>
          <w:tcPr>
            <w:tcW w:w="2480" w:type="dxa"/>
            <w:vAlign w:val="bottom"/>
          </w:tcPr>
          <w:p>
            <w:pPr>
              <w:ind w:left="100"/>
              <w:spacing w:after="0"/>
              <w:rPr>
                <w:sz w:val="20"/>
                <w:szCs w:val="20"/>
                <w:color w:val="auto"/>
              </w:rPr>
            </w:pPr>
            <w:r>
              <w:rPr>
                <w:rFonts w:ascii="Courier New" w:cs="Courier New" w:eastAsia="Courier New" w:hAnsi="Courier New"/>
                <w:sz w:val="16"/>
                <w:szCs w:val="16"/>
                <w:color w:val="auto"/>
              </w:rPr>
              <w:t>nominee</w:t>
            </w:r>
          </w:p>
        </w:tc>
        <w:tc>
          <w:tcPr>
            <w:tcW w:w="2280" w:type="dxa"/>
            <w:vAlign w:val="bottom"/>
            <w:vMerge w:val="restart"/>
          </w:tcPr>
          <w:p>
            <w:pPr>
              <w:ind w:left="140"/>
              <w:spacing w:after="0"/>
              <w:rPr>
                <w:sz w:val="20"/>
                <w:szCs w:val="20"/>
                <w:color w:val="auto"/>
              </w:rPr>
            </w:pPr>
            <w:r>
              <w:rPr>
                <w:rFonts w:ascii="Courier New" w:cs="Courier New" w:eastAsia="Courier New" w:hAnsi="Courier New"/>
                <w:sz w:val="16"/>
                <w:szCs w:val="16"/>
                <w:color w:val="auto"/>
              </w:rPr>
              <w:t>The public entity</w:t>
            </w:r>
          </w:p>
        </w:tc>
        <w:tc>
          <w:tcPr>
            <w:tcW w:w="0" w:type="dxa"/>
            <w:vAlign w:val="bottom"/>
          </w:tcPr>
          <w:p>
            <w:pPr>
              <w:spacing w:after="0"/>
              <w:rPr>
                <w:sz w:val="1"/>
                <w:szCs w:val="1"/>
                <w:color w:val="auto"/>
              </w:rPr>
            </w:pPr>
          </w:p>
        </w:tc>
      </w:tr>
      <w:tr>
        <w:trPr>
          <w:trHeight w:val="186"/>
        </w:trPr>
        <w:tc>
          <w:tcPr>
            <w:tcW w:w="380" w:type="dxa"/>
            <w:vAlign w:val="bottom"/>
            <w:vMerge w:val="continue"/>
          </w:tcPr>
          <w:p>
            <w:pPr>
              <w:spacing w:after="0"/>
              <w:rPr>
                <w:sz w:val="16"/>
                <w:szCs w:val="16"/>
                <w:color w:val="auto"/>
              </w:rPr>
            </w:pPr>
          </w:p>
        </w:tc>
        <w:tc>
          <w:tcPr>
            <w:tcW w:w="2480" w:type="dxa"/>
            <w:vAlign w:val="bottom"/>
          </w:tcPr>
          <w:p>
            <w:pPr>
              <w:ind w:left="100"/>
              <w:spacing w:after="0"/>
              <w:rPr>
                <w:sz w:val="20"/>
                <w:szCs w:val="20"/>
                <w:color w:val="auto"/>
              </w:rPr>
            </w:pPr>
            <w:r>
              <w:rPr>
                <w:rFonts w:ascii="Courier New" w:cs="Courier New" w:eastAsia="Courier New" w:hAnsi="Courier New"/>
                <w:sz w:val="16"/>
                <w:szCs w:val="16"/>
                <w:color w:val="auto"/>
              </w:rPr>
              <w:t>Account with the</w:t>
            </w:r>
          </w:p>
        </w:tc>
        <w:tc>
          <w:tcPr>
            <w:tcW w:w="2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0" w:type="dxa"/>
            <w:vAlign w:val="bottom"/>
          </w:tcPr>
          <w:p>
            <w:pPr>
              <w:spacing w:after="0"/>
              <w:rPr>
                <w:sz w:val="16"/>
                <w:szCs w:val="16"/>
                <w:color w:val="auto"/>
              </w:rPr>
            </w:pPr>
          </w:p>
        </w:tc>
        <w:tc>
          <w:tcPr>
            <w:tcW w:w="2480" w:type="dxa"/>
            <w:vAlign w:val="bottom"/>
          </w:tcPr>
          <w:p>
            <w:pPr>
              <w:ind w:left="100"/>
              <w:spacing w:after="0"/>
              <w:rPr>
                <w:sz w:val="20"/>
                <w:szCs w:val="20"/>
                <w:color w:val="auto"/>
              </w:rPr>
            </w:pPr>
            <w:r>
              <w:rPr>
                <w:rFonts w:ascii="Courier New" w:cs="Courier New" w:eastAsia="Courier New" w:hAnsi="Courier New"/>
                <w:sz w:val="16"/>
                <w:szCs w:val="16"/>
                <w:color w:val="auto"/>
              </w:rPr>
              <w:t>Department of</w:t>
            </w: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0" w:type="dxa"/>
            <w:vAlign w:val="bottom"/>
          </w:tcPr>
          <w:p>
            <w:pPr>
              <w:spacing w:after="0"/>
              <w:rPr>
                <w:sz w:val="16"/>
                <w:szCs w:val="16"/>
                <w:color w:val="auto"/>
              </w:rPr>
            </w:pPr>
          </w:p>
        </w:tc>
        <w:tc>
          <w:tcPr>
            <w:tcW w:w="2480" w:type="dxa"/>
            <w:vAlign w:val="bottom"/>
          </w:tcPr>
          <w:p>
            <w:pPr>
              <w:ind w:left="100"/>
              <w:spacing w:after="0"/>
              <w:rPr>
                <w:sz w:val="20"/>
                <w:szCs w:val="20"/>
                <w:color w:val="auto"/>
              </w:rPr>
            </w:pPr>
            <w:r>
              <w:rPr>
                <w:rFonts w:ascii="Courier New" w:cs="Courier New" w:eastAsia="Courier New" w:hAnsi="Courier New"/>
                <w:sz w:val="16"/>
                <w:szCs w:val="16"/>
                <w:color w:val="auto"/>
              </w:rPr>
              <w:t>Agriculture in the name</w:t>
            </w: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480" w:type="dxa"/>
            <w:vAlign w:val="bottom"/>
          </w:tcPr>
          <w:p>
            <w:pPr>
              <w:ind w:left="100"/>
              <w:spacing w:after="0"/>
              <w:rPr>
                <w:sz w:val="20"/>
                <w:szCs w:val="20"/>
                <w:color w:val="auto"/>
              </w:rPr>
            </w:pPr>
            <w:r>
              <w:rPr>
                <w:rFonts w:ascii="Courier New" w:cs="Courier New" w:eastAsia="Courier New" w:hAnsi="Courier New"/>
                <w:sz w:val="16"/>
                <w:szCs w:val="16"/>
                <w:color w:val="auto"/>
              </w:rPr>
              <w:t>of a public entity</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481"/>
        <w:spacing w:after="0"/>
        <w:rPr>
          <w:sz w:val="20"/>
          <w:szCs w:val="20"/>
          <w:color w:val="auto"/>
        </w:rPr>
      </w:pPr>
      <w:r>
        <w:rPr>
          <w:rFonts w:ascii="Courier New" w:cs="Courier New" w:eastAsia="Courier New" w:hAnsi="Courier New"/>
          <w:sz w:val="16"/>
          <w:szCs w:val="16"/>
          <w:color w:val="auto"/>
        </w:rPr>
        <w:t>(such as a state or</w:t>
      </w:r>
    </w:p>
    <w:p>
      <w:pPr>
        <w:spacing w:after="0" w:line="5"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local government,</w:t>
      </w:r>
    </w:p>
    <w:p>
      <w:pPr>
        <w:spacing w:after="0" w:line="5"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school district or</w:t>
      </w:r>
    </w:p>
    <w:p>
      <w:pPr>
        <w:spacing w:after="0" w:line="5"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prison) that receives</w:t>
      </w:r>
    </w:p>
    <w:p>
      <w:pPr>
        <w:spacing w:after="0" w:line="5"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agricultural program</w:t>
      </w:r>
    </w:p>
    <w:p>
      <w:pPr>
        <w:spacing w:after="0" w:line="5"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payments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348" w:lineRule="exact"/>
        <w:rPr>
          <w:sz w:val="20"/>
          <w:szCs w:val="20"/>
          <w:color w:val="auto"/>
        </w:rPr>
      </w:pPr>
    </w:p>
    <w:p>
      <w:pPr>
        <w:ind w:left="381" w:right="2759" w:hanging="381"/>
        <w:spacing w:after="0" w:line="259" w:lineRule="auto"/>
        <w:tabs>
          <w:tab w:leader="none" w:pos="381"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List first and circle the name of the person whose number you furnish. If only one person on a joint account has a social security number that person's number must be furnished.</w:t>
      </w:r>
    </w:p>
    <w:p>
      <w:pPr>
        <w:spacing w:after="0" w:line="2"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Circle the minor's name and furnish the minor's social security number.</w:t>
      </w:r>
    </w:p>
    <w:p>
      <w:pPr>
        <w:sectPr>
          <w:pgSz w:w="11900" w:h="16838" w:orient="portrait"/>
          <w:cols w:equalWidth="0" w:num="1">
            <w:col w:w="10220"/>
          </w:cols>
          <w:pgMar w:left="239" w:top="112" w:right="1440" w:bottom="0" w:gutter="0" w:footer="0" w:header="0"/>
        </w:sectPr>
      </w:pPr>
    </w:p>
    <w:bookmarkStart w:id="67" w:name="page68"/>
    <w:bookmarkEnd w:id="67"/>
    <w:p>
      <w:pPr>
        <w:ind w:left="381" w:right="2459" w:hanging="381"/>
        <w:spacing w:after="0" w:line="259" w:lineRule="auto"/>
        <w:tabs>
          <w:tab w:leader="none" w:pos="381"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must show your individual name. You may also enter your business or "doing business as" name. You may use either your social security number or, if you have one, your employer identification number.</w:t>
      </w:r>
    </w:p>
    <w:p>
      <w:pPr>
        <w:spacing w:after="0" w:line="2"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List first and circle the name of the legal trust, estate or pension trust.</w:t>
      </w:r>
    </w:p>
    <w:p>
      <w:pPr>
        <w:spacing w:after="0" w:line="161" w:lineRule="exact"/>
        <w:rPr>
          <w:sz w:val="20"/>
          <w:szCs w:val="20"/>
          <w:color w:val="auto"/>
        </w:rPr>
      </w:pPr>
    </w:p>
    <w:p>
      <w:pPr>
        <w:ind w:left="581" w:right="2559" w:hanging="579"/>
        <w:spacing w:after="0" w:line="367" w:lineRule="auto"/>
        <w:tabs>
          <w:tab w:leader="none" w:pos="560" w:val="left"/>
        </w:tabs>
        <w:rPr>
          <w:sz w:val="20"/>
          <w:szCs w:val="20"/>
          <w:color w:val="auto"/>
        </w:rPr>
      </w:pPr>
      <w:r>
        <w:rPr>
          <w:rFonts w:ascii="Courier New" w:cs="Courier New" w:eastAsia="Courier New" w:hAnsi="Courier New"/>
          <w:sz w:val="16"/>
          <w:szCs w:val="16"/>
          <w:color w:val="auto"/>
        </w:rPr>
        <w:t>NOTE:</w:t>
        <w:tab/>
        <w:t>If no name is circled when there is more than one name listed, the number will be considered to be that of the first name listed.</w:t>
      </w:r>
    </w:p>
    <w:p>
      <w:pPr>
        <w:sectPr>
          <w:pgSz w:w="11900" w:h="16838" w:orient="portrait"/>
          <w:cols w:equalWidth="0" w:num="1">
            <w:col w:w="10220"/>
          </w:cols>
          <w:pgMar w:left="239" w:top="112" w:right="1440" w:bottom="1440" w:gutter="0" w:footer="0" w:header="0"/>
        </w:sectPr>
      </w:pPr>
    </w:p>
    <w:bookmarkStart w:id="68" w:name="page69"/>
    <w:bookmarkEnd w:id="68"/>
    <w:p>
      <w:pPr>
        <w:spacing w:after="0" w:line="29"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2</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GUIDELINES FOR CERTIFICATION OF TAXPAYER IDENTIFICATION</w:t>
      </w:r>
    </w:p>
    <w:p>
      <w:pPr>
        <w:spacing w:after="0" w:line="3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NUMBER ON SUBSTITUTE FORM W-9</w:t>
      </w:r>
    </w:p>
    <w:p>
      <w:pPr>
        <w:spacing w:after="0" w:line="16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PAGE 2</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OBTAINING A NUMBER</w:t>
      </w:r>
    </w:p>
    <w:p>
      <w:pPr>
        <w:spacing w:after="0" w:line="191" w:lineRule="exact"/>
        <w:rPr>
          <w:sz w:val="20"/>
          <w:szCs w:val="20"/>
          <w:color w:val="auto"/>
        </w:rPr>
      </w:pPr>
    </w:p>
    <w:p>
      <w:pPr>
        <w:ind w:right="2459"/>
        <w:spacing w:after="0" w:line="276" w:lineRule="auto"/>
        <w:rPr>
          <w:sz w:val="20"/>
          <w:szCs w:val="20"/>
          <w:color w:val="auto"/>
        </w:rPr>
      </w:pPr>
      <w:r>
        <w:rPr>
          <w:rFonts w:ascii="Courier New" w:cs="Courier New" w:eastAsia="Courier New" w:hAnsi="Courier New"/>
          <w:sz w:val="16"/>
          <w:szCs w:val="16"/>
          <w:color w:val="auto"/>
        </w:rPr>
        <w:t>If you don't have a taxpayer identification number or you don't know your number, obtain Form SS-5, Application for a Social Security Number Card, or Form SS-4, Application for Employer Identification Number, at a local office of the Social Security Administration or the Internal Revenue Service and apply for a number. You may also obtain Form SS-4 by calling the IRS at 1-800-TAX-FORM.</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PAYEES EXEMPT FROM BACKUP WITHHOLDING</w:t>
      </w:r>
    </w:p>
    <w:p>
      <w:pPr>
        <w:spacing w:after="0" w:line="191" w:lineRule="exact"/>
        <w:rPr>
          <w:sz w:val="20"/>
          <w:szCs w:val="20"/>
          <w:color w:val="auto"/>
        </w:rPr>
      </w:pPr>
    </w:p>
    <w:p>
      <w:pPr>
        <w:ind w:right="2459"/>
        <w:spacing w:after="0" w:line="367" w:lineRule="auto"/>
        <w:rPr>
          <w:sz w:val="20"/>
          <w:szCs w:val="20"/>
          <w:color w:val="auto"/>
        </w:rPr>
      </w:pPr>
      <w:r>
        <w:rPr>
          <w:rFonts w:ascii="Courier New" w:cs="Courier New" w:eastAsia="Courier New" w:hAnsi="Courier New"/>
          <w:sz w:val="16"/>
          <w:szCs w:val="16"/>
          <w:color w:val="auto"/>
        </w:rPr>
        <w:t>Payees specifically exempted from backup withholding on ALL payments include the following:</w:t>
      </w:r>
    </w:p>
    <w:p>
      <w:pPr>
        <w:spacing w:after="0" w:line="5" w:lineRule="exact"/>
        <w:rPr>
          <w:sz w:val="20"/>
          <w:szCs w:val="20"/>
          <w:color w:val="auto"/>
        </w:rPr>
      </w:pPr>
    </w:p>
    <w:p>
      <w:pPr>
        <w:ind w:left="300" w:right="3139" w:hanging="204"/>
        <w:spacing w:after="0" w:line="367" w:lineRule="auto"/>
        <w:tabs>
          <w:tab w:leader="none" w:pos="30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organization exempt from tax under section 501(a), or an individual retirement account.</w:t>
      </w:r>
    </w:p>
    <w:p>
      <w:pPr>
        <w:spacing w:after="0" w:line="4" w:lineRule="exact"/>
        <w:rPr>
          <w:rFonts w:ascii="Courier New" w:cs="Courier New" w:eastAsia="Courier New" w:hAnsi="Courier New"/>
          <w:sz w:val="16"/>
          <w:szCs w:val="16"/>
          <w:color w:val="auto"/>
        </w:rPr>
      </w:pPr>
    </w:p>
    <w:p>
      <w:pPr>
        <w:ind w:left="300" w:hanging="204"/>
        <w:spacing w:after="0"/>
        <w:tabs>
          <w:tab w:leader="none" w:pos="30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United States or any wholly-owned agency or instrumentality thereof.</w:t>
      </w:r>
    </w:p>
    <w:p>
      <w:pPr>
        <w:spacing w:after="0" w:line="191" w:lineRule="exact"/>
        <w:rPr>
          <w:rFonts w:ascii="Courier New" w:cs="Courier New" w:eastAsia="Courier New" w:hAnsi="Courier New"/>
          <w:sz w:val="16"/>
          <w:szCs w:val="16"/>
          <w:color w:val="auto"/>
        </w:rPr>
      </w:pPr>
    </w:p>
    <w:p>
      <w:pPr>
        <w:ind w:left="300" w:right="2559" w:hanging="204"/>
        <w:spacing w:after="0" w:line="367" w:lineRule="auto"/>
        <w:tabs>
          <w:tab w:leader="none" w:pos="30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state, the District of Columbia, a possession of the United States, or any political subdivision or wholly-owned agency or instrumentality thereof.</w:t>
      </w:r>
    </w:p>
    <w:p>
      <w:pPr>
        <w:spacing w:after="0" w:line="4" w:lineRule="exact"/>
        <w:rPr>
          <w:rFonts w:ascii="Courier New" w:cs="Courier New" w:eastAsia="Courier New" w:hAnsi="Courier New"/>
          <w:sz w:val="16"/>
          <w:szCs w:val="16"/>
          <w:color w:val="auto"/>
        </w:rPr>
      </w:pPr>
    </w:p>
    <w:p>
      <w:pPr>
        <w:ind w:left="300" w:right="2459" w:hanging="204"/>
        <w:spacing w:after="0" w:line="367" w:lineRule="auto"/>
        <w:tabs>
          <w:tab w:leader="none" w:pos="30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foreign government, a political subdivision of a foreign government, or any wholly-owned agency or instrumentality thereof.</w:t>
      </w:r>
    </w:p>
    <w:p>
      <w:pPr>
        <w:spacing w:after="0" w:line="4" w:lineRule="exact"/>
        <w:rPr>
          <w:rFonts w:ascii="Courier New" w:cs="Courier New" w:eastAsia="Courier New" w:hAnsi="Courier New"/>
          <w:sz w:val="16"/>
          <w:szCs w:val="16"/>
          <w:color w:val="auto"/>
        </w:rPr>
      </w:pPr>
    </w:p>
    <w:p>
      <w:pPr>
        <w:ind w:left="300" w:right="2659" w:hanging="204"/>
        <w:spacing w:after="0" w:line="367" w:lineRule="auto"/>
        <w:tabs>
          <w:tab w:leader="none" w:pos="30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international organization or any wholly-owned agency or instrumentality thereof.</w:t>
      </w:r>
    </w:p>
    <w:p>
      <w:pPr>
        <w:spacing w:after="0" w:line="5" w:lineRule="exact"/>
        <w:rPr>
          <w:sz w:val="20"/>
          <w:szCs w:val="20"/>
          <w:color w:val="auto"/>
        </w:rPr>
      </w:pPr>
    </w:p>
    <w:p>
      <w:pPr>
        <w:ind w:right="2759"/>
        <w:spacing w:after="0" w:line="367" w:lineRule="auto"/>
        <w:rPr>
          <w:sz w:val="20"/>
          <w:szCs w:val="20"/>
          <w:color w:val="auto"/>
        </w:rPr>
      </w:pPr>
      <w:r>
        <w:rPr>
          <w:rFonts w:ascii="Courier New" w:cs="Courier New" w:eastAsia="Courier New" w:hAnsi="Courier New"/>
          <w:sz w:val="16"/>
          <w:szCs w:val="16"/>
          <w:color w:val="auto"/>
        </w:rPr>
        <w:t>Payees specifically exempted from backup withholding on interest and dividend payments include the following:</w:t>
      </w:r>
    </w:p>
    <w:p>
      <w:pPr>
        <w:spacing w:after="0" w:line="5" w:lineRule="exact"/>
        <w:rPr>
          <w:sz w:val="20"/>
          <w:szCs w:val="20"/>
          <w:color w:val="auto"/>
        </w:rPr>
      </w:pPr>
    </w:p>
    <w:p>
      <w:pPr>
        <w:ind w:left="300" w:hanging="204"/>
        <w:spacing w:after="0"/>
        <w:tabs>
          <w:tab w:leader="none" w:pos="30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w:t>
      </w:r>
    </w:p>
    <w:p>
      <w:pPr>
        <w:spacing w:after="0" w:line="191" w:lineRule="exact"/>
        <w:rPr>
          <w:rFonts w:ascii="Courier New" w:cs="Courier New" w:eastAsia="Courier New" w:hAnsi="Courier New"/>
          <w:sz w:val="16"/>
          <w:szCs w:val="16"/>
          <w:color w:val="auto"/>
        </w:rPr>
      </w:pPr>
    </w:p>
    <w:p>
      <w:pPr>
        <w:ind w:left="300" w:hanging="204"/>
        <w:spacing w:after="0"/>
        <w:tabs>
          <w:tab w:leader="none" w:pos="30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financial institution.</w:t>
      </w:r>
    </w:p>
    <w:p>
      <w:pPr>
        <w:spacing w:after="0" w:line="191" w:lineRule="exact"/>
        <w:rPr>
          <w:rFonts w:ascii="Courier New" w:cs="Courier New" w:eastAsia="Courier New" w:hAnsi="Courier New"/>
          <w:sz w:val="16"/>
          <w:szCs w:val="16"/>
          <w:color w:val="auto"/>
        </w:rPr>
      </w:pPr>
    </w:p>
    <w:p>
      <w:pPr>
        <w:ind w:left="300" w:right="2559" w:hanging="204"/>
        <w:spacing w:after="0" w:line="367" w:lineRule="auto"/>
        <w:tabs>
          <w:tab w:leader="none" w:pos="30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registered dealer in securities or commodities registered in the U.S., the District of Columbia, or a possession of the U.S.</w:t>
      </w:r>
    </w:p>
    <w:p>
      <w:pPr>
        <w:spacing w:after="0" w:line="4" w:lineRule="exact"/>
        <w:rPr>
          <w:rFonts w:ascii="Courier New" w:cs="Courier New" w:eastAsia="Courier New" w:hAnsi="Courier New"/>
          <w:sz w:val="16"/>
          <w:szCs w:val="16"/>
          <w:color w:val="auto"/>
        </w:rPr>
      </w:pPr>
    </w:p>
    <w:p>
      <w:pPr>
        <w:ind w:left="300" w:hanging="204"/>
        <w:spacing w:after="0"/>
        <w:tabs>
          <w:tab w:leader="none" w:pos="30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real estate investment trust.</w:t>
      </w:r>
    </w:p>
    <w:p>
      <w:pPr>
        <w:spacing w:after="0" w:line="191" w:lineRule="exact"/>
        <w:rPr>
          <w:rFonts w:ascii="Courier New" w:cs="Courier New" w:eastAsia="Courier New" w:hAnsi="Courier New"/>
          <w:sz w:val="16"/>
          <w:szCs w:val="16"/>
          <w:color w:val="auto"/>
        </w:rPr>
      </w:pPr>
    </w:p>
    <w:p>
      <w:pPr>
        <w:ind w:left="300" w:hanging="204"/>
        <w:spacing w:after="0"/>
        <w:tabs>
          <w:tab w:leader="none" w:pos="30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common trust fund operated by a bank under section 584(a).</w:t>
      </w:r>
    </w:p>
    <w:p>
      <w:pPr>
        <w:spacing w:after="0" w:line="191" w:lineRule="exact"/>
        <w:rPr>
          <w:rFonts w:ascii="Courier New" w:cs="Courier New" w:eastAsia="Courier New" w:hAnsi="Courier New"/>
          <w:sz w:val="16"/>
          <w:szCs w:val="16"/>
          <w:color w:val="auto"/>
        </w:rPr>
      </w:pPr>
    </w:p>
    <w:p>
      <w:pPr>
        <w:ind w:left="300" w:right="2959" w:hanging="204"/>
        <w:spacing w:after="0" w:line="367" w:lineRule="auto"/>
        <w:tabs>
          <w:tab w:leader="none" w:pos="30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exempt charitable remainder trust, or a non-exempt trust described in section 4947.</w:t>
      </w:r>
    </w:p>
    <w:p>
      <w:pPr>
        <w:spacing w:after="0" w:line="4" w:lineRule="exact"/>
        <w:rPr>
          <w:rFonts w:ascii="Courier New" w:cs="Courier New" w:eastAsia="Courier New" w:hAnsi="Courier New"/>
          <w:sz w:val="16"/>
          <w:szCs w:val="16"/>
          <w:color w:val="auto"/>
        </w:rPr>
      </w:pPr>
    </w:p>
    <w:p>
      <w:pPr>
        <w:ind w:left="300" w:right="2759" w:hanging="204"/>
        <w:spacing w:after="0" w:line="367" w:lineRule="auto"/>
        <w:tabs>
          <w:tab w:leader="none" w:pos="30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entity registered at all times during the tax year under the Investment Company Act of 1940.</w:t>
      </w:r>
    </w:p>
    <w:p>
      <w:pPr>
        <w:spacing w:after="0" w:line="4" w:lineRule="exact"/>
        <w:rPr>
          <w:rFonts w:ascii="Courier New" w:cs="Courier New" w:eastAsia="Courier New" w:hAnsi="Courier New"/>
          <w:sz w:val="16"/>
          <w:szCs w:val="16"/>
          <w:color w:val="auto"/>
        </w:rPr>
      </w:pPr>
    </w:p>
    <w:p>
      <w:pPr>
        <w:ind w:left="300" w:hanging="204"/>
        <w:spacing w:after="0"/>
        <w:tabs>
          <w:tab w:leader="none" w:pos="30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foreign central bank of issue.</w:t>
      </w:r>
    </w:p>
    <w:p>
      <w:pPr>
        <w:spacing w:after="0" w:line="191" w:lineRule="exact"/>
        <w:rPr>
          <w:rFonts w:ascii="Courier New" w:cs="Courier New" w:eastAsia="Courier New" w:hAnsi="Courier New"/>
          <w:sz w:val="16"/>
          <w:szCs w:val="16"/>
          <w:color w:val="auto"/>
        </w:rPr>
      </w:pPr>
    </w:p>
    <w:p>
      <w:pPr>
        <w:ind w:left="300" w:right="2659" w:hanging="204"/>
        <w:spacing w:after="0" w:line="307" w:lineRule="auto"/>
        <w:tabs>
          <w:tab w:leader="none" w:pos="30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middleman known in the investment community as a nominee or who is listed in the most recent publication of the American Society of Corporate Secretaries, Inc., Nominee List.</w:t>
      </w:r>
    </w:p>
    <w:p>
      <w:pPr>
        <w:spacing w:after="0" w:line="50" w:lineRule="exact"/>
        <w:rPr>
          <w:sz w:val="20"/>
          <w:szCs w:val="20"/>
          <w:color w:val="auto"/>
        </w:rPr>
      </w:pPr>
    </w:p>
    <w:p>
      <w:pPr>
        <w:ind w:right="2759"/>
        <w:spacing w:after="0" w:line="367" w:lineRule="auto"/>
        <w:rPr>
          <w:sz w:val="20"/>
          <w:szCs w:val="20"/>
          <w:color w:val="auto"/>
        </w:rPr>
      </w:pPr>
      <w:r>
        <w:rPr>
          <w:rFonts w:ascii="Courier New" w:cs="Courier New" w:eastAsia="Courier New" w:hAnsi="Courier New"/>
          <w:sz w:val="16"/>
          <w:szCs w:val="16"/>
          <w:color w:val="auto"/>
        </w:rPr>
        <w:t>Payments of dividends and patronage dividends not generally subject to backup withholding include the following:</w:t>
      </w:r>
    </w:p>
    <w:p>
      <w:pPr>
        <w:spacing w:after="0" w:line="5" w:lineRule="exact"/>
        <w:rPr>
          <w:sz w:val="20"/>
          <w:szCs w:val="20"/>
          <w:color w:val="auto"/>
        </w:rPr>
      </w:pPr>
    </w:p>
    <w:p>
      <w:pPr>
        <w:ind w:left="300" w:hanging="204"/>
        <w:spacing w:after="0"/>
        <w:tabs>
          <w:tab w:leader="none" w:pos="30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to nonresident aliens subject to withholding under section 1441.</w:t>
      </w:r>
    </w:p>
    <w:p>
      <w:pPr>
        <w:spacing w:after="0" w:line="191" w:lineRule="exact"/>
        <w:rPr>
          <w:rFonts w:ascii="Courier New" w:cs="Courier New" w:eastAsia="Courier New" w:hAnsi="Courier New"/>
          <w:sz w:val="16"/>
          <w:szCs w:val="16"/>
          <w:color w:val="auto"/>
        </w:rPr>
      </w:pPr>
    </w:p>
    <w:p>
      <w:pPr>
        <w:ind w:left="300" w:right="2659" w:hanging="204"/>
        <w:spacing w:after="0" w:line="367" w:lineRule="auto"/>
        <w:tabs>
          <w:tab w:leader="none" w:pos="30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to partnerships not engaged in a trade or business in the U.S. and that have at least one nonresident partner.</w:t>
      </w:r>
    </w:p>
    <w:p>
      <w:pPr>
        <w:spacing w:after="0" w:line="4" w:lineRule="exact"/>
        <w:rPr>
          <w:rFonts w:ascii="Courier New" w:cs="Courier New" w:eastAsia="Courier New" w:hAnsi="Courier New"/>
          <w:sz w:val="16"/>
          <w:szCs w:val="16"/>
          <w:color w:val="auto"/>
        </w:rPr>
      </w:pPr>
    </w:p>
    <w:p>
      <w:pPr>
        <w:ind w:left="300" w:hanging="204"/>
        <w:spacing w:after="0"/>
        <w:tabs>
          <w:tab w:leader="none" w:pos="30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of patronage dividends not paid in money.</w:t>
      </w:r>
    </w:p>
    <w:p>
      <w:pPr>
        <w:spacing w:after="0" w:line="191" w:lineRule="exact"/>
        <w:rPr>
          <w:rFonts w:ascii="Courier New" w:cs="Courier New" w:eastAsia="Courier New" w:hAnsi="Courier New"/>
          <w:sz w:val="16"/>
          <w:szCs w:val="16"/>
          <w:color w:val="auto"/>
        </w:rPr>
      </w:pPr>
    </w:p>
    <w:p>
      <w:pPr>
        <w:ind w:left="300" w:hanging="204"/>
        <w:spacing w:after="0"/>
        <w:tabs>
          <w:tab w:leader="none" w:pos="30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made by certain foreign organizations.</w:t>
      </w:r>
    </w:p>
    <w:p>
      <w:pPr>
        <w:spacing w:after="0" w:line="191" w:lineRule="exact"/>
        <w:rPr>
          <w:rFonts w:ascii="Courier New" w:cs="Courier New" w:eastAsia="Courier New" w:hAnsi="Courier New"/>
          <w:sz w:val="16"/>
          <w:szCs w:val="16"/>
          <w:color w:val="auto"/>
        </w:rPr>
      </w:pPr>
    </w:p>
    <w:p>
      <w:pPr>
        <w:ind w:left="300" w:hanging="204"/>
        <w:spacing w:after="0"/>
        <w:tabs>
          <w:tab w:leader="none" w:pos="30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404(k) payments made by an ESOP.</w:t>
      </w:r>
    </w:p>
    <w:p>
      <w:pPr>
        <w:spacing w:after="0" w:line="191" w:lineRule="exact"/>
        <w:rPr>
          <w:sz w:val="20"/>
          <w:szCs w:val="20"/>
          <w:color w:val="auto"/>
        </w:rPr>
      </w:pPr>
    </w:p>
    <w:p>
      <w:pPr>
        <w:ind w:right="2859"/>
        <w:spacing w:after="0" w:line="367" w:lineRule="auto"/>
        <w:rPr>
          <w:sz w:val="20"/>
          <w:szCs w:val="20"/>
          <w:color w:val="auto"/>
        </w:rPr>
      </w:pPr>
      <w:r>
        <w:rPr>
          <w:rFonts w:ascii="Courier New" w:cs="Courier New" w:eastAsia="Courier New" w:hAnsi="Courier New"/>
          <w:sz w:val="16"/>
          <w:szCs w:val="16"/>
          <w:color w:val="auto"/>
        </w:rPr>
        <w:t>Payments of interest not generally subject to backup withholding include the following:</w:t>
      </w:r>
    </w:p>
    <w:p>
      <w:pPr>
        <w:spacing w:after="0" w:line="5" w:lineRule="exact"/>
        <w:rPr>
          <w:sz w:val="20"/>
          <w:szCs w:val="20"/>
          <w:color w:val="auto"/>
        </w:rPr>
      </w:pPr>
    </w:p>
    <w:p>
      <w:pPr>
        <w:ind w:left="300" w:right="2459" w:hanging="204"/>
        <w:spacing w:after="0" w:line="287" w:lineRule="auto"/>
        <w:tabs>
          <w:tab w:leader="none" w:pos="30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of interest on obligations issued by individuals. Note: You may be subject to backup withholding if this interest is $600 or more and is paid in the course of the payer's trade or business and you have not provided your correct taxpayer identification number to the payer.</w:t>
      </w:r>
    </w:p>
    <w:p>
      <w:pPr>
        <w:spacing w:after="0" w:line="64" w:lineRule="exact"/>
        <w:rPr>
          <w:rFonts w:ascii="Courier New" w:cs="Courier New" w:eastAsia="Courier New" w:hAnsi="Courier New"/>
          <w:sz w:val="16"/>
          <w:szCs w:val="16"/>
          <w:color w:val="auto"/>
        </w:rPr>
      </w:pPr>
    </w:p>
    <w:p>
      <w:pPr>
        <w:ind w:left="300" w:right="2759" w:hanging="204"/>
        <w:spacing w:after="0" w:line="367" w:lineRule="auto"/>
        <w:tabs>
          <w:tab w:leader="none" w:pos="30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of tax-exempt interest (including exempt-interest dividends under section 852).</w:t>
      </w:r>
    </w:p>
    <w:p>
      <w:pPr>
        <w:spacing w:after="0" w:line="4" w:lineRule="exact"/>
        <w:rPr>
          <w:rFonts w:ascii="Courier New" w:cs="Courier New" w:eastAsia="Courier New" w:hAnsi="Courier New"/>
          <w:sz w:val="16"/>
          <w:szCs w:val="16"/>
          <w:color w:val="auto"/>
        </w:rPr>
      </w:pPr>
    </w:p>
    <w:p>
      <w:pPr>
        <w:ind w:left="300" w:hanging="204"/>
        <w:spacing w:after="0"/>
        <w:tabs>
          <w:tab w:leader="none" w:pos="30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described in section 6049(b)(5) to non-resident aliens.</w:t>
      </w:r>
    </w:p>
    <w:p>
      <w:pPr>
        <w:spacing w:after="0" w:line="191" w:lineRule="exact"/>
        <w:rPr>
          <w:rFonts w:ascii="Courier New" w:cs="Courier New" w:eastAsia="Courier New" w:hAnsi="Courier New"/>
          <w:sz w:val="16"/>
          <w:szCs w:val="16"/>
          <w:color w:val="auto"/>
        </w:rPr>
      </w:pPr>
    </w:p>
    <w:p>
      <w:pPr>
        <w:ind w:left="300" w:hanging="204"/>
        <w:spacing w:after="0"/>
        <w:tabs>
          <w:tab w:leader="none" w:pos="30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on tax-free covenant bonds under section 1451.</w:t>
      </w:r>
    </w:p>
    <w:p>
      <w:pPr>
        <w:sectPr>
          <w:pgSz w:w="11900" w:h="16867" w:orient="portrait"/>
          <w:cols w:equalWidth="0" w:num="1">
            <w:col w:w="10219"/>
          </w:cols>
          <w:pgMar w:left="240" w:top="273" w:right="1440" w:bottom="0" w:gutter="0" w:footer="0" w:header="0"/>
        </w:sectPr>
      </w:pPr>
    </w:p>
    <w:bookmarkStart w:id="69" w:name="page70"/>
    <w:bookmarkEnd w:id="69"/>
    <w:p>
      <w:pPr>
        <w:ind w:left="101"/>
        <w:spacing w:after="0"/>
        <w:rPr>
          <w:sz w:val="20"/>
          <w:szCs w:val="20"/>
          <w:color w:val="auto"/>
        </w:rPr>
      </w:pPr>
      <w:r>
        <w:rPr>
          <w:rFonts w:ascii="Courier New" w:cs="Courier New" w:eastAsia="Courier New" w:hAnsi="Courier New"/>
          <w:sz w:val="16"/>
          <w:szCs w:val="16"/>
          <w:color w:val="auto"/>
        </w:rPr>
        <w:t>- Payments made by certain foreign organizations.</w:t>
      </w:r>
    </w:p>
    <w:p>
      <w:pPr>
        <w:spacing w:after="0" w:line="191" w:lineRule="exact"/>
        <w:rPr>
          <w:sz w:val="20"/>
          <w:szCs w:val="20"/>
          <w:color w:val="auto"/>
        </w:rPr>
      </w:pPr>
    </w:p>
    <w:p>
      <w:pPr>
        <w:ind w:left="1" w:right="2459"/>
        <w:spacing w:after="0" w:line="287" w:lineRule="auto"/>
        <w:rPr>
          <w:sz w:val="20"/>
          <w:szCs w:val="20"/>
          <w:color w:val="auto"/>
        </w:rPr>
      </w:pPr>
      <w:r>
        <w:rPr>
          <w:rFonts w:ascii="Courier New" w:cs="Courier New" w:eastAsia="Courier New" w:hAnsi="Courier New"/>
          <w:sz w:val="16"/>
          <w:szCs w:val="16"/>
          <w:color w:val="auto"/>
        </w:rPr>
        <w:t>Exempt payees described above may file Form W-9 to avoid possible erroneous backup withholding. FILE THIS FORM WITH THE PAYER, FURNISH YOUR TAXPAYER IDENTIFICATION NUMBER, WRITE "EXEMPT" ON THE FACE OF THE FORM, SIGN AND DATE THE FORM, AND RETURN IT TO THE PAYER.</w:t>
      </w:r>
    </w:p>
    <w:p>
      <w:pPr>
        <w:spacing w:after="0" w:line="65" w:lineRule="exact"/>
        <w:rPr>
          <w:sz w:val="20"/>
          <w:szCs w:val="20"/>
          <w:color w:val="auto"/>
        </w:rPr>
      </w:pPr>
    </w:p>
    <w:p>
      <w:pPr>
        <w:ind w:left="1" w:right="2759"/>
        <w:spacing w:after="0" w:line="287" w:lineRule="auto"/>
        <w:rPr>
          <w:sz w:val="20"/>
          <w:szCs w:val="20"/>
          <w:color w:val="auto"/>
        </w:rPr>
      </w:pPr>
      <w:r>
        <w:rPr>
          <w:rFonts w:ascii="Courier New" w:cs="Courier New" w:eastAsia="Courier New" w:hAnsi="Courier New"/>
          <w:sz w:val="16"/>
          <w:szCs w:val="16"/>
          <w:color w:val="auto"/>
        </w:rPr>
        <w:t>Certain payments other than interest, dividends, and patronage dividends that are not subject to information reporting are also not subject to backup withholding. For details, see sections 6041, 6041A, 6042, 6044, 6045, 6049, 6050A, 6050N, and their regulations.</w:t>
      </w:r>
    </w:p>
    <w:p>
      <w:pPr>
        <w:spacing w:after="0" w:line="65" w:lineRule="exact"/>
        <w:rPr>
          <w:sz w:val="20"/>
          <w:szCs w:val="20"/>
          <w:color w:val="auto"/>
        </w:rPr>
      </w:pPr>
    </w:p>
    <w:p>
      <w:pPr>
        <w:ind w:left="1" w:right="2459"/>
        <w:spacing w:after="0" w:line="260" w:lineRule="auto"/>
        <w:rPr>
          <w:sz w:val="20"/>
          <w:szCs w:val="20"/>
          <w:color w:val="auto"/>
        </w:rPr>
      </w:pPr>
      <w:r>
        <w:rPr>
          <w:rFonts w:ascii="Courier New" w:cs="Courier New" w:eastAsia="Courier New" w:hAnsi="Courier New"/>
          <w:sz w:val="16"/>
          <w:szCs w:val="16"/>
          <w:color w:val="auto"/>
        </w:rPr>
        <w:t>PRIVACY ACT NOTICE. Section 6109 requires most recipients of dividend, interest, or other payments to give taxpayer identification numbers to payers who must report the payments to IRS. IRS uses the numbers for identification purposes and to help verify the accuracy of tax returns. The IRS also may provide this information to the Department of Justice for civil and criminal litigation and to cities, states, and the District of Columbia to carry out their tax laws. Payers must be given the numbers whether or not recipients are required to file tax returns. Payers must generally withhold 31% of taxable interest, dividend, and certain other payments to a payee who does not furnish a taxpayer identification number to a payer. Certain penalties may also apply.</w:t>
      </w:r>
    </w:p>
    <w:p>
      <w:pPr>
        <w:spacing w:after="0" w:line="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PENALTIES</w:t>
      </w:r>
    </w:p>
    <w:p>
      <w:pPr>
        <w:spacing w:after="0" w:line="191" w:lineRule="exact"/>
        <w:rPr>
          <w:sz w:val="20"/>
          <w:szCs w:val="20"/>
          <w:color w:val="auto"/>
        </w:rPr>
      </w:pPr>
    </w:p>
    <w:p>
      <w:pPr>
        <w:ind w:left="1" w:right="2559" w:hanging="1"/>
        <w:spacing w:after="0" w:line="287" w:lineRule="auto"/>
        <w:tabs>
          <w:tab w:leader="none" w:pos="388"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PENALTY FOR FAILURE TO FURNISH TAXPAYER IDENTIFICATION NUMBER. -- If you fail to furnish your taxpayer identification number to a payer, you are subject to a penalty of $50 for each such failure unless your failure is due to reasonable cause and not to willful neglect.</w:t>
      </w:r>
    </w:p>
    <w:p>
      <w:pPr>
        <w:spacing w:after="0" w:line="64" w:lineRule="exact"/>
        <w:rPr>
          <w:rFonts w:ascii="Courier New" w:cs="Courier New" w:eastAsia="Courier New" w:hAnsi="Courier New"/>
          <w:sz w:val="16"/>
          <w:szCs w:val="16"/>
          <w:color w:val="auto"/>
        </w:rPr>
      </w:pPr>
    </w:p>
    <w:p>
      <w:pPr>
        <w:ind w:left="1" w:right="2659" w:hanging="1"/>
        <w:spacing w:after="0" w:line="307" w:lineRule="auto"/>
        <w:tabs>
          <w:tab w:leader="none" w:pos="388"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CIVIL PENALTY FOR FALSE INFORMATION WITH RESPECT TO WITHHOLDING. -- If you make a false statement with no reasonable basis that results in no backup withholding, you are subject to a penalty of $500.</w:t>
      </w:r>
    </w:p>
    <w:p>
      <w:pPr>
        <w:spacing w:after="0" w:line="49" w:lineRule="exact"/>
        <w:rPr>
          <w:rFonts w:ascii="Courier New" w:cs="Courier New" w:eastAsia="Courier New" w:hAnsi="Courier New"/>
          <w:sz w:val="16"/>
          <w:szCs w:val="16"/>
          <w:color w:val="auto"/>
        </w:rPr>
      </w:pPr>
    </w:p>
    <w:p>
      <w:pPr>
        <w:ind w:left="1" w:right="2659" w:hanging="1"/>
        <w:spacing w:after="0" w:line="307" w:lineRule="auto"/>
        <w:tabs>
          <w:tab w:leader="none" w:pos="388"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CRIMINAL PENALTY FOR FALSIFYING INFORMATION. -- Willfully falsifying certifications or affirmations may subject you to criminal penalties including fines and/or imprisonment.</w:t>
      </w:r>
    </w:p>
    <w:p>
      <w:pPr>
        <w:spacing w:after="0" w:line="50"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FOR ADDITIONAL INFORMATION, CONTACT YOUR TAX CONSULTANT OR THE INTERNAL REVENUE</w:t>
      </w:r>
    </w:p>
    <w:p>
      <w:pPr>
        <w:spacing w:after="0" w:line="3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SERVICE.</w:t>
      </w:r>
    </w:p>
    <w:p>
      <w:pPr>
        <w:sectPr>
          <w:pgSz w:w="11900" w:h="16838" w:orient="portrait"/>
          <w:cols w:equalWidth="0" w:num="1">
            <w:col w:w="10220"/>
          </w:cols>
          <w:pgMar w:left="239" w:top="298" w:right="1440" w:bottom="1440" w:gutter="0" w:footer="0" w:header="0"/>
        </w:sectPr>
      </w:pPr>
    </w:p>
    <w:bookmarkStart w:id="70" w:name="page71"/>
    <w:bookmarkEnd w:id="70"/>
    <w:p>
      <w:pPr>
        <w:ind w:left="300"/>
        <w:spacing w:after="0"/>
        <w:rPr>
          <w:sz w:val="20"/>
          <w:szCs w:val="20"/>
          <w:color w:val="auto"/>
        </w:rPr>
      </w:pPr>
      <w:r>
        <w:rPr>
          <w:rFonts w:ascii="Courier New" w:cs="Courier New" w:eastAsia="Courier New" w:hAnsi="Courier New"/>
          <w:sz w:val="16"/>
          <w:szCs w:val="16"/>
          <w:color w:val="auto"/>
        </w:rPr>
        <w:t>1</w:t>
      </w:r>
    </w:p>
    <w:p>
      <w:pPr>
        <w:spacing w:after="0" w:line="3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EXHIBIT 99(a)(7)</w:t>
      </w:r>
    </w:p>
    <w:p>
      <w:pPr>
        <w:spacing w:after="0" w:line="348" w:lineRule="exact"/>
        <w:rPr>
          <w:sz w:val="20"/>
          <w:szCs w:val="20"/>
          <w:color w:val="auto"/>
        </w:rPr>
      </w:pPr>
    </w:p>
    <w:p>
      <w:pPr>
        <w:ind w:right="2459"/>
        <w:spacing w:after="0" w:line="266" w:lineRule="auto"/>
        <w:rPr>
          <w:sz w:val="20"/>
          <w:szCs w:val="20"/>
          <w:color w:val="auto"/>
        </w:rPr>
      </w:pPr>
      <w:r>
        <w:rPr>
          <w:rFonts w:ascii="Courier New" w:cs="Courier New" w:eastAsia="Courier New" w:hAnsi="Courier New"/>
          <w:sz w:val="16"/>
          <w:szCs w:val="16"/>
          <w:color w:val="auto"/>
        </w:rPr>
        <w:t>This announcement is neither an offer to purchase nor a solicitation of an offer to sell Shares. The Offer is made solely by the Offer to Purchase dated May 7, 1999 and the related Letter of Transmittal, and any amendments and supplements thereto, and is not being made to, nor will tenders be accepted from or on behalf of, holders of Shares in any jurisdiction in which the making of the Offer or acceptance thereof would not be in compliance with the laws of such jurisdiction.</w:t>
      </w:r>
    </w:p>
    <w:p>
      <w:pPr>
        <w:spacing w:after="0" w:line="27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NOTICE OF OFFER TO PURCHASE FOR CASH</w:t>
      </w:r>
    </w:p>
    <w:p>
      <w:pPr>
        <w:spacing w:after="0" w:line="3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ALL OUTSTANDING SHARES OF COMMON STOCK</w:t>
      </w:r>
    </w:p>
    <w:p>
      <w:pPr>
        <w:spacing w:after="0" w:line="34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OF</w:t>
      </w:r>
    </w:p>
    <w:p>
      <w:pPr>
        <w:spacing w:after="0" w:line="378"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INTEGRATED SENSOR SOLUTIONS, INC.</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AT</w:t>
      </w:r>
    </w:p>
    <w:p>
      <w:pPr>
        <w:spacing w:after="0" w:line="378"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$8.05 NET PER SHARE BY</w:t>
      </w:r>
    </w:p>
    <w:p>
      <w:pPr>
        <w:spacing w:after="0" w:line="378"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SENSOR ACQUISITION CORPORATION</w:t>
      </w:r>
    </w:p>
    <w:p>
      <w:pPr>
        <w:spacing w:after="0" w:line="378"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A DIRECT WHOLLY-OWNED SUBSIDIARY OF</w:t>
      </w:r>
    </w:p>
    <w:p>
      <w:pPr>
        <w:spacing w:after="0" w:line="378"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TEXAS INSTRUMENTS INCORPORATED</w:t>
      </w:r>
    </w:p>
    <w:p>
      <w:pPr>
        <w:spacing w:after="0" w:line="200" w:lineRule="exact"/>
        <w:rPr>
          <w:sz w:val="20"/>
          <w:szCs w:val="20"/>
          <w:color w:val="auto"/>
        </w:rPr>
      </w:pPr>
    </w:p>
    <w:p>
      <w:pPr>
        <w:spacing w:after="0" w:line="364" w:lineRule="exact"/>
        <w:rPr>
          <w:sz w:val="20"/>
          <w:szCs w:val="20"/>
          <w:color w:val="auto"/>
        </w:rPr>
      </w:pPr>
    </w:p>
    <w:p>
      <w:pPr>
        <w:ind w:right="2459" w:firstLine="484"/>
        <w:spacing w:after="0" w:line="258" w:lineRule="auto"/>
        <w:rPr>
          <w:sz w:val="20"/>
          <w:szCs w:val="20"/>
          <w:color w:val="auto"/>
        </w:rPr>
      </w:pPr>
      <w:r>
        <w:rPr>
          <w:rFonts w:ascii="Courier New" w:cs="Courier New" w:eastAsia="Courier New" w:hAnsi="Courier New"/>
          <w:sz w:val="16"/>
          <w:szCs w:val="16"/>
          <w:color w:val="auto"/>
        </w:rPr>
        <w:t>Sensor Acquisition Corporation (the "Purchaser"), a Delaware corporation and a direct wholly-owned subsidiary of Texas Instruments Incorporated, a Delaware corporation ("Parent"), is offering to purchase all outstanding shares of common stock, par value $.001 per share (the "Shares"), of Integrated Sensor Solutions, Inc., a Delaware corporation (the "Company"), at $8.05 per Share, net to the seller in cash (the "Offer Price"), without interest, upon the terms and subject to the conditions set forth in the Offer to Purchase dated May 7, 1999 (the "Offer to Purchase") and in the related Letter of Transmittal (which, together with any amendments or supplement thereto, collectively constitute the "Offer"). Following the consummation of the Offer, the Purchaser intends to effect the "Merger" described below.</w:t>
      </w:r>
    </w:p>
    <w:p>
      <w:pPr>
        <w:spacing w:after="0" w:line="200" w:lineRule="exact"/>
        <w:rPr>
          <w:sz w:val="20"/>
          <w:szCs w:val="20"/>
          <w:color w:val="auto"/>
        </w:rPr>
      </w:pPr>
    </w:p>
    <w:p>
      <w:pPr>
        <w:spacing w:after="0" w:line="26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5" w:lineRule="exact"/>
        <w:rPr>
          <w:sz w:val="20"/>
          <w:szCs w:val="20"/>
          <w:color w:val="auto"/>
        </w:rPr>
      </w:pPr>
    </w:p>
    <w:p>
      <w:pPr>
        <w:ind w:left="200" w:right="2659"/>
        <w:spacing w:after="0" w:line="246" w:lineRule="auto"/>
        <w:rPr>
          <w:sz w:val="20"/>
          <w:szCs w:val="20"/>
          <w:color w:val="auto"/>
        </w:rPr>
      </w:pPr>
      <w:r>
        <w:rPr>
          <w:rFonts w:ascii="Courier New" w:cs="Courier New" w:eastAsia="Courier New" w:hAnsi="Courier New"/>
          <w:sz w:val="16"/>
          <w:szCs w:val="16"/>
          <w:color w:val="auto"/>
        </w:rPr>
        <w:t>THE OFFER AND WITHDRAWAL RIGHTS WILL EXPIRE AT 12:00 MIDNIGHT, NEW YORK CITY TIME, ON FRIDAY, JUNE 4, 1999, UNLESS THE OFFER IS EXTENDED.</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12" w:right="1440" w:bottom="1440" w:gutter="0" w:footer="0" w:header="0"/>
        </w:sectPr>
      </w:pPr>
    </w:p>
    <w:bookmarkStart w:id="71" w:name="page72"/>
    <w:bookmarkEnd w:id="71"/>
    <w:p>
      <w:pPr>
        <w:ind w:left="300"/>
        <w:spacing w:after="0"/>
        <w:rPr>
          <w:sz w:val="20"/>
          <w:szCs w:val="20"/>
          <w:color w:val="auto"/>
        </w:rPr>
      </w:pPr>
      <w:r>
        <w:rPr>
          <w:rFonts w:ascii="Courier New" w:cs="Courier New" w:eastAsia="Courier New" w:hAnsi="Courier New"/>
          <w:sz w:val="16"/>
          <w:szCs w:val="16"/>
          <w:color w:val="auto"/>
        </w:rPr>
        <w:t>2</w:t>
      </w:r>
    </w:p>
    <w:p>
      <w:pPr>
        <w:spacing w:after="0" w:line="191" w:lineRule="exact"/>
        <w:rPr>
          <w:sz w:val="20"/>
          <w:szCs w:val="20"/>
          <w:color w:val="auto"/>
        </w:rPr>
      </w:pPr>
    </w:p>
    <w:p>
      <w:pPr>
        <w:ind w:right="2459" w:firstLine="484"/>
        <w:spacing w:after="0" w:line="261" w:lineRule="auto"/>
        <w:rPr>
          <w:sz w:val="20"/>
          <w:szCs w:val="20"/>
          <w:color w:val="auto"/>
        </w:rPr>
      </w:pPr>
      <w:r>
        <w:rPr>
          <w:rFonts w:ascii="Courier New" w:cs="Courier New" w:eastAsia="Courier New" w:hAnsi="Courier New"/>
          <w:sz w:val="16"/>
          <w:szCs w:val="16"/>
          <w:color w:val="auto"/>
        </w:rPr>
        <w:t>THE OFFER IS CONDITIONED UPON, AMONG OTHER THINGS, THERE HAVING BEEN VALIDLY TENDERED AND NOT WITHDRAWN PRIOR TO THE EXPIRATION OF THE OFFER, THAT NUMBER OF SHARES WHICH, TOGETHER WITH ANY SHARES BENEFICIALLY OWNED BY PARENT OR THE PURCHASER, REPRESENT AT LEAST A MAJORITY OF THE SHARES OUTSTANDING ON A FULLY DILUTED BASIS. THE OFFER IS ALSO SUBJECT TO OTHER TERMS AND CONDITIONS SET FORTH IN THE OFFER TO PURCHASE, INCLUDING, WITHOUT LIMITATION, THE EXPIRATION OR TERMINATION OF ALL APPLICABLE WAITING PERIODS UNDER THE HART-SCOTT-RODINO ANTITRUST IMPROVEMENTS ACT OF 1976, AS AMENDED, AND THE ACT AGAINST RESTRAINTS OF COMPETITION OF THE FEDERAL REPUBLIC OF GERMANY, AS AMENDED.</w:t>
      </w:r>
    </w:p>
    <w:p>
      <w:pPr>
        <w:spacing w:after="0" w:line="89" w:lineRule="exact"/>
        <w:rPr>
          <w:sz w:val="20"/>
          <w:szCs w:val="20"/>
          <w:color w:val="auto"/>
        </w:rPr>
      </w:pPr>
    </w:p>
    <w:p>
      <w:pPr>
        <w:ind w:right="2559" w:firstLine="484"/>
        <w:spacing w:after="0" w:line="266" w:lineRule="auto"/>
        <w:rPr>
          <w:sz w:val="20"/>
          <w:szCs w:val="20"/>
          <w:color w:val="auto"/>
        </w:rPr>
      </w:pPr>
      <w:r>
        <w:rPr>
          <w:rFonts w:ascii="Courier New" w:cs="Courier New" w:eastAsia="Courier New" w:hAnsi="Courier New"/>
          <w:sz w:val="16"/>
          <w:szCs w:val="16"/>
          <w:color w:val="auto"/>
        </w:rPr>
        <w:t>AS DESCRIBED IN THE OFFER TO PURCHASE, THE PURCHASER HAS ENTERED INTO A STOCKHOLDERS AGREEMENT WITH CERTAIN STOCKHOLDERS OF THE COMPANY (THE "SELLING STOCKHOLDERS") PURSUANT TO WHICH, AMONG OTHER THINGS, THE SELLING STOCKHOLDERS HAVE AGREED TO VALIDLY TENDER AND NOT WITHDRAW ALL SHARES BENEFICIALLY OWNED BY THEM, REPRESENTING APPROXIMATELY 22.3% OF THE OUTSTANDING SHARES (CALCULATED ON A FULLY DILUTED BASIS), PURSUANT TO AND IN ACCORDANCE WITH THE TERMS OF THE OFFER AT THE OFFER PRICE.</w:t>
      </w:r>
    </w:p>
    <w:p>
      <w:pPr>
        <w:spacing w:after="0" w:line="85" w:lineRule="exact"/>
        <w:rPr>
          <w:sz w:val="20"/>
          <w:szCs w:val="20"/>
          <w:color w:val="auto"/>
        </w:rPr>
      </w:pPr>
    </w:p>
    <w:p>
      <w:pPr>
        <w:ind w:right="2459" w:firstLine="484"/>
        <w:spacing w:after="0" w:line="257" w:lineRule="auto"/>
        <w:rPr>
          <w:sz w:val="20"/>
          <w:szCs w:val="20"/>
          <w:color w:val="auto"/>
        </w:rPr>
      </w:pPr>
      <w:r>
        <w:rPr>
          <w:rFonts w:ascii="Courier New" w:cs="Courier New" w:eastAsia="Courier New" w:hAnsi="Courier New"/>
          <w:sz w:val="16"/>
          <w:szCs w:val="16"/>
          <w:color w:val="auto"/>
        </w:rPr>
        <w:t>The Offer is being made pursuant to an Agreement and Plan of Merger, dated as of May 3, 1999 (the "Merger Agreement"), by and among the Company, Parent, and the Purchaser. The Merger Agreement provides, among other things, that following the consummation of the Offer and the satisfaction or waiver of the other conditions set forth in the Merger Agreement, the Purchaser will be merged with and into the Company (the "Merger"). Following the Merger, the Company will continue as the surviving corporation and will be a direct wholly-owned subsidiary of Parent. At the effective time of the Merger, each outstanding Share (other than Shares owned by Parent, the Purchaser, or any of their respective affiliates and Shares held by stockholders who have demanded and perfected dissenter's rights under Delaware law) will be converted into the right to receive the Offer Price in cash, without interest.</w:t>
      </w:r>
    </w:p>
    <w:p>
      <w:pPr>
        <w:spacing w:after="0" w:line="93" w:lineRule="exact"/>
        <w:rPr>
          <w:sz w:val="20"/>
          <w:szCs w:val="20"/>
          <w:color w:val="auto"/>
        </w:rPr>
      </w:pPr>
    </w:p>
    <w:p>
      <w:pPr>
        <w:ind w:right="2459" w:firstLine="484"/>
        <w:spacing w:after="0" w:line="276" w:lineRule="auto"/>
        <w:rPr>
          <w:sz w:val="20"/>
          <w:szCs w:val="20"/>
          <w:color w:val="auto"/>
        </w:rPr>
      </w:pPr>
      <w:r>
        <w:rPr>
          <w:rFonts w:ascii="Courier New" w:cs="Courier New" w:eastAsia="Courier New" w:hAnsi="Courier New"/>
          <w:sz w:val="16"/>
          <w:szCs w:val="16"/>
          <w:color w:val="auto"/>
        </w:rPr>
        <w:t>THE BOARD OF DIRECTORS OF THE COMPANY HAS UNANIMOUSLY APPROVED THE MERGER AGREEMENT, THE OFFER, AND THE MERGER, AND HAS DETERMINED THAT THE OFFER AND THE MERGER ARE FAIR TO, ADVISABLE, AND IN THE BEST INTERESTS OF, THE STOCKHOLDERS OF THE COMPANY, AND UNANIMOUSLY RECOMMENDS THAT THE COMPANY'S STOCKHOLDERS ACCEPT THE OFFER AND TENDER THEIR SHARES PURSUANT TO THE OFFER.</w:t>
      </w:r>
    </w:p>
    <w:p>
      <w:pPr>
        <w:spacing w:after="0" w:line="76" w:lineRule="exact"/>
        <w:rPr>
          <w:sz w:val="20"/>
          <w:szCs w:val="20"/>
          <w:color w:val="auto"/>
        </w:rPr>
      </w:pPr>
    </w:p>
    <w:p>
      <w:pPr>
        <w:ind w:right="2459" w:firstLine="484"/>
        <w:spacing w:after="0" w:line="254" w:lineRule="auto"/>
        <w:rPr>
          <w:sz w:val="20"/>
          <w:szCs w:val="20"/>
          <w:color w:val="auto"/>
        </w:rPr>
      </w:pPr>
      <w:r>
        <w:rPr>
          <w:rFonts w:ascii="Courier New" w:cs="Courier New" w:eastAsia="Courier New" w:hAnsi="Courier New"/>
          <w:sz w:val="16"/>
          <w:szCs w:val="16"/>
          <w:color w:val="auto"/>
        </w:rPr>
        <w:t>For purposes of the Offer, the Purchaser will be deemed to have accepted for payment, and thereby purchased, tendered Shares if, as, and when the Purchaser gives oral or written notice to the Depositary of the Purchaser's acceptance of such Shares for payment. In all cases, payment for Shares accepted pursuant to the Offer will be made by deposit of the purchase price with ChaseMellon Shareholder Services, L.L.C. (the "Depositary"), which will act as agent for tendering stockholders for the purpose of receiving payment from the Purchaser and transmitting payment to tendering stockholders. In all cases, payment for Shares purchased pursuant to the Offer will be made only after timely receipt by the Depositary of (i) certificates evidencing such Shares (or timely confirmation of a book-entry transfer of such Shares into the Depositary's account at the Book-Entry Transfer Facility (as defined in the Offer to Purchase)), (ii) a Letter of Transmittal (or facsimile thereof), properly completed and duly executed, with any required signature guarantees (or in the case of a book-entry transfer, an Agent's Message (as defined in the Offer to Purchase) in lieu of a Letter of Transmittal) and (iii) any other documents required by the Letter of Transmittal.</w:t>
      </w:r>
    </w:p>
    <w:p>
      <w:pPr>
        <w:spacing w:after="0" w:line="93" w:lineRule="exact"/>
        <w:rPr>
          <w:sz w:val="20"/>
          <w:szCs w:val="20"/>
          <w:color w:val="auto"/>
        </w:rPr>
      </w:pPr>
    </w:p>
    <w:p>
      <w:pPr>
        <w:ind w:right="2659" w:firstLine="484"/>
        <w:spacing w:after="0" w:line="270" w:lineRule="auto"/>
        <w:rPr>
          <w:sz w:val="20"/>
          <w:szCs w:val="20"/>
          <w:color w:val="auto"/>
        </w:rPr>
      </w:pPr>
      <w:r>
        <w:rPr>
          <w:rFonts w:ascii="Courier New" w:cs="Courier New" w:eastAsia="Courier New" w:hAnsi="Courier New"/>
          <w:sz w:val="16"/>
          <w:szCs w:val="16"/>
          <w:color w:val="auto"/>
        </w:rPr>
        <w:t>The term "Expiration Date" means 12:00 Midnight, New York City time, on Friday, June 4, 1999, unless and until the Purchaser, in accordance with the terms of the Offer and the Merger Agreement, shall have extended the period of time during which the Offer is open, in which event the term "Expiration Date" shall mean the latest time and date at which the Offer, as so extended by the Purchaser, shall expire.</w:t>
      </w:r>
    </w:p>
    <w:p>
      <w:pPr>
        <w:spacing w:after="0" w:line="81" w:lineRule="exact"/>
        <w:rPr>
          <w:sz w:val="20"/>
          <w:szCs w:val="20"/>
          <w:color w:val="auto"/>
        </w:rPr>
      </w:pPr>
    </w:p>
    <w:p>
      <w:pPr>
        <w:ind w:right="2459" w:firstLine="484"/>
        <w:spacing w:after="0" w:line="254" w:lineRule="auto"/>
        <w:rPr>
          <w:sz w:val="20"/>
          <w:szCs w:val="20"/>
          <w:color w:val="auto"/>
        </w:rPr>
      </w:pPr>
      <w:r>
        <w:rPr>
          <w:rFonts w:ascii="Courier New" w:cs="Courier New" w:eastAsia="Courier New" w:hAnsi="Courier New"/>
          <w:sz w:val="16"/>
          <w:szCs w:val="16"/>
          <w:color w:val="auto"/>
        </w:rPr>
        <w:t>The Purchaser expressly reserves the right, in its sole discretion, at any time or from time to time, subject to the terms of the Merger Agreement and regardless of whether or not any of the events set forth in Section 14 of the Offer to Purchase shall have occurred, (i) to extend the period of time during which the Offer is open and thereby delay acceptance for payment of, and the payment for, any Shares, by giving oral or written notice of such extension to the Depositary and (ii) to amend the Offer in any respect by giving oral or written notice of such amendment to the Depositary. The rights reserved by the Purchaser in this paragraph are in addition to the Purchaser's rights to terminate the Offer pursuant to Section 14 of the Offer to Purchase. Any extension, amendment, or termination will be followed as promptly as practicable by public announcement thereof, the announcement in the case of an extension to be issued no later than 9:00 a.m., New York City time, on the next business day after the previously scheduled Expiration Date. Without limiting the manner in which the Purchaser may choose to make any public announcement, the Purchaser currently intends to make announcements by issuing a press release to the Dow Jones News Service.</w:t>
      </w:r>
    </w:p>
    <w:p>
      <w:pPr>
        <w:sectPr>
          <w:pgSz w:w="11900" w:h="16838" w:orient="portrait"/>
          <w:cols w:equalWidth="0" w:num="1">
            <w:col w:w="10219"/>
          </w:cols>
          <w:pgMar w:left="240" w:top="273" w:right="1440" w:bottom="813" w:gutter="0" w:footer="0" w:header="0"/>
        </w:sectPr>
      </w:pPr>
    </w:p>
    <w:bookmarkStart w:id="72" w:name="page73"/>
    <w:bookmarkEnd w:id="72"/>
    <w:p>
      <w:pPr>
        <w:ind w:left="300"/>
        <w:spacing w:after="0"/>
        <w:rPr>
          <w:sz w:val="20"/>
          <w:szCs w:val="20"/>
          <w:color w:val="auto"/>
        </w:rPr>
      </w:pPr>
      <w:r>
        <w:rPr>
          <w:rFonts w:ascii="Courier New" w:cs="Courier New" w:eastAsia="Courier New" w:hAnsi="Courier New"/>
          <w:sz w:val="16"/>
          <w:szCs w:val="16"/>
          <w:color w:val="auto"/>
        </w:rPr>
        <w:t>3</w:t>
      </w:r>
    </w:p>
    <w:p>
      <w:pPr>
        <w:spacing w:after="0" w:line="191" w:lineRule="exact"/>
        <w:rPr>
          <w:sz w:val="20"/>
          <w:szCs w:val="20"/>
          <w:color w:val="auto"/>
        </w:rPr>
      </w:pPr>
    </w:p>
    <w:p>
      <w:pPr>
        <w:ind w:right="2459" w:firstLine="484"/>
        <w:spacing w:after="0" w:line="251" w:lineRule="auto"/>
        <w:rPr>
          <w:sz w:val="20"/>
          <w:szCs w:val="20"/>
          <w:color w:val="auto"/>
        </w:rPr>
      </w:pPr>
      <w:r>
        <w:rPr>
          <w:rFonts w:ascii="Courier New" w:cs="Courier New" w:eastAsia="Courier New" w:hAnsi="Courier New"/>
          <w:sz w:val="16"/>
          <w:szCs w:val="16"/>
          <w:color w:val="auto"/>
        </w:rPr>
        <w:t>Tenders of Shares made pursuant to the Offer are irrevocable, except as otherwise provided below. Shares tendered pursuant to the Offer may be withdrawn at any time prior to the Expiration Date and, unless theretofore accepted for payment by the Purchaser, may also be withdrawn at any time after July 5, 1999. For a withdrawal to be effective, a written, telegraphic or facsimile transmission notice of withdrawal must be timely received by the Depositary at one of its addresses set forth in the Offer to Purchase. Any such notice of withdrawal must specify the name of the person who tendered the Shares to be withdrawn, the number of Shares to be withdrawn and the name of the registered holder, if different from that of the person who tendered such Shares. If certificates evidencing Shares to be withdrawn have been delivered or otherwise identified to the Depositary, then, prior to the release of such certificates, the tendering stockholder must also submit the serial numbers shown on the particular certificates evidencing the Shares to be withdrawn and the signature on the notice of withdrawal must be guaranteed by an Eligible Institution (as defined in the Offer to Purchase), except in the case of Shares tendered for the account of an Eligible Institution. If Shares have been tendered pursuant to the procedure for book-entry transfer set forth in the Offer to Purchase, the notice of withdrawal must specify the name and number of the account at the Book-Entry Transfer Facility to be credited with the withdrawn Shares. All questions as to form and validity (including time of receipt) of notice of withdrawal will be determined by the Purchaser, in its sole discretion, whose determination shall be final and binding on all parties. No withdrawal of Shares shall be deemed to have been properly made until all defects and irregularities have been cured or waived. None of the Purchaser, Parent, the Depositary, the Information Agent, or any other person will be under any duty to give notification of any defects or irregularities in any notice of withdrawal or incur any liability for failing to give such notification.</w:t>
      </w:r>
    </w:p>
    <w:p>
      <w:pPr>
        <w:spacing w:after="0" w:line="96" w:lineRule="exact"/>
        <w:rPr>
          <w:sz w:val="20"/>
          <w:szCs w:val="20"/>
          <w:color w:val="auto"/>
        </w:rPr>
      </w:pPr>
    </w:p>
    <w:p>
      <w:pPr>
        <w:ind w:right="2759" w:firstLine="484"/>
        <w:spacing w:after="0" w:line="287" w:lineRule="auto"/>
        <w:rPr>
          <w:sz w:val="20"/>
          <w:szCs w:val="20"/>
          <w:color w:val="auto"/>
        </w:rPr>
      </w:pPr>
      <w:r>
        <w:rPr>
          <w:rFonts w:ascii="Courier New" w:cs="Courier New" w:eastAsia="Courier New" w:hAnsi="Courier New"/>
          <w:sz w:val="16"/>
          <w:szCs w:val="16"/>
          <w:color w:val="auto"/>
        </w:rPr>
        <w:t>The information required to be disclosed by Rule 14d-6(e)(1)(vii) of the General Rules and Regulations under the Securities Exchange Act of 1934, as amended, is contained in the Offer to Purchase and is incorporated herein by reference.</w:t>
      </w:r>
    </w:p>
    <w:p>
      <w:pPr>
        <w:spacing w:after="0" w:line="65" w:lineRule="exact"/>
        <w:rPr>
          <w:sz w:val="20"/>
          <w:szCs w:val="20"/>
          <w:color w:val="auto"/>
        </w:rPr>
      </w:pPr>
    </w:p>
    <w:p>
      <w:pPr>
        <w:ind w:right="2459" w:firstLine="484"/>
        <w:spacing w:after="0" w:line="261" w:lineRule="auto"/>
        <w:rPr>
          <w:sz w:val="20"/>
          <w:szCs w:val="20"/>
          <w:color w:val="auto"/>
        </w:rPr>
      </w:pPr>
      <w:r>
        <w:rPr>
          <w:rFonts w:ascii="Courier New" w:cs="Courier New" w:eastAsia="Courier New" w:hAnsi="Courier New"/>
          <w:sz w:val="16"/>
          <w:szCs w:val="16"/>
          <w:color w:val="auto"/>
        </w:rPr>
        <w:t>The Company has provided the Purchaser with the Company's stockholder list and security position listings for the purpose of disseminating the Offer to holders of Shares. The Offer to Purchase and the related Letter of Transmittal and other relevant materials will be mailed to record holders of Shares and will be furnished to brokers, dealers, commercial banks, trust companies and similar persons whose names, or the names of whose nominees, appear on the stockholder list or, trust companies if applicable, who are listed as participants in a clearing agency's security position listing, for subsequent transmittal to beneficial owners of Shares.</w:t>
      </w:r>
    </w:p>
    <w:p>
      <w:pPr>
        <w:spacing w:after="0" w:line="89" w:lineRule="exact"/>
        <w:rPr>
          <w:sz w:val="20"/>
          <w:szCs w:val="20"/>
          <w:color w:val="auto"/>
        </w:rPr>
      </w:pPr>
    </w:p>
    <w:p>
      <w:pPr>
        <w:ind w:right="2559" w:firstLine="484"/>
        <w:spacing w:after="0" w:line="307" w:lineRule="auto"/>
        <w:rPr>
          <w:sz w:val="20"/>
          <w:szCs w:val="20"/>
          <w:color w:val="auto"/>
        </w:rPr>
      </w:pPr>
      <w:r>
        <w:rPr>
          <w:rFonts w:ascii="Courier New" w:cs="Courier New" w:eastAsia="Courier New" w:hAnsi="Courier New"/>
          <w:sz w:val="16"/>
          <w:szCs w:val="16"/>
          <w:color w:val="auto"/>
        </w:rPr>
        <w:t>THE OFFER TO PURCHASE AND THE RELATED LETTER OF TRANSMITTAL CONTAIN IMPORTANT INFORMATION THAT SHOULD BE READ CAREFULLY BEFORE ANY DECISION IS MADE IN RESPECT OF THE OFFER.</w:t>
      </w:r>
    </w:p>
    <w:p>
      <w:pPr>
        <w:spacing w:after="0" w:line="50" w:lineRule="exact"/>
        <w:rPr>
          <w:sz w:val="20"/>
          <w:szCs w:val="20"/>
          <w:color w:val="auto"/>
        </w:rPr>
      </w:pPr>
    </w:p>
    <w:p>
      <w:pPr>
        <w:ind w:right="2459" w:firstLine="484"/>
        <w:spacing w:after="0" w:line="261" w:lineRule="auto"/>
        <w:rPr>
          <w:sz w:val="20"/>
          <w:szCs w:val="20"/>
          <w:color w:val="auto"/>
        </w:rPr>
      </w:pPr>
      <w:r>
        <w:rPr>
          <w:rFonts w:ascii="Courier New" w:cs="Courier New" w:eastAsia="Courier New" w:hAnsi="Courier New"/>
          <w:sz w:val="16"/>
          <w:szCs w:val="16"/>
          <w:color w:val="auto"/>
        </w:rPr>
        <w:t>Questions and requests for assistance or for copies of the Offer to Purchase, the related Letter of Transmittal, the Notice of Guaranteed Delivery, and other Offer materials may be directed to the Information Agent at its telephone number and address set forth below. Holders of Shares may also contact brokers, dealers, commercial banks, trust companies, or other nominees for assistance concerning the Offer. Copies of the Offer materials will be furnished at the Purchaser's expense. No fees or commissions will be payable to brokers, dealers, or other persons other than the Information Agent for soliciting tenders of Shares pursuant to the Offer.</w:t>
      </w:r>
    </w:p>
    <w:p>
      <w:pPr>
        <w:spacing w:after="0" w:line="276"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The Information Agent for the Offer is:</w:t>
      </w:r>
    </w:p>
    <w:p>
      <w:pPr>
        <w:spacing w:after="0" w:line="19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GEORGESON</w:t>
      </w:r>
    </w:p>
    <w:p>
      <w:pPr>
        <w:spacing w:after="0" w:line="35" w:lineRule="exact"/>
        <w:rPr>
          <w:sz w:val="20"/>
          <w:szCs w:val="20"/>
          <w:color w:val="auto"/>
        </w:rPr>
      </w:pPr>
    </w:p>
    <w:p>
      <w:pPr>
        <w:ind w:left="3400" w:hanging="203"/>
        <w:spacing w:after="0"/>
        <w:tabs>
          <w:tab w:leader="none" w:pos="340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INC.</w:t>
      </w:r>
    </w:p>
    <w:p>
      <w:pPr>
        <w:spacing w:after="0" w:line="5" w:lineRule="exact"/>
        <w:rPr>
          <w:rFonts w:ascii="Courier New" w:cs="Courier New" w:eastAsia="Courier New" w:hAnsi="Courier New"/>
          <w:sz w:val="16"/>
          <w:szCs w:val="16"/>
          <w:color w:val="auto"/>
        </w:rPr>
      </w:pPr>
    </w:p>
    <w:p>
      <w:pPr>
        <w:ind w:left="3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Wall Street Plaza</w:t>
      </w:r>
    </w:p>
    <w:p>
      <w:pPr>
        <w:spacing w:after="0" w:line="3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New York, New York 10005</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Bankers and Brokers Call Collect: (212) 440-9800</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ALL OTHERS CALL TOLL-FREE: (800) 223-2064</w:t>
      </w:r>
    </w:p>
    <w:p>
      <w:pPr>
        <w:sectPr>
          <w:pgSz w:w="11900" w:h="16838" w:orient="portrait"/>
          <w:cols w:equalWidth="0" w:num="1">
            <w:col w:w="10219"/>
          </w:cols>
          <w:pgMar w:left="240" w:top="2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7, 1999</w:t>
      </w:r>
    </w:p>
    <w:p>
      <w:pPr>
        <w:sectPr>
          <w:pgSz w:w="11900" w:h="16838" w:orient="portrait"/>
          <w:cols w:equalWidth="0" w:num="1">
            <w:col w:w="10219"/>
          </w:cols>
          <w:pgMar w:left="240" w:top="273" w:right="1440" w:bottom="1440" w:gutter="0" w:footer="0" w:header="0"/>
          <w:type w:val="continuous"/>
        </w:sectPr>
      </w:pPr>
    </w:p>
    <w:bookmarkStart w:id="73" w:name="page74"/>
    <w:bookmarkEnd w:id="73"/>
    <w:p>
      <w:pPr>
        <w:ind w:left="300"/>
        <w:spacing w:after="0"/>
        <w:rPr>
          <w:sz w:val="20"/>
          <w:szCs w:val="20"/>
          <w:color w:val="auto"/>
        </w:rPr>
      </w:pPr>
      <w:r>
        <w:rPr>
          <w:rFonts w:ascii="Courier New" w:cs="Courier New" w:eastAsia="Courier New" w:hAnsi="Courier New"/>
          <w:sz w:val="16"/>
          <w:szCs w:val="16"/>
          <w:color w:val="auto"/>
        </w:rPr>
        <w:t>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60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3020" w:type="dxa"/>
            <w:vAlign w:val="bottom"/>
          </w:tcPr>
          <w:p>
            <w:pPr>
              <w:jc w:val="right"/>
              <w:spacing w:after="0"/>
              <w:rPr>
                <w:sz w:val="20"/>
                <w:szCs w:val="20"/>
                <w:color w:val="auto"/>
              </w:rPr>
            </w:pPr>
            <w:r>
              <w:rPr>
                <w:rFonts w:ascii="Courier New" w:cs="Courier New" w:eastAsia="Courier New" w:hAnsi="Courier New"/>
                <w:sz w:val="16"/>
                <w:szCs w:val="16"/>
                <w:color w:val="auto"/>
              </w:rPr>
              <w:t>EXHIBIT 99(a)(8)</w:t>
            </w:r>
          </w:p>
        </w:tc>
        <w:tc>
          <w:tcPr>
            <w:tcW w:w="0" w:type="dxa"/>
            <w:vAlign w:val="bottom"/>
          </w:tcPr>
          <w:p>
            <w:pPr>
              <w:spacing w:after="0"/>
              <w:rPr>
                <w:sz w:val="1"/>
                <w:szCs w:val="1"/>
                <w:color w:val="auto"/>
              </w:rPr>
            </w:pPr>
          </w:p>
        </w:tc>
      </w:tr>
      <w:tr>
        <w:trPr>
          <w:trHeight w:val="629"/>
        </w:trPr>
        <w:tc>
          <w:tcPr>
            <w:tcW w:w="1600" w:type="dxa"/>
            <w:vAlign w:val="bottom"/>
          </w:tcPr>
          <w:p>
            <w:pPr>
              <w:spacing w:after="0"/>
              <w:rPr>
                <w:sz w:val="20"/>
                <w:szCs w:val="20"/>
                <w:color w:val="auto"/>
              </w:rPr>
            </w:pPr>
            <w:r>
              <w:rPr>
                <w:rFonts w:ascii="Courier New" w:cs="Courier New" w:eastAsia="Courier New" w:hAnsi="Courier New"/>
                <w:sz w:val="16"/>
                <w:szCs w:val="16"/>
                <w:color w:val="auto"/>
              </w:rPr>
              <w:t>NEWS RELEASE</w:t>
            </w:r>
          </w:p>
        </w:tc>
        <w:tc>
          <w:tcPr>
            <w:tcW w:w="31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1600" w:type="dxa"/>
            <w:vAlign w:val="bottom"/>
          </w:tcPr>
          <w:p>
            <w:pPr>
              <w:spacing w:after="0"/>
              <w:rPr>
                <w:sz w:val="20"/>
                <w:szCs w:val="20"/>
                <w:color w:val="auto"/>
              </w:rPr>
            </w:pPr>
            <w:r>
              <w:rPr>
                <w:rFonts w:ascii="Courier New" w:cs="Courier New" w:eastAsia="Courier New" w:hAnsi="Courier New"/>
                <w:sz w:val="16"/>
                <w:szCs w:val="16"/>
                <w:color w:val="auto"/>
              </w:rPr>
              <w:t>C-99021</w:t>
            </w:r>
          </w:p>
        </w:tc>
        <w:tc>
          <w:tcPr>
            <w:tcW w:w="314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3"/>
        </w:trPr>
        <w:tc>
          <w:tcPr>
            <w:tcW w:w="1600" w:type="dxa"/>
            <w:vAlign w:val="bottom"/>
          </w:tcPr>
          <w:p>
            <w:pPr>
              <w:spacing w:after="0"/>
              <w:rPr>
                <w:sz w:val="20"/>
                <w:szCs w:val="20"/>
                <w:color w:val="auto"/>
              </w:rPr>
            </w:pPr>
            <w:r>
              <w:rPr>
                <w:rFonts w:ascii="Courier New" w:cs="Courier New" w:eastAsia="Courier New" w:hAnsi="Courier New"/>
                <w:sz w:val="16"/>
                <w:szCs w:val="16"/>
                <w:color w:val="auto"/>
              </w:rPr>
              <w:t>Media Contacts:</w:t>
            </w:r>
          </w:p>
        </w:tc>
        <w:tc>
          <w:tcPr>
            <w:tcW w:w="3140" w:type="dxa"/>
            <w:vAlign w:val="bottom"/>
            <w:vMerge w:val="restart"/>
          </w:tcPr>
          <w:p>
            <w:pPr>
              <w:ind w:left="140"/>
              <w:spacing w:after="0"/>
              <w:rPr>
                <w:sz w:val="20"/>
                <w:szCs w:val="20"/>
                <w:color w:val="auto"/>
              </w:rPr>
            </w:pPr>
            <w:r>
              <w:rPr>
                <w:rFonts w:ascii="Courier New" w:cs="Courier New" w:eastAsia="Courier New" w:hAnsi="Courier New"/>
                <w:sz w:val="16"/>
                <w:szCs w:val="16"/>
                <w:color w:val="auto"/>
              </w:rPr>
              <w:t>Texas Instruments</w:t>
            </w:r>
          </w:p>
        </w:tc>
        <w:tc>
          <w:tcPr>
            <w:tcW w:w="3020" w:type="dxa"/>
            <w:vAlign w:val="bottom"/>
            <w:vMerge w:val="restart"/>
          </w:tcPr>
          <w:p>
            <w:pPr>
              <w:jc w:val="right"/>
              <w:ind w:right="1379"/>
              <w:spacing w:after="0"/>
              <w:rPr>
                <w:sz w:val="20"/>
                <w:szCs w:val="20"/>
                <w:color w:val="auto"/>
              </w:rPr>
            </w:pPr>
            <w:r>
              <w:rPr>
                <w:rFonts w:ascii="Courier New" w:cs="Courier New" w:eastAsia="Courier New" w:hAnsi="Courier New"/>
                <w:sz w:val="16"/>
                <w:szCs w:val="16"/>
                <w:color w:val="auto"/>
              </w:rPr>
              <w:t>972-480-6878</w:t>
            </w:r>
          </w:p>
        </w:tc>
        <w:tc>
          <w:tcPr>
            <w:tcW w:w="0" w:type="dxa"/>
            <w:vAlign w:val="bottom"/>
          </w:tcPr>
          <w:p>
            <w:pPr>
              <w:spacing w:after="0"/>
              <w:rPr>
                <w:sz w:val="1"/>
                <w:szCs w:val="1"/>
                <w:color w:val="auto"/>
              </w:rPr>
            </w:pPr>
          </w:p>
        </w:tc>
      </w:tr>
      <w:tr>
        <w:trPr>
          <w:trHeight w:val="186"/>
        </w:trPr>
        <w:tc>
          <w:tcPr>
            <w:tcW w:w="1600" w:type="dxa"/>
            <w:vAlign w:val="bottom"/>
          </w:tcPr>
          <w:p>
            <w:pPr>
              <w:spacing w:after="0"/>
              <w:rPr>
                <w:sz w:val="20"/>
                <w:szCs w:val="20"/>
                <w:color w:val="auto"/>
              </w:rPr>
            </w:pPr>
            <w:r>
              <w:rPr>
                <w:rFonts w:ascii="Courier New" w:cs="Courier New" w:eastAsia="Courier New" w:hAnsi="Courier New"/>
                <w:sz w:val="16"/>
                <w:szCs w:val="16"/>
                <w:color w:val="auto"/>
              </w:rPr>
              <w:t>Kim Quirk</w:t>
            </w:r>
          </w:p>
        </w:tc>
        <w:tc>
          <w:tcPr>
            <w:tcW w:w="3140" w:type="dxa"/>
            <w:vAlign w:val="bottom"/>
            <w:vMerge w:val="continue"/>
          </w:tcPr>
          <w:p>
            <w:pPr>
              <w:spacing w:after="0"/>
              <w:rPr>
                <w:sz w:val="16"/>
                <w:szCs w:val="16"/>
                <w:color w:val="auto"/>
              </w:rPr>
            </w:pPr>
          </w:p>
        </w:tc>
        <w:tc>
          <w:tcPr>
            <w:tcW w:w="3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Courier New" w:cs="Courier New" w:eastAsia="Courier New" w:hAnsi="Courier New"/>
                <w:sz w:val="16"/>
                <w:szCs w:val="16"/>
                <w:color w:val="auto"/>
              </w:rPr>
              <w:t>Mike Dunbar</w:t>
            </w:r>
          </w:p>
        </w:tc>
        <w:tc>
          <w:tcPr>
            <w:tcW w:w="3140" w:type="dxa"/>
            <w:vAlign w:val="bottom"/>
          </w:tcPr>
          <w:p>
            <w:pPr>
              <w:ind w:left="140"/>
              <w:spacing w:after="0"/>
              <w:rPr>
                <w:sz w:val="20"/>
                <w:szCs w:val="20"/>
                <w:color w:val="auto"/>
              </w:rPr>
            </w:pPr>
            <w:r>
              <w:rPr>
                <w:rFonts w:ascii="Courier New" w:cs="Courier New" w:eastAsia="Courier New" w:hAnsi="Courier New"/>
                <w:sz w:val="16"/>
                <w:szCs w:val="16"/>
                <w:color w:val="auto"/>
              </w:rPr>
              <w:t>Integrated Sensor Solutions</w:t>
            </w:r>
          </w:p>
        </w:tc>
        <w:tc>
          <w:tcPr>
            <w:tcW w:w="3020" w:type="dxa"/>
            <w:vAlign w:val="bottom"/>
          </w:tcPr>
          <w:p>
            <w:pPr>
              <w:jc w:val="right"/>
              <w:ind w:right="1379"/>
              <w:spacing w:after="0"/>
              <w:rPr>
                <w:sz w:val="20"/>
                <w:szCs w:val="20"/>
                <w:color w:val="auto"/>
              </w:rPr>
            </w:pPr>
            <w:r>
              <w:rPr>
                <w:rFonts w:ascii="Courier New" w:cs="Courier New" w:eastAsia="Courier New" w:hAnsi="Courier New"/>
                <w:sz w:val="16"/>
                <w:szCs w:val="16"/>
                <w:color w:val="auto"/>
              </w:rPr>
              <w:t>408-324-1044</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(Please do not publish these numbers.)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TEXAS INSTRUMENTS AND INTEGRATED SENSOR SOLUTIONS ENTER</w:t>
      </w:r>
    </w:p>
    <w:p>
      <w:pPr>
        <w:spacing w:after="0" w:line="3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INTO AGREEMENT FOR TI TO ACQUIRE ISS</w:t>
      </w:r>
    </w:p>
    <w:p>
      <w:pPr>
        <w:spacing w:after="0" w:line="161"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TRANSACTION TO STRENGTHEN TI'S MATERIALS &amp; CONTROLS BUSINESS UNIT</w:t>
      </w:r>
    </w:p>
    <w:p>
      <w:pPr>
        <w:spacing w:after="0" w:line="191" w:lineRule="exact"/>
        <w:rPr>
          <w:sz w:val="20"/>
          <w:szCs w:val="20"/>
          <w:color w:val="auto"/>
        </w:rPr>
      </w:pPr>
    </w:p>
    <w:p>
      <w:pPr>
        <w:ind w:right="2459" w:firstLine="872"/>
        <w:spacing w:after="0" w:line="270" w:lineRule="auto"/>
        <w:rPr>
          <w:sz w:val="20"/>
          <w:szCs w:val="20"/>
          <w:color w:val="auto"/>
        </w:rPr>
      </w:pPr>
      <w:r>
        <w:rPr>
          <w:rFonts w:ascii="Courier New" w:cs="Courier New" w:eastAsia="Courier New" w:hAnsi="Courier New"/>
          <w:sz w:val="16"/>
          <w:szCs w:val="16"/>
          <w:color w:val="auto"/>
        </w:rPr>
        <w:t>DALLAS (May 3, 1999) - Texas Instruments (TI) and Integrated Sensor Solutions, Inc. (ISS) today announced that they have entered into an agreement for TI to acquire ISS, further strengthening the company's presence in the high-growth automotive sensors market. The acquisition will provide TI's Materials &amp; Controls (M&amp;C) business with added expertise and a broadened product portfolio to complement its leading position in pressure sensors.</w:t>
      </w:r>
    </w:p>
    <w:p>
      <w:pPr>
        <w:spacing w:after="0" w:line="81" w:lineRule="exact"/>
        <w:rPr>
          <w:sz w:val="20"/>
          <w:szCs w:val="20"/>
          <w:color w:val="auto"/>
        </w:rPr>
      </w:pPr>
    </w:p>
    <w:p>
      <w:pPr>
        <w:ind w:right="3039" w:firstLine="872"/>
        <w:spacing w:after="0" w:line="367" w:lineRule="auto"/>
        <w:rPr>
          <w:sz w:val="20"/>
          <w:szCs w:val="20"/>
          <w:color w:val="auto"/>
        </w:rPr>
      </w:pPr>
      <w:r>
        <w:rPr>
          <w:rFonts w:ascii="Courier New" w:cs="Courier New" w:eastAsia="Courier New" w:hAnsi="Courier New"/>
          <w:sz w:val="16"/>
          <w:szCs w:val="16"/>
          <w:color w:val="auto"/>
        </w:rPr>
        <w:t>The agreement is for an all-cash tender offer for all outstanding shares of ISS's common stock at $8.05 per share, or about $62 million.</w:t>
      </w:r>
    </w:p>
    <w:p>
      <w:pPr>
        <w:spacing w:after="0" w:line="5" w:lineRule="exact"/>
        <w:rPr>
          <w:sz w:val="20"/>
          <w:szCs w:val="20"/>
          <w:color w:val="auto"/>
        </w:rPr>
      </w:pPr>
    </w:p>
    <w:p>
      <w:pPr>
        <w:ind w:right="2659" w:firstLine="872"/>
        <w:spacing w:after="0" w:line="260" w:lineRule="auto"/>
        <w:rPr>
          <w:sz w:val="20"/>
          <w:szCs w:val="20"/>
          <w:color w:val="auto"/>
        </w:rPr>
      </w:pPr>
      <w:r>
        <w:rPr>
          <w:rFonts w:ascii="Courier New" w:cs="Courier New" w:eastAsia="Courier New" w:hAnsi="Courier New"/>
          <w:sz w:val="16"/>
          <w:szCs w:val="16"/>
          <w:color w:val="auto"/>
        </w:rPr>
        <w:t>Integrated Sensor Solutions designs, manufactures and markets high performance intelligent sensor products that are used in electronic control systems by customers in the automotive and industrial markets. Applications include new generation low emission engines and advanced vehicle stability systems, such as common rail diesel fuel injection (CRI), gasoline direct injection (GDI) and vehicle dynamic control (VDC). Their solutions are used by some of the world's leading automotive suppliers including Robert Bosch GmbH, Cummins Engine Company, Inc., Honda R&amp;D Co. Ltd., Automotive Controls Corp., Knorr-Bremse Systems GmbH, Nagano Keiki Co., Ltd., and Michelin North America, Inc.</w:t>
      </w:r>
    </w:p>
    <w:p>
      <w:pPr>
        <w:sectPr>
          <w:pgSz w:w="11900" w:h="16838" w:orient="portrait"/>
          <w:cols w:equalWidth="0" w:num="1">
            <w:col w:w="10219"/>
          </w:cols>
          <w:pgMar w:left="240" w:top="112" w:right="1440" w:bottom="1440" w:gutter="0" w:footer="0" w:header="0"/>
        </w:sectPr>
      </w:pPr>
    </w:p>
    <w:bookmarkStart w:id="74" w:name="page75"/>
    <w:bookmarkEnd w:id="74"/>
    <w:p>
      <w:pPr>
        <w:ind w:left="300"/>
        <w:spacing w:after="0"/>
        <w:rPr>
          <w:sz w:val="20"/>
          <w:szCs w:val="20"/>
          <w:color w:val="auto"/>
        </w:rPr>
      </w:pPr>
      <w:r>
        <w:rPr>
          <w:rFonts w:ascii="Courier New" w:cs="Courier New" w:eastAsia="Courier New" w:hAnsi="Courier New"/>
          <w:sz w:val="16"/>
          <w:szCs w:val="16"/>
          <w:color w:val="auto"/>
        </w:rPr>
        <w:t>2</w:t>
      </w:r>
    </w:p>
    <w:p>
      <w:pPr>
        <w:spacing w:after="0" w:line="191" w:lineRule="exact"/>
        <w:rPr>
          <w:sz w:val="20"/>
          <w:szCs w:val="20"/>
          <w:color w:val="auto"/>
        </w:rPr>
      </w:pPr>
    </w:p>
    <w:p>
      <w:pPr>
        <w:ind w:right="2459" w:firstLine="872"/>
        <w:spacing w:after="0" w:line="270" w:lineRule="auto"/>
        <w:rPr>
          <w:sz w:val="20"/>
          <w:szCs w:val="20"/>
          <w:color w:val="auto"/>
        </w:rPr>
      </w:pPr>
      <w:r>
        <w:rPr>
          <w:rFonts w:ascii="Courier New" w:cs="Courier New" w:eastAsia="Courier New" w:hAnsi="Courier New"/>
          <w:sz w:val="16"/>
          <w:szCs w:val="16"/>
          <w:color w:val="auto"/>
        </w:rPr>
        <w:t>"The acquisition of ISS significantly strengthens our ability to serve the high-growth markets for automotive and industrial sensors," said Tom Wroe, president of TI's Materials &amp; Controls (M&amp;C) business. "By supporting ISS's strong customer positions and product portfolio with TI's sensor technologies, operational excellence and global presence, we expect to achieve major growth in this key area."</w:t>
      </w:r>
    </w:p>
    <w:p>
      <w:pPr>
        <w:spacing w:after="0" w:line="81" w:lineRule="exact"/>
        <w:rPr>
          <w:sz w:val="20"/>
          <w:szCs w:val="20"/>
          <w:color w:val="auto"/>
        </w:rPr>
      </w:pPr>
    </w:p>
    <w:p>
      <w:pPr>
        <w:ind w:right="2459" w:firstLine="872"/>
        <w:spacing w:after="0" w:line="287" w:lineRule="auto"/>
        <w:rPr>
          <w:sz w:val="20"/>
          <w:szCs w:val="20"/>
          <w:color w:val="auto"/>
        </w:rPr>
      </w:pPr>
      <w:r>
        <w:rPr>
          <w:rFonts w:ascii="Courier New" w:cs="Courier New" w:eastAsia="Courier New" w:hAnsi="Courier New"/>
          <w:sz w:val="16"/>
          <w:szCs w:val="16"/>
          <w:color w:val="auto"/>
        </w:rPr>
        <w:t>The company will become part of the Automotive Sensors &amp; Controls group of TI's M&amp;C business based in Attleboro, Massachusetts. M&amp;C is a market leader in sensors and controls used in the transportation, appliance, HVAC, industrial/commercial, and electronic/communication markets.</w:t>
      </w:r>
    </w:p>
    <w:p>
      <w:pPr>
        <w:spacing w:after="0" w:line="65" w:lineRule="exact"/>
        <w:rPr>
          <w:sz w:val="20"/>
          <w:szCs w:val="20"/>
          <w:color w:val="auto"/>
        </w:rPr>
      </w:pPr>
    </w:p>
    <w:p>
      <w:pPr>
        <w:ind w:right="2659" w:firstLine="872"/>
        <w:spacing w:after="0" w:line="287" w:lineRule="auto"/>
        <w:rPr>
          <w:sz w:val="20"/>
          <w:szCs w:val="20"/>
          <w:color w:val="auto"/>
        </w:rPr>
      </w:pPr>
      <w:r>
        <w:rPr>
          <w:rFonts w:ascii="Courier New" w:cs="Courier New" w:eastAsia="Courier New" w:hAnsi="Courier New"/>
          <w:sz w:val="16"/>
          <w:szCs w:val="16"/>
          <w:color w:val="auto"/>
        </w:rPr>
        <w:t>"The merging of Integrated Sensor Solutions and M&amp;C provides a unique position of strength to fully exploit market opportunities," said Manher Naik, President, Chairman and CEO of Integrated Sensor Solutions. "With TI's global presence, we will be able to address and support a worldwide customer base."</w:t>
      </w:r>
    </w:p>
    <w:p>
      <w:pPr>
        <w:spacing w:after="0" w:line="65" w:lineRule="exact"/>
        <w:rPr>
          <w:sz w:val="20"/>
          <w:szCs w:val="20"/>
          <w:color w:val="auto"/>
        </w:rPr>
      </w:pPr>
    </w:p>
    <w:p>
      <w:pPr>
        <w:ind w:right="2659" w:firstLine="872"/>
        <w:spacing w:after="0" w:line="270" w:lineRule="auto"/>
        <w:rPr>
          <w:sz w:val="20"/>
          <w:szCs w:val="20"/>
          <w:color w:val="auto"/>
        </w:rPr>
      </w:pPr>
      <w:r>
        <w:rPr>
          <w:rFonts w:ascii="Courier New" w:cs="Courier New" w:eastAsia="Courier New" w:hAnsi="Courier New"/>
          <w:sz w:val="16"/>
          <w:szCs w:val="16"/>
          <w:color w:val="auto"/>
        </w:rPr>
        <w:t>TI will, subject to satisfaction of certain conditions, commence the all-cash tender offer on May 7, 1999, and the tender offer is scheduled to expire at midnight EDT on June 4, 1999, unless extended. TI intends to acquire the ISS common stock through a wholly-owned subsidiary of TI. Any shares not purchased in the tender offer will be acquired for the tender offer price in cash in a second-step merger.</w:t>
      </w:r>
    </w:p>
    <w:p>
      <w:pPr>
        <w:spacing w:after="0" w:line="81" w:lineRule="exact"/>
        <w:rPr>
          <w:sz w:val="20"/>
          <w:szCs w:val="20"/>
          <w:color w:val="auto"/>
        </w:rPr>
      </w:pPr>
    </w:p>
    <w:p>
      <w:pPr>
        <w:ind w:right="2459" w:firstLine="872"/>
        <w:spacing w:after="0" w:line="270" w:lineRule="auto"/>
        <w:rPr>
          <w:sz w:val="20"/>
          <w:szCs w:val="20"/>
          <w:color w:val="auto"/>
        </w:rPr>
      </w:pPr>
      <w:r>
        <w:rPr>
          <w:rFonts w:ascii="Courier New" w:cs="Courier New" w:eastAsia="Courier New" w:hAnsi="Courier New"/>
          <w:sz w:val="16"/>
          <w:szCs w:val="16"/>
          <w:color w:val="auto"/>
        </w:rPr>
        <w:t>The boards of directors of both companies have unanimously approved the acquisition, and the ISS board of directors has recommended that ISS's stockholders accept TI's all cash tender offer. Consummation of the acquisition is contingent upon the tender of a majority of ISS's outstanding common stock on a fully-diluted basis, antitrust agency approvals in the United States and Germany and certain other conditions.</w:t>
      </w:r>
    </w:p>
    <w:p>
      <w:pPr>
        <w:spacing w:after="0" w:line="81" w:lineRule="exact"/>
        <w:rPr>
          <w:sz w:val="20"/>
          <w:szCs w:val="20"/>
          <w:color w:val="auto"/>
        </w:rPr>
      </w:pPr>
    </w:p>
    <w:p>
      <w:pPr>
        <w:ind w:right="2559" w:firstLine="872"/>
        <w:spacing w:after="0" w:line="307" w:lineRule="auto"/>
        <w:rPr>
          <w:sz w:val="20"/>
          <w:szCs w:val="20"/>
          <w:color w:val="auto"/>
        </w:rPr>
      </w:pPr>
      <w:r>
        <w:rPr>
          <w:rFonts w:ascii="Courier New" w:cs="Courier New" w:eastAsia="Courier New" w:hAnsi="Courier New"/>
          <w:sz w:val="16"/>
          <w:szCs w:val="16"/>
          <w:color w:val="auto"/>
        </w:rPr>
        <w:t>Integrated Sensor Solutions was founded in 1989 and became publicly traded in 1998. The stock trades under the symbol ISNR (Nasdaq). With locations in San Jose, California, and</w:t>
      </w:r>
    </w:p>
    <w:p>
      <w:pPr>
        <w:sectPr>
          <w:pgSz w:w="11900" w:h="16838" w:orient="portrait"/>
          <w:cols w:equalWidth="0" w:num="1">
            <w:col w:w="10219"/>
          </w:cols>
          <w:pgMar w:left="240" w:top="273" w:right="1440" w:bottom="1440" w:gutter="0" w:footer="0" w:header="0"/>
        </w:sectPr>
      </w:pPr>
    </w:p>
    <w:bookmarkStart w:id="75" w:name="page76"/>
    <w:bookmarkEnd w:id="75"/>
    <w:p>
      <w:pPr>
        <w:ind w:left="300"/>
        <w:spacing w:after="0"/>
        <w:rPr>
          <w:sz w:val="20"/>
          <w:szCs w:val="20"/>
          <w:color w:val="auto"/>
        </w:rPr>
      </w:pPr>
      <w:r>
        <w:rPr>
          <w:rFonts w:ascii="Courier New" w:cs="Courier New" w:eastAsia="Courier New" w:hAnsi="Courier New"/>
          <w:sz w:val="16"/>
          <w:szCs w:val="16"/>
          <w:color w:val="auto"/>
        </w:rPr>
        <w:t>3</w:t>
      </w:r>
    </w:p>
    <w:p>
      <w:pPr>
        <w:spacing w:after="0" w:line="191" w:lineRule="exact"/>
        <w:rPr>
          <w:sz w:val="20"/>
          <w:szCs w:val="20"/>
          <w:color w:val="auto"/>
        </w:rPr>
      </w:pPr>
    </w:p>
    <w:p>
      <w:pPr>
        <w:jc w:val="both"/>
        <w:ind w:right="2559"/>
        <w:spacing w:after="0" w:line="307" w:lineRule="auto"/>
        <w:rPr>
          <w:sz w:val="20"/>
          <w:szCs w:val="20"/>
          <w:color w:val="auto"/>
        </w:rPr>
      </w:pPr>
      <w:r>
        <w:rPr>
          <w:rFonts w:ascii="Courier New" w:cs="Courier New" w:eastAsia="Courier New" w:hAnsi="Courier New"/>
          <w:sz w:val="16"/>
          <w:szCs w:val="16"/>
          <w:color w:val="auto"/>
        </w:rPr>
        <w:t>Dresden, Germany, the company has approximately 170 employees and had sales of $15.2 million for its fiscal year ending March 31, 1998, and unaudited sales of $16.8 million for the nine months ending December 31, 1998.</w:t>
      </w:r>
    </w:p>
    <w:p>
      <w:pPr>
        <w:spacing w:after="0" w:line="5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 # #</w:t>
      </w:r>
    </w:p>
    <w:p>
      <w:pPr>
        <w:spacing w:after="0" w:line="191" w:lineRule="exact"/>
        <w:rPr>
          <w:sz w:val="20"/>
          <w:szCs w:val="20"/>
          <w:color w:val="auto"/>
        </w:rPr>
      </w:pPr>
    </w:p>
    <w:p>
      <w:pPr>
        <w:ind w:right="2559"/>
        <w:spacing w:after="0" w:line="266" w:lineRule="auto"/>
        <w:rPr>
          <w:sz w:val="20"/>
          <w:szCs w:val="20"/>
          <w:color w:val="auto"/>
        </w:rPr>
      </w:pPr>
      <w:r>
        <w:rPr>
          <w:rFonts w:ascii="Courier New" w:cs="Courier New" w:eastAsia="Courier New" w:hAnsi="Courier New"/>
          <w:sz w:val="16"/>
          <w:szCs w:val="16"/>
          <w:color w:val="auto"/>
        </w:rPr>
        <w:t>NOTE TO EDITORS: Texas Instruments Incorporated is a global semiconductor company and the world's leading designer and supplier of digital signal processing and analog technologies, the engines driving the digitization of electronics. Headquartered in Dallas, Texas, the company's businesses also include materials and controls, educational and productivity solutions, and digital imaging. The company has manufacturing or sales operations in more than 25 countries.</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is traded on the New York Stock Exchange under the symbol TXN.</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More information is located on the World Wide Web at http://www.ti.com</w:t>
      </w:r>
    </w:p>
    <w:p>
      <w:pPr>
        <w:spacing w:after="0" w:line="161" w:lineRule="exact"/>
        <w:rPr>
          <w:sz w:val="20"/>
          <w:szCs w:val="20"/>
          <w:color w:val="auto"/>
        </w:rPr>
      </w:pPr>
    </w:p>
    <w:p>
      <w:pPr>
        <w:ind w:right="2459"/>
        <w:spacing w:after="0" w:line="266" w:lineRule="auto"/>
        <w:rPr>
          <w:sz w:val="20"/>
          <w:szCs w:val="20"/>
          <w:color w:val="auto"/>
        </w:rPr>
      </w:pPr>
      <w:r>
        <w:rPr>
          <w:rFonts w:ascii="Courier New" w:cs="Courier New" w:eastAsia="Courier New" w:hAnsi="Courier New"/>
          <w:sz w:val="16"/>
          <w:szCs w:val="16"/>
          <w:color w:val="auto"/>
        </w:rPr>
        <w:t>TI's Materials &amp; Controls business is a leading supplier of engineered materials, sensors, and control devices that are used in aircraft, appliance, automotive, industrial, military, and telecommunications markets. Currently, the business is combining its traditional electro-mechanical and metallurgical capabilities with TI's microelectronic skills to capitalize on rapidly growing electronic opportunities such as sensors, interconnection and radio frequency identification systems.</w:t>
      </w:r>
    </w:p>
    <w:p>
      <w:pPr>
        <w:spacing w:after="0" w:line="85" w:lineRule="exact"/>
        <w:rPr>
          <w:sz w:val="20"/>
          <w:szCs w:val="20"/>
          <w:color w:val="auto"/>
        </w:rPr>
      </w:pPr>
    </w:p>
    <w:p>
      <w:pPr>
        <w:ind w:right="2459"/>
        <w:spacing w:after="0" w:line="258" w:lineRule="auto"/>
        <w:rPr>
          <w:sz w:val="20"/>
          <w:szCs w:val="20"/>
          <w:color w:val="auto"/>
        </w:rPr>
      </w:pPr>
      <w:r>
        <w:rPr>
          <w:rFonts w:ascii="Courier New" w:cs="Courier New" w:eastAsia="Courier New" w:hAnsi="Courier New"/>
          <w:sz w:val="16"/>
          <w:szCs w:val="16"/>
          <w:color w:val="auto"/>
        </w:rPr>
        <w:t>Integrated Sensor Solutions Inc. manufactures and markets high performance, intelligent sensor products that are used in electronic control systems by customers in the automotive and industrial markets. The Company's products are application specific integrated circuits ("ASICs") and integrated sensor devices ("ISDs"). The Company's initial focus on automotive applications has resulted in its products being designed into a broad range of electronic control systems such as fuel injection, tire pressure, engine control, air bag, suspension and brake systems. While continuing its efforts to further penetrate the automotive market, the Company has leveraged its technology to develop products that address high volume industrial applications including utility gas meters, refrigeration, air conditioning and process control systems.</w:t>
      </w:r>
    </w:p>
    <w:p>
      <w:pPr>
        <w:sectPr>
          <w:pgSz w:w="11900" w:h="16838" w:orient="portrait"/>
          <w:cols w:equalWidth="0" w:num="1">
            <w:col w:w="10219"/>
          </w:cols>
          <w:pgMar w:left="240" w:top="273" w:right="1440" w:bottom="1440" w:gutter="0" w:footer="0" w:header="0"/>
        </w:sectPr>
      </w:pPr>
    </w:p>
    <w:bookmarkStart w:id="76" w:name="page77"/>
    <w:bookmarkEnd w:id="76"/>
    <w:p>
      <w:pPr>
        <w:ind w:left="300"/>
        <w:spacing w:after="0"/>
        <w:rPr>
          <w:sz w:val="20"/>
          <w:szCs w:val="20"/>
          <w:color w:val="auto"/>
        </w:rPr>
      </w:pPr>
      <w:r>
        <w:rPr>
          <w:rFonts w:ascii="Courier New" w:cs="Courier New" w:eastAsia="Courier New" w:hAnsi="Courier New"/>
          <w:sz w:val="16"/>
          <w:szCs w:val="16"/>
          <w:color w:val="auto"/>
        </w:rPr>
        <w:t>1</w:t>
      </w:r>
    </w:p>
    <w:p>
      <w:pPr>
        <w:spacing w:after="0" w:line="3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EXHIBIT 99 (c)(1)</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AGREEMENT AND PLAN OF MERGER</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DATED AS OF MAY 3, 1999</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AMONG</w:t>
      </w:r>
    </w:p>
    <w:p>
      <w:pPr>
        <w:spacing w:after="0" w:line="191"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INTEGRATED SENSOR SOLUTIONS, INC.,</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TEXAS INSTRUMENTS INCORPORATED,</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AND</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SENSOR ACQUISITION CORPORATION</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12" w:right="1440"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73"/>
        </w:trPr>
        <w:tc>
          <w:tcPr>
            <w:tcW w:w="1260" w:type="dxa"/>
            <w:vAlign w:val="bottom"/>
          </w:tcPr>
          <w:p>
            <w:pPr>
              <w:ind w:left="300"/>
              <w:spacing w:after="0"/>
              <w:rPr>
                <w:sz w:val="20"/>
                <w:szCs w:val="20"/>
                <w:color w:val="auto"/>
              </w:rPr>
            </w:pPr>
            <w:r>
              <w:rPr>
                <w:rFonts w:ascii="Courier New" w:cs="Courier New" w:eastAsia="Courier New" w:hAnsi="Courier New"/>
                <w:sz w:val="16"/>
                <w:szCs w:val="16"/>
                <w:color w:val="auto"/>
              </w:rPr>
              <w:t>2</w:t>
            </w:r>
          </w:p>
        </w:tc>
        <w:tc>
          <w:tcPr>
            <w:tcW w:w="580" w:type="dxa"/>
            <w:vAlign w:val="bottom"/>
          </w:tcPr>
          <w:p>
            <w:pPr>
              <w:spacing w:after="0"/>
              <w:rPr>
                <w:sz w:val="23"/>
                <w:szCs w:val="23"/>
                <w:color w:val="auto"/>
              </w:rPr>
            </w:pPr>
          </w:p>
        </w:tc>
        <w:tc>
          <w:tcPr>
            <w:tcW w:w="678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559"/>
        </w:trPr>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780" w:type="dxa"/>
            <w:vAlign w:val="bottom"/>
          </w:tcPr>
          <w:p>
            <w:pPr>
              <w:jc w:val="right"/>
              <w:ind w:right="3799"/>
              <w:spacing w:after="0"/>
              <w:rPr>
                <w:sz w:val="20"/>
                <w:szCs w:val="20"/>
                <w:color w:val="auto"/>
              </w:rPr>
            </w:pPr>
            <w:r>
              <w:rPr>
                <w:rFonts w:ascii="Courier New" w:cs="Courier New" w:eastAsia="Courier New" w:hAnsi="Courier New"/>
                <w:sz w:val="16"/>
                <w:szCs w:val="16"/>
                <w:color w:val="auto"/>
              </w:rPr>
              <w:t>TABLE OF CONTENTS</w:t>
            </w:r>
          </w:p>
        </w:tc>
        <w:tc>
          <w:tcPr>
            <w:tcW w:w="200" w:type="dxa"/>
            <w:vAlign w:val="bottom"/>
          </w:tcPr>
          <w:p>
            <w:pPr>
              <w:spacing w:after="0"/>
              <w:rPr>
                <w:sz w:val="24"/>
                <w:szCs w:val="24"/>
                <w:color w:val="auto"/>
              </w:rPr>
            </w:pPr>
          </w:p>
        </w:tc>
      </w:tr>
      <w:tr>
        <w:trPr>
          <w:trHeight w:val="559"/>
        </w:trPr>
        <w:tc>
          <w:tcPr>
            <w:tcW w:w="1260" w:type="dxa"/>
            <w:vAlign w:val="bottom"/>
          </w:tcPr>
          <w:p>
            <w:pPr>
              <w:spacing w:after="0"/>
              <w:rPr>
                <w:sz w:val="20"/>
                <w:szCs w:val="20"/>
                <w:color w:val="auto"/>
              </w:rPr>
            </w:pPr>
            <w:r>
              <w:rPr>
                <w:rFonts w:ascii="Courier New" w:cs="Courier New" w:eastAsia="Courier New" w:hAnsi="Courier New"/>
                <w:sz w:val="16"/>
                <w:szCs w:val="16"/>
                <w:color w:val="auto"/>
              </w:rPr>
              <w:t>ARTICLE I</w:t>
            </w:r>
          </w:p>
        </w:tc>
        <w:tc>
          <w:tcPr>
            <w:tcW w:w="7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THE OFFER..................................................................</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287"/>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1.1</w:t>
            </w:r>
          </w:p>
        </w:tc>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The Offer.............................................................</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6"/>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1.2</w:t>
            </w:r>
          </w:p>
        </w:tc>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Company Actions.......................................................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86"/>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1.3</w:t>
            </w:r>
          </w:p>
        </w:tc>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SEC Documents.........................................................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273"/>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1.4</w:t>
            </w:r>
          </w:p>
        </w:tc>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Company Board Representation; Section 14(f)...........................</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373"/>
        </w:trPr>
        <w:tc>
          <w:tcPr>
            <w:tcW w:w="1260" w:type="dxa"/>
            <w:vAlign w:val="bottom"/>
          </w:tcPr>
          <w:p>
            <w:pPr>
              <w:spacing w:after="0"/>
              <w:rPr>
                <w:sz w:val="20"/>
                <w:szCs w:val="20"/>
                <w:color w:val="auto"/>
              </w:rPr>
            </w:pPr>
            <w:r>
              <w:rPr>
                <w:rFonts w:ascii="Courier New" w:cs="Courier New" w:eastAsia="Courier New" w:hAnsi="Courier New"/>
                <w:sz w:val="16"/>
                <w:szCs w:val="16"/>
                <w:color w:val="auto"/>
              </w:rPr>
              <w:t>ARTICLE II</w:t>
            </w:r>
          </w:p>
        </w:tc>
        <w:tc>
          <w:tcPr>
            <w:tcW w:w="7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THE MERGER.................................................................</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287"/>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2.1</w:t>
            </w:r>
          </w:p>
        </w:tc>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The Merger...........................................................</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6"/>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2.2</w:t>
            </w:r>
          </w:p>
        </w:tc>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Effective Time.......................................................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6"/>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2.3</w:t>
            </w:r>
          </w:p>
        </w:tc>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Closing of the Merger................................................</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6"/>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2.4</w:t>
            </w:r>
          </w:p>
        </w:tc>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Effects of the Merger................................................</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6"/>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2.5</w:t>
            </w:r>
          </w:p>
        </w:tc>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Certificate of Incorporation and Bylaws..............................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6"/>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2.6</w:t>
            </w:r>
          </w:p>
        </w:tc>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Directors............................................................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273"/>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2.7</w:t>
            </w:r>
          </w:p>
        </w:tc>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Officers.............................................................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373"/>
        </w:trPr>
        <w:tc>
          <w:tcPr>
            <w:tcW w:w="1260" w:type="dxa"/>
            <w:vAlign w:val="bottom"/>
          </w:tcPr>
          <w:p>
            <w:pPr>
              <w:spacing w:after="0"/>
              <w:rPr>
                <w:sz w:val="20"/>
                <w:szCs w:val="20"/>
                <w:color w:val="auto"/>
              </w:rPr>
            </w:pPr>
            <w:r>
              <w:rPr>
                <w:rFonts w:ascii="Courier New" w:cs="Courier New" w:eastAsia="Courier New" w:hAnsi="Courier New"/>
                <w:sz w:val="16"/>
                <w:szCs w:val="16"/>
                <w:color w:val="auto"/>
              </w:rPr>
              <w:t>ARTICLE III</w:t>
            </w:r>
          </w:p>
        </w:tc>
        <w:tc>
          <w:tcPr>
            <w:tcW w:w="7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CONVERSION OF SECURITIES...................................................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287"/>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3.1</w:t>
            </w:r>
          </w:p>
        </w:tc>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Conversion of Capital Shares.........................................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6"/>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3.2</w:t>
            </w:r>
          </w:p>
        </w:tc>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Stock Options........................................................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6"/>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3.3</w:t>
            </w:r>
          </w:p>
        </w:tc>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Exchange Fund........................................................</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6"/>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3.4</w:t>
            </w:r>
          </w:p>
        </w:tc>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Exchange Procedures..................................................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6"/>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3.5</w:t>
            </w:r>
          </w:p>
        </w:tc>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No Further Ownership Rights in Company Common Stock.................</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10</w:t>
            </w:r>
          </w:p>
        </w:tc>
      </w:tr>
      <w:tr>
        <w:trPr>
          <w:trHeight w:val="186"/>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3.6</w:t>
            </w:r>
          </w:p>
        </w:tc>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Termination of Exchange Fund........................................</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10</w:t>
            </w:r>
          </w:p>
        </w:tc>
      </w:tr>
      <w:tr>
        <w:trPr>
          <w:trHeight w:val="186"/>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3.7</w:t>
            </w:r>
          </w:p>
        </w:tc>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No Liability........................................................</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11</w:t>
            </w:r>
          </w:p>
        </w:tc>
      </w:tr>
      <w:tr>
        <w:trPr>
          <w:trHeight w:val="186"/>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3.8</w:t>
            </w:r>
          </w:p>
        </w:tc>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Investment of the Exchange Fund.....................................</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11</w:t>
            </w:r>
          </w:p>
        </w:tc>
      </w:tr>
      <w:tr>
        <w:trPr>
          <w:trHeight w:val="186"/>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3.9</w:t>
            </w:r>
          </w:p>
        </w:tc>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Lost Certificates...................................................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11</w:t>
            </w:r>
          </w:p>
        </w:tc>
      </w:tr>
      <w:tr>
        <w:trPr>
          <w:trHeight w:val="186"/>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3.10</w:t>
            </w:r>
          </w:p>
        </w:tc>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Withholding Rights..................................................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11</w:t>
            </w:r>
          </w:p>
        </w:tc>
      </w:tr>
      <w:tr>
        <w:trPr>
          <w:trHeight w:val="186"/>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3.11</w:t>
            </w:r>
          </w:p>
        </w:tc>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Stock Transfer Books................................................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11</w:t>
            </w:r>
          </w:p>
        </w:tc>
      </w:tr>
      <w:tr>
        <w:trPr>
          <w:trHeight w:val="273"/>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3.12</w:t>
            </w:r>
          </w:p>
        </w:tc>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Appraisal Rights....................................................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11</w:t>
            </w:r>
          </w:p>
        </w:tc>
      </w:tr>
      <w:tr>
        <w:trPr>
          <w:trHeight w:val="373"/>
        </w:trPr>
        <w:tc>
          <w:tcPr>
            <w:tcW w:w="1260" w:type="dxa"/>
            <w:vAlign w:val="bottom"/>
          </w:tcPr>
          <w:p>
            <w:pPr>
              <w:spacing w:after="0"/>
              <w:rPr>
                <w:sz w:val="20"/>
                <w:szCs w:val="20"/>
                <w:color w:val="auto"/>
              </w:rPr>
            </w:pPr>
            <w:r>
              <w:rPr>
                <w:rFonts w:ascii="Courier New" w:cs="Courier New" w:eastAsia="Courier New" w:hAnsi="Courier New"/>
                <w:sz w:val="16"/>
                <w:szCs w:val="16"/>
                <w:color w:val="auto"/>
              </w:rPr>
              <w:t>ARTICLE IV</w:t>
            </w:r>
          </w:p>
        </w:tc>
        <w:tc>
          <w:tcPr>
            <w:tcW w:w="7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REPRESENTATIONS AND WARRANTIES OF THE COMPANY.............................</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12</w:t>
            </w:r>
          </w:p>
        </w:tc>
      </w:tr>
      <w:tr>
        <w:trPr>
          <w:trHeight w:val="287"/>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4.1</w:t>
            </w:r>
          </w:p>
        </w:tc>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Organization and Qualification; Subsidiaries........................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12</w:t>
            </w:r>
          </w:p>
        </w:tc>
      </w:tr>
      <w:tr>
        <w:trPr>
          <w:trHeight w:val="186"/>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4.2</w:t>
            </w:r>
          </w:p>
        </w:tc>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Capitalization of the Company and Its Subsidiaries..................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12</w:t>
            </w:r>
          </w:p>
        </w:tc>
      </w:tr>
      <w:tr>
        <w:trPr>
          <w:trHeight w:val="186"/>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4.3</w:t>
            </w:r>
          </w:p>
        </w:tc>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Authority Relative to This Agreement; Consents and Approvals........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14</w:t>
            </w:r>
          </w:p>
        </w:tc>
      </w:tr>
      <w:tr>
        <w:trPr>
          <w:trHeight w:val="186"/>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4.4</w:t>
            </w:r>
          </w:p>
        </w:tc>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SEC Reports; Financial Statements...................................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14</w:t>
            </w:r>
          </w:p>
        </w:tc>
      </w:tr>
      <w:tr>
        <w:trPr>
          <w:trHeight w:val="186"/>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4.5</w:t>
            </w:r>
          </w:p>
        </w:tc>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No Undisclosed Liabilities..........................................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15</w:t>
            </w:r>
          </w:p>
        </w:tc>
      </w:tr>
      <w:tr>
        <w:trPr>
          <w:trHeight w:val="186"/>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4.6</w:t>
            </w:r>
          </w:p>
        </w:tc>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Absence of Changes..................................................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15</w:t>
            </w:r>
          </w:p>
        </w:tc>
      </w:tr>
      <w:tr>
        <w:trPr>
          <w:trHeight w:val="186"/>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4.7</w:t>
            </w:r>
          </w:p>
        </w:tc>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Schedule 14D-9; Offer Documents; Proxy Statement....................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17</w:t>
            </w:r>
          </w:p>
        </w:tc>
      </w:tr>
      <w:tr>
        <w:trPr>
          <w:trHeight w:val="186"/>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4.8</w:t>
            </w:r>
          </w:p>
        </w:tc>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Consents and Approvals..............................................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17</w:t>
            </w:r>
          </w:p>
        </w:tc>
      </w:tr>
      <w:tr>
        <w:trPr>
          <w:trHeight w:val="186"/>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4.9</w:t>
            </w:r>
          </w:p>
        </w:tc>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No Default..........................................................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17</w:t>
            </w:r>
          </w:p>
        </w:tc>
      </w:tr>
      <w:tr>
        <w:trPr>
          <w:trHeight w:val="186"/>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4.10</w:t>
            </w:r>
          </w:p>
        </w:tc>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Real Property.......................................................</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18</w:t>
            </w:r>
          </w:p>
        </w:tc>
      </w:tr>
      <w:tr>
        <w:trPr>
          <w:trHeight w:val="186"/>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4.11</w:t>
            </w:r>
          </w:p>
        </w:tc>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Litigation..........................................................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19</w:t>
            </w:r>
          </w:p>
        </w:tc>
      </w:tr>
      <w:tr>
        <w:trPr>
          <w:trHeight w:val="186"/>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4.12</w:t>
            </w:r>
          </w:p>
        </w:tc>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Compliance with Applicable Law; Permits.............................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19</w:t>
            </w:r>
          </w:p>
        </w:tc>
      </w:tr>
      <w:tr>
        <w:trPr>
          <w:trHeight w:val="273"/>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4.13</w:t>
            </w:r>
          </w:p>
        </w:tc>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Employee Plans......................................................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19</w:t>
            </w:r>
          </w:p>
        </w:tc>
      </w:tr>
    </w:tbl>
    <w:p>
      <w:pPr>
        <w:spacing w:after="0" w:line="200" w:lineRule="exact"/>
        <w:rPr>
          <w:sz w:val="20"/>
          <w:szCs w:val="20"/>
          <w:color w:val="auto"/>
        </w:rPr>
      </w:pPr>
    </w:p>
    <w:p>
      <w:pPr>
        <w:spacing w:after="0" w:line="27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273" w:right="1440"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73"/>
        </w:trPr>
        <w:tc>
          <w:tcPr>
            <w:tcW w:w="12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3</w:t>
            </w:r>
          </w:p>
        </w:tc>
        <w:tc>
          <w:tcPr>
            <w:tcW w:w="620" w:type="dxa"/>
            <w:vAlign w:val="bottom"/>
          </w:tcPr>
          <w:p>
            <w:pPr>
              <w:spacing w:after="0"/>
              <w:rPr>
                <w:sz w:val="23"/>
                <w:szCs w:val="23"/>
                <w:color w:val="auto"/>
              </w:rPr>
            </w:pPr>
          </w:p>
        </w:tc>
        <w:tc>
          <w:tcPr>
            <w:tcW w:w="674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659"/>
        </w:trPr>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4.14</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Labor Matters.......................................................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21</w:t>
            </w:r>
          </w:p>
        </w:tc>
      </w:tr>
      <w:tr>
        <w:trPr>
          <w:trHeight w:val="186"/>
        </w:trPr>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4.15</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Environmental Matters...............................................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22</w:t>
            </w:r>
          </w:p>
        </w:tc>
      </w:tr>
      <w:tr>
        <w:trPr>
          <w:trHeight w:val="186"/>
        </w:trPr>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4.16</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Tax Matters.........................................................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24</w:t>
            </w:r>
          </w:p>
        </w:tc>
      </w:tr>
      <w:tr>
        <w:trPr>
          <w:trHeight w:val="186"/>
        </w:trPr>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4.17</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Absence of Questionable Payments....................................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26</w:t>
            </w:r>
          </w:p>
        </w:tc>
      </w:tr>
      <w:tr>
        <w:trPr>
          <w:trHeight w:val="186"/>
        </w:trPr>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4.18</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Material Contracts..................................................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26</w:t>
            </w:r>
          </w:p>
        </w:tc>
      </w:tr>
      <w:tr>
        <w:trPr>
          <w:trHeight w:val="186"/>
        </w:trPr>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4.19</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Insurance...........................................................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27</w:t>
            </w:r>
          </w:p>
        </w:tc>
      </w:tr>
      <w:tr>
        <w:trPr>
          <w:trHeight w:val="186"/>
        </w:trPr>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4.20</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Subsidies...........................................................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27</w:t>
            </w:r>
          </w:p>
        </w:tc>
      </w:tr>
      <w:tr>
        <w:trPr>
          <w:trHeight w:val="186"/>
        </w:trPr>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4.21</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Intellectual Property...............................................</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28</w:t>
            </w:r>
          </w:p>
        </w:tc>
      </w:tr>
      <w:tr>
        <w:trPr>
          <w:trHeight w:val="186"/>
        </w:trPr>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4.22</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Software............................................................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29</w:t>
            </w:r>
          </w:p>
        </w:tc>
      </w:tr>
      <w:tr>
        <w:trPr>
          <w:trHeight w:val="186"/>
        </w:trPr>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4.23</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Year 2000...........................................................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30</w:t>
            </w:r>
          </w:p>
        </w:tc>
      </w:tr>
      <w:tr>
        <w:trPr>
          <w:trHeight w:val="186"/>
        </w:trPr>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4.24</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Opinion of Financial Advisor........................................</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31</w:t>
            </w:r>
          </w:p>
        </w:tc>
      </w:tr>
      <w:tr>
        <w:trPr>
          <w:trHeight w:val="186"/>
        </w:trPr>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4.25</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Brokers.............................................................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31</w:t>
            </w:r>
          </w:p>
        </w:tc>
      </w:tr>
      <w:tr>
        <w:trPr>
          <w:trHeight w:val="186"/>
        </w:trPr>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4.26</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Product Liability; Recalls..........................................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32</w:t>
            </w:r>
          </w:p>
        </w:tc>
      </w:tr>
      <w:tr>
        <w:trPr>
          <w:trHeight w:val="186"/>
        </w:trPr>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4.27</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Customers and Suppliers.............................................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32</w:t>
            </w:r>
          </w:p>
        </w:tc>
      </w:tr>
      <w:tr>
        <w:trPr>
          <w:trHeight w:val="186"/>
        </w:trPr>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4.28</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Takeover Statute....................................................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33</w:t>
            </w:r>
          </w:p>
        </w:tc>
      </w:tr>
      <w:tr>
        <w:trPr>
          <w:trHeight w:val="273"/>
        </w:trPr>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4.29</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ISO 9001 and QS-9000 Certifications.................................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33</w:t>
            </w:r>
          </w:p>
        </w:tc>
      </w:tr>
      <w:tr>
        <w:trPr>
          <w:trHeight w:val="373"/>
        </w:trPr>
        <w:tc>
          <w:tcPr>
            <w:tcW w:w="1260" w:type="dxa"/>
            <w:vAlign w:val="bottom"/>
          </w:tcPr>
          <w:p>
            <w:pPr>
              <w:spacing w:after="0"/>
              <w:rPr>
                <w:sz w:val="20"/>
                <w:szCs w:val="20"/>
                <w:color w:val="auto"/>
              </w:rPr>
            </w:pPr>
            <w:r>
              <w:rPr>
                <w:rFonts w:ascii="Courier New" w:cs="Courier New" w:eastAsia="Courier New" w:hAnsi="Courier New"/>
                <w:sz w:val="16"/>
                <w:szCs w:val="16"/>
                <w:color w:val="auto"/>
              </w:rPr>
              <w:t>ARTICLE V</w:t>
            </w:r>
          </w:p>
        </w:tc>
        <w:tc>
          <w:tcPr>
            <w:tcW w:w="7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REPRESENTATIONS AND WARRANTIES OF PARENT AND MERGERSUB....................</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33</w:t>
            </w:r>
          </w:p>
        </w:tc>
      </w:tr>
      <w:tr>
        <w:trPr>
          <w:trHeight w:val="287"/>
        </w:trPr>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5.1</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Organization........................................................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33</w:t>
            </w:r>
          </w:p>
        </w:tc>
      </w:tr>
      <w:tr>
        <w:trPr>
          <w:trHeight w:val="186"/>
        </w:trPr>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5.2</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Authority Relative to This Agreement................................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33</w:t>
            </w:r>
          </w:p>
        </w:tc>
      </w:tr>
      <w:tr>
        <w:trPr>
          <w:trHeight w:val="186"/>
        </w:trPr>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5.3</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Proxy Statement; Offer Documents....................................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34</w:t>
            </w:r>
          </w:p>
        </w:tc>
      </w:tr>
      <w:tr>
        <w:trPr>
          <w:trHeight w:val="186"/>
        </w:trPr>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5.4</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Consents and Approvals; No Violations...............................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34</w:t>
            </w:r>
          </w:p>
        </w:tc>
      </w:tr>
      <w:tr>
        <w:trPr>
          <w:trHeight w:val="186"/>
        </w:trPr>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5.5</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No Prior Activities.................................................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35</w:t>
            </w:r>
          </w:p>
        </w:tc>
      </w:tr>
      <w:tr>
        <w:trPr>
          <w:trHeight w:val="273"/>
        </w:trPr>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5.6</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Brokers.............................................................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35</w:t>
            </w:r>
          </w:p>
        </w:tc>
      </w:tr>
      <w:tr>
        <w:trPr>
          <w:trHeight w:val="373"/>
        </w:trPr>
        <w:tc>
          <w:tcPr>
            <w:tcW w:w="1260" w:type="dxa"/>
            <w:vAlign w:val="bottom"/>
          </w:tcPr>
          <w:p>
            <w:pPr>
              <w:spacing w:after="0"/>
              <w:rPr>
                <w:sz w:val="20"/>
                <w:szCs w:val="20"/>
                <w:color w:val="auto"/>
              </w:rPr>
            </w:pPr>
            <w:r>
              <w:rPr>
                <w:rFonts w:ascii="Courier New" w:cs="Courier New" w:eastAsia="Courier New" w:hAnsi="Courier New"/>
                <w:sz w:val="16"/>
                <w:szCs w:val="16"/>
                <w:color w:val="auto"/>
              </w:rPr>
              <w:t>ARTICLE VI</w:t>
            </w:r>
          </w:p>
        </w:tc>
        <w:tc>
          <w:tcPr>
            <w:tcW w:w="7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COVENANTS RELATED TO CONDUCT OF BUSINESS..................................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35</w:t>
            </w:r>
          </w:p>
        </w:tc>
      </w:tr>
      <w:tr>
        <w:trPr>
          <w:trHeight w:val="287"/>
        </w:trPr>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6.1</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Conduct of Business of the Company..................................</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35</w:t>
            </w:r>
          </w:p>
        </w:tc>
      </w:tr>
      <w:tr>
        <w:trPr>
          <w:trHeight w:val="273"/>
        </w:trPr>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6.2</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Access to Information...............................................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38</w:t>
            </w:r>
          </w:p>
        </w:tc>
      </w:tr>
      <w:tr>
        <w:trPr>
          <w:trHeight w:val="373"/>
        </w:trPr>
        <w:tc>
          <w:tcPr>
            <w:tcW w:w="1260" w:type="dxa"/>
            <w:vAlign w:val="bottom"/>
          </w:tcPr>
          <w:p>
            <w:pPr>
              <w:spacing w:after="0"/>
              <w:rPr>
                <w:sz w:val="20"/>
                <w:szCs w:val="20"/>
                <w:color w:val="auto"/>
              </w:rPr>
            </w:pPr>
            <w:r>
              <w:rPr>
                <w:rFonts w:ascii="Courier New" w:cs="Courier New" w:eastAsia="Courier New" w:hAnsi="Courier New"/>
                <w:sz w:val="16"/>
                <w:szCs w:val="16"/>
                <w:color w:val="auto"/>
              </w:rPr>
              <w:t>ARTICLE VII</w:t>
            </w:r>
          </w:p>
        </w:tc>
        <w:tc>
          <w:tcPr>
            <w:tcW w:w="7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ADDITIONAL AGREEMENTS.....................................................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39</w:t>
            </w:r>
          </w:p>
        </w:tc>
      </w:tr>
      <w:tr>
        <w:trPr>
          <w:trHeight w:val="287"/>
        </w:trPr>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7.1</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Company Stockholder Meeting, Proxy Statement........................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39</w:t>
            </w:r>
          </w:p>
        </w:tc>
      </w:tr>
      <w:tr>
        <w:trPr>
          <w:trHeight w:val="186"/>
        </w:trPr>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7.2</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Reasonable Best Efforts.............................................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39</w:t>
            </w:r>
          </w:p>
        </w:tc>
      </w:tr>
      <w:tr>
        <w:trPr>
          <w:trHeight w:val="186"/>
        </w:trPr>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7.3</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Acquisition Proposals...............................................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41</w:t>
            </w:r>
          </w:p>
        </w:tc>
      </w:tr>
      <w:tr>
        <w:trPr>
          <w:trHeight w:val="186"/>
        </w:trPr>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7.4</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Publicity...........................................................</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43</w:t>
            </w:r>
          </w:p>
        </w:tc>
      </w:tr>
      <w:tr>
        <w:trPr>
          <w:trHeight w:val="186"/>
        </w:trPr>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7.5</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Indemnification; Directors' and Officers' Insurance.................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43</w:t>
            </w:r>
          </w:p>
        </w:tc>
      </w:tr>
      <w:tr>
        <w:trPr>
          <w:trHeight w:val="186"/>
        </w:trPr>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7.6</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Notification of Certain Matters.....................................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44</w:t>
            </w:r>
          </w:p>
        </w:tc>
      </w:tr>
      <w:tr>
        <w:trPr>
          <w:trHeight w:val="186"/>
        </w:trPr>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7.7</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Employee Matters....................................................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44</w:t>
            </w:r>
          </w:p>
        </w:tc>
      </w:tr>
      <w:tr>
        <w:trPr>
          <w:trHeight w:val="186"/>
        </w:trPr>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7.8</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SEC Filings.........................................................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46</w:t>
            </w:r>
          </w:p>
        </w:tc>
      </w:tr>
      <w:tr>
        <w:trPr>
          <w:trHeight w:val="186"/>
        </w:trPr>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7.9</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Obligations of MergerSub............................................</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46</w:t>
            </w:r>
          </w:p>
        </w:tc>
      </w:tr>
      <w:tr>
        <w:trPr>
          <w:trHeight w:val="186"/>
        </w:trPr>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7.10</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Anti-Takeover Statutes..............................................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46</w:t>
            </w:r>
          </w:p>
        </w:tc>
      </w:tr>
      <w:tr>
        <w:trPr>
          <w:trHeight w:val="273"/>
        </w:trPr>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7.10</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Non-Solicitation and Non-Competition Agreements.....................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46</w:t>
            </w:r>
          </w:p>
        </w:tc>
      </w:tr>
      <w:tr>
        <w:trPr>
          <w:trHeight w:val="373"/>
        </w:trPr>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ARTICLE VIII</w:t>
            </w:r>
          </w:p>
        </w:tc>
        <w:tc>
          <w:tcPr>
            <w:tcW w:w="7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CONDITIONS TO CONSUMMATION OF THE MERGER..................................</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46</w:t>
            </w:r>
          </w:p>
        </w:tc>
      </w:tr>
      <w:tr>
        <w:trPr>
          <w:trHeight w:val="373"/>
        </w:trPr>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8.1</w:t>
            </w:r>
          </w:p>
        </w:tc>
        <w:tc>
          <w:tcPr>
            <w:tcW w:w="6740" w:type="dxa"/>
            <w:vAlign w:val="bottom"/>
          </w:tcPr>
          <w:p>
            <w:pPr>
              <w:jc w:val="right"/>
              <w:spacing w:after="0"/>
              <w:rPr>
                <w:sz w:val="20"/>
                <w:szCs w:val="20"/>
                <w:color w:val="auto"/>
              </w:rPr>
            </w:pPr>
            <w:r>
              <w:rPr>
                <w:rFonts w:ascii="Courier New" w:cs="Courier New" w:eastAsia="Courier New" w:hAnsi="Courier New"/>
                <w:sz w:val="16"/>
                <w:szCs w:val="16"/>
                <w:color w:val="auto"/>
              </w:rPr>
              <w:t>Conditions to Each Party's Obligations to Effect the Merger.........</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46</w:t>
            </w:r>
          </w:p>
        </w:tc>
      </w:tr>
    </w:tbl>
    <w:p>
      <w:pPr>
        <w:spacing w:after="0" w:line="200" w:lineRule="exact"/>
        <w:rPr>
          <w:sz w:val="20"/>
          <w:szCs w:val="20"/>
          <w:color w:val="auto"/>
        </w:rPr>
      </w:pPr>
    </w:p>
    <w:p>
      <w:pPr>
        <w:spacing w:after="0" w:line="27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273" w:right="1440"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73"/>
        </w:trPr>
        <w:tc>
          <w:tcPr>
            <w:tcW w:w="1260" w:type="dxa"/>
            <w:vAlign w:val="bottom"/>
          </w:tcPr>
          <w:p>
            <w:pPr>
              <w:ind w:left="300"/>
              <w:spacing w:after="0"/>
              <w:rPr>
                <w:sz w:val="20"/>
                <w:szCs w:val="20"/>
                <w:color w:val="auto"/>
              </w:rPr>
            </w:pPr>
            <w:r>
              <w:rPr>
                <w:rFonts w:ascii="Courier New" w:cs="Courier New" w:eastAsia="Courier New" w:hAnsi="Courier New"/>
                <w:sz w:val="16"/>
                <w:szCs w:val="16"/>
                <w:color w:val="auto"/>
              </w:rPr>
              <w:t>4</w:t>
            </w:r>
          </w:p>
        </w:tc>
        <w:tc>
          <w:tcPr>
            <w:tcW w:w="680" w:type="dxa"/>
            <w:vAlign w:val="bottom"/>
          </w:tcPr>
          <w:p>
            <w:pPr>
              <w:spacing w:after="0"/>
              <w:rPr>
                <w:sz w:val="23"/>
                <w:szCs w:val="23"/>
                <w:color w:val="auto"/>
              </w:rPr>
            </w:pPr>
          </w:p>
        </w:tc>
        <w:tc>
          <w:tcPr>
            <w:tcW w:w="668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745"/>
        </w:trPr>
        <w:tc>
          <w:tcPr>
            <w:tcW w:w="1260" w:type="dxa"/>
            <w:vAlign w:val="bottom"/>
          </w:tcPr>
          <w:p>
            <w:pPr>
              <w:spacing w:after="0"/>
              <w:rPr>
                <w:sz w:val="20"/>
                <w:szCs w:val="20"/>
                <w:color w:val="auto"/>
              </w:rPr>
            </w:pPr>
            <w:r>
              <w:rPr>
                <w:rFonts w:ascii="Courier New" w:cs="Courier New" w:eastAsia="Courier New" w:hAnsi="Courier New"/>
                <w:sz w:val="16"/>
                <w:szCs w:val="16"/>
                <w:color w:val="auto"/>
              </w:rPr>
              <w:t>ARTICLE IX</w:t>
            </w:r>
          </w:p>
        </w:tc>
        <w:tc>
          <w:tcPr>
            <w:tcW w:w="7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TERMINATION; AMENDMENT; WAIVER............................................</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47</w:t>
            </w:r>
          </w:p>
        </w:tc>
      </w:tr>
      <w:tr>
        <w:trPr>
          <w:trHeight w:val="287"/>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9.1</w:t>
            </w:r>
          </w:p>
        </w:tc>
        <w:tc>
          <w:tcPr>
            <w:tcW w:w="6680" w:type="dxa"/>
            <w:vAlign w:val="bottom"/>
          </w:tcPr>
          <w:p>
            <w:pPr>
              <w:jc w:val="right"/>
              <w:spacing w:after="0"/>
              <w:rPr>
                <w:sz w:val="20"/>
                <w:szCs w:val="20"/>
                <w:color w:val="auto"/>
              </w:rPr>
            </w:pPr>
            <w:r>
              <w:rPr>
                <w:rFonts w:ascii="Courier New" w:cs="Courier New" w:eastAsia="Courier New" w:hAnsi="Courier New"/>
                <w:sz w:val="16"/>
                <w:szCs w:val="16"/>
                <w:color w:val="auto"/>
              </w:rPr>
              <w:t>Termination.........................................................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47</w:t>
            </w:r>
          </w:p>
        </w:tc>
      </w:tr>
      <w:tr>
        <w:trPr>
          <w:trHeight w:val="186"/>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9.2</w:t>
            </w:r>
          </w:p>
        </w:tc>
        <w:tc>
          <w:tcPr>
            <w:tcW w:w="6680" w:type="dxa"/>
            <w:vAlign w:val="bottom"/>
          </w:tcPr>
          <w:p>
            <w:pPr>
              <w:jc w:val="right"/>
              <w:spacing w:after="0"/>
              <w:rPr>
                <w:sz w:val="20"/>
                <w:szCs w:val="20"/>
                <w:color w:val="auto"/>
              </w:rPr>
            </w:pPr>
            <w:r>
              <w:rPr>
                <w:rFonts w:ascii="Courier New" w:cs="Courier New" w:eastAsia="Courier New" w:hAnsi="Courier New"/>
                <w:sz w:val="16"/>
                <w:szCs w:val="16"/>
                <w:color w:val="auto"/>
              </w:rPr>
              <w:t>Effect of the Termination...........................................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49</w:t>
            </w:r>
          </w:p>
        </w:tc>
      </w:tr>
      <w:tr>
        <w:trPr>
          <w:trHeight w:val="186"/>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9.3</w:t>
            </w:r>
          </w:p>
        </w:tc>
        <w:tc>
          <w:tcPr>
            <w:tcW w:w="6680" w:type="dxa"/>
            <w:vAlign w:val="bottom"/>
          </w:tcPr>
          <w:p>
            <w:pPr>
              <w:jc w:val="right"/>
              <w:spacing w:after="0"/>
              <w:rPr>
                <w:sz w:val="20"/>
                <w:szCs w:val="20"/>
                <w:color w:val="auto"/>
              </w:rPr>
            </w:pPr>
            <w:r>
              <w:rPr>
                <w:rFonts w:ascii="Courier New" w:cs="Courier New" w:eastAsia="Courier New" w:hAnsi="Courier New"/>
                <w:sz w:val="16"/>
                <w:szCs w:val="16"/>
                <w:color w:val="auto"/>
              </w:rPr>
              <w:t>Fees and Expenses...................................................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49</w:t>
            </w:r>
          </w:p>
        </w:tc>
      </w:tr>
      <w:tr>
        <w:trPr>
          <w:trHeight w:val="186"/>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9.4</w:t>
            </w:r>
          </w:p>
        </w:tc>
        <w:tc>
          <w:tcPr>
            <w:tcW w:w="6680" w:type="dxa"/>
            <w:vAlign w:val="bottom"/>
          </w:tcPr>
          <w:p>
            <w:pPr>
              <w:jc w:val="right"/>
              <w:spacing w:after="0"/>
              <w:rPr>
                <w:sz w:val="20"/>
                <w:szCs w:val="20"/>
                <w:color w:val="auto"/>
              </w:rPr>
            </w:pPr>
            <w:r>
              <w:rPr>
                <w:rFonts w:ascii="Courier New" w:cs="Courier New" w:eastAsia="Courier New" w:hAnsi="Courier New"/>
                <w:sz w:val="16"/>
                <w:szCs w:val="16"/>
                <w:color w:val="auto"/>
              </w:rPr>
              <w:t>Amendment...........................................................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50</w:t>
            </w:r>
          </w:p>
        </w:tc>
      </w:tr>
      <w:tr>
        <w:trPr>
          <w:trHeight w:val="273"/>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9.5</w:t>
            </w:r>
          </w:p>
        </w:tc>
        <w:tc>
          <w:tcPr>
            <w:tcW w:w="6680" w:type="dxa"/>
            <w:vAlign w:val="bottom"/>
          </w:tcPr>
          <w:p>
            <w:pPr>
              <w:jc w:val="right"/>
              <w:spacing w:after="0"/>
              <w:rPr>
                <w:sz w:val="20"/>
                <w:szCs w:val="20"/>
                <w:color w:val="auto"/>
              </w:rPr>
            </w:pPr>
            <w:r>
              <w:rPr>
                <w:rFonts w:ascii="Courier New" w:cs="Courier New" w:eastAsia="Courier New" w:hAnsi="Courier New"/>
                <w:sz w:val="16"/>
                <w:szCs w:val="16"/>
                <w:color w:val="auto"/>
              </w:rPr>
              <w:t>Extension; Waiver...................................................</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50</w:t>
            </w:r>
          </w:p>
        </w:tc>
      </w:tr>
      <w:tr>
        <w:trPr>
          <w:trHeight w:val="373"/>
        </w:trPr>
        <w:tc>
          <w:tcPr>
            <w:tcW w:w="1260" w:type="dxa"/>
            <w:vAlign w:val="bottom"/>
          </w:tcPr>
          <w:p>
            <w:pPr>
              <w:spacing w:after="0"/>
              <w:rPr>
                <w:sz w:val="20"/>
                <w:szCs w:val="20"/>
                <w:color w:val="auto"/>
              </w:rPr>
            </w:pPr>
            <w:r>
              <w:rPr>
                <w:rFonts w:ascii="Courier New" w:cs="Courier New" w:eastAsia="Courier New" w:hAnsi="Courier New"/>
                <w:sz w:val="16"/>
                <w:szCs w:val="16"/>
                <w:color w:val="auto"/>
              </w:rPr>
              <w:t>ARTICLE X</w:t>
            </w:r>
          </w:p>
        </w:tc>
        <w:tc>
          <w:tcPr>
            <w:tcW w:w="7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MISCELLANEOUS.............................................................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50</w:t>
            </w:r>
          </w:p>
        </w:tc>
      </w:tr>
      <w:tr>
        <w:trPr>
          <w:trHeight w:val="287"/>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10.1</w:t>
            </w:r>
          </w:p>
        </w:tc>
        <w:tc>
          <w:tcPr>
            <w:tcW w:w="6680" w:type="dxa"/>
            <w:vAlign w:val="bottom"/>
          </w:tcPr>
          <w:p>
            <w:pPr>
              <w:jc w:val="right"/>
              <w:spacing w:after="0"/>
              <w:rPr>
                <w:sz w:val="20"/>
                <w:szCs w:val="20"/>
                <w:color w:val="auto"/>
              </w:rPr>
            </w:pPr>
            <w:r>
              <w:rPr>
                <w:rFonts w:ascii="Courier New" w:cs="Courier New" w:eastAsia="Courier New" w:hAnsi="Courier New"/>
                <w:sz w:val="16"/>
                <w:szCs w:val="16"/>
                <w:color w:val="auto"/>
              </w:rPr>
              <w:t>Nonsurvival of Representations and Warranties.......................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50</w:t>
            </w:r>
          </w:p>
        </w:tc>
      </w:tr>
      <w:tr>
        <w:trPr>
          <w:trHeight w:val="186"/>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10.2</w:t>
            </w:r>
          </w:p>
        </w:tc>
        <w:tc>
          <w:tcPr>
            <w:tcW w:w="6680" w:type="dxa"/>
            <w:vAlign w:val="bottom"/>
          </w:tcPr>
          <w:p>
            <w:pPr>
              <w:jc w:val="right"/>
              <w:spacing w:after="0"/>
              <w:rPr>
                <w:sz w:val="20"/>
                <w:szCs w:val="20"/>
                <w:color w:val="auto"/>
              </w:rPr>
            </w:pPr>
            <w:r>
              <w:rPr>
                <w:rFonts w:ascii="Courier New" w:cs="Courier New" w:eastAsia="Courier New" w:hAnsi="Courier New"/>
                <w:sz w:val="16"/>
                <w:szCs w:val="16"/>
                <w:color w:val="auto"/>
              </w:rPr>
              <w:t>Entire Agreement; Assignment........................................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51</w:t>
            </w:r>
          </w:p>
        </w:tc>
      </w:tr>
      <w:tr>
        <w:trPr>
          <w:trHeight w:val="186"/>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10.3</w:t>
            </w:r>
          </w:p>
        </w:tc>
        <w:tc>
          <w:tcPr>
            <w:tcW w:w="6680" w:type="dxa"/>
            <w:vAlign w:val="bottom"/>
          </w:tcPr>
          <w:p>
            <w:pPr>
              <w:jc w:val="right"/>
              <w:spacing w:after="0"/>
              <w:rPr>
                <w:sz w:val="20"/>
                <w:szCs w:val="20"/>
                <w:color w:val="auto"/>
              </w:rPr>
            </w:pPr>
            <w:r>
              <w:rPr>
                <w:rFonts w:ascii="Courier New" w:cs="Courier New" w:eastAsia="Courier New" w:hAnsi="Courier New"/>
                <w:sz w:val="16"/>
                <w:szCs w:val="16"/>
                <w:color w:val="auto"/>
              </w:rPr>
              <w:t>Notices.............................................................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51</w:t>
            </w:r>
          </w:p>
        </w:tc>
      </w:tr>
      <w:tr>
        <w:trPr>
          <w:trHeight w:val="186"/>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10.4</w:t>
            </w:r>
          </w:p>
        </w:tc>
        <w:tc>
          <w:tcPr>
            <w:tcW w:w="6680" w:type="dxa"/>
            <w:vAlign w:val="bottom"/>
          </w:tcPr>
          <w:p>
            <w:pPr>
              <w:jc w:val="right"/>
              <w:spacing w:after="0"/>
              <w:rPr>
                <w:sz w:val="20"/>
                <w:szCs w:val="20"/>
                <w:color w:val="auto"/>
              </w:rPr>
            </w:pPr>
            <w:r>
              <w:rPr>
                <w:rFonts w:ascii="Courier New" w:cs="Courier New" w:eastAsia="Courier New" w:hAnsi="Courier New"/>
                <w:sz w:val="16"/>
                <w:szCs w:val="16"/>
                <w:color w:val="auto"/>
              </w:rPr>
              <w:t>Governing Law.......................................................</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52</w:t>
            </w:r>
          </w:p>
        </w:tc>
      </w:tr>
      <w:tr>
        <w:trPr>
          <w:trHeight w:val="186"/>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10.5</w:t>
            </w:r>
          </w:p>
        </w:tc>
        <w:tc>
          <w:tcPr>
            <w:tcW w:w="6680" w:type="dxa"/>
            <w:vAlign w:val="bottom"/>
          </w:tcPr>
          <w:p>
            <w:pPr>
              <w:jc w:val="right"/>
              <w:spacing w:after="0"/>
              <w:rPr>
                <w:sz w:val="20"/>
                <w:szCs w:val="20"/>
                <w:color w:val="auto"/>
              </w:rPr>
            </w:pPr>
            <w:r>
              <w:rPr>
                <w:rFonts w:ascii="Courier New" w:cs="Courier New" w:eastAsia="Courier New" w:hAnsi="Courier New"/>
                <w:sz w:val="16"/>
                <w:szCs w:val="16"/>
                <w:color w:val="auto"/>
              </w:rPr>
              <w:t>Descriptive Headings................................................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52</w:t>
            </w:r>
          </w:p>
        </w:tc>
      </w:tr>
      <w:tr>
        <w:trPr>
          <w:trHeight w:val="186"/>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10.6</w:t>
            </w:r>
          </w:p>
        </w:tc>
        <w:tc>
          <w:tcPr>
            <w:tcW w:w="6680" w:type="dxa"/>
            <w:vAlign w:val="bottom"/>
          </w:tcPr>
          <w:p>
            <w:pPr>
              <w:jc w:val="right"/>
              <w:spacing w:after="0"/>
              <w:rPr>
                <w:sz w:val="20"/>
                <w:szCs w:val="20"/>
                <w:color w:val="auto"/>
              </w:rPr>
            </w:pPr>
            <w:r>
              <w:rPr>
                <w:rFonts w:ascii="Courier New" w:cs="Courier New" w:eastAsia="Courier New" w:hAnsi="Courier New"/>
                <w:sz w:val="16"/>
                <w:szCs w:val="16"/>
                <w:color w:val="auto"/>
              </w:rPr>
              <w:t>Parties in Interest.................................................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52</w:t>
            </w:r>
          </w:p>
        </w:tc>
      </w:tr>
      <w:tr>
        <w:trPr>
          <w:trHeight w:val="186"/>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10.7</w:t>
            </w:r>
          </w:p>
        </w:tc>
        <w:tc>
          <w:tcPr>
            <w:tcW w:w="6680" w:type="dxa"/>
            <w:vAlign w:val="bottom"/>
          </w:tcPr>
          <w:p>
            <w:pPr>
              <w:jc w:val="right"/>
              <w:spacing w:after="0"/>
              <w:rPr>
                <w:sz w:val="20"/>
                <w:szCs w:val="20"/>
                <w:color w:val="auto"/>
              </w:rPr>
            </w:pPr>
            <w:r>
              <w:rPr>
                <w:rFonts w:ascii="Courier New" w:cs="Courier New" w:eastAsia="Courier New" w:hAnsi="Courier New"/>
                <w:sz w:val="16"/>
                <w:szCs w:val="16"/>
                <w:color w:val="auto"/>
              </w:rPr>
              <w:t>Severability........................................................</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52</w:t>
            </w:r>
          </w:p>
        </w:tc>
      </w:tr>
      <w:tr>
        <w:trPr>
          <w:trHeight w:val="186"/>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10.8</w:t>
            </w:r>
          </w:p>
        </w:tc>
        <w:tc>
          <w:tcPr>
            <w:tcW w:w="6680" w:type="dxa"/>
            <w:vAlign w:val="bottom"/>
          </w:tcPr>
          <w:p>
            <w:pPr>
              <w:jc w:val="right"/>
              <w:spacing w:after="0"/>
              <w:rPr>
                <w:sz w:val="20"/>
                <w:szCs w:val="20"/>
                <w:color w:val="auto"/>
              </w:rPr>
            </w:pPr>
            <w:r>
              <w:rPr>
                <w:rFonts w:ascii="Courier New" w:cs="Courier New" w:eastAsia="Courier New" w:hAnsi="Courier New"/>
                <w:sz w:val="16"/>
                <w:szCs w:val="16"/>
                <w:color w:val="auto"/>
              </w:rPr>
              <w:t>Specific Performance................................................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52</w:t>
            </w:r>
          </w:p>
        </w:tc>
      </w:tr>
      <w:tr>
        <w:trPr>
          <w:trHeight w:val="186"/>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10.9</w:t>
            </w:r>
          </w:p>
        </w:tc>
        <w:tc>
          <w:tcPr>
            <w:tcW w:w="6680" w:type="dxa"/>
            <w:vAlign w:val="bottom"/>
          </w:tcPr>
          <w:p>
            <w:pPr>
              <w:jc w:val="right"/>
              <w:spacing w:after="0"/>
              <w:rPr>
                <w:sz w:val="20"/>
                <w:szCs w:val="20"/>
                <w:color w:val="auto"/>
              </w:rPr>
            </w:pPr>
            <w:r>
              <w:rPr>
                <w:rFonts w:ascii="Courier New" w:cs="Courier New" w:eastAsia="Courier New" w:hAnsi="Courier New"/>
                <w:sz w:val="16"/>
                <w:szCs w:val="16"/>
                <w:color w:val="auto"/>
              </w:rPr>
              <w:t>Counterparts........................................................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53</w:t>
            </w:r>
          </w:p>
        </w:tc>
      </w:tr>
      <w:tr>
        <w:trPr>
          <w:trHeight w:val="186"/>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10.10</w:t>
            </w:r>
          </w:p>
        </w:tc>
        <w:tc>
          <w:tcPr>
            <w:tcW w:w="6680" w:type="dxa"/>
            <w:vAlign w:val="bottom"/>
          </w:tcPr>
          <w:p>
            <w:pPr>
              <w:jc w:val="right"/>
              <w:spacing w:after="0"/>
              <w:rPr>
                <w:sz w:val="20"/>
                <w:szCs w:val="20"/>
                <w:color w:val="auto"/>
              </w:rPr>
            </w:pPr>
            <w:r>
              <w:rPr>
                <w:rFonts w:ascii="Courier New" w:cs="Courier New" w:eastAsia="Courier New" w:hAnsi="Courier New"/>
                <w:sz w:val="16"/>
                <w:szCs w:val="16"/>
                <w:color w:val="auto"/>
              </w:rPr>
              <w:t>Interpretation......................................................</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53</w:t>
            </w:r>
          </w:p>
        </w:tc>
      </w:tr>
      <w:tr>
        <w:trPr>
          <w:trHeight w:val="273"/>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10.11</w:t>
            </w:r>
          </w:p>
        </w:tc>
        <w:tc>
          <w:tcPr>
            <w:tcW w:w="6680" w:type="dxa"/>
            <w:vAlign w:val="bottom"/>
          </w:tcPr>
          <w:p>
            <w:pPr>
              <w:jc w:val="right"/>
              <w:spacing w:after="0"/>
              <w:rPr>
                <w:sz w:val="20"/>
                <w:szCs w:val="20"/>
                <w:color w:val="auto"/>
              </w:rPr>
            </w:pPr>
            <w:r>
              <w:rPr>
                <w:rFonts w:ascii="Courier New" w:cs="Courier New" w:eastAsia="Courier New" w:hAnsi="Courier New"/>
                <w:sz w:val="16"/>
                <w:szCs w:val="16"/>
                <w:color w:val="auto"/>
              </w:rPr>
              <w:t>Definitions.........................................................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54</w:t>
            </w:r>
          </w:p>
        </w:tc>
      </w:tr>
    </w:tbl>
    <w:p>
      <w:pPr>
        <w:spacing w:after="0" w:line="200" w:lineRule="exact"/>
        <w:rPr>
          <w:sz w:val="20"/>
          <w:szCs w:val="20"/>
          <w:color w:val="auto"/>
        </w:rPr>
      </w:pPr>
    </w:p>
    <w:p>
      <w:pPr>
        <w:spacing w:after="0" w:line="27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273" w:right="1440"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73"/>
        </w:trPr>
        <w:tc>
          <w:tcPr>
            <w:tcW w:w="7180" w:type="dxa"/>
            <w:vAlign w:val="bottom"/>
          </w:tcPr>
          <w:p>
            <w:pPr>
              <w:ind w:left="300"/>
              <w:spacing w:after="0"/>
              <w:rPr>
                <w:sz w:val="20"/>
                <w:szCs w:val="20"/>
                <w:color w:val="auto"/>
              </w:rPr>
            </w:pPr>
            <w:r>
              <w:rPr>
                <w:rFonts w:ascii="Courier New" w:cs="Courier New" w:eastAsia="Courier New" w:hAnsi="Courier New"/>
                <w:sz w:val="16"/>
                <w:szCs w:val="16"/>
                <w:color w:val="auto"/>
              </w:rPr>
              <w:t>5</w:t>
            </w:r>
          </w:p>
        </w:tc>
        <w:tc>
          <w:tcPr>
            <w:tcW w:w="1740" w:type="dxa"/>
            <w:vAlign w:val="bottom"/>
          </w:tcPr>
          <w:p>
            <w:pPr>
              <w:spacing w:after="0"/>
              <w:rPr>
                <w:sz w:val="23"/>
                <w:szCs w:val="23"/>
                <w:color w:val="auto"/>
              </w:rPr>
            </w:pPr>
          </w:p>
        </w:tc>
      </w:tr>
      <w:tr>
        <w:trPr>
          <w:trHeight w:val="559"/>
        </w:trPr>
        <w:tc>
          <w:tcPr>
            <w:tcW w:w="7180" w:type="dxa"/>
            <w:vAlign w:val="bottom"/>
          </w:tcPr>
          <w:p>
            <w:pPr>
              <w:ind w:left="2720"/>
              <w:spacing w:after="0"/>
              <w:rPr>
                <w:sz w:val="20"/>
                <w:szCs w:val="20"/>
                <w:color w:val="auto"/>
              </w:rPr>
            </w:pPr>
            <w:r>
              <w:rPr>
                <w:rFonts w:ascii="Courier New" w:cs="Courier New" w:eastAsia="Courier New" w:hAnsi="Courier New"/>
                <w:sz w:val="16"/>
                <w:szCs w:val="16"/>
                <w:color w:val="auto"/>
              </w:rPr>
              <w:t>GLOSSARY OF DEFINED TERMS</w:t>
            </w:r>
          </w:p>
        </w:tc>
        <w:tc>
          <w:tcPr>
            <w:tcW w:w="1740" w:type="dxa"/>
            <w:vAlign w:val="bottom"/>
          </w:tcPr>
          <w:p>
            <w:pPr>
              <w:spacing w:after="0"/>
              <w:rPr>
                <w:sz w:val="24"/>
                <w:szCs w:val="24"/>
                <w:color w:val="auto"/>
              </w:rPr>
            </w:pPr>
          </w:p>
        </w:tc>
      </w:tr>
      <w:tr>
        <w:trPr>
          <w:trHeight w:val="659"/>
        </w:trPr>
        <w:tc>
          <w:tcPr>
            <w:tcW w:w="7180" w:type="dxa"/>
            <w:vAlign w:val="bottom"/>
          </w:tcPr>
          <w:p>
            <w:pPr>
              <w:ind w:left="300"/>
              <w:spacing w:after="0"/>
              <w:rPr>
                <w:sz w:val="20"/>
                <w:szCs w:val="20"/>
                <w:color w:val="auto"/>
              </w:rPr>
            </w:pPr>
            <w:r>
              <w:rPr>
                <w:rFonts w:ascii="Courier New" w:cs="Courier New" w:eastAsia="Courier New" w:hAnsi="Courier New"/>
                <w:sz w:val="16"/>
                <w:szCs w:val="16"/>
                <w:color w:val="auto"/>
              </w:rPr>
              <w:t>Defined Terms</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w w:val="99"/>
              </w:rPr>
              <w:t>Defined in Section</w:t>
            </w:r>
          </w:p>
        </w:tc>
      </w:tr>
      <w:tr>
        <w:trPr>
          <w:trHeight w:val="273"/>
        </w:trPr>
        <w:tc>
          <w:tcPr>
            <w:tcW w:w="71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287"/>
        </w:trPr>
        <w:tc>
          <w:tcPr>
            <w:tcW w:w="7180" w:type="dxa"/>
            <w:vAlign w:val="bottom"/>
          </w:tcPr>
          <w:p>
            <w:pPr>
              <w:spacing w:after="0"/>
              <w:rPr>
                <w:sz w:val="20"/>
                <w:szCs w:val="20"/>
                <w:color w:val="auto"/>
              </w:rPr>
            </w:pPr>
            <w:r>
              <w:rPr>
                <w:rFonts w:ascii="Courier New" w:cs="Courier New" w:eastAsia="Courier New" w:hAnsi="Courier New"/>
                <w:sz w:val="16"/>
                <w:szCs w:val="16"/>
                <w:color w:val="auto"/>
                <w:w w:val="88"/>
              </w:rPr>
              <w:t>Acquisition Proposal................................................................</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10.11(a)</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6"/>
              </w:rPr>
              <w:t>Antitrust Law.........................................................................</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7.2(b)</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8"/>
              </w:rPr>
              <w:t>beneficial ownership................................................................</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10.11(b)</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8"/>
              </w:rPr>
              <w:t>beneficially own....................................................................</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10.11(b)</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90"/>
              </w:rPr>
              <w:t>Benefit Plans.....................................................................</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4.13(a)(i)</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3"/>
              </w:rPr>
              <w:t>Certificate of Merger....................................................................</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3"/>
              </w:rPr>
              <w:t>Certificates.............................................................................</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3"/>
              </w:rPr>
              <w:t>Closing..................................................................................</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3"/>
              </w:rPr>
              <w:t>Closing Date ............................................................................</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7"/>
              </w:rPr>
              <w:t>Code.................................................................................</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4.16(a)</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8"/>
              </w:rPr>
              <w:t>Company.............................................................................</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Preamble</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6"/>
              </w:rPr>
              <w:t>Company Balance Sheet.................................................................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4.4(a)</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6"/>
              </w:rPr>
              <w:t>Company Balance Sheet Date............................................................</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4.4(a)</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8"/>
              </w:rPr>
              <w:t>Company Board.......................................................................</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Recitals</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8"/>
              </w:rPr>
              <w:t>Company Common Stock................................................................</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Recitals</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90"/>
              </w:rPr>
              <w:t>Company Disclosure Schedule.......................................................</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Article IV</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6"/>
              </w:rPr>
              <w:t>Company Option Plan(s)................................................................</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3.2(a)</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4"/>
              </w:rPr>
              <w:t>Company Permits.........................................................................</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4.12</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6"/>
              </w:rPr>
              <w:t>Company Requisite Vote................................................................</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4.3(b)</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6"/>
              </w:rPr>
              <w:t>Company SEC Reports...................................................................</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4.4(a)</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6"/>
              </w:rPr>
              <w:t>Company Securities....................................................................</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4.2(a)</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9"/>
              </w:rPr>
              <w:t>Company Stock Option...............................................................</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3.2(a)(i)</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6"/>
              </w:rPr>
              <w:t>Company Stock Purchase Plan...........................................................</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7.7(c)</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9"/>
              </w:rPr>
              <w:t>Company Stockholder Meeting........................................................</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7.1(a)(i)</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6"/>
              </w:rPr>
              <w:t>Company Warrant.......................................................................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3.2(c)</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6"/>
              </w:rPr>
              <w:t>Confidentiality Agreement.............................................................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6.2(c)</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8"/>
              </w:rPr>
              <w:t>Continuing Director.................................................................</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10.11(c)</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6"/>
              </w:rPr>
              <w:t>Continuing U.S. Employees.............................................................</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7.7(e)</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3"/>
              </w:rPr>
              <w:t>Converted Options........................................................................</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3"/>
              </w:rPr>
              <w:t>Converted Option Consideration...........................................................</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3"/>
              </w:rPr>
              <w:t>Converted Securities.....................................................................</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7"/>
              </w:rPr>
              <w:t>Corresponding Provision..............................................................</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4.16(a)</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4"/>
              </w:rPr>
              <w:t>Covered Transactions....................................................................</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4.28</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7"/>
              </w:rPr>
              <w:t>Defect...............................................................................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4.26(c)</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3"/>
              </w:rPr>
              <w:t>DGCL.....................................................................................</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4"/>
              </w:rPr>
              <w:t>Dissenting Shares.......................................................................</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3.12</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4"/>
              </w:rPr>
              <w:t>Dissenting Stockholders.................................................................</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3.12</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6"/>
              </w:rPr>
              <w:t>DOJ...................................................................................</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7.2(b)</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3"/>
              </w:rPr>
              <w:t>Effective Time...........................................................................</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92"/>
              </w:rPr>
              <w:t>Employee Arrangements............................................................</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4.13(a)(ii)</w:t>
            </w:r>
          </w:p>
        </w:tc>
      </w:tr>
      <w:tr>
        <w:trPr>
          <w:trHeight w:val="273"/>
        </w:trPr>
        <w:tc>
          <w:tcPr>
            <w:tcW w:w="7180" w:type="dxa"/>
            <w:vAlign w:val="bottom"/>
          </w:tcPr>
          <w:p>
            <w:pPr>
              <w:spacing w:after="0"/>
              <w:rPr>
                <w:sz w:val="20"/>
                <w:szCs w:val="20"/>
                <w:color w:val="auto"/>
              </w:rPr>
            </w:pPr>
            <w:r>
              <w:rPr>
                <w:rFonts w:ascii="Courier New" w:cs="Courier New" w:eastAsia="Courier New" w:hAnsi="Courier New"/>
                <w:sz w:val="16"/>
                <w:szCs w:val="16"/>
                <w:color w:val="auto"/>
                <w:w w:val="90"/>
              </w:rPr>
              <w:t>Environmental Costs and Liabilities...............................................</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4.15(a)(i)</w:t>
            </w:r>
          </w:p>
        </w:tc>
      </w:tr>
    </w:tbl>
    <w:p>
      <w:pPr>
        <w:spacing w:after="0" w:line="200" w:lineRule="exact"/>
        <w:rPr>
          <w:sz w:val="20"/>
          <w:szCs w:val="20"/>
          <w:color w:val="auto"/>
        </w:rPr>
      </w:pPr>
    </w:p>
    <w:p>
      <w:pPr>
        <w:spacing w:after="0" w:line="27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iv</w:t>
      </w:r>
    </w:p>
    <w:p>
      <w:pPr>
        <w:sectPr>
          <w:pgSz w:w="11900" w:h="16838" w:orient="portrait"/>
          <w:cols w:equalWidth="0" w:num="1">
            <w:col w:w="10219"/>
          </w:cols>
          <w:pgMar w:left="240" w:top="273" w:right="1440"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73"/>
        </w:trPr>
        <w:tc>
          <w:tcPr>
            <w:tcW w:w="7180" w:type="dxa"/>
            <w:vAlign w:val="bottom"/>
          </w:tcPr>
          <w:p>
            <w:pPr>
              <w:ind w:left="300"/>
              <w:spacing w:after="0"/>
              <w:rPr>
                <w:sz w:val="20"/>
                <w:szCs w:val="20"/>
                <w:color w:val="auto"/>
              </w:rPr>
            </w:pPr>
            <w:r>
              <w:rPr>
                <w:rFonts w:ascii="Courier New" w:cs="Courier New" w:eastAsia="Courier New" w:hAnsi="Courier New"/>
                <w:sz w:val="16"/>
                <w:szCs w:val="16"/>
                <w:color w:val="auto"/>
              </w:rPr>
              <w:t>6</w:t>
            </w:r>
          </w:p>
        </w:tc>
        <w:tc>
          <w:tcPr>
            <w:tcW w:w="1740" w:type="dxa"/>
            <w:vAlign w:val="bottom"/>
          </w:tcPr>
          <w:p>
            <w:pPr>
              <w:spacing w:after="0"/>
              <w:rPr>
                <w:sz w:val="23"/>
                <w:szCs w:val="23"/>
                <w:color w:val="auto"/>
              </w:rPr>
            </w:pPr>
          </w:p>
        </w:tc>
      </w:tr>
      <w:tr>
        <w:trPr>
          <w:trHeight w:val="659"/>
        </w:trPr>
        <w:tc>
          <w:tcPr>
            <w:tcW w:w="7180" w:type="dxa"/>
            <w:vAlign w:val="bottom"/>
          </w:tcPr>
          <w:p>
            <w:pPr>
              <w:ind w:left="300"/>
              <w:spacing w:after="0"/>
              <w:rPr>
                <w:sz w:val="20"/>
                <w:szCs w:val="20"/>
                <w:color w:val="auto"/>
              </w:rPr>
            </w:pPr>
            <w:r>
              <w:rPr>
                <w:rFonts w:ascii="Courier New" w:cs="Courier New" w:eastAsia="Courier New" w:hAnsi="Courier New"/>
                <w:sz w:val="16"/>
                <w:szCs w:val="16"/>
                <w:color w:val="auto"/>
              </w:rPr>
              <w:t>Defined Terms</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w w:val="99"/>
              </w:rPr>
              <w:t>Defined in Section</w:t>
            </w:r>
          </w:p>
        </w:tc>
      </w:tr>
      <w:tr>
        <w:trPr>
          <w:trHeight w:val="273"/>
        </w:trPr>
        <w:tc>
          <w:tcPr>
            <w:tcW w:w="71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287"/>
        </w:trPr>
        <w:tc>
          <w:tcPr>
            <w:tcW w:w="7180" w:type="dxa"/>
            <w:vAlign w:val="bottom"/>
          </w:tcPr>
          <w:p>
            <w:pPr>
              <w:spacing w:after="0"/>
              <w:rPr>
                <w:sz w:val="20"/>
                <w:szCs w:val="20"/>
                <w:color w:val="auto"/>
              </w:rPr>
            </w:pPr>
            <w:r>
              <w:rPr>
                <w:rFonts w:ascii="Courier New" w:cs="Courier New" w:eastAsia="Courier New" w:hAnsi="Courier New"/>
                <w:sz w:val="16"/>
                <w:szCs w:val="16"/>
                <w:color w:val="auto"/>
                <w:w w:val="92"/>
              </w:rPr>
              <w:t>Environmental Law................................................................</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4.15(a)(ii)</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6"/>
              </w:rPr>
              <w:t>Exchange Act..........................................................................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1.1(a)</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3"/>
              </w:rPr>
              <w:t>Exchange Agent...........................................................................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3"/>
              </w:rPr>
              <w:t>Exchange Fund............................................................................</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6"/>
              </w:rPr>
              <w:t>Expenses..............................................................................</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9.3(b)</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6"/>
              </w:rPr>
              <w:t>Financial Advisor.....................................................................</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1.2(a)</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6"/>
              </w:rPr>
              <w:t>FTC...................................................................................</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7.2(b)</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6"/>
              </w:rPr>
              <w:t>GAAP..................................................................................</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4.4(a)</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3"/>
              </w:rPr>
              <w:t>German Cartel Act........................................................................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6"/>
              </w:rPr>
              <w:t>German Federal Cartel Office..........................................................</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7.2(b)</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6"/>
              </w:rPr>
              <w:t>German Subsidiary.....................................................................</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4.2(b)</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3"/>
              </w:rPr>
              <w:t>Governmental Entity......................................................................</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93"/>
              </w:rPr>
              <w:t>Hazardous Material..............................................................</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4.15(a)(iii)</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3"/>
              </w:rPr>
              <w:t>HSR Act..................................................................................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6"/>
              </w:rPr>
              <w:t>Indemnified Party(ies)................................................................</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7.5(a)</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7"/>
              </w:rPr>
              <w:t>Intellectual Property................................................................</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4.21(a)</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7"/>
              </w:rPr>
              <w:t>IRS..................................................................................</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4.13(b)</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8"/>
              </w:rPr>
              <w:t>know................................................................................</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10.11(d)</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8"/>
              </w:rPr>
              <w:t>knowledge...........................................................................</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10.11(d)</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3"/>
              </w:rPr>
              <w:t>Law......................................................................................</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6"/>
              </w:rPr>
              <w:t>Lien..................................................................................</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4.2(b)</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8"/>
              </w:rPr>
              <w:t>Material Adverse Effect.............................................................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10.11(e)</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7"/>
              </w:rPr>
              <w:t>Material Contracts...................................................................</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4.18(a)</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3"/>
              </w:rPr>
              <w:t>Merger...................................................................................</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3"/>
              </w:rPr>
              <w:t>Merger Consideration.....................................................................</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8"/>
              </w:rPr>
              <w:t>MergerSub...........................................................................</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Preamble</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7"/>
              </w:rPr>
              <w:t>Minimum Condition....................................................................</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Annex A</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7"/>
              </w:rPr>
              <w:t>Notices..............................................................................</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4.26(a)</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6"/>
              </w:rPr>
              <w:t>Offer.................................................................................</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1.1(a)</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6"/>
              </w:rPr>
              <w:t>Offer Documents.......................................................................</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1.3(a)</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6"/>
              </w:rPr>
              <w:t>Offer Price...........................................................................</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1.1(a)</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6"/>
              </w:rPr>
              <w:t>Offer to Purchase.....................................................................</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1.1(a)</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3"/>
              </w:rPr>
              <w:t>Option Document..........................................................................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8"/>
              </w:rPr>
              <w:t>Parent..............................................................................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Preamble</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6"/>
              </w:rPr>
              <w:t>Parent Board..........................................................................</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5.2(b)</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94"/>
              </w:rPr>
              <w:t>Parent Common Stock............................................................</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3.2(a)(ii)(B)</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94"/>
              </w:rPr>
              <w:t>Parent Common Stock Price......................................................</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3.2(a)(ii)(B)</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9"/>
              </w:rPr>
              <w:t>Parent Disclosure Schedule.........................................................</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Article V</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8"/>
              </w:rPr>
              <w:t>person .............................................................................</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10.11(f)</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6"/>
              </w:rPr>
              <w:t>Preferred Stock.......................................................................</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4.2(a)</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7"/>
              </w:rPr>
              <w:t>Product..............................................................................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4.26(c)</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3"/>
              </w:rPr>
              <w:t>Proxy Statement..........................................................................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7"/>
              </w:rPr>
              <w:t>Real Property Leases.................................................................</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4.10(b)</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7"/>
              </w:rPr>
              <w:t>Recalls..............................................................................</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4.26(a)</w:t>
            </w:r>
          </w:p>
        </w:tc>
      </w:tr>
      <w:tr>
        <w:trPr>
          <w:trHeight w:val="273"/>
        </w:trPr>
        <w:tc>
          <w:tcPr>
            <w:tcW w:w="7180" w:type="dxa"/>
            <w:vAlign w:val="bottom"/>
          </w:tcPr>
          <w:p>
            <w:pPr>
              <w:spacing w:after="0"/>
              <w:rPr>
                <w:sz w:val="20"/>
                <w:szCs w:val="20"/>
                <w:color w:val="auto"/>
              </w:rPr>
            </w:pPr>
            <w:r>
              <w:rPr>
                <w:rFonts w:ascii="Courier New" w:cs="Courier New" w:eastAsia="Courier New" w:hAnsi="Courier New"/>
                <w:sz w:val="16"/>
                <w:szCs w:val="16"/>
                <w:color w:val="auto"/>
                <w:w w:val="92"/>
              </w:rPr>
              <w:t>Release..........................................................................</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4.15(a)(iv)</w:t>
            </w:r>
          </w:p>
        </w:tc>
      </w:tr>
    </w:tbl>
    <w:p>
      <w:pPr>
        <w:spacing w:after="0" w:line="200" w:lineRule="exact"/>
        <w:rPr>
          <w:sz w:val="20"/>
          <w:szCs w:val="20"/>
          <w:color w:val="auto"/>
        </w:rPr>
      </w:pPr>
    </w:p>
    <w:p>
      <w:pPr>
        <w:spacing w:after="0" w:line="27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v</w:t>
      </w:r>
    </w:p>
    <w:p>
      <w:pPr>
        <w:sectPr>
          <w:pgSz w:w="11900" w:h="16838" w:orient="portrait"/>
          <w:cols w:equalWidth="0" w:num="1">
            <w:col w:w="10219"/>
          </w:cols>
          <w:pgMar w:left="240" w:top="273" w:right="1440"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73"/>
        </w:trPr>
        <w:tc>
          <w:tcPr>
            <w:tcW w:w="7180" w:type="dxa"/>
            <w:vAlign w:val="bottom"/>
          </w:tcPr>
          <w:p>
            <w:pPr>
              <w:ind w:left="300"/>
              <w:spacing w:after="0"/>
              <w:rPr>
                <w:sz w:val="20"/>
                <w:szCs w:val="20"/>
                <w:color w:val="auto"/>
              </w:rPr>
            </w:pPr>
            <w:r>
              <w:rPr>
                <w:rFonts w:ascii="Courier New" w:cs="Courier New" w:eastAsia="Courier New" w:hAnsi="Courier New"/>
                <w:sz w:val="16"/>
                <w:szCs w:val="16"/>
                <w:color w:val="auto"/>
              </w:rPr>
              <w:t>7</w:t>
            </w:r>
          </w:p>
        </w:tc>
        <w:tc>
          <w:tcPr>
            <w:tcW w:w="1740" w:type="dxa"/>
            <w:vAlign w:val="bottom"/>
          </w:tcPr>
          <w:p>
            <w:pPr>
              <w:spacing w:after="0"/>
              <w:rPr>
                <w:sz w:val="23"/>
                <w:szCs w:val="23"/>
                <w:color w:val="auto"/>
              </w:rPr>
            </w:pPr>
          </w:p>
        </w:tc>
      </w:tr>
      <w:tr>
        <w:trPr>
          <w:trHeight w:val="659"/>
        </w:trPr>
        <w:tc>
          <w:tcPr>
            <w:tcW w:w="7180" w:type="dxa"/>
            <w:vAlign w:val="bottom"/>
          </w:tcPr>
          <w:p>
            <w:pPr>
              <w:ind w:left="300"/>
              <w:spacing w:after="0"/>
              <w:rPr>
                <w:sz w:val="20"/>
                <w:szCs w:val="20"/>
                <w:color w:val="auto"/>
              </w:rPr>
            </w:pPr>
            <w:r>
              <w:rPr>
                <w:rFonts w:ascii="Courier New" w:cs="Courier New" w:eastAsia="Courier New" w:hAnsi="Courier New"/>
                <w:sz w:val="16"/>
                <w:szCs w:val="16"/>
                <w:color w:val="auto"/>
              </w:rPr>
              <w:t>Defined Terms</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w w:val="99"/>
              </w:rPr>
              <w:t>Defined in Section</w:t>
            </w:r>
          </w:p>
        </w:tc>
      </w:tr>
      <w:tr>
        <w:trPr>
          <w:trHeight w:val="273"/>
        </w:trPr>
        <w:tc>
          <w:tcPr>
            <w:tcW w:w="71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287"/>
        </w:trPr>
        <w:tc>
          <w:tcPr>
            <w:tcW w:w="7180" w:type="dxa"/>
            <w:vAlign w:val="bottom"/>
          </w:tcPr>
          <w:p>
            <w:pPr>
              <w:spacing w:after="0"/>
              <w:rPr>
                <w:sz w:val="20"/>
                <w:szCs w:val="20"/>
                <w:color w:val="auto"/>
              </w:rPr>
            </w:pPr>
            <w:r>
              <w:rPr>
                <w:rFonts w:ascii="Courier New" w:cs="Courier New" w:eastAsia="Courier New" w:hAnsi="Courier New"/>
                <w:sz w:val="16"/>
                <w:szCs w:val="16"/>
                <w:color w:val="auto"/>
                <w:w w:val="90"/>
              </w:rPr>
              <w:t>Remedial Action...................................................................</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4.15(a)(v)</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6"/>
              </w:rPr>
              <w:t>Schedule 14D-1........................................................................</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1.3(a)</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6"/>
              </w:rPr>
              <w:t>Schedule 14D-9........................................................................</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1.3(a)</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7"/>
              </w:rPr>
              <w:t>Scheduled Intellectual Property......................................................</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4.21(a)</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6"/>
              </w:rPr>
              <w:t>SEC...................................................................................</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1.3(a)</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6"/>
              </w:rPr>
              <w:t>Section 203 Approval..................................................................</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1.2(a)</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3"/>
              </w:rPr>
              <w:t>Securities Act...........................................................................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8"/>
              </w:rPr>
              <w:t>Share(s)............................................................................</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Recitals</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6"/>
              </w:rPr>
              <w:t>Share Consideration...................................................................</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3.1(c)</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7"/>
              </w:rPr>
              <w:t>Software.............................................................................</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4.22(a)</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8"/>
              </w:rPr>
              <w:t>Stockholders Agreement..............................................................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Recitals</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8"/>
              </w:rPr>
              <w:t>subsidiary..........................................................................</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10.11(g)</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6"/>
              </w:rPr>
              <w:t>Subsidiary Stock Purchase Agreement...................................................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4.2(b)</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94"/>
              </w:rPr>
              <w:t>Substitute Option..............................................................</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3.2(a)(ii)(B)</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94"/>
              </w:rPr>
              <w:t>Substitute Option Exchange Ratio...............................................</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3.2(a)(ii)(B)</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6"/>
              </w:rPr>
              <w:t>Superior Proposal.....................................................................</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7.3(a)</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3"/>
              </w:rPr>
              <w:t>Surviving Corporation....................................................................</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7"/>
              </w:rPr>
              <w:t>Systems..............................................................................</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4.23(e)</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4"/>
              </w:rPr>
              <w:t>Takeover Statutes.......................................................................</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4.28</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7"/>
              </w:rPr>
              <w:t>Tax(es)..............................................................................</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4.16(a)</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7"/>
              </w:rPr>
              <w:t>Tax Returns..........................................................................</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4.16(a)</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6"/>
              </w:rPr>
              <w:t>Termination Fee.......................................................................</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9.3(b)</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6"/>
              </w:rPr>
              <w:t>Transactions..........................................................................</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1.2(a)</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7"/>
              </w:rPr>
              <w:t>WARN.................................................................................</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4.14(d)</w:t>
            </w:r>
          </w:p>
        </w:tc>
      </w:tr>
      <w:tr>
        <w:trPr>
          <w:trHeight w:val="186"/>
        </w:trPr>
        <w:tc>
          <w:tcPr>
            <w:tcW w:w="7180" w:type="dxa"/>
            <w:vAlign w:val="bottom"/>
          </w:tcPr>
          <w:p>
            <w:pPr>
              <w:spacing w:after="0"/>
              <w:rPr>
                <w:sz w:val="20"/>
                <w:szCs w:val="20"/>
                <w:color w:val="auto"/>
              </w:rPr>
            </w:pPr>
            <w:r>
              <w:rPr>
                <w:rFonts w:ascii="Courier New" w:cs="Courier New" w:eastAsia="Courier New" w:hAnsi="Courier New"/>
                <w:sz w:val="16"/>
                <w:szCs w:val="16"/>
                <w:color w:val="auto"/>
                <w:w w:val="83"/>
              </w:rPr>
              <w:t>Warrant Certificate......................................................................</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r>
      <w:tr>
        <w:trPr>
          <w:trHeight w:val="273"/>
        </w:trPr>
        <w:tc>
          <w:tcPr>
            <w:tcW w:w="7180" w:type="dxa"/>
            <w:vAlign w:val="bottom"/>
          </w:tcPr>
          <w:p>
            <w:pPr>
              <w:spacing w:after="0"/>
              <w:rPr>
                <w:sz w:val="20"/>
                <w:szCs w:val="20"/>
                <w:color w:val="auto"/>
              </w:rPr>
            </w:pPr>
            <w:r>
              <w:rPr>
                <w:rFonts w:ascii="Courier New" w:cs="Courier New" w:eastAsia="Courier New" w:hAnsi="Courier New"/>
                <w:sz w:val="16"/>
                <w:szCs w:val="16"/>
                <w:color w:val="auto"/>
                <w:w w:val="83"/>
              </w:rPr>
              <w:t>Warrant Consideration....................................................................</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bl>
    <w:p>
      <w:pPr>
        <w:spacing w:after="0" w:line="200" w:lineRule="exact"/>
        <w:rPr>
          <w:sz w:val="20"/>
          <w:szCs w:val="20"/>
          <w:color w:val="auto"/>
        </w:rPr>
      </w:pPr>
    </w:p>
    <w:p>
      <w:pPr>
        <w:spacing w:after="0" w:line="27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vi</w:t>
      </w:r>
    </w:p>
    <w:p>
      <w:pPr>
        <w:sectPr>
          <w:pgSz w:w="11900" w:h="16838" w:orient="portrait"/>
          <w:cols w:equalWidth="0" w:num="1">
            <w:col w:w="10219"/>
          </w:cols>
          <w:pgMar w:left="240" w:top="273" w:right="1440" w:bottom="1440" w:gutter="0" w:footer="0" w:header="0"/>
        </w:sectPr>
      </w:pPr>
    </w:p>
    <w:bookmarkStart w:id="83" w:name="page84"/>
    <w:bookmarkEnd w:id="83"/>
    <w:p>
      <w:pPr>
        <w:ind w:left="300"/>
        <w:spacing w:after="0"/>
        <w:rPr>
          <w:sz w:val="20"/>
          <w:szCs w:val="20"/>
          <w:color w:val="auto"/>
        </w:rPr>
      </w:pPr>
      <w:r>
        <w:rPr>
          <w:rFonts w:ascii="Courier New" w:cs="Courier New" w:eastAsia="Courier New" w:hAnsi="Courier New"/>
          <w:sz w:val="16"/>
          <w:szCs w:val="16"/>
          <w:color w:val="auto"/>
        </w:rPr>
        <w:t>8</w:t>
      </w:r>
    </w:p>
    <w:p>
      <w:pPr>
        <w:spacing w:after="0" w:line="191"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AGREEMENT AND PLAN OF MERGER</w:t>
      </w:r>
    </w:p>
    <w:p>
      <w:pPr>
        <w:spacing w:after="0" w:line="191" w:lineRule="exact"/>
        <w:rPr>
          <w:sz w:val="20"/>
          <w:szCs w:val="20"/>
          <w:color w:val="auto"/>
        </w:rPr>
      </w:pPr>
    </w:p>
    <w:p>
      <w:pPr>
        <w:ind w:right="2459" w:firstLine="872"/>
        <w:spacing w:after="0" w:line="276" w:lineRule="auto"/>
        <w:rPr>
          <w:sz w:val="20"/>
          <w:szCs w:val="20"/>
          <w:color w:val="auto"/>
        </w:rPr>
      </w:pPr>
      <w:r>
        <w:rPr>
          <w:rFonts w:ascii="Courier New" w:cs="Courier New" w:eastAsia="Courier New" w:hAnsi="Courier New"/>
          <w:sz w:val="16"/>
          <w:szCs w:val="16"/>
          <w:color w:val="auto"/>
        </w:rPr>
        <w:t>THIS AGREEMENT AND PLAN OF MERGER, dated as of May 3, 1999, is among INTEGRATED SENSOR SOLUTIONS, INC., a Delaware corporation (the "COMPANY"), Texas Instruments Incorporated, a Delaware corporation ("PARENT"), and Sensor Acquisition Corporation, a Delaware corporation and a direct wholly owned subsidiary of Parent ("MERGERSUB").</w:t>
      </w:r>
    </w:p>
    <w:p>
      <w:pPr>
        <w:spacing w:after="0" w:line="76" w:lineRule="exact"/>
        <w:rPr>
          <w:sz w:val="20"/>
          <w:szCs w:val="20"/>
          <w:color w:val="auto"/>
        </w:rPr>
      </w:pPr>
    </w:p>
    <w:p>
      <w:pPr>
        <w:ind w:right="2459" w:firstLine="872"/>
        <w:spacing w:after="0" w:line="276" w:lineRule="auto"/>
        <w:rPr>
          <w:sz w:val="20"/>
          <w:szCs w:val="20"/>
          <w:color w:val="auto"/>
        </w:rPr>
      </w:pPr>
      <w:r>
        <w:rPr>
          <w:rFonts w:ascii="Courier New" w:cs="Courier New" w:eastAsia="Courier New" w:hAnsi="Courier New"/>
          <w:sz w:val="16"/>
          <w:szCs w:val="16"/>
          <w:color w:val="auto"/>
        </w:rPr>
        <w:t>WHEREAS, the Boards of Directors of each of Parent, MergerSub, and the Company, have approved, and deem it fair to, advisable, and in the best interests of their respective stockholders to consummate, the acquisition of the Company by Parent and MergerSub upon the terms and consideration set forth herein;</w:t>
      </w:r>
    </w:p>
    <w:p>
      <w:pPr>
        <w:spacing w:after="0" w:line="76" w:lineRule="exact"/>
        <w:rPr>
          <w:sz w:val="20"/>
          <w:szCs w:val="20"/>
          <w:color w:val="auto"/>
        </w:rPr>
      </w:pPr>
    </w:p>
    <w:p>
      <w:pPr>
        <w:ind w:right="2459" w:firstLine="872"/>
        <w:spacing w:after="0" w:line="276" w:lineRule="auto"/>
        <w:rPr>
          <w:sz w:val="20"/>
          <w:szCs w:val="20"/>
          <w:color w:val="auto"/>
        </w:rPr>
      </w:pPr>
      <w:r>
        <w:rPr>
          <w:rFonts w:ascii="Courier New" w:cs="Courier New" w:eastAsia="Courier New" w:hAnsi="Courier New"/>
          <w:sz w:val="16"/>
          <w:szCs w:val="16"/>
          <w:color w:val="auto"/>
        </w:rPr>
        <w:t>WHEREAS, in furtherance thereof, it is proposed that MergerSub make a cash tender offer to acquire all of the issued and outstanding shares ("SHARES") of common stock, par value $.001 per share, of the Company ("COMPANY COMMON STOCK"), for $8.05 per share, net to seller in cash, upon the terms and subject to the conditions set forth herein;</w:t>
      </w:r>
    </w:p>
    <w:p>
      <w:pPr>
        <w:spacing w:after="0" w:line="76" w:lineRule="exact"/>
        <w:rPr>
          <w:sz w:val="20"/>
          <w:szCs w:val="20"/>
          <w:color w:val="auto"/>
        </w:rPr>
      </w:pPr>
    </w:p>
    <w:p>
      <w:pPr>
        <w:ind w:right="2459" w:firstLine="872"/>
        <w:spacing w:after="0" w:line="276" w:lineRule="auto"/>
        <w:rPr>
          <w:sz w:val="20"/>
          <w:szCs w:val="20"/>
          <w:color w:val="auto"/>
        </w:rPr>
      </w:pPr>
      <w:r>
        <w:rPr>
          <w:rFonts w:ascii="Courier New" w:cs="Courier New" w:eastAsia="Courier New" w:hAnsi="Courier New"/>
          <w:sz w:val="16"/>
          <w:szCs w:val="16"/>
          <w:color w:val="auto"/>
        </w:rPr>
        <w:t>WHEREAS, as a material inducement to Parent and MergerSub entering into this Agreement certain beneficial and record holders of the Company Common Stock are entering into an agreement (the "STOCKHOLDERS AGREEMENT") providing for the tender of their Shares pursuant to the Offer and certain other matters in respect of their Shares;</w:t>
      </w:r>
    </w:p>
    <w:p>
      <w:pPr>
        <w:spacing w:after="0" w:line="76" w:lineRule="exact"/>
        <w:rPr>
          <w:sz w:val="20"/>
          <w:szCs w:val="20"/>
          <w:color w:val="auto"/>
        </w:rPr>
      </w:pPr>
    </w:p>
    <w:p>
      <w:pPr>
        <w:ind w:right="2559" w:firstLine="872"/>
        <w:spacing w:after="0" w:line="266" w:lineRule="auto"/>
        <w:rPr>
          <w:sz w:val="20"/>
          <w:szCs w:val="20"/>
          <w:color w:val="auto"/>
        </w:rPr>
      </w:pPr>
      <w:r>
        <w:rPr>
          <w:rFonts w:ascii="Courier New" w:cs="Courier New" w:eastAsia="Courier New" w:hAnsi="Courier New"/>
          <w:sz w:val="16"/>
          <w:szCs w:val="16"/>
          <w:color w:val="auto"/>
        </w:rPr>
        <w:t>WHEREAS, also in furtherance of such acquisition thereof, the Board of Directors of each of Parent, MergerSub, and the Company have approved this Agreement, the Stockholders Agreement, and the Merger following the Offer pursuant to which MergerSub shall merge with and into the Company and outstanding Shares shall be converted into the right to receive the Offer Price in cash, without interest, all in accordance with the DGCL and upon the terms and subject to the conditions set forth herein;</w:t>
      </w:r>
    </w:p>
    <w:p>
      <w:pPr>
        <w:spacing w:after="0" w:line="85" w:lineRule="exact"/>
        <w:rPr>
          <w:sz w:val="20"/>
          <w:szCs w:val="20"/>
          <w:color w:val="auto"/>
        </w:rPr>
      </w:pPr>
    </w:p>
    <w:p>
      <w:pPr>
        <w:ind w:right="2459" w:firstLine="872"/>
        <w:spacing w:after="0" w:line="270" w:lineRule="auto"/>
        <w:rPr>
          <w:sz w:val="20"/>
          <w:szCs w:val="20"/>
          <w:color w:val="auto"/>
        </w:rPr>
      </w:pPr>
      <w:r>
        <w:rPr>
          <w:rFonts w:ascii="Courier New" w:cs="Courier New" w:eastAsia="Courier New" w:hAnsi="Courier New"/>
          <w:sz w:val="16"/>
          <w:szCs w:val="16"/>
          <w:color w:val="auto"/>
        </w:rPr>
        <w:t>WHEREAS, the Board of Directors of the Company (the "COMPANY BOARD") has determined that the consideration to be paid for each Share in the Offer and the Merger is fair to the holders of such Shares and has resolved to recommend that the holders of such Shares tender their Shares pursuant to the Offer and approve and adopt this Agreement and the Merger upon the terms and subject to the conditions set forth herein;</w:t>
      </w:r>
    </w:p>
    <w:p>
      <w:pPr>
        <w:spacing w:after="0" w:line="81" w:lineRule="exact"/>
        <w:rPr>
          <w:sz w:val="20"/>
          <w:szCs w:val="20"/>
          <w:color w:val="auto"/>
        </w:rPr>
      </w:pPr>
    </w:p>
    <w:p>
      <w:pPr>
        <w:ind w:right="2759" w:firstLine="872"/>
        <w:spacing w:after="0" w:line="307" w:lineRule="auto"/>
        <w:rPr>
          <w:sz w:val="20"/>
          <w:szCs w:val="20"/>
          <w:color w:val="auto"/>
        </w:rPr>
      </w:pPr>
      <w:r>
        <w:rPr>
          <w:rFonts w:ascii="Courier New" w:cs="Courier New" w:eastAsia="Courier New" w:hAnsi="Courier New"/>
          <w:sz w:val="16"/>
          <w:szCs w:val="16"/>
          <w:color w:val="auto"/>
        </w:rPr>
        <w:t>WHEREAS, the Company, Parent, and MergerSub desire to make certain representations, warranties, covenants, and agreements in connection with the Offer and the Merger; and</w:t>
      </w:r>
    </w:p>
    <w:p>
      <w:pPr>
        <w:spacing w:after="0" w:line="50" w:lineRule="exact"/>
        <w:rPr>
          <w:sz w:val="20"/>
          <w:szCs w:val="20"/>
          <w:color w:val="auto"/>
        </w:rPr>
      </w:pPr>
    </w:p>
    <w:p>
      <w:pPr>
        <w:ind w:right="2559" w:firstLine="872"/>
        <w:spacing w:after="0" w:line="287" w:lineRule="auto"/>
        <w:rPr>
          <w:sz w:val="20"/>
          <w:szCs w:val="20"/>
          <w:color w:val="auto"/>
        </w:rPr>
      </w:pPr>
      <w:r>
        <w:rPr>
          <w:rFonts w:ascii="Courier New" w:cs="Courier New" w:eastAsia="Courier New" w:hAnsi="Courier New"/>
          <w:sz w:val="16"/>
          <w:szCs w:val="16"/>
          <w:color w:val="auto"/>
        </w:rPr>
        <w:t>NOW, THEREFORE, in consideration of the premises and the representations, warranties, covenants, and agreements herein contained, and intending to be legally bound hereby, the Company, Parent, and MergerSub hereby agree as follows:</w:t>
      </w:r>
    </w:p>
    <w:p>
      <w:pPr>
        <w:sectPr>
          <w:pgSz w:w="11900" w:h="16838" w:orient="portrait"/>
          <w:cols w:equalWidth="0" w:num="1">
            <w:col w:w="10219"/>
          </w:cols>
          <w:pgMar w:left="240" w:top="273" w:right="1440" w:bottom="1440" w:gutter="0" w:footer="0" w:header="0"/>
        </w:sectPr>
      </w:pPr>
    </w:p>
    <w:bookmarkStart w:id="84" w:name="page85"/>
    <w:bookmarkEnd w:id="84"/>
    <w:p>
      <w:pPr>
        <w:ind w:left="300"/>
        <w:spacing w:after="0"/>
        <w:rPr>
          <w:sz w:val="20"/>
          <w:szCs w:val="20"/>
          <w:color w:val="auto"/>
        </w:rPr>
      </w:pPr>
      <w:r>
        <w:rPr>
          <w:rFonts w:ascii="Courier New" w:cs="Courier New" w:eastAsia="Courier New" w:hAnsi="Courier New"/>
          <w:sz w:val="16"/>
          <w:szCs w:val="16"/>
          <w:color w:val="auto"/>
        </w:rPr>
        <w:t>9</w:t>
      </w:r>
    </w:p>
    <w:p>
      <w:pPr>
        <w:spacing w:after="0" w:line="19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ARTICLE I</w:t>
      </w:r>
    </w:p>
    <w:p>
      <w:pPr>
        <w:spacing w:after="0" w:line="3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THE OFFER</w:t>
      </w:r>
    </w:p>
    <w:p>
      <w:pPr>
        <w:spacing w:after="0" w:line="161" w:lineRule="exact"/>
        <w:rPr>
          <w:sz w:val="20"/>
          <w:szCs w:val="20"/>
          <w:color w:val="auto"/>
        </w:rPr>
      </w:pPr>
    </w:p>
    <w:p>
      <w:pPr>
        <w:ind w:right="2459" w:firstLine="872"/>
        <w:spacing w:after="0" w:line="266" w:lineRule="auto"/>
        <w:rPr>
          <w:sz w:val="20"/>
          <w:szCs w:val="20"/>
          <w:color w:val="auto"/>
        </w:rPr>
      </w:pPr>
      <w:r>
        <w:rPr>
          <w:rFonts w:ascii="Courier New" w:cs="Courier New" w:eastAsia="Courier New" w:hAnsi="Courier New"/>
          <w:sz w:val="16"/>
          <w:szCs w:val="16"/>
          <w:color w:val="auto"/>
        </w:rPr>
        <w:t>SECTION 1.1 The Offer. (a) As promptly as practicable (but in no event later than five business days after the public announcement of the execution hereof), MergerSub shall commence (within the meaning of Rule 14d-2 under the Securities Exchange Act of 1934, as amended (the "EXCHANGE ACT")) a tender offer (the "OFFER") for all of the outstanding Shares at a price of $8.05 per Share, net to the seller in cash (such price, or such higher price per Share as may be paid in the Offer, being referred to herein as the "OFFER PRICE").</w:t>
      </w:r>
    </w:p>
    <w:p>
      <w:pPr>
        <w:spacing w:after="0" w:line="85" w:lineRule="exact"/>
        <w:rPr>
          <w:sz w:val="20"/>
          <w:szCs w:val="20"/>
          <w:color w:val="auto"/>
        </w:rPr>
      </w:pPr>
    </w:p>
    <w:p>
      <w:pPr>
        <w:ind w:right="2659" w:firstLine="871"/>
        <w:spacing w:after="0" w:line="270" w:lineRule="auto"/>
        <w:tabs>
          <w:tab w:leader="none" w:pos="126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of MergerSub to accept for payment and to pay for any Shares validly tendered on or prior to the expiration of the Offer and not withdrawn shall be subject only to the conditions set forth in ANNEX A hereto. The Offer shall be made by means of an offer to purchase (the "OFFER TO PURCHASE") containing the terms set forth in this Agreement and the conditions set forth in ANNEX A hereto.</w:t>
      </w:r>
    </w:p>
    <w:p>
      <w:pPr>
        <w:spacing w:after="0" w:line="80" w:lineRule="exact"/>
        <w:rPr>
          <w:rFonts w:ascii="Courier New" w:cs="Courier New" w:eastAsia="Courier New" w:hAnsi="Courier New"/>
          <w:sz w:val="16"/>
          <w:szCs w:val="16"/>
          <w:color w:val="auto"/>
        </w:rPr>
      </w:pPr>
    </w:p>
    <w:p>
      <w:pPr>
        <w:ind w:right="2559" w:firstLine="871"/>
        <w:spacing w:after="0" w:line="251" w:lineRule="auto"/>
        <w:tabs>
          <w:tab w:leader="none" w:pos="126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MergerSub expressly reserves the right to modify the terms of the Offer; provided, however, that without the Company's prior written consent, MergerSub shall not (i) decrease the Offer Price, (ii) decrease the number of Shares sought or otherwise amend or waive the Minimum Condition, (iii) change the form of consideration, (iv) amend any other condition of the Offer in any manner adverse to the holders of the Shares (other than in respect of insignificant changes or amendments and subject to the penultimate sentence of this Section 1.1), (v) impose additional conditions without the written consent of the Company, or (vi) extend the Offer except as provided in this Section</w:t>
      </w:r>
    </w:p>
    <w:p>
      <w:pPr>
        <w:spacing w:after="0" w:line="1" w:lineRule="exact"/>
        <w:rPr>
          <w:rFonts w:ascii="Courier New" w:cs="Courier New" w:eastAsia="Courier New" w:hAnsi="Courier New"/>
          <w:sz w:val="16"/>
          <w:szCs w:val="16"/>
          <w:color w:val="auto"/>
        </w:rPr>
      </w:pPr>
    </w:p>
    <w:p>
      <w:pPr>
        <w:ind w:right="245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1.1(c); provided further, however, that if on the initial scheduled expiration date of the Offer, which shall be 20 business days after the date that the Offer is commenced, all conditions to the Offer shall not have been satisfied or waived, MergerSub may, from time to time until such time as all such conditions are satisfied or waived, in its sole discretion subject to the immediately following sentence, extend the expiration date. Parent and MergerSub agree that if all of the conditions to the Offer set forth on ANNEX A are not satisfied or waived on any scheduled expiration date of the Offer, then, provided that all such conditions are reasonably capable of being satisfied prior to October 31, 1999, Parent and MergerSub shall extend the Offer from time to time until such conditions are satisfied or waived, provided that Parent and MergerSub shall not be required to extend the Offer beyond October 31, 1999. In addition, the Offer Price may be increased and the Offer may be extended to the extent required by applicable Law in connection with such increase, in each case without the consent of the Company. MergerSub shall, on the terms of the Offer, accept for payment and pay for Shares validly tendered as promptly as practicable after the satisfaction or waiver of the conditions set forth on ANNEX A; provided, however, that if, immediately prior to the latest expiration date of the Offer otherwise permitted by this Section 1.1(c), the Shares validly tendered and not withdrawn pursuant to the Offer equal less than 90% of the outstanding Shares, MergerSub may extend the Offer for a period not to exceed 20 business days, notwithstanding that all conditions to the Offer are satisfied as of such expiration date of the Offer, and shall, on the terms of, and subject to the satisfaction or waiver of the conditions to, the Offer, accept for payment and pay for Shares validly tendered as promptly as practicable after the expiration of such additional period.</w:t>
      </w:r>
    </w:p>
    <w:p>
      <w:pPr>
        <w:spacing w:after="0" w:line="29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73" w:right="1440" w:bottom="1440" w:gutter="0" w:footer="0" w:header="0"/>
        </w:sectPr>
      </w:pPr>
    </w:p>
    <w:bookmarkStart w:id="85" w:name="page86"/>
    <w:bookmarkEnd w:id="85"/>
    <w:p>
      <w:pPr>
        <w:ind w:left="300"/>
        <w:spacing w:after="0"/>
        <w:rPr>
          <w:sz w:val="20"/>
          <w:szCs w:val="20"/>
          <w:color w:val="auto"/>
        </w:rPr>
      </w:pPr>
      <w:r>
        <w:rPr>
          <w:rFonts w:ascii="Courier New" w:cs="Courier New" w:eastAsia="Courier New" w:hAnsi="Courier New"/>
          <w:sz w:val="16"/>
          <w:szCs w:val="16"/>
          <w:color w:val="auto"/>
        </w:rPr>
        <w:t>10</w:t>
      </w:r>
    </w:p>
    <w:p>
      <w:pPr>
        <w:spacing w:after="0" w:line="378" w:lineRule="exact"/>
        <w:rPr>
          <w:sz w:val="20"/>
          <w:szCs w:val="20"/>
          <w:color w:val="auto"/>
        </w:rPr>
      </w:pPr>
    </w:p>
    <w:p>
      <w:pPr>
        <w:ind w:right="2459" w:firstLine="872"/>
        <w:spacing w:after="0" w:line="251" w:lineRule="auto"/>
        <w:rPr>
          <w:sz w:val="20"/>
          <w:szCs w:val="20"/>
          <w:color w:val="auto"/>
        </w:rPr>
      </w:pPr>
      <w:r>
        <w:rPr>
          <w:rFonts w:ascii="Courier New" w:cs="Courier New" w:eastAsia="Courier New" w:hAnsi="Courier New"/>
          <w:sz w:val="16"/>
          <w:szCs w:val="16"/>
          <w:color w:val="auto"/>
        </w:rPr>
        <w:t>SECTION 1.2 Company Actions. (a) The Company hereby approves of and consents to the Offer and represents that the Company Board, at a meeting duly called and held, has (i) unanimously determined that each of the Agreement, the Offer, and the Merger are advisable and fair to, and in the best interests of, the stockholders of the Company, (ii) unanimously approved, without condition or qualification, this Agreement, the Stockholders Agreement, the Offer, the acquisition of Shares pursuant to the Offer, and the Merger for purposes of Section 203 of the DGCL (the "SECTION 203 APPROVAL"), so that the provisions of Section 203 of the DGCL are not applicable to the transactions provided for, referred to, or contemplated by, this Agreement, (iii) received the opinion of Cruttenden Roth Incorporated, financial advisor to the Company (the "FINANCIAL ADVISOR"), to the effect that the Offer Price to be received by holders of Shares pursuant to the Offer and the Merger Consideration pursuant to the Merger is fair to the stockholders of the Company from a financial point of view, (iv) approved this Agreement, the Stockholders Agreement, and the transactions contemplated hereby and thereby, including the Offer and the Merger (collectively, the "TRANSACTIONS"), and (v) resolved to unanimously recommend that the stockholders of the Company accept the Offer, tender their Shares thereunder to MergerSub, and approve and adopt this Agreement and the Merger. The Company has been advised by each of its directors and by each executive officer who as of the date hereof is actually aware (to the knowledge of the Company) of the Transactions that each such person either intends to tender pursuant to the Offer all Shares owned by such person or vote all Shares owned by such person in favor of the Merger, whether or not such person is a party to the Stockholders Agreement.</w:t>
      </w:r>
    </w:p>
    <w:p>
      <w:pPr>
        <w:spacing w:after="0" w:line="106" w:lineRule="exact"/>
        <w:rPr>
          <w:sz w:val="20"/>
          <w:szCs w:val="20"/>
          <w:color w:val="auto"/>
        </w:rPr>
      </w:pPr>
    </w:p>
    <w:p>
      <w:pPr>
        <w:ind w:right="2459" w:firstLine="871"/>
        <w:spacing w:after="0" w:line="254" w:lineRule="auto"/>
        <w:tabs>
          <w:tab w:leader="none" w:pos="126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Offer, the Company will promptly furnish or cause to be furnished to MergerSub mailing labels, security position listings, and any available listings or computer files containing the names and addresses of all holders of record of the Shares as of a recent date, and shall furnish MergerSub with such additional information (including, updated lists of holders of the Shares and their addresses, mailing labels, and lists of security positions) and such assistance as MergerSub or its agents may reasonably request in communicating the Offer to the record and beneficial holders of the Shares. Subject to the requirements of applicable Law, and except for such steps as are necessary to disseminate the Offer Documents and any other documents necessary to consummate the Merger, MergerSub and its affiliates and associates shall hold in confidence the information contained in any such labels, listings, and files and all other information delivered pursuant to this Section 1.2(b), will use such information only in connection with the Offer and the Merger and, if this Agreement shall be terminated, will deliver to the Company all copies, extracts, or summaries of such information in their possession or the possession of their agents.</w:t>
      </w:r>
    </w:p>
    <w:p>
      <w:pPr>
        <w:spacing w:after="0" w:line="93" w:lineRule="exact"/>
        <w:rPr>
          <w:sz w:val="20"/>
          <w:szCs w:val="20"/>
          <w:color w:val="auto"/>
        </w:rPr>
      </w:pPr>
    </w:p>
    <w:p>
      <w:pPr>
        <w:ind w:right="2459" w:firstLine="872"/>
        <w:spacing w:after="0" w:line="261" w:lineRule="auto"/>
        <w:rPr>
          <w:sz w:val="20"/>
          <w:szCs w:val="20"/>
          <w:color w:val="auto"/>
        </w:rPr>
      </w:pPr>
      <w:r>
        <w:rPr>
          <w:rFonts w:ascii="Courier New" w:cs="Courier New" w:eastAsia="Courier New" w:hAnsi="Courier New"/>
          <w:sz w:val="16"/>
          <w:szCs w:val="16"/>
          <w:color w:val="auto"/>
        </w:rPr>
        <w:t>SECTION 1.3 SEC Documents. (a) On the date the Offer is commenced, Parent and MergerSub shall file with the United States Securities and Exchange Commission (the "SEC") a Tender Offer Statement on Schedule 14D-1 in accordance with the Exchange Act in respect of the Offer (together with all amendments and supplements thereto and including the exhibits thereto, the "SCHEDULE 14D-1"). The Schedule 14D-1 will include, as exhibits, the Offer to Purchase and a form of letter of transmittal (collectively, together with any amendments and supplements thereto, the "OFFER DOCUMENTS"). Concurrently with the filing of the Schedule 14D-1 by Parent and MergerSub, the Company shall file with the SEC a</w:t>
      </w:r>
    </w:p>
    <w:p>
      <w:pPr>
        <w:spacing w:after="0" w:line="27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73" w:right="1440" w:bottom="1440" w:gutter="0" w:footer="0" w:header="0"/>
        </w:sectPr>
      </w:pPr>
    </w:p>
    <w:bookmarkStart w:id="86" w:name="page87"/>
    <w:bookmarkEnd w:id="86"/>
    <w:p>
      <w:pPr>
        <w:ind w:left="300"/>
        <w:spacing w:after="0"/>
        <w:rPr>
          <w:sz w:val="20"/>
          <w:szCs w:val="20"/>
          <w:color w:val="auto"/>
        </w:rPr>
      </w:pPr>
      <w:r>
        <w:rPr>
          <w:rFonts w:ascii="Courier New" w:cs="Courier New" w:eastAsia="Courier New" w:hAnsi="Courier New"/>
          <w:sz w:val="16"/>
          <w:szCs w:val="16"/>
          <w:color w:val="auto"/>
        </w:rPr>
        <w:t>11</w:t>
      </w:r>
    </w:p>
    <w:p>
      <w:pPr>
        <w:spacing w:after="0" w:line="378" w:lineRule="exact"/>
        <w:rPr>
          <w:sz w:val="20"/>
          <w:szCs w:val="20"/>
          <w:color w:val="auto"/>
        </w:rPr>
      </w:pPr>
    </w:p>
    <w:p>
      <w:pPr>
        <w:ind w:right="2459"/>
        <w:spacing w:after="0" w:line="276" w:lineRule="auto"/>
        <w:rPr>
          <w:sz w:val="20"/>
          <w:szCs w:val="20"/>
          <w:color w:val="auto"/>
        </w:rPr>
      </w:pPr>
      <w:r>
        <w:rPr>
          <w:rFonts w:ascii="Courier New" w:cs="Courier New" w:eastAsia="Courier New" w:hAnsi="Courier New"/>
          <w:sz w:val="16"/>
          <w:szCs w:val="16"/>
          <w:color w:val="auto"/>
        </w:rPr>
        <w:t>Solicitation/Recommendation Statement on Schedule 14D-9 in accordance with the Exchange Act (together with all amendments and supplements thereto and including the exhibits thereto, the "SCHEDULE 14D-9"), which shall, except as otherwise provided herein, contain the recommendation referred to in clause (v) of Section 1.2(a).</w:t>
      </w:r>
    </w:p>
    <w:p>
      <w:pPr>
        <w:spacing w:after="0" w:line="76" w:lineRule="exact"/>
        <w:rPr>
          <w:sz w:val="20"/>
          <w:szCs w:val="20"/>
          <w:color w:val="auto"/>
        </w:rPr>
      </w:pPr>
    </w:p>
    <w:p>
      <w:pPr>
        <w:ind w:right="2459" w:firstLine="871"/>
        <w:spacing w:after="0" w:line="251" w:lineRule="auto"/>
        <w:tabs>
          <w:tab w:leader="none" w:pos="126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and MergerSub will take all steps necessary to ensure that the Offer Documents, and the Company will take all steps necessary to ensure that the Schedule 14D-9, will comply in all material respects with the provisions of applicable federal and state securities Laws. Each of Parent and MergerSub will take all steps necessary to cause the Offer Documents, and the Company will take all steps necessary to cause the Schedule 14D-9, to be filed with the SEC and to be disseminated to holders of the Shares, in each case as and to the extent required by applicable federal and state securities Laws. Each of Parent and MergerSub, on the one hand, and the Company, on the other hand, will promptly correct any information provided by it for use in the Offer Documents and the Schedule 14D-9 if and to the extent that it shall have become false and misleading in any material respect and MergerSub will take all steps necessary to cause the Offer Documents, and the Company will take all steps necessary to cause the Schedule 14D-9, as so corrected to be filed with the SEC and to be disseminated to holders of the Shares, in each case as and to the extent required by applicable federal and state securities Laws. Parent and its counsel shall be given a reasonable opportunity to review and comment upon the Schedule 14D-9 and all amendments and supplements thereto prior to their filing with the SEC or dissemination to stockholders of the Company. The Company shall provide Parent and its counsel with copies of any written comments that the Company or its counsel may receive from the SEC or its staff in respect of the Schedule 14D-9 promptly after the receipt of such comments and each of Parent and MergerSub shall provide the Company and its counsel with copies of any written comments that Parent, MergerSub, or their counsel may receive from the SEC or its staff in respect of the Offer Documents promptly after the receipt of such comments.</w:t>
      </w:r>
    </w:p>
    <w:p>
      <w:pPr>
        <w:spacing w:after="0" w:line="103" w:lineRule="exact"/>
        <w:rPr>
          <w:sz w:val="20"/>
          <w:szCs w:val="20"/>
          <w:color w:val="auto"/>
        </w:rPr>
      </w:pPr>
    </w:p>
    <w:p>
      <w:pPr>
        <w:ind w:right="2459" w:firstLine="872"/>
        <w:spacing w:after="0" w:line="252" w:lineRule="auto"/>
        <w:rPr>
          <w:sz w:val="20"/>
          <w:szCs w:val="20"/>
          <w:color w:val="auto"/>
        </w:rPr>
      </w:pPr>
      <w:r>
        <w:rPr>
          <w:rFonts w:ascii="Courier New" w:cs="Courier New" w:eastAsia="Courier New" w:hAnsi="Courier New"/>
          <w:sz w:val="16"/>
          <w:szCs w:val="16"/>
          <w:color w:val="auto"/>
        </w:rPr>
        <w:t>SECTION 1.4 Company Board Representation; Section 14(f). (a) Promptly after (i) the purchase of and payment for any Shares by MergerSub or any of its affiliates as a result of which MergerSub and its affiliates own beneficially at least a majority of then outstanding Shares and (ii) compliance with Section 14(f) of the Exchange Act and Rule 14f-1 promulgated thereunder, whichever shall occur later, Parent shall be entitled to designate such number of directors, rounded up to the next whole number, on the Company Board as is equal to the product of the total number of directors on the Company Board (giving effect to the increase in the size of the Company Board pursuant to this Section 1.4) multiplied by the percentage that the number of Shares beneficially owned by MergerSub (including Shares so accepted for payment) bears to the total number of Shares then outstanding. In furtherance thereof, the Company shall, upon request of Parent, use its best efforts promptly either to increase the size of the Company Board or to secure the resignations of such number of its incumbent directors, or both, as is necessary to enable such designees of Parent to be so elected or appointed to the Company Board, and the Company shall take all actions available to the Company to cause such designees of Parent to be so elected or appointed. At such time, the Company shall, if requested by Parent, also take all action necessary to cause persons designated by Parent to constitute at least the same percentage (rounded up to the next whole number) as is on the Company Board of (i) each</w:t>
      </w:r>
    </w:p>
    <w:p>
      <w:pPr>
        <w:spacing w:after="0" w:line="28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73" w:right="1440" w:bottom="1440" w:gutter="0" w:footer="0" w:header="0"/>
        </w:sectPr>
      </w:pPr>
    </w:p>
    <w:bookmarkStart w:id="87" w:name="page88"/>
    <w:bookmarkEnd w:id="87"/>
    <w:p>
      <w:pPr>
        <w:ind w:left="300"/>
        <w:spacing w:after="0"/>
        <w:rPr>
          <w:sz w:val="20"/>
          <w:szCs w:val="20"/>
          <w:color w:val="auto"/>
        </w:rPr>
      </w:pPr>
      <w:r>
        <w:rPr>
          <w:rFonts w:ascii="Courier New" w:cs="Courier New" w:eastAsia="Courier New" w:hAnsi="Courier New"/>
          <w:sz w:val="16"/>
          <w:szCs w:val="16"/>
          <w:color w:val="auto"/>
        </w:rPr>
        <w:t>12</w:t>
      </w:r>
    </w:p>
    <w:p>
      <w:pPr>
        <w:spacing w:after="0" w:line="378" w:lineRule="exact"/>
        <w:rPr>
          <w:sz w:val="20"/>
          <w:szCs w:val="20"/>
          <w:color w:val="auto"/>
        </w:rPr>
      </w:pPr>
    </w:p>
    <w:p>
      <w:pPr>
        <w:ind w:right="2459"/>
        <w:spacing w:after="0" w:line="266" w:lineRule="auto"/>
        <w:rPr>
          <w:sz w:val="20"/>
          <w:szCs w:val="20"/>
          <w:color w:val="auto"/>
        </w:rPr>
      </w:pPr>
      <w:r>
        <w:rPr>
          <w:rFonts w:ascii="Courier New" w:cs="Courier New" w:eastAsia="Courier New" w:hAnsi="Courier New"/>
          <w:sz w:val="16"/>
          <w:szCs w:val="16"/>
          <w:color w:val="auto"/>
        </w:rPr>
        <w:t>committee of the Company Board, (ii) each board of directors (or similar body) of each subsidiary of the Company, and (iii) each committee (or similar body) of each such board of directors (or similar body) of each such subsidiary. The provisions of this Section 1.4 are in addition to and shall not limit any rights which MergerSub, Parent, or any of their affiliates may have as a holder or beneficial owner of Shares as a matter of applicable Law in respect of the election of directors or otherwise.</w:t>
      </w:r>
    </w:p>
    <w:p>
      <w:pPr>
        <w:spacing w:after="0" w:line="85" w:lineRule="exact"/>
        <w:rPr>
          <w:sz w:val="20"/>
          <w:szCs w:val="20"/>
          <w:color w:val="auto"/>
        </w:rPr>
      </w:pPr>
    </w:p>
    <w:p>
      <w:pPr>
        <w:ind w:right="2459" w:firstLine="871"/>
        <w:spacing w:after="0" w:line="258" w:lineRule="auto"/>
        <w:tabs>
          <w:tab w:leader="none" w:pos="126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promptly take all actions required pursuant to Section 14(f) of the Exchange Act and Rule 14f-1 promulgated thereunder in order to fulfill its obligations under Section 1.4(a), including mailing to stockholders the information required by such Section 14(f) and Rule 14f-1 (or, at Parent's request, furnishing such information to Parent for inclusion in the Offer Documents initially filed with the SEC and distributed to the stockholders of the Company) as is necessary to enable Parent's designees to be elected to the Company Board. Parent or MergerSub will supply the Company any information in respect of either of them and their nominees, officers, directors, and affiliates required by Section 14(f) of the Exchange Act and Rule 14f-1 promulgated thereunder.</w:t>
      </w:r>
    </w:p>
    <w:p>
      <w:pPr>
        <w:spacing w:after="0" w:line="92" w:lineRule="exact"/>
        <w:rPr>
          <w:rFonts w:ascii="Courier New" w:cs="Courier New" w:eastAsia="Courier New" w:hAnsi="Courier New"/>
          <w:sz w:val="16"/>
          <w:szCs w:val="16"/>
          <w:color w:val="auto"/>
        </w:rPr>
      </w:pPr>
    </w:p>
    <w:p>
      <w:pPr>
        <w:ind w:right="2459" w:firstLine="871"/>
        <w:spacing w:after="0" w:line="254" w:lineRule="auto"/>
        <w:tabs>
          <w:tab w:leader="none" w:pos="126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Section 1.4 to the contrary, the parties hereto shall use their respective reasonable best efforts to ensure that at least two of the members of the Company Board shall, at all times prior to the Effective Time, be Continuing Directors. From and after the time, if any, that Parent's designees constitute a majority of the Company Board, any amendment or modification of this Agreement, any amendment to the Company's certificate of incorporation or bylaws inconsistent with this Agreement, any termination of this Agreement by the Company, any extension of time for performance of any of the obligations of Parent or MergerSub hereunder, any waiver of any condition to the Company's obligations hereunder or any of the Company's rights hereunder, or other action by the Company hereunder may be effected only by the action of a majority of the Continuing Directors, which action shall be deemed to constitute the action of any committee specifically designated by the Company Board to approve the actions contemplated hereby and the Transactions and the full Company Board; provided, however, that if there shall be no Continuing Directors, such actions may be effected by majority vote of the entire Company Board.</w:t>
      </w:r>
    </w:p>
    <w:p>
      <w:pPr>
        <w:spacing w:after="0" w:line="93"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ARTICLE II</w:t>
      </w:r>
    </w:p>
    <w:p>
      <w:pPr>
        <w:spacing w:after="0" w:line="35"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THE MERGER</w:t>
      </w:r>
    </w:p>
    <w:p>
      <w:pPr>
        <w:spacing w:after="0" w:line="161" w:lineRule="exact"/>
        <w:rPr>
          <w:sz w:val="20"/>
          <w:szCs w:val="20"/>
          <w:color w:val="auto"/>
        </w:rPr>
      </w:pPr>
    </w:p>
    <w:p>
      <w:pPr>
        <w:ind w:right="2559" w:firstLine="872"/>
        <w:spacing w:after="0" w:line="270" w:lineRule="auto"/>
        <w:rPr>
          <w:sz w:val="20"/>
          <w:szCs w:val="20"/>
          <w:color w:val="auto"/>
        </w:rPr>
      </w:pPr>
      <w:r>
        <w:rPr>
          <w:rFonts w:ascii="Courier New" w:cs="Courier New" w:eastAsia="Courier New" w:hAnsi="Courier New"/>
          <w:sz w:val="16"/>
          <w:szCs w:val="16"/>
          <w:color w:val="auto"/>
        </w:rPr>
        <w:t>SECTION 2.1 The Merger. At the Effective Time and upon the terms and subject to the conditions of this Agreement and in accordance with the Delaware General Corporation Law (the "DGCL"), MergerSub shall be merged with and into the Company (the "MERGER"). Following the Merger, the Company shall continue as the surviving corporation (the "SURVIVING CORPORATION") and the separate corporate existence of MergerSub shall cease.</w:t>
      </w:r>
    </w:p>
    <w:p>
      <w:pPr>
        <w:spacing w:after="0" w:line="81" w:lineRule="exact"/>
        <w:rPr>
          <w:sz w:val="20"/>
          <w:szCs w:val="20"/>
          <w:color w:val="auto"/>
        </w:rPr>
      </w:pPr>
    </w:p>
    <w:p>
      <w:pPr>
        <w:ind w:right="2459" w:firstLine="872"/>
        <w:spacing w:after="0" w:line="270" w:lineRule="auto"/>
        <w:rPr>
          <w:sz w:val="20"/>
          <w:szCs w:val="20"/>
          <w:color w:val="auto"/>
        </w:rPr>
      </w:pPr>
      <w:r>
        <w:rPr>
          <w:rFonts w:ascii="Courier New" w:cs="Courier New" w:eastAsia="Courier New" w:hAnsi="Courier New"/>
          <w:sz w:val="16"/>
          <w:szCs w:val="16"/>
          <w:color w:val="auto"/>
        </w:rPr>
        <w:t>SECTION 2.2 Effective Time. Subject to the provisions of this Agreement, Parent, MergerSub, and the Company shall cause the Merger to be consummated by filing an appropriate Certificate of Merger or, if applicable, a Certificate of Ownership and Merger, or other appropriate documents (the "CERTIFICATE OF MERGER") with the Secretary of State of the State of Delaware in such form as required by, and executed in accordance with, the relevant</w:t>
      </w:r>
    </w:p>
    <w:p>
      <w:pPr>
        <w:spacing w:after="0" w:line="26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73" w:right="1440" w:bottom="1440" w:gutter="0" w:footer="0" w:header="0"/>
        </w:sectPr>
      </w:pPr>
    </w:p>
    <w:bookmarkStart w:id="88" w:name="page89"/>
    <w:bookmarkEnd w:id="88"/>
    <w:p>
      <w:pPr>
        <w:ind w:left="300"/>
        <w:spacing w:after="0"/>
        <w:rPr>
          <w:sz w:val="20"/>
          <w:szCs w:val="20"/>
          <w:color w:val="auto"/>
        </w:rPr>
      </w:pPr>
      <w:r>
        <w:rPr>
          <w:rFonts w:ascii="Courier New" w:cs="Courier New" w:eastAsia="Courier New" w:hAnsi="Courier New"/>
          <w:sz w:val="16"/>
          <w:szCs w:val="16"/>
          <w:color w:val="auto"/>
        </w:rPr>
        <w:t>13</w:t>
      </w:r>
    </w:p>
    <w:p>
      <w:pPr>
        <w:spacing w:after="0" w:line="378" w:lineRule="exact"/>
        <w:rPr>
          <w:sz w:val="20"/>
          <w:szCs w:val="20"/>
          <w:color w:val="auto"/>
        </w:rPr>
      </w:pPr>
    </w:p>
    <w:p>
      <w:pPr>
        <w:ind w:right="2459"/>
        <w:spacing w:after="0" w:line="307" w:lineRule="auto"/>
        <w:rPr>
          <w:sz w:val="20"/>
          <w:szCs w:val="20"/>
          <w:color w:val="auto"/>
        </w:rPr>
      </w:pPr>
      <w:r>
        <w:rPr>
          <w:rFonts w:ascii="Courier New" w:cs="Courier New" w:eastAsia="Courier New" w:hAnsi="Courier New"/>
          <w:sz w:val="16"/>
          <w:szCs w:val="16"/>
          <w:color w:val="auto"/>
        </w:rPr>
        <w:t>provisions of the DGCL, as soon as practicable on or after the Closing Date. The Merger shall become effective upon such filing or at such time thereafter as is provided in the Certificate of Merger (the "EFFECTIVE TIME").</w:t>
      </w:r>
    </w:p>
    <w:p>
      <w:pPr>
        <w:spacing w:after="0" w:line="50" w:lineRule="exact"/>
        <w:rPr>
          <w:sz w:val="20"/>
          <w:szCs w:val="20"/>
          <w:color w:val="auto"/>
        </w:rPr>
      </w:pPr>
    </w:p>
    <w:p>
      <w:pPr>
        <w:ind w:right="2459" w:firstLine="872"/>
        <w:spacing w:after="0" w:line="261" w:lineRule="auto"/>
        <w:rPr>
          <w:sz w:val="20"/>
          <w:szCs w:val="20"/>
          <w:color w:val="auto"/>
        </w:rPr>
      </w:pPr>
      <w:r>
        <w:rPr>
          <w:rFonts w:ascii="Courier New" w:cs="Courier New" w:eastAsia="Courier New" w:hAnsi="Courier New"/>
          <w:sz w:val="16"/>
          <w:szCs w:val="16"/>
          <w:color w:val="auto"/>
        </w:rPr>
        <w:t>SECTION 2.3 Closing of the Merger. The closing of the Merger (the "CLOSING") will take place at a time and on a date to be specified by the parties hereto (the "CLOSING DATE"), which shall be no later than the second business day after satisfaction or waiver of the conditions set forth in Article VIII (other than those conditions that by their nature are to be satisfied at the Closing, but subject to the fulfillment or waiver of those conditions), at the offices of Weil, Gotshal &amp; Manges LLP, 100 Crescent Court, Suite 1300, Dallas, Texas 75201, or at such other time, date, or place as agreed to in writing by the parties hereto.</w:t>
      </w:r>
    </w:p>
    <w:p>
      <w:pPr>
        <w:spacing w:after="0" w:line="89" w:lineRule="exact"/>
        <w:rPr>
          <w:sz w:val="20"/>
          <w:szCs w:val="20"/>
          <w:color w:val="auto"/>
        </w:rPr>
      </w:pPr>
    </w:p>
    <w:p>
      <w:pPr>
        <w:ind w:right="2459" w:firstLine="872"/>
        <w:spacing w:after="0" w:line="270" w:lineRule="auto"/>
        <w:rPr>
          <w:sz w:val="20"/>
          <w:szCs w:val="20"/>
          <w:color w:val="auto"/>
        </w:rPr>
      </w:pPr>
      <w:r>
        <w:rPr>
          <w:rFonts w:ascii="Courier New" w:cs="Courier New" w:eastAsia="Courier New" w:hAnsi="Courier New"/>
          <w:sz w:val="16"/>
          <w:szCs w:val="16"/>
          <w:color w:val="auto"/>
        </w:rPr>
        <w:t>SECTION 2.4 Effects of the Merger. The Merger shall have the effects set forth in the DGCL. Without limiting the generality of the foregoing, and subject thereto, at the Effective Time, all the properties, rights, privileges, powers, and franchises of the Company and MergerSub shall vest in the Surviving Corporation, and all debts, liabilities, and duties of the Company and MergerSub shall become the debts, liabilities, and duties of the Surviving Corporation.</w:t>
      </w:r>
    </w:p>
    <w:p>
      <w:pPr>
        <w:spacing w:after="0" w:line="81" w:lineRule="exact"/>
        <w:rPr>
          <w:sz w:val="20"/>
          <w:szCs w:val="20"/>
          <w:color w:val="auto"/>
        </w:rPr>
      </w:pPr>
    </w:p>
    <w:p>
      <w:pPr>
        <w:ind w:right="2959" w:firstLine="872"/>
        <w:spacing w:after="0" w:line="276" w:lineRule="auto"/>
        <w:rPr>
          <w:sz w:val="20"/>
          <w:szCs w:val="20"/>
          <w:color w:val="auto"/>
        </w:rPr>
      </w:pPr>
      <w:r>
        <w:rPr>
          <w:rFonts w:ascii="Courier New" w:cs="Courier New" w:eastAsia="Courier New" w:hAnsi="Courier New"/>
          <w:sz w:val="16"/>
          <w:szCs w:val="16"/>
          <w:color w:val="auto"/>
        </w:rPr>
        <w:t>SECTION 2.5 Certificate of Incorporation and Bylaws. (a) Effective immediately following the Merger, the certificate of incorporation of the Company, as in effect immediately prior to the Effective Time, shall be the certificate of incorporation of the Surviving Corporation until amended in accordance with applicable Law.</w:t>
      </w:r>
    </w:p>
    <w:p>
      <w:pPr>
        <w:spacing w:after="0" w:line="76" w:lineRule="exact"/>
        <w:rPr>
          <w:sz w:val="20"/>
          <w:szCs w:val="20"/>
          <w:color w:val="auto"/>
        </w:rPr>
      </w:pPr>
    </w:p>
    <w:p>
      <w:pPr>
        <w:ind w:right="2559" w:firstLine="871"/>
        <w:spacing w:after="0" w:line="287" w:lineRule="auto"/>
        <w:tabs>
          <w:tab w:leader="none" w:pos="126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immediately following the Merger, the bylaws of the Company, as in effect immediately prior to the Effective Time, shall be the bylaws of the Surviving Corporation until amended in accordance with applicable Law.</w:t>
      </w:r>
    </w:p>
    <w:p>
      <w:pPr>
        <w:spacing w:after="0" w:line="65" w:lineRule="exact"/>
        <w:rPr>
          <w:sz w:val="20"/>
          <w:szCs w:val="20"/>
          <w:color w:val="auto"/>
        </w:rPr>
      </w:pPr>
    </w:p>
    <w:p>
      <w:pPr>
        <w:ind w:right="2459" w:firstLine="872"/>
        <w:spacing w:after="0" w:line="276" w:lineRule="auto"/>
        <w:rPr>
          <w:sz w:val="20"/>
          <w:szCs w:val="20"/>
          <w:color w:val="auto"/>
        </w:rPr>
      </w:pPr>
      <w:r>
        <w:rPr>
          <w:rFonts w:ascii="Courier New" w:cs="Courier New" w:eastAsia="Courier New" w:hAnsi="Courier New"/>
          <w:sz w:val="16"/>
          <w:szCs w:val="16"/>
          <w:color w:val="auto"/>
        </w:rPr>
        <w:t>SECTION 2.6 Directors. The directors of MergerSub immediately prior to the Effective Time shall be the initial directors of the Surviving Corporation, to hold office in accordance with the certificate of incorporation and bylaws of the Surviving Corporation until their successors are duly elected or appointed and qualified or until their earlier death, resignation, or removal.</w:t>
      </w:r>
    </w:p>
    <w:p>
      <w:pPr>
        <w:spacing w:after="0" w:line="76" w:lineRule="exact"/>
        <w:rPr>
          <w:sz w:val="20"/>
          <w:szCs w:val="20"/>
          <w:color w:val="auto"/>
        </w:rPr>
      </w:pPr>
    </w:p>
    <w:p>
      <w:pPr>
        <w:ind w:right="2459" w:firstLine="872"/>
        <w:spacing w:after="0" w:line="276" w:lineRule="auto"/>
        <w:rPr>
          <w:sz w:val="20"/>
          <w:szCs w:val="20"/>
          <w:color w:val="auto"/>
        </w:rPr>
      </w:pPr>
      <w:r>
        <w:rPr>
          <w:rFonts w:ascii="Courier New" w:cs="Courier New" w:eastAsia="Courier New" w:hAnsi="Courier New"/>
          <w:sz w:val="16"/>
          <w:szCs w:val="16"/>
          <w:color w:val="auto"/>
        </w:rPr>
        <w:t>SECTION 2.7 Officers. The officers of MergerSub immediately prior to the Effective Time shall be the initial officers of the Surviving Corporation, to hold office in accordance with the certificate of incorporation and bylaws of the Surviving Corporation until their successors are duly elected or appointed and qualified or until their earlier death, resignation, or removal.</w:t>
      </w:r>
    </w:p>
    <w:p>
      <w:pPr>
        <w:spacing w:after="0" w:line="76"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III</w:t>
      </w:r>
    </w:p>
    <w:p>
      <w:pPr>
        <w:spacing w:after="0" w:line="3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CONVERSION OF SECURITIES</w:t>
      </w:r>
    </w:p>
    <w:p>
      <w:pPr>
        <w:spacing w:after="0" w:line="161" w:lineRule="exact"/>
        <w:rPr>
          <w:sz w:val="20"/>
          <w:szCs w:val="20"/>
          <w:color w:val="auto"/>
        </w:rPr>
      </w:pPr>
    </w:p>
    <w:p>
      <w:pPr>
        <w:ind w:right="2559" w:firstLine="872"/>
        <w:spacing w:after="0" w:line="307" w:lineRule="auto"/>
        <w:rPr>
          <w:sz w:val="20"/>
          <w:szCs w:val="20"/>
          <w:color w:val="auto"/>
        </w:rPr>
      </w:pPr>
      <w:r>
        <w:rPr>
          <w:rFonts w:ascii="Courier New" w:cs="Courier New" w:eastAsia="Courier New" w:hAnsi="Courier New"/>
          <w:sz w:val="16"/>
          <w:szCs w:val="16"/>
          <w:color w:val="auto"/>
        </w:rPr>
        <w:t>SECTION 3.1 Conversion of Capital Shares. As of the Effective Time, by virtue of the Merger and without any action on the part of the holders of any Shares or any shares of capital stock of MergerSub:</w:t>
      </w:r>
    </w:p>
    <w:p>
      <w:pPr>
        <w:spacing w:after="0" w:line="23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73" w:right="1440" w:bottom="1440" w:gutter="0" w:footer="0" w:header="0"/>
        </w:sectPr>
      </w:pPr>
    </w:p>
    <w:bookmarkStart w:id="89" w:name="page90"/>
    <w:bookmarkEnd w:id="89"/>
    <w:p>
      <w:pPr>
        <w:ind w:left="300"/>
        <w:spacing w:after="0"/>
        <w:rPr>
          <w:sz w:val="20"/>
          <w:szCs w:val="20"/>
          <w:color w:val="auto"/>
        </w:rPr>
      </w:pPr>
      <w:r>
        <w:rPr>
          <w:rFonts w:ascii="Courier New" w:cs="Courier New" w:eastAsia="Courier New" w:hAnsi="Courier New"/>
          <w:sz w:val="16"/>
          <w:szCs w:val="16"/>
          <w:color w:val="auto"/>
        </w:rPr>
        <w:t>14</w:t>
      </w:r>
    </w:p>
    <w:p>
      <w:pPr>
        <w:spacing w:after="0" w:line="378" w:lineRule="exact"/>
        <w:rPr>
          <w:sz w:val="20"/>
          <w:szCs w:val="20"/>
          <w:color w:val="auto"/>
        </w:rPr>
      </w:pPr>
    </w:p>
    <w:p>
      <w:pPr>
        <w:ind w:right="2459" w:firstLine="871"/>
        <w:spacing w:after="0" w:line="287" w:lineRule="auto"/>
        <w:tabs>
          <w:tab w:leader="none" w:pos="126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MergerSub Capital Stock. Each issued and outstanding share of common stock, par value $.01 per share, of MergerSub shall be converted into and become one fully paid and nonassessable share of common stock of the Surviving Corporation.</w:t>
      </w:r>
    </w:p>
    <w:p>
      <w:pPr>
        <w:spacing w:after="0" w:line="64" w:lineRule="exact"/>
        <w:rPr>
          <w:rFonts w:ascii="Courier New" w:cs="Courier New" w:eastAsia="Courier New" w:hAnsi="Courier New"/>
          <w:sz w:val="16"/>
          <w:szCs w:val="16"/>
          <w:color w:val="auto"/>
        </w:rPr>
      </w:pPr>
    </w:p>
    <w:p>
      <w:pPr>
        <w:ind w:right="2459" w:firstLine="871"/>
        <w:spacing w:after="0" w:line="270" w:lineRule="auto"/>
        <w:tabs>
          <w:tab w:leader="none" w:pos="126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Treasury Stock and MergerSub-Owned Stock. Each Share of Company Common Stock owned by the Company shall become one share of treasury stock of the Surviving Corporation. Each Share of Company Common Stock that is owned by Parent, MergerSub, or any of their respective affiliates shall be contributed to the MergerSub immediately prior to the Effective Time and shall become one share of treasury stock of the Surviving Corporation.</w:t>
      </w:r>
    </w:p>
    <w:p>
      <w:pPr>
        <w:spacing w:after="0" w:line="80" w:lineRule="exact"/>
        <w:rPr>
          <w:rFonts w:ascii="Courier New" w:cs="Courier New" w:eastAsia="Courier New" w:hAnsi="Courier New"/>
          <w:sz w:val="16"/>
          <w:szCs w:val="16"/>
          <w:color w:val="auto"/>
        </w:rPr>
      </w:pPr>
    </w:p>
    <w:p>
      <w:pPr>
        <w:ind w:right="2459" w:firstLine="871"/>
        <w:spacing w:after="0" w:line="261" w:lineRule="auto"/>
        <w:tabs>
          <w:tab w:leader="none" w:pos="126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of Shares. Each issued and outstanding Share (other than Dissenting Shares or as otherwise provided in Section 3.1(b)) shall be converted into the right to receive the Offer Price in cash, without interest (the "SHARE CONSIDERATION"). All such Shares, when so converted, shall no longer be outstanding and shall automatically be cancelled and retired and shall cease to exist, and each holder of a certificate representing any such Shares shall cease to have any rights in respect thereof, except the right to receive the Share Consideration therefor upon the surrender of such certificate in accordance with Section 3.4, without interest.</w:t>
      </w:r>
    </w:p>
    <w:p>
      <w:pPr>
        <w:spacing w:after="0" w:line="89" w:lineRule="exact"/>
        <w:rPr>
          <w:sz w:val="20"/>
          <w:szCs w:val="20"/>
          <w:color w:val="auto"/>
        </w:rPr>
      </w:pPr>
    </w:p>
    <w:p>
      <w:pPr>
        <w:ind w:right="2459" w:firstLine="872"/>
        <w:spacing w:after="0" w:line="264" w:lineRule="auto"/>
        <w:rPr>
          <w:sz w:val="20"/>
          <w:szCs w:val="20"/>
          <w:color w:val="auto"/>
        </w:rPr>
      </w:pPr>
      <w:r>
        <w:rPr>
          <w:rFonts w:ascii="Courier New" w:cs="Courier New" w:eastAsia="Courier New" w:hAnsi="Courier New"/>
          <w:sz w:val="16"/>
          <w:szCs w:val="16"/>
          <w:color w:val="auto"/>
        </w:rPr>
        <w:t>SECTION 3.2 Stock Options. (a) Prior to the Effective Time, the Company (or, if appropriate, any committee of the Board of Directors of the Company administering the Company's 1989 Stock Option Plan and 1997 Stock Option Plan (each, a "COMPANY OPTION PLAN")) shall (i) obtain all necessary consents from, and provide (in a form acceptable to Parent) any required notices (including the notices required by paragraph (b) below) to, holders of Company Stock Options and (ii) amend the terms of the applicable Company Option Plan, in each case as is necessary to give effect to the following provisions of this Section 3.2(a):</w:t>
      </w:r>
    </w:p>
    <w:p>
      <w:pPr>
        <w:spacing w:after="0" w:line="82" w:lineRule="exact"/>
        <w:rPr>
          <w:sz w:val="20"/>
          <w:szCs w:val="20"/>
          <w:color w:val="auto"/>
        </w:rPr>
      </w:pPr>
    </w:p>
    <w:p>
      <w:pPr>
        <w:ind w:left="880" w:right="2559" w:firstLine="476"/>
        <w:spacing w:after="0" w:line="260" w:lineRule="auto"/>
        <w:tabs>
          <w:tab w:leader="none" w:pos="2237"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Section 16 of the Exchange Act, at the Effective Time each outstanding option to purchase Shares of Company Common Stock pursuant to the Company Option Plans (a "COMPANY STOCK OPTION") that is then vested pursuant to the terms of the relevant Company Option Plan (including Company Stock Options that vest at the Effective Time) shall be cancelled in exchange for the right to receive an amount in cash equal to the product of (A) the excess, if any, of the Offer Price over the per share exercise price for one Share subject to such Company Stock Option multiplied by (B) the number of vested Shares subject to such Company Stock Option.</w:t>
      </w:r>
    </w:p>
    <w:p>
      <w:pPr>
        <w:spacing w:after="0" w:line="86" w:lineRule="exact"/>
        <w:rPr>
          <w:rFonts w:ascii="Courier New" w:cs="Courier New" w:eastAsia="Courier New" w:hAnsi="Courier New"/>
          <w:sz w:val="16"/>
          <w:szCs w:val="16"/>
          <w:color w:val="auto"/>
        </w:rPr>
      </w:pPr>
    </w:p>
    <w:p>
      <w:pPr>
        <w:ind w:left="880" w:right="2459" w:firstLine="476"/>
        <w:spacing w:after="0" w:line="270" w:lineRule="auto"/>
        <w:tabs>
          <w:tab w:leader="none" w:pos="2237"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respect of each outstanding Company Stock Option that shall not vest by its terms (without any further action by the Company in respect of any Company Option Plan) at or prior to the Effective Time, Parent shall notify the Company no later than the Effective Time whether such Company Stock Option shall be subject to clause (A) or (B) below.</w:t>
      </w:r>
    </w:p>
    <w:p>
      <w:pPr>
        <w:spacing w:after="0" w:line="80" w:lineRule="exact"/>
        <w:rPr>
          <w:rFonts w:ascii="Courier New" w:cs="Courier New" w:eastAsia="Courier New" w:hAnsi="Courier New"/>
          <w:sz w:val="16"/>
          <w:szCs w:val="16"/>
          <w:color w:val="auto"/>
        </w:rPr>
      </w:pPr>
    </w:p>
    <w:p>
      <w:pPr>
        <w:ind w:left="1740" w:right="2459" w:firstLine="585"/>
        <w:spacing w:after="0" w:line="266" w:lineRule="auto"/>
        <w:tabs>
          <w:tab w:leader="none" w:pos="3000"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Section 16 of the Exchange Act, at the Effective Time each outstanding Company Stock Option which is designated by Parent to be subject to this clause (A) as provided above shall immediately vest and shall be cancelled in exchange for the right to receive an amount in cash equal to the product of (A) the excess, if any, of the Offer Price over the per share</w:t>
      </w:r>
    </w:p>
    <w:p>
      <w:pPr>
        <w:spacing w:after="0" w:line="27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73" w:right="1440" w:bottom="1440" w:gutter="0" w:footer="0" w:header="0"/>
        </w:sectPr>
      </w:pPr>
    </w:p>
    <w:bookmarkStart w:id="90" w:name="page91"/>
    <w:bookmarkEnd w:id="90"/>
    <w:p>
      <w:pPr>
        <w:spacing w:after="0"/>
        <w:rPr>
          <w:sz w:val="20"/>
          <w:szCs w:val="20"/>
          <w:color w:val="auto"/>
        </w:rPr>
      </w:pPr>
      <w:r>
        <w:rPr>
          <w:rFonts w:ascii="Courier New" w:cs="Courier New" w:eastAsia="Courier New" w:hAnsi="Courier New"/>
          <w:sz w:val="16"/>
          <w:szCs w:val="16"/>
          <w:color w:val="auto"/>
        </w:rPr>
        <w:t>15</w:t>
      </w:r>
    </w:p>
    <w:p>
      <w:pPr>
        <w:spacing w:after="0" w:line="378" w:lineRule="exact"/>
        <w:rPr>
          <w:sz w:val="20"/>
          <w:szCs w:val="20"/>
          <w:color w:val="auto"/>
        </w:rPr>
      </w:pPr>
    </w:p>
    <w:p>
      <w:pPr>
        <w:ind w:left="1440" w:right="2559"/>
        <w:spacing w:after="0" w:line="307" w:lineRule="auto"/>
        <w:rPr>
          <w:sz w:val="20"/>
          <w:szCs w:val="20"/>
          <w:color w:val="auto"/>
        </w:rPr>
      </w:pPr>
      <w:r>
        <w:rPr>
          <w:rFonts w:ascii="Courier New" w:cs="Courier New" w:eastAsia="Courier New" w:hAnsi="Courier New"/>
          <w:sz w:val="16"/>
          <w:szCs w:val="16"/>
          <w:color w:val="auto"/>
        </w:rPr>
        <w:t>exercise price for one Share subject to such Company Stock Option multiplied by (B) the number of Shares subject to such Company Stock Option that vest in the manner provided above.</w:t>
      </w:r>
    </w:p>
    <w:p>
      <w:pPr>
        <w:spacing w:after="0" w:line="50" w:lineRule="exact"/>
        <w:rPr>
          <w:sz w:val="20"/>
          <w:szCs w:val="20"/>
          <w:color w:val="auto"/>
        </w:rPr>
      </w:pPr>
    </w:p>
    <w:p>
      <w:pPr>
        <w:ind w:left="1440" w:right="2459" w:firstLine="585"/>
        <w:spacing w:after="0" w:line="249" w:lineRule="auto"/>
        <w:tabs>
          <w:tab w:leader="none" w:pos="2700"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Section 16 of the Exchange Act, at the Effective Time each outstanding Company Stock Option that is designated by Parent to be subject to this clause (B) as provided above shall be exchanged by Parent and converted into a non-qualified stock option (i.e., does not qualify under Section 422 of the Code) (a "SUBSTITUTE OPTION") to purchase the number of shares of fully paid and non-assessable shares of common stock, par value $1.00 per share, of Parent ("PARENT COMMON STOCK") (rounded up to the nearest whole share) equal to (x) the number of non-vested Shares subject to such option multiplied by (y) the Substitute Option Exchange Ratio, at an exercise price per share of Parent Common Stock (rounded down to the nearest penny) equal to (i) the former exercise price per share of Company Common Stock under such option immediately prior to the Effective Time divided by (ii) the Substitute Option Exchange Ratio. As used herein, "SUBSTITUTE OPTION EXCHANGE RATIO" shall mean the Offer Price divided by the average closing price of one share of Parent Common Stock (rounded to the nearest thousandth) as reported in the New York City edition of The Wall Street Journal during the five consecutive trading days beginning on the date hereof (the "PARENT COMMON STOCK PRICE"). Each Substitute Option shall be granted pursuant to and subject to the terms and conditions of the Parent's stock option plans and, in addition, shall be for a term of no less than ten years from the original grant date of the applicable Company Stock Option and shall have vesting provisions at least as favorable as were applicable to the converted Company Stock Option immediately prior to the Effective Time. Parent shall take such actions as are reasonably necessary for the substitution of the Company Stock Option pursuant to this clause (B), including the reservation and issuance of Parent Common Stock as is necessary to effectuate the transactions contemplated by this clause (B). In respect of those individuals, if any, who subsequent to the Effective Time will be subject to the reporting requirements under Section 16(a) of the Exchange Act, where applicable, Parent shall use all reasonable efforts to administer the Substitute Options in a manner that complies with Rule 16b-3 promulgated under the Exchange Act to the extent the applicable Company Option Plan complied with such rule prior to the Merger.</w:t>
      </w:r>
    </w:p>
    <w:p>
      <w:pPr>
        <w:spacing w:after="0" w:line="116" w:lineRule="exact"/>
        <w:rPr>
          <w:rFonts w:ascii="Courier New" w:cs="Courier New" w:eastAsia="Courier New" w:hAnsi="Courier New"/>
          <w:sz w:val="16"/>
          <w:szCs w:val="16"/>
          <w:color w:val="auto"/>
        </w:rPr>
      </w:pPr>
    </w:p>
    <w:p>
      <w:pPr>
        <w:ind w:left="-300" w:right="2459" w:firstLine="871"/>
        <w:spacing w:after="0" w:line="266" w:lineRule="auto"/>
        <w:tabs>
          <w:tab w:leader="none" w:pos="96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later than 14 days prior to the Closing Date, the Company shall deliver to the holders of Company Stock Options appropriate notices (subject to prior review and approval by Parent) setting forth such holders' rights pursuant to the terms of this Section 3.2. In addition, prior to Closing, the Company shall provide all information reasonably requested by Parent in respect of the Company Stock Options and shall fully cooperate with Parent to effect the transactions contemplated by this Section 3.2.</w:t>
      </w:r>
    </w:p>
    <w:p>
      <w:pPr>
        <w:spacing w:after="0" w:line="84" w:lineRule="exact"/>
        <w:rPr>
          <w:rFonts w:ascii="Courier New" w:cs="Courier New" w:eastAsia="Courier New" w:hAnsi="Courier New"/>
          <w:sz w:val="16"/>
          <w:szCs w:val="16"/>
          <w:color w:val="auto"/>
        </w:rPr>
      </w:pPr>
    </w:p>
    <w:p>
      <w:pPr>
        <w:ind w:left="-300" w:right="2559" w:firstLine="871"/>
        <w:spacing w:after="0" w:line="287" w:lineRule="auto"/>
        <w:tabs>
          <w:tab w:leader="none" w:pos="96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Effective Time each outstanding warrant or similar right to purchase or otherwise acquire Shares of Company Common Stock (a "COMPANY WARRANT") shall be converted into and be exchangeable for the right to receive, in lieu of the Shares theretofore</w:t>
      </w:r>
    </w:p>
    <w:p>
      <w:pPr>
        <w:spacing w:after="0" w:line="25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919"/>
          </w:cols>
          <w:pgMar w:left="540" w:top="273" w:right="1440" w:bottom="1440" w:gutter="0" w:footer="0" w:header="0"/>
        </w:sectPr>
      </w:pPr>
    </w:p>
    <w:bookmarkStart w:id="91" w:name="page92"/>
    <w:bookmarkEnd w:id="91"/>
    <w:p>
      <w:pPr>
        <w:ind w:left="300"/>
        <w:spacing w:after="0"/>
        <w:rPr>
          <w:sz w:val="20"/>
          <w:szCs w:val="20"/>
          <w:color w:val="auto"/>
        </w:rPr>
      </w:pPr>
      <w:r>
        <w:rPr>
          <w:rFonts w:ascii="Courier New" w:cs="Courier New" w:eastAsia="Courier New" w:hAnsi="Courier New"/>
          <w:sz w:val="16"/>
          <w:szCs w:val="16"/>
          <w:color w:val="auto"/>
        </w:rPr>
        <w:t>16</w:t>
      </w:r>
    </w:p>
    <w:p>
      <w:pPr>
        <w:spacing w:after="0" w:line="378" w:lineRule="exact"/>
        <w:rPr>
          <w:sz w:val="20"/>
          <w:szCs w:val="20"/>
          <w:color w:val="auto"/>
        </w:rPr>
      </w:pPr>
    </w:p>
    <w:p>
      <w:pPr>
        <w:ind w:right="2459"/>
        <w:spacing w:after="0" w:line="258" w:lineRule="auto"/>
        <w:rPr>
          <w:sz w:val="20"/>
          <w:szCs w:val="20"/>
          <w:color w:val="auto"/>
        </w:rPr>
      </w:pPr>
      <w:r>
        <w:rPr>
          <w:rFonts w:ascii="Courier New" w:cs="Courier New" w:eastAsia="Courier New" w:hAnsi="Courier New"/>
          <w:sz w:val="16"/>
          <w:szCs w:val="16"/>
          <w:color w:val="auto"/>
        </w:rPr>
        <w:t>purchasable upon the exercise of the Company Warrant, an amount in cash equal to the product of (i) the excess, if any, of the Offer Price over the per share exercise price for one Share subject to such Company Warrant multiplied by (ii) the number of Shares subject to such Company Warrant. Each Company Warrant with an exercise price equal to or greater than the Offer Price shall be terminated without payment of any consideration. The Company shall obtain the necessary consents of each holder of a Company Warrant to the transactions contemplated by this Section 3.2(c) in a form acceptable to Parent, no later than the final expiration date of the Offer. The Company shall provide to each holder of a Company Warrant any required notice (in a form acceptable to Parent) under the Company Warrants.</w:t>
      </w:r>
    </w:p>
    <w:p>
      <w:pPr>
        <w:spacing w:after="0" w:line="93" w:lineRule="exact"/>
        <w:rPr>
          <w:sz w:val="20"/>
          <w:szCs w:val="20"/>
          <w:color w:val="auto"/>
        </w:rPr>
      </w:pPr>
    </w:p>
    <w:p>
      <w:pPr>
        <w:ind w:right="2459" w:firstLine="871"/>
        <w:spacing w:after="0" w:line="258" w:lineRule="auto"/>
        <w:tabs>
          <w:tab w:leader="none" w:pos="126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Company Option Plans, Company Stock Options, and Company Warrants shall terminate (subject only to the rights to receive the consideration specified in this Section 3.2) at and as of the Effective Time and the provisions in any other plan, program, or arrangement providing for the issuance or grant of any Company Stock Options, Company Warrants, or similar instruments shall be canceled at and as of the Effective Time and the Company shall take all action necessary to ensure that following the Effective Time no participant in any Company Option Plan or other plans, programs, or arrangements or holder of any Company Warrant shall have any right thereunder to acquire equity securities of the Company, the Surviving Corporation, or any subsidiary thereof and to terminate all such plans, programs, and arrangements.</w:t>
      </w:r>
    </w:p>
    <w:p>
      <w:pPr>
        <w:spacing w:after="0" w:line="93" w:lineRule="exact"/>
        <w:rPr>
          <w:sz w:val="20"/>
          <w:szCs w:val="20"/>
          <w:color w:val="auto"/>
        </w:rPr>
      </w:pPr>
    </w:p>
    <w:p>
      <w:pPr>
        <w:ind w:right="2559" w:firstLine="872"/>
        <w:spacing w:after="0" w:line="253" w:lineRule="auto"/>
        <w:rPr>
          <w:sz w:val="20"/>
          <w:szCs w:val="20"/>
          <w:color w:val="auto"/>
        </w:rPr>
      </w:pPr>
      <w:r>
        <w:rPr>
          <w:rFonts w:ascii="Courier New" w:cs="Courier New" w:eastAsia="Courier New" w:hAnsi="Courier New"/>
          <w:sz w:val="16"/>
          <w:szCs w:val="16"/>
          <w:color w:val="auto"/>
        </w:rPr>
        <w:t>SECTION 3.3 Exchange Fund. Prior to the Effective Time, Parent shall appoint a commercial bank or trust company reasonably acceptable to the Company to act as exchange agent hereunder (the "EXCHANGE AGENT") for the purpose of exchanging (i) Shares for the Share Consideration, (ii) Company Stock Options converted pursuant to Sections 3.2(a)(i) and 3.2(a)(ii)(A) (the "CONVERTED OPTIONS") into the consideration specified in such Sections (the "CONVERTED OPTION CONSIDERATION"), and (iii) Company Warrants into the consideration specified in Section 3.2(c) (the "WARRANT CONSIDERATION" and together with the Share Consideration and the Converted Option Consideration, the "MERGER CONSIDERATION"), provided that in the case of the Converted Options and the Company Warrants, Parent may elect to administer such exchange itself (in which case references herein to the Exchange Agent in the context of the exchange of the Converted Options or the Company Warrants shall be deemed references to Parent). At or prior to the Effective Time, Parent shall deposit with the Exchange Agent, in trust for the benefit of holders of Shares, Converted Options, and Company Warrants (collectively, "CONVERTED SECURITIES"), immediately available funds in amounts necessary for the payment of the Merger Consideration as provided herein. Any funds deposited with the Exchange Agent shall hereinafter be referred to as the "EXCHANGE FUND."</w:t>
      </w:r>
    </w:p>
    <w:p>
      <w:pPr>
        <w:spacing w:after="0" w:line="97" w:lineRule="exact"/>
        <w:rPr>
          <w:sz w:val="20"/>
          <w:szCs w:val="20"/>
          <w:color w:val="auto"/>
        </w:rPr>
      </w:pPr>
    </w:p>
    <w:p>
      <w:pPr>
        <w:ind w:right="2459" w:firstLine="872"/>
        <w:spacing w:after="0" w:line="260" w:lineRule="auto"/>
        <w:rPr>
          <w:sz w:val="20"/>
          <w:szCs w:val="20"/>
          <w:color w:val="auto"/>
        </w:rPr>
      </w:pPr>
      <w:r>
        <w:rPr>
          <w:rFonts w:ascii="Courier New" w:cs="Courier New" w:eastAsia="Courier New" w:hAnsi="Courier New"/>
          <w:sz w:val="16"/>
          <w:szCs w:val="16"/>
          <w:color w:val="auto"/>
        </w:rPr>
        <w:t>SECTION 3.4 Exchange Procedures. As soon as reasonably practicable after the Effective Time, the Surviving Corporation shall cause the Exchange Agent to mail to each holder of (i) a certificate or certificates which immediately prior to the Effective Time represented outstanding Shares (the "CERTIFICATES"), (ii) a grant letter, option agreement, or other document representing a Converted Option (an "OPTION DOCUMENT"), and (iii) a certificate, agreement, or other document representing a Company Warrant (a "WARRANT CERTIFICATE"), the following: (A) a letter of transmittal which shall specify that delivery shall be effective, and risk of loss and title to the Certificates, Option Documents, and Warrant Certificates shall pass, only upon</w:t>
      </w:r>
    </w:p>
    <w:p>
      <w:pPr>
        <w:spacing w:after="0" w:line="27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73" w:right="1440" w:bottom="1440" w:gutter="0" w:footer="0" w:header="0"/>
        </w:sectPr>
      </w:pPr>
    </w:p>
    <w:bookmarkStart w:id="92" w:name="page93"/>
    <w:bookmarkEnd w:id="92"/>
    <w:p>
      <w:pPr>
        <w:ind w:left="301"/>
        <w:spacing w:after="0"/>
        <w:rPr>
          <w:sz w:val="20"/>
          <w:szCs w:val="20"/>
          <w:color w:val="auto"/>
        </w:rPr>
      </w:pPr>
      <w:r>
        <w:rPr>
          <w:rFonts w:ascii="Courier New" w:cs="Courier New" w:eastAsia="Courier New" w:hAnsi="Courier New"/>
          <w:sz w:val="16"/>
          <w:szCs w:val="16"/>
          <w:color w:val="auto"/>
        </w:rPr>
        <w:t>17</w:t>
      </w:r>
    </w:p>
    <w:p>
      <w:pPr>
        <w:spacing w:after="0" w:line="378" w:lineRule="exact"/>
        <w:rPr>
          <w:sz w:val="20"/>
          <w:szCs w:val="20"/>
          <w:color w:val="auto"/>
        </w:rPr>
      </w:pPr>
    </w:p>
    <w:p>
      <w:pPr>
        <w:ind w:left="1" w:right="2459"/>
        <w:spacing w:after="0" w:line="250" w:lineRule="auto"/>
        <w:rPr>
          <w:sz w:val="20"/>
          <w:szCs w:val="20"/>
          <w:color w:val="auto"/>
        </w:rPr>
      </w:pPr>
      <w:r>
        <w:rPr>
          <w:rFonts w:ascii="Courier New" w:cs="Courier New" w:eastAsia="Courier New" w:hAnsi="Courier New"/>
          <w:sz w:val="16"/>
          <w:szCs w:val="16"/>
          <w:color w:val="auto"/>
        </w:rPr>
        <w:t>delivery of the Certificates, Option Documents, and Warrant Certificates to the Exchange Agent, and which letter shall be in customary form and have such other provisions as Parent may reasonably specify; and (B) instructions for effecting the surrender of such Certificates, Option Documents, and Warrant Certificates in exchange for the applicable Merger Consideration. Upon surrender of a Certificate, Option Document, or Warrant Certificate to the Exchange Agent together with such letter of transmittal, duly executed and completed in accordance with the instructions thereto, and such other documents as may reasonably be required by the Exchange Agent, the holder of such Certificate, Option Document, or Warrant Certificate shall be entitled to receive in exchange therefor the applicable Merger Consideration and the Certificate, Option Document, or Warrant Certificate so surrendered shall be cancelled. No interest will be paid or will accrue on the Merger Consideration payable to holders of Certificates, Option Documents, or Warrant Certificates pursuant to the provisions of this Article III. In the event of a surrender of a Certificate representing Shares or a Warrant Certificate representing Company Warrants which are not registered in the transfer records of the Company under the name of the person surrendering such Certificate or Warrant Certificate, payment may be made to a person other than the person in whose name the Certificate or Warrant Certificate so surrendered is registered if such Certificate or Warrant Certificate shall be properly endorsed or otherwise be in proper form for transfer and the person requesting such payment shall pay any transfer or other Taxes required by reason of payment to a person other than the registered holder of such Certificate or Warrant Certificate or establish to the satisfaction of the Exchange Agent that such Tax has been paid or is not applicable. Until surrendered as contemplated by this Section 3.4, each Certificate, Option Document, and Warrant Certificate shall be deemed at any time after the Effective Time to represent only the right to receive upon such surrender the Merger Consideration which the holder thereof has the right to receive in respect of such Certificate, Option Document, or Warrant Certificate pursuant to the provisions of this Article III.</w:t>
      </w:r>
    </w:p>
    <w:p>
      <w:pPr>
        <w:spacing w:after="0" w:line="110" w:lineRule="exact"/>
        <w:rPr>
          <w:sz w:val="20"/>
          <w:szCs w:val="20"/>
          <w:color w:val="auto"/>
        </w:rPr>
      </w:pPr>
    </w:p>
    <w:p>
      <w:pPr>
        <w:ind w:left="1" w:right="2559" w:firstLine="872"/>
        <w:spacing w:after="0" w:line="276" w:lineRule="auto"/>
        <w:rPr>
          <w:sz w:val="20"/>
          <w:szCs w:val="20"/>
          <w:color w:val="auto"/>
        </w:rPr>
      </w:pPr>
      <w:r>
        <w:rPr>
          <w:rFonts w:ascii="Courier New" w:cs="Courier New" w:eastAsia="Courier New" w:hAnsi="Courier New"/>
          <w:sz w:val="16"/>
          <w:szCs w:val="16"/>
          <w:color w:val="auto"/>
        </w:rPr>
        <w:t>SECTION 3.5 No Further Ownership Rights in Company Common Stock. The Merger Consideration paid or delivered upon conversion of the Shares, Converted Options, and Company Warrants in accordance with the terms of this Article III shall be deemed to have been paid or delivered in full satisfaction of all rights pertaining to the Shares, Converted Options, and Company Warrants.</w:t>
      </w:r>
    </w:p>
    <w:p>
      <w:pPr>
        <w:spacing w:after="0" w:line="76" w:lineRule="exact"/>
        <w:rPr>
          <w:sz w:val="20"/>
          <w:szCs w:val="20"/>
          <w:color w:val="auto"/>
        </w:rPr>
      </w:pPr>
    </w:p>
    <w:p>
      <w:pPr>
        <w:ind w:left="1" w:right="2459" w:firstLine="872"/>
        <w:spacing w:after="0" w:line="251" w:lineRule="auto"/>
        <w:rPr>
          <w:sz w:val="20"/>
          <w:szCs w:val="20"/>
          <w:color w:val="auto"/>
        </w:rPr>
      </w:pPr>
      <w:r>
        <w:rPr>
          <w:rFonts w:ascii="Courier New" w:cs="Courier New" w:eastAsia="Courier New" w:hAnsi="Courier New"/>
          <w:sz w:val="16"/>
          <w:szCs w:val="16"/>
          <w:color w:val="auto"/>
        </w:rPr>
        <w:t>SECTION 3.6 Termination of Exchange Fund. Any portion of the Exchange Fund which remains undistributed to the holders of Certificates, Option Documents, and Warrant Certificates for six months after the Effective Time shall be delivered to the Surviving Corporation or otherwise on the instruction of the Surviving Corporation, and any holders of Certificates, Option Documents, and Warrant Certificates who have not theretofore complied with this Article III shall thereafter look only to the Surviving Corporation and Parent for the applicable Merger Consideration in respect of the Converted Securities formerly represented thereby to which such holders are entitled pursuant to this Article</w:t>
      </w:r>
    </w:p>
    <w:p>
      <w:pPr>
        <w:spacing w:after="0" w:line="1" w:lineRule="exact"/>
        <w:rPr>
          <w:sz w:val="20"/>
          <w:szCs w:val="20"/>
          <w:color w:val="auto"/>
        </w:rPr>
      </w:pPr>
    </w:p>
    <w:p>
      <w:pPr>
        <w:ind w:left="1" w:right="2659" w:hanging="1"/>
        <w:spacing w:after="0" w:line="262" w:lineRule="auto"/>
        <w:tabs>
          <w:tab w:leader="none" w:pos="485"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such portion of the Exchange Fund remaining unclaimed by holders of Converted Securities five years after the Effective Time (or such earlier date immediately prior to such time as such amounts would otherwise escheat to or become property of any Governmental Entity) shall, to the extent permitted by law, become the property of the Surviving Corporation free and clear of any claims or interest of any person previously entitled thereto.</w:t>
      </w:r>
    </w:p>
    <w:p>
      <w:pPr>
        <w:spacing w:after="0" w:line="274"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0"/>
          </w:cols>
          <w:pgMar w:left="239" w:top="273" w:right="1440" w:bottom="1440" w:gutter="0" w:footer="0" w:header="0"/>
        </w:sectPr>
      </w:pPr>
    </w:p>
    <w:bookmarkStart w:id="93" w:name="page94"/>
    <w:bookmarkEnd w:id="93"/>
    <w:p>
      <w:pPr>
        <w:ind w:left="300"/>
        <w:spacing w:after="0"/>
        <w:rPr>
          <w:sz w:val="20"/>
          <w:szCs w:val="20"/>
          <w:color w:val="auto"/>
        </w:rPr>
      </w:pPr>
      <w:r>
        <w:rPr>
          <w:rFonts w:ascii="Courier New" w:cs="Courier New" w:eastAsia="Courier New" w:hAnsi="Courier New"/>
          <w:sz w:val="16"/>
          <w:szCs w:val="16"/>
          <w:color w:val="auto"/>
        </w:rPr>
        <w:t>18</w:t>
      </w:r>
    </w:p>
    <w:p>
      <w:pPr>
        <w:spacing w:after="0" w:line="378" w:lineRule="exact"/>
        <w:rPr>
          <w:sz w:val="20"/>
          <w:szCs w:val="20"/>
          <w:color w:val="auto"/>
        </w:rPr>
      </w:pPr>
    </w:p>
    <w:p>
      <w:pPr>
        <w:ind w:right="2459" w:firstLine="872"/>
        <w:spacing w:after="0" w:line="287" w:lineRule="auto"/>
        <w:rPr>
          <w:sz w:val="20"/>
          <w:szCs w:val="20"/>
          <w:color w:val="auto"/>
        </w:rPr>
      </w:pPr>
      <w:r>
        <w:rPr>
          <w:rFonts w:ascii="Courier New" w:cs="Courier New" w:eastAsia="Courier New" w:hAnsi="Courier New"/>
          <w:sz w:val="16"/>
          <w:szCs w:val="16"/>
          <w:color w:val="auto"/>
        </w:rPr>
        <w:t>SECTION 3.7 No Liability. None of Parent, MergerSub, the Company, the Surviving Corporation, or the Exchange Agent shall be liable to any person in respect of any Merger Consideration from the Exchange Fund delivered to a public official pursuant to any applicable abandoned property, escheat, or similar Law.</w:t>
      </w:r>
    </w:p>
    <w:p>
      <w:pPr>
        <w:spacing w:after="0" w:line="65" w:lineRule="exact"/>
        <w:rPr>
          <w:sz w:val="20"/>
          <w:szCs w:val="20"/>
          <w:color w:val="auto"/>
        </w:rPr>
      </w:pPr>
    </w:p>
    <w:p>
      <w:pPr>
        <w:ind w:right="2659" w:firstLine="872"/>
        <w:spacing w:after="0" w:line="287" w:lineRule="auto"/>
        <w:rPr>
          <w:sz w:val="20"/>
          <w:szCs w:val="20"/>
          <w:color w:val="auto"/>
        </w:rPr>
      </w:pPr>
      <w:r>
        <w:rPr>
          <w:rFonts w:ascii="Courier New" w:cs="Courier New" w:eastAsia="Courier New" w:hAnsi="Courier New"/>
          <w:sz w:val="16"/>
          <w:szCs w:val="16"/>
          <w:color w:val="auto"/>
        </w:rPr>
        <w:t>SECTION 3.8 Investment of the Exchange Fund. The Exchange Agent shall invest any cash included in the Exchange Fund as directed by Parent on a daily basis. Any interest and other income resulting from such investments shall be paid promptly to Parent.</w:t>
      </w:r>
    </w:p>
    <w:p>
      <w:pPr>
        <w:spacing w:after="0" w:line="65" w:lineRule="exact"/>
        <w:rPr>
          <w:sz w:val="20"/>
          <w:szCs w:val="20"/>
          <w:color w:val="auto"/>
        </w:rPr>
      </w:pPr>
    </w:p>
    <w:p>
      <w:pPr>
        <w:ind w:right="2559" w:firstLine="872"/>
        <w:spacing w:after="0" w:line="258" w:lineRule="auto"/>
        <w:rPr>
          <w:sz w:val="20"/>
          <w:szCs w:val="20"/>
          <w:color w:val="auto"/>
        </w:rPr>
      </w:pPr>
      <w:r>
        <w:rPr>
          <w:rFonts w:ascii="Courier New" w:cs="Courier New" w:eastAsia="Courier New" w:hAnsi="Courier New"/>
          <w:sz w:val="16"/>
          <w:szCs w:val="16"/>
          <w:color w:val="auto"/>
        </w:rPr>
        <w:t>SECTION 3.9 Lost Certificates. If any Certificate, Option Document, or Warrant Certificate shall have been lost, stolen, or destroyed, upon the making of an affidavit of that fact by the person claiming such Certificate, Option Document, or Warrant Certificate to be lost, stolen, or destroyed and, if required by the Surviving Corporation, the posting by such person of a bond in such reasonable amount as the Surviving Corporation may direct as indemnity against any claim that may be made against it in respect of such Certificate, Option Document, or Warrant Certificate, the Exchange Agent will deliver in exchange for such lost, stolen, or destroyed Certificate, Option Document, or Warrant Certificate the applicable Merger Consideration in respect of the Converted Securities formerly represented thereby.</w:t>
      </w:r>
    </w:p>
    <w:p>
      <w:pPr>
        <w:spacing w:after="0" w:line="93" w:lineRule="exact"/>
        <w:rPr>
          <w:sz w:val="20"/>
          <w:szCs w:val="20"/>
          <w:color w:val="auto"/>
        </w:rPr>
      </w:pPr>
    </w:p>
    <w:p>
      <w:pPr>
        <w:ind w:right="2459" w:firstLine="872"/>
        <w:spacing w:after="0" w:line="258" w:lineRule="auto"/>
        <w:rPr>
          <w:sz w:val="20"/>
          <w:szCs w:val="20"/>
          <w:color w:val="auto"/>
        </w:rPr>
      </w:pPr>
      <w:r>
        <w:rPr>
          <w:rFonts w:ascii="Courier New" w:cs="Courier New" w:eastAsia="Courier New" w:hAnsi="Courier New"/>
          <w:sz w:val="16"/>
          <w:szCs w:val="16"/>
          <w:color w:val="auto"/>
        </w:rPr>
        <w:t>SECTION 3.10 Withholding Rights. Each of the Surviving Corporation and Parent shall be entitled to deduct and withhold from the applicable Merger Consideration otherwise payable pursuant to this Agreement to any holder of Converted Securities such amounts as it is required to deduct and withhold in respect of the making of such payment under the Code and the rules and regulations promulgated thereunder, or any provision of a Tax Law. To the extent that amounts are so withheld by the Surviving Corporation or Parent, as the case may be, such withheld amounts shall be treated for all purposes of this Agreement as having been paid to the holder of the Converted Securities in respect to which such deduction and withholding was made by the Surviving Corporation or Parent, as the case may be.</w:t>
      </w:r>
    </w:p>
    <w:p>
      <w:pPr>
        <w:spacing w:after="0" w:line="93" w:lineRule="exact"/>
        <w:rPr>
          <w:sz w:val="20"/>
          <w:szCs w:val="20"/>
          <w:color w:val="auto"/>
        </w:rPr>
      </w:pPr>
    </w:p>
    <w:p>
      <w:pPr>
        <w:ind w:right="2459" w:firstLine="872"/>
        <w:spacing w:after="0" w:line="264" w:lineRule="auto"/>
        <w:rPr>
          <w:sz w:val="20"/>
          <w:szCs w:val="20"/>
          <w:color w:val="auto"/>
        </w:rPr>
      </w:pPr>
      <w:r>
        <w:rPr>
          <w:rFonts w:ascii="Courier New" w:cs="Courier New" w:eastAsia="Courier New" w:hAnsi="Courier New"/>
          <w:sz w:val="16"/>
          <w:szCs w:val="16"/>
          <w:color w:val="auto"/>
        </w:rPr>
        <w:t>SECTION 3.11 Stock Transfer Books. The stock transfer books of the Company shall be closed immediately upon the Effective Time and there shall be no further registration of transfers of Shares or Company Warrants thereafter on the records of the Company. At and after the Effective Time, any Certificates, Option Documents, or Warrant Certificates presented to the Exchange Agent or Parent for any reason shall be converted into the applicable Merger Consideration in respect of the Converted Securities formerly represented thereby.</w:t>
      </w:r>
    </w:p>
    <w:p>
      <w:pPr>
        <w:spacing w:after="0" w:line="82" w:lineRule="exact"/>
        <w:rPr>
          <w:sz w:val="20"/>
          <w:szCs w:val="20"/>
          <w:color w:val="auto"/>
        </w:rPr>
      </w:pPr>
    </w:p>
    <w:p>
      <w:pPr>
        <w:ind w:right="2459" w:firstLine="872"/>
        <w:spacing w:after="0" w:line="257" w:lineRule="auto"/>
        <w:rPr>
          <w:sz w:val="20"/>
          <w:szCs w:val="20"/>
          <w:color w:val="auto"/>
        </w:rPr>
      </w:pPr>
      <w:r>
        <w:rPr>
          <w:rFonts w:ascii="Courier New" w:cs="Courier New" w:eastAsia="Courier New" w:hAnsi="Courier New"/>
          <w:sz w:val="16"/>
          <w:szCs w:val="16"/>
          <w:color w:val="auto"/>
        </w:rPr>
        <w:t>SECTION 3.12 Appraisal Rights. Notwithstanding any other provision of this Agreement to the contrary, Shares (the "DISSENTING SHARES") that are issued and outstanding immediately prior to the Effective Time and which are held by stockholders who did not vote in favor of the Merger and who comply with all of the relevant provisions of Section 262 of the DGCL (the "DISSENTING STOCKHOLDERS") shall not be converted into or be exchangeable for the right to receive the Share Consideration, unless and until such holders shall have failed to perfect or shall have effectively withdrawn or lost their rights to appraisal under the DGCL. If any Dissenting Stockholder shall have failed to perfect or shall have effectively withdrawn or lost such right, such holder's Shares shall thereupon be converted into and become exchangeable for the right to receive, as of the Effective Time, the Share Consideration without any interest</w:t>
      </w:r>
    </w:p>
    <w:p>
      <w:pPr>
        <w:spacing w:after="0" w:line="28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273" w:right="1440" w:bottom="1440" w:gutter="0" w:footer="0" w:header="0"/>
        </w:sectPr>
      </w:pPr>
    </w:p>
    <w:bookmarkStart w:id="94" w:name="page95"/>
    <w:bookmarkEnd w:id="94"/>
    <w:p>
      <w:pPr>
        <w:ind w:left="300"/>
        <w:spacing w:after="0"/>
        <w:rPr>
          <w:sz w:val="20"/>
          <w:szCs w:val="20"/>
          <w:color w:val="auto"/>
        </w:rPr>
      </w:pPr>
      <w:r>
        <w:rPr>
          <w:rFonts w:ascii="Courier New" w:cs="Courier New" w:eastAsia="Courier New" w:hAnsi="Courier New"/>
          <w:sz w:val="16"/>
          <w:szCs w:val="16"/>
          <w:color w:val="auto"/>
        </w:rPr>
        <w:t>19</w:t>
      </w:r>
    </w:p>
    <w:p>
      <w:pPr>
        <w:spacing w:after="0" w:line="378" w:lineRule="exact"/>
        <w:rPr>
          <w:sz w:val="20"/>
          <w:szCs w:val="20"/>
          <w:color w:val="auto"/>
        </w:rPr>
      </w:pPr>
    </w:p>
    <w:p>
      <w:pPr>
        <w:ind w:right="2459"/>
        <w:spacing w:after="0" w:line="257" w:lineRule="auto"/>
        <w:rPr>
          <w:sz w:val="20"/>
          <w:szCs w:val="20"/>
          <w:color w:val="auto"/>
        </w:rPr>
      </w:pPr>
      <w:r>
        <w:rPr>
          <w:rFonts w:ascii="Courier New" w:cs="Courier New" w:eastAsia="Courier New" w:hAnsi="Courier New"/>
          <w:sz w:val="16"/>
          <w:szCs w:val="16"/>
          <w:color w:val="auto"/>
        </w:rPr>
        <w:t>thereon. The Company shall give Parent (i) prompt notice of any written demands for appraisal of any Shares, attempted withdrawals of such demands, and any other instruments served pursuant to the DGCL and received by the Company relating to stockholders' rights of appraisal, and (ii) the opportunity to direct all negotiations and proceedings in respect of demands for appraisal under the DGCL. Neither the Company nor the Surviving Corporation shall, except with the prior written consent of Parent, voluntarily make any payment in respect of, or settle or offer to settle, any such demand for payment. If any Dissenting Stockholder shall fail to perfect or shall have effectively withdrawn or lost the right to dissent, the Shares held by such Dissenting Stockholder shall thereupon be treated as though such Shares had been converted into the right to receive the Share Consideration pursuant to Section 3.1(c).</w:t>
      </w:r>
    </w:p>
    <w:p>
      <w:pPr>
        <w:spacing w:after="0" w:line="93"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ARTICLE IV</w:t>
      </w:r>
    </w:p>
    <w:p>
      <w:pPr>
        <w:spacing w:after="0" w:line="3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REPRESENTATIONS AND WARRANTIES OF THE COMPANY</w:t>
      </w:r>
    </w:p>
    <w:p>
      <w:pPr>
        <w:spacing w:after="0" w:line="161" w:lineRule="exact"/>
        <w:rPr>
          <w:sz w:val="20"/>
          <w:szCs w:val="20"/>
          <w:color w:val="auto"/>
        </w:rPr>
      </w:pPr>
    </w:p>
    <w:p>
      <w:pPr>
        <w:ind w:right="2459" w:firstLine="872"/>
        <w:spacing w:after="0" w:line="270" w:lineRule="auto"/>
        <w:rPr>
          <w:sz w:val="20"/>
          <w:szCs w:val="20"/>
          <w:color w:val="auto"/>
        </w:rPr>
      </w:pPr>
      <w:r>
        <w:rPr>
          <w:rFonts w:ascii="Courier New" w:cs="Courier New" w:eastAsia="Courier New" w:hAnsi="Courier New"/>
          <w:sz w:val="16"/>
          <w:szCs w:val="16"/>
          <w:color w:val="auto"/>
        </w:rPr>
        <w:t>Except as set forth in the disclosure schedule delivered by the Company to Parent prior to the execution of this Agreement (the "COMPANY DISCLOSURE SCHEDULE") (each section of which qualifies the correspondingly numbered representation and warranty or covenant to the extent specified therein), the Company hereby represents and warrants to each of Parent and MergerSub as follows:</w:t>
      </w:r>
    </w:p>
    <w:p>
      <w:pPr>
        <w:spacing w:after="0" w:line="81" w:lineRule="exact"/>
        <w:rPr>
          <w:sz w:val="20"/>
          <w:szCs w:val="20"/>
          <w:color w:val="auto"/>
        </w:rPr>
      </w:pPr>
    </w:p>
    <w:p>
      <w:pPr>
        <w:ind w:right="3039" w:firstLine="872"/>
        <w:spacing w:after="0" w:line="266" w:lineRule="auto"/>
        <w:rPr>
          <w:sz w:val="20"/>
          <w:szCs w:val="20"/>
          <w:color w:val="auto"/>
        </w:rPr>
      </w:pPr>
      <w:r>
        <w:rPr>
          <w:rFonts w:ascii="Courier New" w:cs="Courier New" w:eastAsia="Courier New" w:hAnsi="Courier New"/>
          <w:sz w:val="16"/>
          <w:szCs w:val="16"/>
          <w:color w:val="auto"/>
        </w:rPr>
        <w:t>SECTION 4.1 Organization and Qualification; Subsidiaries. (a) The Company and each of its subsidiaries is a corporation or legal entity duly organized, validly existing, and in good standing under the Laws of the jurisdiction of its incorporation or organization and has all requisite corporate, partnership, or similar power and authority to own, lease, and operate its properties and to carry on its businesses as now conducted and proposed by the Company to be conducted.</w:t>
      </w:r>
    </w:p>
    <w:p>
      <w:pPr>
        <w:spacing w:after="0" w:line="85" w:lineRule="exact"/>
        <w:rPr>
          <w:sz w:val="20"/>
          <w:szCs w:val="20"/>
          <w:color w:val="auto"/>
        </w:rPr>
      </w:pPr>
    </w:p>
    <w:p>
      <w:pPr>
        <w:ind w:right="2459" w:firstLine="871"/>
        <w:spacing w:after="0" w:line="276" w:lineRule="auto"/>
        <w:tabs>
          <w:tab w:leader="none" w:pos="126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4.1 of the Company Disclosure Schedule sets forth a list of all subsidiaries of the Company. Except as listed in Section 4.1 of the Company Disclosure Schedule, the Company does not own, directly or indirectly, beneficially or of record, any shares of capital stock or other security of any other entity or any other investment in any other entity.</w:t>
      </w:r>
    </w:p>
    <w:p>
      <w:pPr>
        <w:spacing w:after="0" w:line="75" w:lineRule="exact"/>
        <w:rPr>
          <w:rFonts w:ascii="Courier New" w:cs="Courier New" w:eastAsia="Courier New" w:hAnsi="Courier New"/>
          <w:sz w:val="16"/>
          <w:szCs w:val="16"/>
          <w:color w:val="auto"/>
        </w:rPr>
      </w:pPr>
    </w:p>
    <w:p>
      <w:pPr>
        <w:ind w:right="2559" w:firstLine="871"/>
        <w:spacing w:after="0" w:line="266" w:lineRule="auto"/>
        <w:tabs>
          <w:tab w:leader="none" w:pos="126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Company and its subsidiaries is duly qualified or licensed and in good standing to do business in each jurisdiction in which the property owned, leased, or operated by it or the nature of the business conducted by it makes such qualification or licensing necessary, except where the failure to be so duly qualified or licensed and in good standing does not and would not reasonably be expected to have, individually or in the aggregate, a Material Adverse Effect on the Company.</w:t>
      </w:r>
    </w:p>
    <w:p>
      <w:pPr>
        <w:spacing w:after="0" w:line="84" w:lineRule="exact"/>
        <w:rPr>
          <w:rFonts w:ascii="Courier New" w:cs="Courier New" w:eastAsia="Courier New" w:hAnsi="Courier New"/>
          <w:sz w:val="16"/>
          <w:szCs w:val="16"/>
          <w:color w:val="auto"/>
        </w:rPr>
      </w:pPr>
    </w:p>
    <w:p>
      <w:pPr>
        <w:ind w:right="2459" w:firstLine="871"/>
        <w:spacing w:after="0" w:line="287" w:lineRule="auto"/>
        <w:tabs>
          <w:tab w:leader="none" w:pos="126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heretofore delivered to Parent accurate and complete copies of the certificate of incorporation and bylaws (or other similar organizational and governing documents), as currently in effect, of each of the Company and each of its subsidiaries.</w:t>
      </w:r>
    </w:p>
    <w:p>
      <w:pPr>
        <w:spacing w:after="0" w:line="65" w:lineRule="exact"/>
        <w:rPr>
          <w:sz w:val="20"/>
          <w:szCs w:val="20"/>
          <w:color w:val="auto"/>
        </w:rPr>
      </w:pPr>
    </w:p>
    <w:p>
      <w:pPr>
        <w:ind w:right="2459" w:firstLine="872"/>
        <w:spacing w:after="0" w:line="287" w:lineRule="auto"/>
        <w:rPr>
          <w:sz w:val="20"/>
          <w:szCs w:val="20"/>
          <w:color w:val="auto"/>
        </w:rPr>
      </w:pPr>
      <w:r>
        <w:rPr>
          <w:rFonts w:ascii="Courier New" w:cs="Courier New" w:eastAsia="Courier New" w:hAnsi="Courier New"/>
          <w:sz w:val="16"/>
          <w:szCs w:val="16"/>
          <w:color w:val="auto"/>
        </w:rPr>
        <w:t>SECTION 4.2 Capitalization of the Company and Its Subsidiaries. (a) The authorized capital stock of the Company consists of: (i) 50,000,000 Shares, of which 7,713,082 Shares were issued and outstanding as of the close of business on April 28, 1999 and none of</w:t>
      </w:r>
    </w:p>
    <w:p>
      <w:pPr>
        <w:spacing w:after="0" w:line="25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73" w:right="1440" w:bottom="1440" w:gutter="0" w:footer="0" w:header="0"/>
        </w:sectPr>
      </w:pPr>
    </w:p>
    <w:bookmarkStart w:id="95" w:name="page96"/>
    <w:bookmarkEnd w:id="95"/>
    <w:p>
      <w:pPr>
        <w:ind w:left="301"/>
        <w:spacing w:after="0"/>
        <w:rPr>
          <w:sz w:val="20"/>
          <w:szCs w:val="20"/>
          <w:color w:val="auto"/>
        </w:rPr>
      </w:pPr>
      <w:r>
        <w:rPr>
          <w:rFonts w:ascii="Courier New" w:cs="Courier New" w:eastAsia="Courier New" w:hAnsi="Courier New"/>
          <w:sz w:val="16"/>
          <w:szCs w:val="16"/>
          <w:color w:val="auto"/>
        </w:rPr>
        <w:t>20</w:t>
      </w:r>
    </w:p>
    <w:p>
      <w:pPr>
        <w:spacing w:after="0" w:line="378" w:lineRule="exact"/>
        <w:rPr>
          <w:sz w:val="20"/>
          <w:szCs w:val="20"/>
          <w:color w:val="auto"/>
        </w:rPr>
      </w:pPr>
    </w:p>
    <w:p>
      <w:pPr>
        <w:ind w:left="1" w:right="2459"/>
        <w:spacing w:after="0" w:line="249" w:lineRule="auto"/>
        <w:rPr>
          <w:sz w:val="20"/>
          <w:szCs w:val="20"/>
          <w:color w:val="auto"/>
        </w:rPr>
      </w:pPr>
      <w:r>
        <w:rPr>
          <w:rFonts w:ascii="Courier New" w:cs="Courier New" w:eastAsia="Courier New" w:hAnsi="Courier New"/>
          <w:sz w:val="16"/>
          <w:szCs w:val="16"/>
          <w:color w:val="auto"/>
        </w:rPr>
        <w:t>which are held in the Company's treasury, and (ii) 7,000,000 shares of preferred stock, par value $.001 per share (the "PREFERRED STOCK"), no shares of which are outstanding. All of the issued and outstanding Shares have been validly issued, and are duly authorized, fully paid, non-assessable, and free of preemptive rights. As of April 28, 1999, 247,999 Shares were reserved for issuance and issuable upon or otherwise deliverable in connection with the exercise of outstanding Company Stock Options issued pursuant to the Company Option Plans, 308,566 Shares were reserved for issuance and issuable upon or otherwise deliverable in connection with the exercise of outstanding Company Warrants, and 220,754 Shares were reserved for issuance pursuant to the Company Stock Purchase Plan. Since April 28, 1999, no shares of the Company's capital stock have been issued other than pursuant to Company Stock Options or Company Warrants already in existence on such date or pursuant to the Company Stock Purchase Plan, and, since the date hereof, no Company Stock Options or Company Warrants have been granted. Except as set forth above, as of April 28, 1999, there are outstanding</w:t>
      </w:r>
    </w:p>
    <w:p>
      <w:pPr>
        <w:spacing w:after="0" w:line="4" w:lineRule="exact"/>
        <w:rPr>
          <w:sz w:val="20"/>
          <w:szCs w:val="20"/>
          <w:color w:val="auto"/>
        </w:rPr>
      </w:pPr>
    </w:p>
    <w:p>
      <w:pPr>
        <w:ind w:left="1" w:right="2659" w:hanging="1"/>
        <w:spacing w:after="0" w:line="246" w:lineRule="auto"/>
        <w:tabs>
          <w:tab w:leader="none" w:pos="388"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shares of capital stock or other voting securities of the Company; (ii) no securities of the Company or any of its subsidiaries convertible into or exchangeable for shares of capital stock or voting securities of the Company;</w:t>
      </w:r>
    </w:p>
    <w:p>
      <w:pPr>
        <w:spacing w:after="0" w:line="1" w:lineRule="exact"/>
        <w:rPr>
          <w:rFonts w:ascii="Courier New" w:cs="Courier New" w:eastAsia="Courier New" w:hAnsi="Courier New"/>
          <w:sz w:val="16"/>
          <w:szCs w:val="16"/>
          <w:color w:val="auto"/>
        </w:rPr>
      </w:pPr>
    </w:p>
    <w:p>
      <w:pPr>
        <w:ind w:left="1" w:right="2459" w:hanging="1"/>
        <w:spacing w:after="0" w:line="251" w:lineRule="auto"/>
        <w:tabs>
          <w:tab w:leader="none" w:pos="582"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options or other rights to acquire from the Company or any of its subsidiaries, and no obligations of the Company or any of its subsidiaries to issue, any capital stock, voting securities, or securities convertible into or exchangeable for capital stock or voting securities of the Company; and (iv) no equity equivalents, interests in the ownership or earnings of the Company or any of its subsidiaries, or other similar rights (including, stock appreciation rights) (collectively, "COMPANY SECURITIES"). There are no outstanding obligations of the Company or any of its subsidiaries to repurchase, redeem, or otherwise acquire any Company Securities. There are no stockholder agreements, voting trusts, or other agreements or understandings to which the Company or any of its subsidiaries is a party or to which it is bound relating to the voting of any shares of capital stock of the Company. Section 4.2(a) of the Company Disclosure Schedule sets forth as of April 28, 1999 information regarding the current exercise price, the date of grant, and the number of Company Stock Options and Company Warrants granted for each holder thereof. Following the Effective Time, no holder of Company Stock Options or Company Warrants will have any right to receive shares of common stock of the Surviving Corporation upon exercise of the Company Stock Options or Company Warrants.</w:t>
      </w:r>
    </w:p>
    <w:p>
      <w:pPr>
        <w:spacing w:after="0" w:line="98" w:lineRule="exact"/>
        <w:rPr>
          <w:rFonts w:ascii="Courier New" w:cs="Courier New" w:eastAsia="Courier New" w:hAnsi="Courier New"/>
          <w:sz w:val="16"/>
          <w:szCs w:val="16"/>
          <w:color w:val="auto"/>
        </w:rPr>
      </w:pPr>
    </w:p>
    <w:p>
      <w:pPr>
        <w:ind w:left="1" w:right="2459" w:firstLine="871"/>
        <w:spacing w:after="0" w:line="254" w:lineRule="auto"/>
        <w:tabs>
          <w:tab w:leader="none" w:pos="1260"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Section 4.2(b) of the Company Disclosure Schedule in respect of ISS-Nagano GmbH (the "GERMANY SUBSIDIARY"), all of the outstanding capital stock of the Company's subsidiaries is owned by the Company, directly or indirectly, free and clear of any Lien or any other limitation or restriction (including, any restriction on the right to vote or sell the same, except as may be provided as a matter of Law). There are no securities of the Company or its subsidiaries convertible into or exchangeable for, no options or other rights to acquire from the Company or its subsidiaries, and no other contract, understanding, arrangement, or obligation (whether or not contingent) providing for the issuance or sale, directly or indirectly of, any capital stock or other ownership interests in, or any other securities of, any subsidiary of the Company. Except for the stock purchase agreement dated as of April 21, 1999 by and among the Company and Nagano Keiki Co., Ltd. pursuant to which the Company has agreed to purchase all of the issued and outstanding shares of capital stock of its German Subsidiary not owned by the Company (the "SUBSIDIARY STOCK PURCHASE AGREEMENT"), there are no outstanding contractual obligations of the Company or its subsidiaries to repurchase, redeem, or</w:t>
      </w:r>
    </w:p>
    <w:p>
      <w:pPr>
        <w:spacing w:after="0" w:line="280"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0"/>
          </w:cols>
          <w:pgMar w:left="239" w:top="273" w:right="1440" w:bottom="1440" w:gutter="0" w:footer="0" w:header="0"/>
        </w:sectPr>
      </w:pPr>
    </w:p>
    <w:bookmarkStart w:id="96" w:name="page97"/>
    <w:bookmarkEnd w:id="96"/>
    <w:p>
      <w:pPr>
        <w:ind w:left="300"/>
        <w:spacing w:after="0"/>
        <w:rPr>
          <w:sz w:val="20"/>
          <w:szCs w:val="20"/>
          <w:color w:val="auto"/>
        </w:rPr>
      </w:pPr>
      <w:r>
        <w:rPr>
          <w:rFonts w:ascii="Courier New" w:cs="Courier New" w:eastAsia="Courier New" w:hAnsi="Courier New"/>
          <w:sz w:val="16"/>
          <w:szCs w:val="16"/>
          <w:color w:val="auto"/>
        </w:rPr>
        <w:t>21</w:t>
      </w:r>
    </w:p>
    <w:p>
      <w:pPr>
        <w:spacing w:after="0" w:line="378" w:lineRule="exact"/>
        <w:rPr>
          <w:sz w:val="20"/>
          <w:szCs w:val="20"/>
          <w:color w:val="auto"/>
        </w:rPr>
      </w:pPr>
    </w:p>
    <w:p>
      <w:pPr>
        <w:ind w:right="2659"/>
        <w:spacing w:after="0" w:line="276" w:lineRule="auto"/>
        <w:rPr>
          <w:sz w:val="20"/>
          <w:szCs w:val="20"/>
          <w:color w:val="auto"/>
        </w:rPr>
      </w:pPr>
      <w:r>
        <w:rPr>
          <w:rFonts w:ascii="Courier New" w:cs="Courier New" w:eastAsia="Courier New" w:hAnsi="Courier New"/>
          <w:sz w:val="16"/>
          <w:szCs w:val="16"/>
          <w:color w:val="auto"/>
        </w:rPr>
        <w:t>otherwise acquire any outstanding shares of capital stock or other ownership interests in any subsidiary of the Company. For purposes of this Agreement, "LIEN" means, in respect of any asset (including, any security) any mortgage, lien, pledge, charge, security interest, or encumbrance of any kind in respect of such asset.</w:t>
      </w:r>
    </w:p>
    <w:p>
      <w:pPr>
        <w:spacing w:after="0" w:line="76" w:lineRule="exact"/>
        <w:rPr>
          <w:sz w:val="20"/>
          <w:szCs w:val="20"/>
          <w:color w:val="auto"/>
        </w:rPr>
      </w:pPr>
    </w:p>
    <w:p>
      <w:pPr>
        <w:ind w:right="2459" w:firstLine="872"/>
        <w:spacing w:after="0" w:line="260" w:lineRule="auto"/>
        <w:rPr>
          <w:sz w:val="20"/>
          <w:szCs w:val="20"/>
          <w:color w:val="auto"/>
        </w:rPr>
      </w:pPr>
      <w:r>
        <w:rPr>
          <w:rFonts w:ascii="Courier New" w:cs="Courier New" w:eastAsia="Courier New" w:hAnsi="Courier New"/>
          <w:sz w:val="16"/>
          <w:szCs w:val="16"/>
          <w:color w:val="auto"/>
        </w:rPr>
        <w:t>SECTION 4.3 Authority Relative to This Agreement; Consents and Approvals. (a) The Company has all necessary corporate power and authority to execute and deliver this Agreement and to consummate the transactions contemplated hereby. No other corporate proceedings on the part of the Company are necessary to authorize this Agreement or to consummate the transactions contemplated hereby (other than, in respect of the Merger and this Agreement, the Company Requisite Vote). This Agreement has been duly and validly executed and delivered by the Company and constitutes a valid, legal, and binding agreement of the Company, enforceable against the Company in accordance with its terms.</w:t>
      </w:r>
    </w:p>
    <w:p>
      <w:pPr>
        <w:spacing w:after="0" w:line="86" w:lineRule="exact"/>
        <w:rPr>
          <w:sz w:val="20"/>
          <w:szCs w:val="20"/>
          <w:color w:val="auto"/>
        </w:rPr>
      </w:pPr>
    </w:p>
    <w:p>
      <w:pPr>
        <w:ind w:right="2459" w:firstLine="871"/>
        <w:spacing w:after="0" w:line="253" w:lineRule="auto"/>
        <w:tabs>
          <w:tab w:leader="none" w:pos="126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Board has, by unanimous vote of those present (who constituted 100% of the directors then in office), duly and validly authorized the execution and delivery of this Agreement and the Stockholders Agreement and approved the consummation of the transactions contemplated hereby and thereby, and taken all corporate actions required to be taken by the Company Board for the consummation of the transactions, including the Offer and the Merger, contemplated hereby and has resolved (i) this Agreement and the transactions contemplated hereby, including the Offer and the Merger, taken together, to be advisable, fair to, and in the best interests of, the Company and its stockholders; and (ii) to recommend that the stockholders of the Company approve and adopt this Agreement. The Company Board has directed that this Agreement be submitted to the stockholders of the Company for their approval. The affirmative approval of the holders of Shares representing a majority of the votes that may be cast by the holders of all outstanding Shares (voting as a single class) as of the record date for the Company (the "COMPANY REQUISITE VOTE") is the only vote of the holders of any class or series of capital stock of the Company necessary to adopt this Agreement and approve the transactions contemplated hereby, including the Offer and the Merger.</w:t>
      </w:r>
    </w:p>
    <w:p>
      <w:pPr>
        <w:spacing w:after="0" w:line="101" w:lineRule="exact"/>
        <w:rPr>
          <w:sz w:val="20"/>
          <w:szCs w:val="20"/>
          <w:color w:val="auto"/>
        </w:rPr>
      </w:pPr>
    </w:p>
    <w:p>
      <w:pPr>
        <w:ind w:right="2459" w:firstLine="872"/>
        <w:spacing w:after="0" w:line="253" w:lineRule="auto"/>
        <w:rPr>
          <w:sz w:val="20"/>
          <w:szCs w:val="20"/>
          <w:color w:val="auto"/>
        </w:rPr>
      </w:pPr>
      <w:r>
        <w:rPr>
          <w:rFonts w:ascii="Courier New" w:cs="Courier New" w:eastAsia="Courier New" w:hAnsi="Courier New"/>
          <w:sz w:val="16"/>
          <w:szCs w:val="16"/>
          <w:color w:val="auto"/>
        </w:rPr>
        <w:t>SECTION 4.4 SEC Reports; Financial Statements. (a) The Company has filed all required forms, reports, and documents with the SEC since January 1, 1998, each of which has complied in all material respects with all applicable requirements of the Exchange Act, each as in effect on the dates such forms, reports, and documents were filed. The Company has heretofore delivered to Parent, in the form filed with the SEC (including, any amendments thereto), (i) its Annual Report on Form 10-KSB for the fiscal year ended March 31, 1998; (ii) all definitive proxy statements relating to the Company's meetings of stockholders (whether annual or special) held since January 1, 1998; and (iii) all other reports (including, all Forms 10-QSB filed for the fiscal year ended March 31, 1999) or registration statements filed by the Company with the SEC since January 1, 1998 (the "COMPANY SEC REPORTS"). None of such forms, reports, or documents, including, any financial statements or schedules included or incorporated by reference therein, contained, when filed, any untrue statement of a material fact or omitted to state a material fact required to be stated or incorporated by reference therein or necessary in order to make the statements therein, in light of the circumstances under which they were made, not misleading. The consolidated financial statements of the Company included in the Company SEC Reports complied as to form in all material respects with applicable accounting</w:t>
      </w:r>
    </w:p>
    <w:p>
      <w:pPr>
        <w:spacing w:after="0" w:line="2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273" w:right="1440" w:bottom="1440" w:gutter="0" w:footer="0" w:header="0"/>
        </w:sectPr>
      </w:pPr>
    </w:p>
    <w:bookmarkStart w:id="97" w:name="page98"/>
    <w:bookmarkEnd w:id="97"/>
    <w:p>
      <w:pPr>
        <w:ind w:left="300"/>
        <w:spacing w:after="0"/>
        <w:rPr>
          <w:sz w:val="20"/>
          <w:szCs w:val="20"/>
          <w:color w:val="auto"/>
        </w:rPr>
      </w:pPr>
      <w:r>
        <w:rPr>
          <w:rFonts w:ascii="Courier New" w:cs="Courier New" w:eastAsia="Courier New" w:hAnsi="Courier New"/>
          <w:sz w:val="16"/>
          <w:szCs w:val="16"/>
          <w:color w:val="auto"/>
        </w:rPr>
        <w:t>22</w:t>
      </w:r>
    </w:p>
    <w:p>
      <w:pPr>
        <w:spacing w:after="0" w:line="378" w:lineRule="exact"/>
        <w:rPr>
          <w:sz w:val="20"/>
          <w:szCs w:val="20"/>
          <w:color w:val="auto"/>
        </w:rPr>
      </w:pPr>
    </w:p>
    <w:p>
      <w:pPr>
        <w:ind w:right="2459"/>
        <w:spacing w:after="0" w:line="256" w:lineRule="auto"/>
        <w:rPr>
          <w:sz w:val="20"/>
          <w:szCs w:val="20"/>
          <w:color w:val="auto"/>
        </w:rPr>
      </w:pPr>
      <w:r>
        <w:rPr>
          <w:rFonts w:ascii="Courier New" w:cs="Courier New" w:eastAsia="Courier New" w:hAnsi="Courier New"/>
          <w:sz w:val="16"/>
          <w:szCs w:val="16"/>
          <w:color w:val="auto"/>
        </w:rPr>
        <w:t>requirements and the published rules and regulations of the SEC in respect thereof and fairly present, in conformity with generally accepted accounting principles applied on a consistent basis ("GAAP") (except as may be indicated in the notes thereto), the consolidated financial position of the Company and its consolidated subsidiaries as of the dates thereof and their consolidated results of operations and changes in financial position for the periods then ended (subject, in the case of the unaudited interim financial statements, to normal year-end adjustments). For purposes of this Agreement, "COMPANY BALANCE SHEET" means the consolidated balance sheet of the Company as of March 31, 1998, and "COMPANY BALANCE SHEET DATE" means March 31, 1998. Since March 31, 1998, there has not been any change, or any application or request for any change, by the Company or any of its subsidiaries in accounting principles, methods, or policies for financial accounting or Tax purposes (subject, in the case of the unaudited interim financial statements, to normal year-end adjustments).</w:t>
      </w:r>
    </w:p>
    <w:p>
      <w:pPr>
        <w:spacing w:after="0" w:line="89" w:lineRule="exact"/>
        <w:rPr>
          <w:sz w:val="20"/>
          <w:szCs w:val="20"/>
          <w:color w:val="auto"/>
        </w:rPr>
      </w:pPr>
    </w:p>
    <w:p>
      <w:pPr>
        <w:ind w:right="2459" w:firstLine="871"/>
        <w:spacing w:after="0" w:line="260" w:lineRule="auto"/>
        <w:tabs>
          <w:tab w:leader="none" w:pos="126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delivered to Parent the unaudited balance sheets and other financial statements of the German Subsidiary that were prepared by the German Subsidiary's managing director and approved by the German Subsidiary's stockholders for the three preceding fiscal years. Such financial statements have all been prepared in accordance with German generally accepted accounting principles consistently applied throughout the periods involved. Such financial statements fairly present the financial position, assets, liabilities (whether accrued, absolute, contingent, or otherwise), results of operations, and changes in stockholders equity of the German Subsidiary for the periods covered thereby.</w:t>
      </w:r>
    </w:p>
    <w:p>
      <w:pPr>
        <w:spacing w:after="0" w:line="86" w:lineRule="exact"/>
        <w:rPr>
          <w:rFonts w:ascii="Courier New" w:cs="Courier New" w:eastAsia="Courier New" w:hAnsi="Courier New"/>
          <w:sz w:val="16"/>
          <w:szCs w:val="16"/>
          <w:color w:val="auto"/>
        </w:rPr>
      </w:pPr>
    </w:p>
    <w:p>
      <w:pPr>
        <w:jc w:val="both"/>
        <w:ind w:right="2559" w:firstLine="871"/>
        <w:spacing w:after="0" w:line="287" w:lineRule="auto"/>
        <w:tabs>
          <w:tab w:leader="none" w:pos="126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latest draft of the unaudited balance sheet for the Company at March 31, 1999 and the related statements of income, cash flows, and changes in stockholders equity for the fiscal year then ended are attached to Section 4.4(c) of the Company Disclosure Schedule.</w:t>
      </w:r>
    </w:p>
    <w:p>
      <w:pPr>
        <w:spacing w:after="0" w:line="65" w:lineRule="exact"/>
        <w:rPr>
          <w:sz w:val="20"/>
          <w:szCs w:val="20"/>
          <w:color w:val="auto"/>
        </w:rPr>
      </w:pPr>
    </w:p>
    <w:p>
      <w:pPr>
        <w:ind w:right="2459" w:firstLine="872"/>
        <w:spacing w:after="0" w:line="261" w:lineRule="auto"/>
        <w:rPr>
          <w:sz w:val="20"/>
          <w:szCs w:val="20"/>
          <w:color w:val="auto"/>
        </w:rPr>
      </w:pPr>
      <w:r>
        <w:rPr>
          <w:rFonts w:ascii="Courier New" w:cs="Courier New" w:eastAsia="Courier New" w:hAnsi="Courier New"/>
          <w:sz w:val="16"/>
          <w:szCs w:val="16"/>
          <w:color w:val="auto"/>
        </w:rPr>
        <w:t>SECTION 4.5 No Undisclosed Liabilities. There are no liabilities of the Company or any of its subsidiaries of any kind whatsoever, whether accrued, contingent, absolute, determined, determinable, or otherwise, other than: (i) liabilities disclosed or provided for in the Company Balance Sheet or in the notes thereto; (ii) liabilities that in the aggregate would not reasonably be expected to have a Material Adverse Effect on the Company; (iii) liabilities disclosed in the Company SEC Reports filed prior to the date hereof or set forth in Section 4.5 of the Company Disclosure Schedule; and (iv) liabilities under this Agreement.</w:t>
      </w:r>
    </w:p>
    <w:p>
      <w:pPr>
        <w:spacing w:after="0" w:line="89" w:lineRule="exact"/>
        <w:rPr>
          <w:sz w:val="20"/>
          <w:szCs w:val="20"/>
          <w:color w:val="auto"/>
        </w:rPr>
      </w:pPr>
    </w:p>
    <w:p>
      <w:pPr>
        <w:ind w:right="2459" w:firstLine="872"/>
        <w:spacing w:after="0" w:line="276" w:lineRule="auto"/>
        <w:rPr>
          <w:sz w:val="20"/>
          <w:szCs w:val="20"/>
          <w:color w:val="auto"/>
        </w:rPr>
      </w:pPr>
      <w:r>
        <w:rPr>
          <w:rFonts w:ascii="Courier New" w:cs="Courier New" w:eastAsia="Courier New" w:hAnsi="Courier New"/>
          <w:sz w:val="16"/>
          <w:szCs w:val="16"/>
          <w:color w:val="auto"/>
        </w:rPr>
        <w:t>SECTION 4.6 Absence of Changes. Except as and to the extent publicly disclosed in the Company SEC Reports prior to the date hereof, since the Company Balance Sheet Date, the Company and its subsidiaries have conducted their businesses in the ordinary and usual course consistent with past practice and there has not been:</w:t>
      </w:r>
    </w:p>
    <w:p>
      <w:pPr>
        <w:spacing w:after="0" w:line="76" w:lineRule="exact"/>
        <w:rPr>
          <w:sz w:val="20"/>
          <w:szCs w:val="20"/>
          <w:color w:val="auto"/>
        </w:rPr>
      </w:pPr>
    </w:p>
    <w:p>
      <w:pPr>
        <w:ind w:right="2859" w:firstLine="871"/>
        <w:spacing w:after="0" w:line="307" w:lineRule="auto"/>
        <w:tabs>
          <w:tab w:leader="none" w:pos="126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event, occurrence, or development which does or could reasonably be expected to have, individually or in the aggregate, a Material Adverse Effect on the Company;</w:t>
      </w:r>
    </w:p>
    <w:p>
      <w:pPr>
        <w:spacing w:after="0" w:line="49" w:lineRule="exact"/>
        <w:rPr>
          <w:rFonts w:ascii="Courier New" w:cs="Courier New" w:eastAsia="Courier New" w:hAnsi="Courier New"/>
          <w:sz w:val="16"/>
          <w:szCs w:val="16"/>
          <w:color w:val="auto"/>
        </w:rPr>
      </w:pPr>
    </w:p>
    <w:p>
      <w:pPr>
        <w:ind w:right="2459" w:firstLine="871"/>
        <w:spacing w:after="0" w:line="287" w:lineRule="auto"/>
        <w:tabs>
          <w:tab w:leader="none" w:pos="126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declaration, setting aside, or payment of any dividend or other distribution in respect of any shares of capital stock of the Company, or any repurchase, redemption, or other acquisition by the Company or any of its subsidiaries of any Company securities;</w:t>
      </w:r>
    </w:p>
    <w:p>
      <w:pPr>
        <w:spacing w:after="0" w:line="25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273" w:right="1440" w:bottom="1440" w:gutter="0" w:footer="0" w:header="0"/>
        </w:sectPr>
      </w:pPr>
    </w:p>
    <w:bookmarkStart w:id="98" w:name="page99"/>
    <w:bookmarkEnd w:id="98"/>
    <w:p>
      <w:pPr>
        <w:ind w:left="301"/>
        <w:spacing w:after="0"/>
        <w:rPr>
          <w:sz w:val="20"/>
          <w:szCs w:val="20"/>
          <w:color w:val="auto"/>
        </w:rPr>
      </w:pPr>
      <w:r>
        <w:rPr>
          <w:rFonts w:ascii="Courier New" w:cs="Courier New" w:eastAsia="Courier New" w:hAnsi="Courier New"/>
          <w:sz w:val="16"/>
          <w:szCs w:val="16"/>
          <w:color w:val="auto"/>
        </w:rPr>
        <w:t>23</w:t>
      </w:r>
    </w:p>
    <w:p>
      <w:pPr>
        <w:spacing w:after="0" w:line="378" w:lineRule="exact"/>
        <w:rPr>
          <w:sz w:val="20"/>
          <w:szCs w:val="20"/>
          <w:color w:val="auto"/>
        </w:rPr>
      </w:pPr>
    </w:p>
    <w:p>
      <w:pPr>
        <w:ind w:left="1" w:right="3139" w:firstLine="871"/>
        <w:spacing w:after="0" w:line="307" w:lineRule="auto"/>
        <w:tabs>
          <w:tab w:leader="none" w:pos="1260"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amendment of any term of any outstanding security of the Company or any of its subsidiaries that would materially increase the obligations of the Company or any such subsidiary under such security;</w:t>
      </w:r>
    </w:p>
    <w:p>
      <w:pPr>
        <w:spacing w:after="0" w:line="49" w:lineRule="exact"/>
        <w:rPr>
          <w:rFonts w:ascii="Courier New" w:cs="Courier New" w:eastAsia="Courier New" w:hAnsi="Courier New"/>
          <w:sz w:val="16"/>
          <w:szCs w:val="16"/>
          <w:color w:val="auto"/>
        </w:rPr>
      </w:pPr>
    </w:p>
    <w:p>
      <w:pPr>
        <w:ind w:left="1" w:right="2659" w:firstLine="871"/>
        <w:spacing w:after="0" w:line="276" w:lineRule="auto"/>
        <w:tabs>
          <w:tab w:leader="none" w:pos="1260"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any additional incurrence or assumption by the Company or any subsidiary of any indebtedness for borrowed money, or (ii) any guarantee, endorsement, or other incurrence or assumption of liability (whether directly, contingently, or otherwise) by the Company or any of its subsidiaries for the obligations of any other person;</w:t>
      </w:r>
    </w:p>
    <w:p>
      <w:pPr>
        <w:spacing w:after="0" w:line="75" w:lineRule="exact"/>
        <w:rPr>
          <w:rFonts w:ascii="Courier New" w:cs="Courier New" w:eastAsia="Courier New" w:hAnsi="Courier New"/>
          <w:sz w:val="16"/>
          <w:szCs w:val="16"/>
          <w:color w:val="auto"/>
        </w:rPr>
      </w:pPr>
    </w:p>
    <w:p>
      <w:pPr>
        <w:ind w:left="1" w:right="2959" w:firstLine="871"/>
        <w:spacing w:after="0" w:line="307" w:lineRule="auto"/>
        <w:tabs>
          <w:tab w:leader="none" w:pos="1260"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creation or assumption by the Company or any of its subsidiaries of any Lien on any material asset of the Company or any of its subsidiaries;</w:t>
      </w:r>
    </w:p>
    <w:p>
      <w:pPr>
        <w:spacing w:after="0" w:line="49" w:lineRule="exact"/>
        <w:rPr>
          <w:rFonts w:ascii="Courier New" w:cs="Courier New" w:eastAsia="Courier New" w:hAnsi="Courier New"/>
          <w:sz w:val="16"/>
          <w:szCs w:val="16"/>
          <w:color w:val="auto"/>
        </w:rPr>
      </w:pPr>
    </w:p>
    <w:p>
      <w:pPr>
        <w:ind w:left="1" w:right="2759" w:firstLine="871"/>
        <w:spacing w:after="0" w:line="266" w:lineRule="auto"/>
        <w:tabs>
          <w:tab w:leader="none" w:pos="1260"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making of any loan, advance, or capital contribution to or investment in any person by the Company or any of its subsidiaries other than</w:t>
      </w:r>
    </w:p>
    <w:p>
      <w:pPr>
        <w:ind w:left="1" w:right="2559" w:hanging="1"/>
        <w:spacing w:after="0" w:line="246" w:lineRule="auto"/>
        <w:tabs>
          <w:tab w:leader="none" w:pos="388"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acquisition permitted by Section 6.1, (ii) loans, advances, or capital contributions to or investments in wholly owned subsidiaries of the Company, or</w:t>
      </w:r>
    </w:p>
    <w:p>
      <w:pPr>
        <w:spacing w:after="0" w:line="1" w:lineRule="exact"/>
        <w:rPr>
          <w:rFonts w:ascii="Courier New" w:cs="Courier New" w:eastAsia="Courier New" w:hAnsi="Courier New"/>
          <w:sz w:val="16"/>
          <w:szCs w:val="16"/>
          <w:color w:val="auto"/>
        </w:rPr>
      </w:pPr>
    </w:p>
    <w:p>
      <w:pPr>
        <w:ind w:left="1" w:right="2459" w:hanging="1"/>
        <w:spacing w:after="0" w:line="327" w:lineRule="auto"/>
        <w:tabs>
          <w:tab w:leader="none" w:pos="582"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loans or advances to employees of the Company or any of its subsidiaries made in the ordinary and usual course of business consistent with past practice;</w:t>
      </w:r>
    </w:p>
    <w:p>
      <w:pPr>
        <w:spacing w:after="0" w:line="35" w:lineRule="exact"/>
        <w:rPr>
          <w:rFonts w:ascii="Courier New" w:cs="Courier New" w:eastAsia="Courier New" w:hAnsi="Courier New"/>
          <w:sz w:val="16"/>
          <w:szCs w:val="16"/>
          <w:color w:val="auto"/>
        </w:rPr>
      </w:pPr>
    </w:p>
    <w:p>
      <w:pPr>
        <w:ind w:left="1" w:right="2459" w:firstLine="871"/>
        <w:spacing w:after="0" w:line="270" w:lineRule="auto"/>
        <w:tabs>
          <w:tab w:leader="none" w:pos="1260"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any contract or agreement entered into by the Company or any of its subsidiaries on or prior to the date hereof relating to any material acquisition or disposition of any assets or business or (ii) any modification, amendment, assignment, termination, or relinquishment by the Company or any of its subsidiaries of any Material Contract or other material right (including, any insurance policy naming it as a beneficiary or a loss payable payee);</w:t>
      </w:r>
    </w:p>
    <w:p>
      <w:pPr>
        <w:spacing w:after="0" w:line="80" w:lineRule="exact"/>
        <w:rPr>
          <w:rFonts w:ascii="Courier New" w:cs="Courier New" w:eastAsia="Courier New" w:hAnsi="Courier New"/>
          <w:sz w:val="16"/>
          <w:szCs w:val="16"/>
          <w:color w:val="auto"/>
        </w:rPr>
      </w:pPr>
    </w:p>
    <w:p>
      <w:pPr>
        <w:ind w:left="1" w:right="2759" w:firstLine="871"/>
        <w:spacing w:after="0" w:line="307" w:lineRule="auto"/>
        <w:tabs>
          <w:tab w:leader="none" w:pos="1260"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material change in any method of accounting or accounting principles or practices by the Company or any of its subsidiaries, except for any such change required by reason of a change in GAAP;</w:t>
      </w:r>
    </w:p>
    <w:p>
      <w:pPr>
        <w:spacing w:after="0" w:line="49" w:lineRule="exact"/>
        <w:rPr>
          <w:rFonts w:ascii="Courier New" w:cs="Courier New" w:eastAsia="Courier New" w:hAnsi="Courier New"/>
          <w:sz w:val="16"/>
          <w:szCs w:val="16"/>
          <w:color w:val="auto"/>
        </w:rPr>
      </w:pPr>
    </w:p>
    <w:p>
      <w:pPr>
        <w:ind w:left="1" w:right="2559" w:firstLine="871"/>
        <w:spacing w:after="0" w:line="259" w:lineRule="auto"/>
        <w:tabs>
          <w:tab w:leader="none" w:pos="1260"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 grant of any severance or termination pay to any director, officer, or employee of the Company or any of its subsidiaries that is not required by any existing agreement, Benefit Plan, or Employee Arrangement or</w:t>
      </w:r>
    </w:p>
    <w:p>
      <w:pPr>
        <w:spacing w:after="0" w:line="2" w:lineRule="exact"/>
        <w:rPr>
          <w:rFonts w:ascii="Courier New" w:cs="Courier New" w:eastAsia="Courier New" w:hAnsi="Courier New"/>
          <w:sz w:val="16"/>
          <w:szCs w:val="16"/>
          <w:color w:val="auto"/>
        </w:rPr>
      </w:pPr>
    </w:p>
    <w:p>
      <w:pPr>
        <w:ind w:left="1" w:right="2959" w:hanging="1"/>
        <w:spacing w:after="0" w:line="327" w:lineRule="auto"/>
        <w:tabs>
          <w:tab w:leader="none" w:pos="485"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in compensation or other benefits payable to directors of the Company or any of its subsidiaries;</w:t>
      </w:r>
    </w:p>
    <w:p>
      <w:pPr>
        <w:spacing w:after="0" w:line="35" w:lineRule="exact"/>
        <w:rPr>
          <w:rFonts w:ascii="Courier New" w:cs="Courier New" w:eastAsia="Courier New" w:hAnsi="Courier New"/>
          <w:sz w:val="16"/>
          <w:szCs w:val="16"/>
          <w:color w:val="auto"/>
        </w:rPr>
      </w:pPr>
    </w:p>
    <w:p>
      <w:pPr>
        <w:ind w:left="1" w:right="2459" w:firstLine="871"/>
        <w:spacing w:after="0" w:line="266" w:lineRule="auto"/>
        <w:tabs>
          <w:tab w:leader="none" w:pos="1260"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or amendment of the contracts, salaries, wages, or other compensation of any officer, director, employee, agent, or other similar representative of the Company or any of its subsidiaries other than changes or amendments that (i) are made in the ordinary and usual course of business consistent with past practice or (ii) do not and will not result in increases, in the aggregate, of more than five percent in the salary, wages, and other compensation of any such person;</w:t>
      </w:r>
    </w:p>
    <w:p>
      <w:pPr>
        <w:spacing w:after="0" w:line="84" w:lineRule="exact"/>
        <w:rPr>
          <w:rFonts w:ascii="Courier New" w:cs="Courier New" w:eastAsia="Courier New" w:hAnsi="Courier New"/>
          <w:sz w:val="16"/>
          <w:szCs w:val="16"/>
          <w:color w:val="auto"/>
        </w:rPr>
      </w:pPr>
    </w:p>
    <w:p>
      <w:pPr>
        <w:jc w:val="both"/>
        <w:ind w:left="1" w:right="2659" w:firstLine="871"/>
        <w:spacing w:after="0" w:line="287" w:lineRule="auto"/>
        <w:tabs>
          <w:tab w:leader="none" w:pos="1260"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entering into or adoption, amendment, alteration, or termination of (partially or completely) any Benefit Plan or Employee Arrangement except as contemplated by this Agreement or to the extent required by applicable Law; or</w:t>
      </w:r>
    </w:p>
    <w:p>
      <w:pPr>
        <w:spacing w:after="0" w:line="25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0"/>
          </w:cols>
          <w:pgMar w:left="239" w:top="273" w:right="1440" w:bottom="1440" w:gutter="0" w:footer="0" w:header="0"/>
        </w:sectPr>
      </w:pPr>
    </w:p>
    <w:bookmarkStart w:id="99" w:name="page100"/>
    <w:bookmarkEnd w:id="99"/>
    <w:p>
      <w:pPr>
        <w:ind w:left="300"/>
        <w:spacing w:after="0"/>
        <w:rPr>
          <w:sz w:val="20"/>
          <w:szCs w:val="20"/>
          <w:color w:val="auto"/>
        </w:rPr>
      </w:pPr>
      <w:r>
        <w:rPr>
          <w:rFonts w:ascii="Courier New" w:cs="Courier New" w:eastAsia="Courier New" w:hAnsi="Courier New"/>
          <w:sz w:val="16"/>
          <w:szCs w:val="16"/>
          <w:color w:val="auto"/>
        </w:rPr>
        <w:t>24</w:t>
      </w:r>
    </w:p>
    <w:p>
      <w:pPr>
        <w:spacing w:after="0" w:line="378" w:lineRule="exact"/>
        <w:rPr>
          <w:sz w:val="20"/>
          <w:szCs w:val="20"/>
          <w:color w:val="auto"/>
        </w:rPr>
      </w:pPr>
    </w:p>
    <w:p>
      <w:pPr>
        <w:ind w:right="2759" w:firstLine="871"/>
        <w:spacing w:after="0" w:line="287" w:lineRule="auto"/>
        <w:tabs>
          <w:tab w:leader="none" w:pos="126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entering into of any contract with an officer, director, employee, agent, or other similar representative of the Company or any of its subsidiaries that is not terminable, without penalty or other liability, upon not more than 60 calendar days' notice.</w:t>
      </w:r>
    </w:p>
    <w:p>
      <w:pPr>
        <w:spacing w:after="0" w:line="65" w:lineRule="exact"/>
        <w:rPr>
          <w:sz w:val="20"/>
          <w:szCs w:val="20"/>
          <w:color w:val="auto"/>
        </w:rPr>
      </w:pPr>
    </w:p>
    <w:p>
      <w:pPr>
        <w:ind w:right="2459" w:firstLine="872"/>
        <w:spacing w:after="0" w:line="248" w:lineRule="auto"/>
        <w:rPr>
          <w:sz w:val="20"/>
          <w:szCs w:val="20"/>
          <w:color w:val="auto"/>
        </w:rPr>
      </w:pPr>
      <w:r>
        <w:rPr>
          <w:rFonts w:ascii="Courier New" w:cs="Courier New" w:eastAsia="Courier New" w:hAnsi="Courier New"/>
          <w:sz w:val="16"/>
          <w:szCs w:val="16"/>
          <w:color w:val="auto"/>
        </w:rPr>
        <w:t>SECTION 4.7 Schedule 14D-9; Offer Documents; Proxy Statement. Neither the Schedule 14D-9, any other document required to be filed by the Company with the SEC in connection with the Transactions, nor any information supplied by the Company for inclusion in the Offer Documents shall, at the respective times the Schedule 14D-9, any such other filings by the Company, the Offer Documents or any amendments or supplements thereto are filed with the SEC or are first published, sent, or given to stockholders of the Company, as the case may be, contain any untrue statement of a material fact or omit to state any material fact required to be stated therein or necessary in order to make the statements made therein, in light of the circumstances under which they are made, not misleading. The proxy statement relating to the Company Stockholder Meeting to be held in connection with the Merger (the "PROXY STATEMENT") will not, on the date the Proxy Statement (including, any amendment or supplement thereto) is first mailed to stockholders of the Company, contain any untrue statement of a material fact, or omit to state any material fact required to be stated therein or necessary in order to make the statements made therein, in light of the circumstances under which they are made, not misleading or shall, at the time of the Company Stockholder Meeting or at the Effective Time, omit to state any material fact necessary to correct any statement in any earlier communication in respect of the solicitation of proxies for the Company Stockholder Meeting which shall have become false or misleading in any material respect. The Schedule</w:t>
      </w:r>
    </w:p>
    <w:p>
      <w:pPr>
        <w:spacing w:after="0" w:line="10" w:lineRule="exact"/>
        <w:rPr>
          <w:sz w:val="20"/>
          <w:szCs w:val="20"/>
          <w:color w:val="auto"/>
        </w:rPr>
      </w:pPr>
    </w:p>
    <w:p>
      <w:pPr>
        <w:ind w:right="2559"/>
        <w:spacing w:after="0" w:line="258" w:lineRule="auto"/>
        <w:rPr>
          <w:sz w:val="20"/>
          <w:szCs w:val="20"/>
          <w:color w:val="auto"/>
        </w:rPr>
      </w:pPr>
      <w:r>
        <w:rPr>
          <w:rFonts w:ascii="Courier New" w:cs="Courier New" w:eastAsia="Courier New" w:hAnsi="Courier New"/>
          <w:sz w:val="16"/>
          <w:szCs w:val="16"/>
          <w:color w:val="auto"/>
        </w:rPr>
        <w:t>14D-9, any other document required to be filed by the Company with the SEC in connection with the Transactions, and the Proxy Statement will, when filed by the Company with the SEC, comply as to form in all material respects with the applicable provisions of the Exchange Act and the rules and regulations thereunder. Notwithstanding the foregoing, the Company makes no representation or warranty in respect of the statements made in any of the foregoing documents based on and in conformity with information supplied in writing by or on behalf of Parent or MergerSub specifically for inclusion therein.</w:t>
      </w:r>
    </w:p>
    <w:p>
      <w:pPr>
        <w:spacing w:after="0" w:line="88" w:lineRule="exact"/>
        <w:rPr>
          <w:sz w:val="20"/>
          <w:szCs w:val="20"/>
          <w:color w:val="auto"/>
        </w:rPr>
      </w:pPr>
    </w:p>
    <w:p>
      <w:pPr>
        <w:ind w:right="2459" w:firstLine="872"/>
        <w:spacing w:after="0" w:line="256" w:lineRule="auto"/>
        <w:rPr>
          <w:sz w:val="20"/>
          <w:szCs w:val="20"/>
          <w:color w:val="auto"/>
        </w:rPr>
      </w:pPr>
      <w:r>
        <w:rPr>
          <w:rFonts w:ascii="Courier New" w:cs="Courier New" w:eastAsia="Courier New" w:hAnsi="Courier New"/>
          <w:sz w:val="16"/>
          <w:szCs w:val="16"/>
          <w:color w:val="auto"/>
        </w:rPr>
        <w:t>SECTION 4.8 Consents and Approvals. Except for filings, permits, authorizations, consents, and approvals as may be required under, and other applicable requirements of, the Securities Act of 1933, as amended (the "SECURITIES ACT"), the Exchange Act, state securities or blue sky Laws, the Hart-Scott-Rodino Antitrust Improvements Act of 1976, as amended (the "HSR ACT"), the Act Against Restraints of Competition of the Federal Republic of Germany (the "GERMAN CARTEL ACT"), the filing and recordation of the Certificate of Merger as required by the DGCL, and as otherwise set forth in Section 4.8 of the Company Disclosure Schedule, no filing with or notice to, and no permit, authorization, consent, or approval of, any federal, state, local, or foreign court or tribunal or administrative, governmental, or regulatory body, agency, or authority (a "GOVERNMENTAL ENTITY") is necessary for the execution and delivery by the Company of this Agreement or the consummation by the Company or its subsidiaries of the transactions contemplated hereby.</w:t>
      </w:r>
    </w:p>
    <w:p>
      <w:pPr>
        <w:spacing w:after="0" w:line="89" w:lineRule="exact"/>
        <w:rPr>
          <w:sz w:val="20"/>
          <w:szCs w:val="20"/>
          <w:color w:val="auto"/>
        </w:rPr>
      </w:pPr>
    </w:p>
    <w:p>
      <w:pPr>
        <w:ind w:right="2459" w:firstLine="872"/>
        <w:spacing w:after="0" w:line="287" w:lineRule="auto"/>
        <w:rPr>
          <w:sz w:val="20"/>
          <w:szCs w:val="20"/>
          <w:color w:val="auto"/>
        </w:rPr>
      </w:pPr>
      <w:r>
        <w:rPr>
          <w:rFonts w:ascii="Courier New" w:cs="Courier New" w:eastAsia="Courier New" w:hAnsi="Courier New"/>
          <w:sz w:val="16"/>
          <w:szCs w:val="16"/>
          <w:color w:val="auto"/>
        </w:rPr>
        <w:t>SECTION 4.9 No Default. Neither the Company nor any of its subsidiaries is in violation of any term of (i) its certificate of incorporation or bylaws (or other similar organizational or governing documents), (ii) any material agreement or instrument related to</w:t>
      </w:r>
    </w:p>
    <w:p>
      <w:pPr>
        <w:spacing w:after="0" w:line="25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273" w:right="1440" w:bottom="1440" w:gutter="0" w:footer="0" w:header="0"/>
        </w:sectPr>
      </w:pPr>
    </w:p>
    <w:bookmarkStart w:id="100" w:name="page101"/>
    <w:bookmarkEnd w:id="100"/>
    <w:p>
      <w:pPr>
        <w:ind w:left="300"/>
        <w:spacing w:after="0"/>
        <w:rPr>
          <w:sz w:val="20"/>
          <w:szCs w:val="20"/>
          <w:color w:val="auto"/>
        </w:rPr>
      </w:pPr>
      <w:r>
        <w:rPr>
          <w:rFonts w:ascii="Courier New" w:cs="Courier New" w:eastAsia="Courier New" w:hAnsi="Courier New"/>
          <w:sz w:val="16"/>
          <w:szCs w:val="16"/>
          <w:color w:val="auto"/>
        </w:rPr>
        <w:t>25</w:t>
      </w:r>
    </w:p>
    <w:p>
      <w:pPr>
        <w:spacing w:after="0" w:line="378" w:lineRule="exact"/>
        <w:rPr>
          <w:sz w:val="20"/>
          <w:szCs w:val="20"/>
          <w:color w:val="auto"/>
        </w:rPr>
      </w:pPr>
    </w:p>
    <w:p>
      <w:pPr>
        <w:ind w:right="2459"/>
        <w:spacing w:after="0" w:line="252" w:lineRule="auto"/>
        <w:rPr>
          <w:sz w:val="20"/>
          <w:szCs w:val="20"/>
          <w:color w:val="auto"/>
        </w:rPr>
      </w:pPr>
      <w:r>
        <w:rPr>
          <w:rFonts w:ascii="Courier New" w:cs="Courier New" w:eastAsia="Courier New" w:hAnsi="Courier New"/>
          <w:sz w:val="16"/>
          <w:szCs w:val="16"/>
          <w:color w:val="auto"/>
        </w:rPr>
        <w:t>indebtedness for borrowed money or any other agreement to which it is a party or by which it is bound, or (iii) any domestic or foreign law, judgment, order, writ, injunction, decree, ordinance, award, stipulation, statute, judicial or administrative doctrine, rule, or regulation entered by a Governmental Entity ("LAW") applicable to the Company, its subsidiaries, or any of their respective assets or properties, the consequence of which violation does or could reasonably be expected to (A) have, individually or in the aggregate, a Material Adverse Effect on the Company or (B) prevent or materially delay the performance of this Agreement by the Company. The execution, delivery, and performance of this Agreement and the consummation of the transactions contemplated hereby will not (A) result in any violation of or conflict with, constitute a default under, require any consent, waiver, or notice under any term of, or result in the reduction or loss of any benefit or the creation or acceleration of any right or obligation under, (i) the certificate of incorporation or bylaws (or other similar organizational or governing documents) of the Company (or any of its subsidiaries), (ii) any agreement, note, bond, mortgage, indenture, contract, lease, Company Permit, or other obligation or right to which the Company or any of its subsidiaries is a party or by which any of the assets or properties of the Company or any of its subsidiaries is bound, or (iii) any Law, or (B) result in the creation of (or impose any obligation on the Company or any of its subsidiaries to create) any Lien upon any of the material assets or properties of the Company or any of its subsidiaries pursuant to any such term.</w:t>
      </w:r>
    </w:p>
    <w:p>
      <w:pPr>
        <w:spacing w:after="0" w:line="99"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SECTION 4.10 Real Property. (a) The Company owns no real property.</w:t>
      </w:r>
    </w:p>
    <w:p>
      <w:pPr>
        <w:spacing w:after="0" w:line="191" w:lineRule="exact"/>
        <w:rPr>
          <w:sz w:val="20"/>
          <w:szCs w:val="20"/>
          <w:color w:val="auto"/>
        </w:rPr>
      </w:pPr>
    </w:p>
    <w:p>
      <w:pPr>
        <w:ind w:right="2459" w:firstLine="871"/>
        <w:spacing w:after="0" w:line="251" w:lineRule="auto"/>
        <w:tabs>
          <w:tab w:leader="none" w:pos="126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4.10 of the Company Disclosure Schedule sets forth all leases, subleases, and other agreements (the "REAL PROPERTY LEASES") under which the Company or any of its subsidiaries uses or occupies or has the right to use or occupy, now or in the future, any real property. The Company has heretofore delivered to Parent true, correct, and complete copies of all Real Property Leases (and all modifications, amendments, and supplements thereto and all side letters to which the Company or any of its subsidiaries is a party affecting the obligations of any party thereunder). Each Real Property Lease constitutes the valid and legally binding obligation of the Company or its subsidiaries, enforceable in accordance with its terms (except as enforceability may be limited by applicable bankruptcy, insolvency, reorganization, moratorium, fraudulent transfer, and similar Laws of general applicability relating to or affecting creditors' rights or by general equity principles), and is in full force and effect. All rent and other sums and charges payable by the Company and its subsidiaries as tenants under each Real Property Lease are current, no termination event or condition or uncured default of a material nature on the part of the Company or any such subsidiary or, to the Company's knowledge, the landlord, exists under any Real Property Lease. Each of the Company and its subsidiaries has a good and valid leasehold interest in each parcel of real property leased by it free and clear of all Liens, except (i) Taxes and general and special assessments not in default and payable without penalty and interest and (ii) other liens, mortgages, pledges, encumbrances, and security interests which do not materially interfere with the Company's or any of its subsidiaries' use and enjoyment of such real property or materially detract from or diminish the value thereof.</w:t>
      </w:r>
    </w:p>
    <w:p>
      <w:pPr>
        <w:spacing w:after="0" w:line="106" w:lineRule="exact"/>
        <w:rPr>
          <w:rFonts w:ascii="Courier New" w:cs="Courier New" w:eastAsia="Courier New" w:hAnsi="Courier New"/>
          <w:sz w:val="16"/>
          <w:szCs w:val="16"/>
          <w:color w:val="auto"/>
        </w:rPr>
      </w:pPr>
    </w:p>
    <w:p>
      <w:pPr>
        <w:ind w:right="2459" w:firstLine="871"/>
        <w:spacing w:after="0" w:line="307" w:lineRule="auto"/>
        <w:tabs>
          <w:tab w:leader="none" w:pos="126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party to any such Real Property Lease has given notice to the Company or any of its subsidiaries of or made a claim against the Company or any of its subsidiaries in respect of any breach or default thereunder.</w:t>
      </w:r>
    </w:p>
    <w:p>
      <w:pPr>
        <w:spacing w:after="0" w:line="23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273" w:right="1440" w:bottom="1440" w:gutter="0" w:footer="0" w:header="0"/>
        </w:sectPr>
      </w:pPr>
    </w:p>
    <w:bookmarkStart w:id="101" w:name="page102"/>
    <w:bookmarkEnd w:id="101"/>
    <w:p>
      <w:pPr>
        <w:ind w:left="301"/>
        <w:spacing w:after="0"/>
        <w:rPr>
          <w:sz w:val="20"/>
          <w:szCs w:val="20"/>
          <w:color w:val="auto"/>
        </w:rPr>
      </w:pPr>
      <w:r>
        <w:rPr>
          <w:rFonts w:ascii="Courier New" w:cs="Courier New" w:eastAsia="Courier New" w:hAnsi="Courier New"/>
          <w:sz w:val="16"/>
          <w:szCs w:val="16"/>
          <w:color w:val="auto"/>
        </w:rPr>
        <w:t>26</w:t>
      </w:r>
    </w:p>
    <w:p>
      <w:pPr>
        <w:spacing w:after="0" w:line="378" w:lineRule="exact"/>
        <w:rPr>
          <w:sz w:val="20"/>
          <w:szCs w:val="20"/>
          <w:color w:val="auto"/>
        </w:rPr>
      </w:pPr>
    </w:p>
    <w:p>
      <w:pPr>
        <w:ind w:left="1" w:right="2459" w:firstLine="872"/>
        <w:spacing w:after="0" w:line="252" w:lineRule="auto"/>
        <w:rPr>
          <w:sz w:val="20"/>
          <w:szCs w:val="20"/>
          <w:color w:val="auto"/>
        </w:rPr>
      </w:pPr>
      <w:r>
        <w:rPr>
          <w:rFonts w:ascii="Courier New" w:cs="Courier New" w:eastAsia="Courier New" w:hAnsi="Courier New"/>
          <w:sz w:val="16"/>
          <w:szCs w:val="16"/>
          <w:color w:val="auto"/>
        </w:rPr>
        <w:t>SECTION 4.11 Litigation. Except as and to the extent publicly disclosed by the Company in the Company SEC Reports filed prior to the date hereof, there is no suit, claim, action, proceeding, or investigation pending or, to the Company's knowledge, threatened against the Company or any of its subsidiaries or any of their respective assets or properties or their respective officers, directors, or employees which (a) does or would reasonably be expected to have, individually or in the aggregate, a Material Adverse Effect on the Company or</w:t>
      </w:r>
    </w:p>
    <w:p>
      <w:pPr>
        <w:spacing w:after="0" w:line="2" w:lineRule="exact"/>
        <w:rPr>
          <w:sz w:val="20"/>
          <w:szCs w:val="20"/>
          <w:color w:val="auto"/>
        </w:rPr>
      </w:pPr>
    </w:p>
    <w:p>
      <w:pPr>
        <w:ind w:left="1" w:right="2459" w:hanging="1"/>
        <w:spacing w:after="0" w:line="253" w:lineRule="auto"/>
        <w:tabs>
          <w:tab w:leader="none" w:pos="388"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hereof, questions the validity of this Agreement or any action to be taken by the Company in connection with the consummation of the transactions contemplated hereby or could otherwise prevent or delay the consummation of the transactions contemplated by this Agreement. None of the Company or its subsidiaries is subject to any outstanding order, writ, injunction, or decree which does or would reasonably be expected to have, individually or in the aggregate, a Material Adverse Effect on the Company or its subsidiaries. There is no action, suit, proceeding, or investigation pending or, to the Company's knowledge, threatened against any current or former officer, director, employee, or agent of the Company or any of its subsidiaries (in his or her capacity as such) which does, or which could reasonably be expected to, give rise to a claim for contribution or indemnification against the Company or any of its subsidiaries.</w:t>
      </w:r>
    </w:p>
    <w:p>
      <w:pPr>
        <w:spacing w:after="0" w:line="95" w:lineRule="exact"/>
        <w:rPr>
          <w:sz w:val="20"/>
          <w:szCs w:val="20"/>
          <w:color w:val="auto"/>
        </w:rPr>
      </w:pPr>
    </w:p>
    <w:p>
      <w:pPr>
        <w:ind w:left="1" w:right="2459" w:firstLine="872"/>
        <w:spacing w:after="0" w:line="258" w:lineRule="auto"/>
        <w:rPr>
          <w:sz w:val="20"/>
          <w:szCs w:val="20"/>
          <w:color w:val="auto"/>
        </w:rPr>
      </w:pPr>
      <w:r>
        <w:rPr>
          <w:rFonts w:ascii="Courier New" w:cs="Courier New" w:eastAsia="Courier New" w:hAnsi="Courier New"/>
          <w:sz w:val="16"/>
          <w:szCs w:val="16"/>
          <w:color w:val="auto"/>
        </w:rPr>
        <w:t>SECTION 4.12 Compliance with Applicable Law; Permits. The Company and its subsidiaries hold all permits, licenses, variances, exemptions, orders, and approvals of all Governmental Entities necessary for the lawful conduct of their respective businesses (the "COMPANY PERMITS"). The Company and its subsidiaries are in compliance in all material respects with the terms of the Company Permits. The businesses and operations of the Company and its subsidiaries comply in all material respects with all Laws applicable to the Company or its subsidiaries. To the Company's knowledge, no investigation or review by any Governmental Entity in respect of the Company or its subsidiaries is pending or threatened, nor, to the Company's knowledge, has any Governmental Entity indicated an intention to conduct the same.</w:t>
      </w:r>
    </w:p>
    <w:p>
      <w:pPr>
        <w:spacing w:after="0" w:line="93" w:lineRule="exact"/>
        <w:rPr>
          <w:sz w:val="20"/>
          <w:szCs w:val="20"/>
          <w:color w:val="auto"/>
        </w:rPr>
      </w:pPr>
    </w:p>
    <w:p>
      <w:pPr>
        <w:ind w:left="1" w:right="3239" w:firstLine="872"/>
        <w:spacing w:after="0" w:line="367" w:lineRule="auto"/>
        <w:rPr>
          <w:sz w:val="20"/>
          <w:szCs w:val="20"/>
          <w:color w:val="auto"/>
        </w:rPr>
      </w:pPr>
      <w:r>
        <w:rPr>
          <w:rFonts w:ascii="Courier New" w:cs="Courier New" w:eastAsia="Courier New" w:hAnsi="Courier New"/>
          <w:sz w:val="16"/>
          <w:szCs w:val="16"/>
          <w:color w:val="auto"/>
        </w:rPr>
        <w:t>SECTION 4.13 Employee Plans. (a) Section 4.13(a) of the Company Disclosure Schedule sets forth a true, correct, and complete list of:</w:t>
      </w:r>
    </w:p>
    <w:p>
      <w:pPr>
        <w:spacing w:after="0" w:line="5" w:lineRule="exact"/>
        <w:rPr>
          <w:sz w:val="20"/>
          <w:szCs w:val="20"/>
          <w:color w:val="auto"/>
        </w:rPr>
      </w:pPr>
    </w:p>
    <w:p>
      <w:pPr>
        <w:ind w:left="881" w:right="2459" w:firstLine="573"/>
        <w:spacing w:after="0" w:line="287" w:lineRule="auto"/>
        <w:tabs>
          <w:tab w:leader="none" w:pos="214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"employee benefit plans," as defined in Section 3(3) of ERISA, which the Company or any of its subsidiaries has any obligation or liability, contingent or otherwise (the "BENEFIT PLANS"); and</w:t>
      </w:r>
    </w:p>
    <w:p>
      <w:pPr>
        <w:spacing w:after="0" w:line="64" w:lineRule="exact"/>
        <w:rPr>
          <w:rFonts w:ascii="Courier New" w:cs="Courier New" w:eastAsia="Courier New" w:hAnsi="Courier New"/>
          <w:sz w:val="16"/>
          <w:szCs w:val="16"/>
          <w:color w:val="auto"/>
        </w:rPr>
      </w:pPr>
    </w:p>
    <w:p>
      <w:pPr>
        <w:ind w:left="881" w:right="2559" w:firstLine="573"/>
        <w:spacing w:after="0" w:line="251" w:lineRule="auto"/>
        <w:tabs>
          <w:tab w:leader="none" w:pos="2237"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employment, consulting, termination, severance, change of control, or indemnification agreements, and all bonus or other incentive compensation, deferred compensation, salary continuation, disability, severance, stock award, stock option, stock purchase, educational assistance, club membership, employee discount, employee loan, or vacation agreements, policies, or arrangements which the Company or any of its subsidiaries has any obligation or liability (contingent or otherwise) in respect of any current or former officer, director, or employee of the Company or any of its subsidiaries (the</w:t>
      </w:r>
    </w:p>
    <w:p>
      <w:pPr>
        <w:spacing w:after="0" w:line="1" w:lineRule="exact"/>
        <w:rPr>
          <w:rFonts w:ascii="Courier New" w:cs="Courier New" w:eastAsia="Courier New" w:hAnsi="Courier New"/>
          <w:sz w:val="16"/>
          <w:szCs w:val="16"/>
          <w:color w:val="auto"/>
        </w:rPr>
      </w:pPr>
    </w:p>
    <w:p>
      <w:pPr>
        <w:ind w:left="8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ARRANGEMENTS").</w:t>
      </w:r>
    </w:p>
    <w:p>
      <w:pPr>
        <w:spacing w:after="0" w:line="161" w:lineRule="exact"/>
        <w:rPr>
          <w:sz w:val="20"/>
          <w:szCs w:val="20"/>
          <w:color w:val="auto"/>
        </w:rPr>
      </w:pPr>
    </w:p>
    <w:p>
      <w:pPr>
        <w:ind w:left="1" w:right="2959"/>
        <w:spacing w:after="0" w:line="307" w:lineRule="auto"/>
        <w:rPr>
          <w:sz w:val="20"/>
          <w:szCs w:val="20"/>
          <w:color w:val="auto"/>
        </w:rPr>
      </w:pPr>
      <w:r>
        <w:rPr>
          <w:rFonts w:ascii="Courier New" w:cs="Courier New" w:eastAsia="Courier New" w:hAnsi="Courier New"/>
          <w:sz w:val="16"/>
          <w:szCs w:val="16"/>
          <w:color w:val="auto"/>
        </w:rPr>
        <w:t>Benefit Plans and Employee Arrangements are separately identified, by the applicable country to which they pertain, in Section 4.13(a) of the Company Disclosure Schedule.</w:t>
      </w:r>
    </w:p>
    <w:p>
      <w:pPr>
        <w:spacing w:after="0" w:line="23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20"/>
          </w:cols>
          <w:pgMar w:left="239" w:top="273" w:right="1440" w:bottom="1440" w:gutter="0" w:footer="0" w:header="0"/>
        </w:sectPr>
      </w:pPr>
    </w:p>
    <w:bookmarkStart w:id="102" w:name="page103"/>
    <w:bookmarkEnd w:id="102"/>
    <w:p>
      <w:pPr>
        <w:spacing w:after="0"/>
        <w:rPr>
          <w:sz w:val="20"/>
          <w:szCs w:val="20"/>
          <w:color w:val="auto"/>
        </w:rPr>
      </w:pPr>
      <w:r>
        <w:rPr>
          <w:rFonts w:ascii="Courier New" w:cs="Courier New" w:eastAsia="Courier New" w:hAnsi="Courier New"/>
          <w:sz w:val="16"/>
          <w:szCs w:val="16"/>
          <w:color w:val="auto"/>
        </w:rPr>
        <w:t>27</w:t>
      </w:r>
    </w:p>
    <w:p>
      <w:pPr>
        <w:spacing w:after="0" w:line="378" w:lineRule="exact"/>
        <w:rPr>
          <w:sz w:val="20"/>
          <w:szCs w:val="20"/>
          <w:color w:val="auto"/>
        </w:rPr>
      </w:pPr>
    </w:p>
    <w:p>
      <w:pPr>
        <w:ind w:left="-300" w:right="2459" w:firstLine="871"/>
        <w:spacing w:after="0" w:line="255" w:lineRule="auto"/>
        <w:tabs>
          <w:tab w:leader="none" w:pos="96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respect of each Benefit Plan and Employee Arrangement, a true, correct, and complete copy of each of the following documents (if applicable) has been provided to Parent: (i) the most recent plan and related trust documents, and all amendments thereto; (ii) the most recent summary plan description, and all related summaries of material modifications thereto; (iii) the most recent Form 5500 (including, schedules and attachments); (iv) the most recent Internal Revenue Service ("IRS") determination letter or IRS opinion letter; (v) the forms of stock option grant agreements used to make grants under the Company Option Plans; and (vi) each written employment, consulting, or individual severance or other compensation agreement, and all amendments thereto. The Company has provided to Parent a true, correct, and complete summary of the employee payroll deduction elections in effect as of the date hereof in respect of the Company Stock Purchase Plans, together with the term of the current offering period and applicable purchase price at the beginning of such period.</w:t>
      </w:r>
    </w:p>
    <w:p>
      <w:pPr>
        <w:spacing w:after="0" w:line="92" w:lineRule="exact"/>
        <w:rPr>
          <w:rFonts w:ascii="Courier New" w:cs="Courier New" w:eastAsia="Courier New" w:hAnsi="Courier New"/>
          <w:sz w:val="16"/>
          <w:szCs w:val="16"/>
          <w:color w:val="auto"/>
        </w:rPr>
      </w:pPr>
    </w:p>
    <w:p>
      <w:pPr>
        <w:ind w:left="-300" w:right="2459" w:firstLine="871"/>
        <w:spacing w:after="0" w:line="264" w:lineRule="auto"/>
        <w:tabs>
          <w:tab w:leader="none" w:pos="96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Benefit Plans or Employee Arrangements is subject to Title IV of ERISA, constitutes a defined benefit retirement plan or is a multi-employer plan described in Section 3(37) of ERISA, and the Company and its subsidiaries do not have any obligation or liability (contingent or otherwise) in respect of any such Benefit Plans and Employee Arrangements. The Company and its subsidiaries are not members of a group of trades or businesses (other than the Company and its subsidiaries) under common control or treated as a single employer pursuant to Section 414 of the Code.</w:t>
      </w:r>
    </w:p>
    <w:p>
      <w:pPr>
        <w:spacing w:after="0" w:line="82" w:lineRule="exact"/>
        <w:rPr>
          <w:rFonts w:ascii="Courier New" w:cs="Courier New" w:eastAsia="Courier New" w:hAnsi="Courier New"/>
          <w:sz w:val="16"/>
          <w:szCs w:val="16"/>
          <w:color w:val="auto"/>
        </w:rPr>
      </w:pPr>
    </w:p>
    <w:p>
      <w:pPr>
        <w:ind w:left="-300" w:right="2459" w:firstLine="871"/>
        <w:spacing w:after="0" w:line="276" w:lineRule="auto"/>
        <w:tabs>
          <w:tab w:leader="none" w:pos="96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Benefit Plans and their related trusts intended to qualify under Sections 401 and 501(a) of the Code, respectively, so qualify. Any voluntary employee benefit association which provides benefits to current or former employees of the Company and its subsidiaries, or their beneficiaries, is and has been qualified under Section 501(c)(9) of the Code.</w:t>
      </w:r>
    </w:p>
    <w:p>
      <w:pPr>
        <w:spacing w:after="0" w:line="75" w:lineRule="exact"/>
        <w:rPr>
          <w:rFonts w:ascii="Courier New" w:cs="Courier New" w:eastAsia="Courier New" w:hAnsi="Courier New"/>
          <w:sz w:val="16"/>
          <w:szCs w:val="16"/>
          <w:color w:val="auto"/>
        </w:rPr>
      </w:pPr>
    </w:p>
    <w:p>
      <w:pPr>
        <w:ind w:left="-300" w:right="2659" w:firstLine="871"/>
        <w:spacing w:after="0" w:line="276" w:lineRule="auto"/>
        <w:tabs>
          <w:tab w:leader="none" w:pos="96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contributions or other payments required to have been made by the Company and its subsidiaries to or under any Benefit Plan or Employee Arrangement by applicable Law or the terms of such Benefit Plan or Employee Arrangement (or any agreement relating thereto) have been timely and properly made.</w:t>
      </w:r>
    </w:p>
    <w:p>
      <w:pPr>
        <w:spacing w:after="0" w:line="75" w:lineRule="exact"/>
        <w:rPr>
          <w:rFonts w:ascii="Courier New" w:cs="Courier New" w:eastAsia="Courier New" w:hAnsi="Courier New"/>
          <w:sz w:val="16"/>
          <w:szCs w:val="16"/>
          <w:color w:val="auto"/>
        </w:rPr>
      </w:pPr>
    </w:p>
    <w:p>
      <w:pPr>
        <w:ind w:left="-300" w:right="2559" w:firstLine="871"/>
        <w:spacing w:after="0" w:line="276" w:lineRule="auto"/>
        <w:tabs>
          <w:tab w:leader="none" w:pos="96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Benefit Plans and Employee Arrangements have been maintained and administered in accordance with their terms and applicable Laws. In particular, no individual who has performed services for the Company or any of its subsidiaries has been improperly excluded from participation in any Benefit Plan or Employee Arrangement.</w:t>
      </w:r>
    </w:p>
    <w:p>
      <w:pPr>
        <w:spacing w:after="0" w:line="75" w:lineRule="exact"/>
        <w:rPr>
          <w:rFonts w:ascii="Courier New" w:cs="Courier New" w:eastAsia="Courier New" w:hAnsi="Courier New"/>
          <w:sz w:val="16"/>
          <w:szCs w:val="16"/>
          <w:color w:val="auto"/>
        </w:rPr>
      </w:pPr>
    </w:p>
    <w:p>
      <w:pPr>
        <w:ind w:left="-300" w:right="2459" w:firstLine="871"/>
        <w:spacing w:after="0" w:line="287" w:lineRule="auto"/>
        <w:tabs>
          <w:tab w:leader="none" w:pos="96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pending or, to the Company's knowledge, threatened claims, actions, suits, or proceedings against or relating to any Benefit Plan or Employee Arrangement other than routine benefit claims by persons entitled to benefits thereunder.</w:t>
      </w:r>
    </w:p>
    <w:p>
      <w:pPr>
        <w:spacing w:after="0" w:line="64" w:lineRule="exact"/>
        <w:rPr>
          <w:rFonts w:ascii="Courier New" w:cs="Courier New" w:eastAsia="Courier New" w:hAnsi="Courier New"/>
          <w:sz w:val="16"/>
          <w:szCs w:val="16"/>
          <w:color w:val="auto"/>
        </w:rPr>
      </w:pPr>
    </w:p>
    <w:p>
      <w:pPr>
        <w:ind w:left="-300" w:right="2459" w:firstLine="871"/>
        <w:spacing w:after="0" w:line="270" w:lineRule="auto"/>
        <w:tabs>
          <w:tab w:leader="none" w:pos="96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do not have any obligation or liability (contingent or otherwise) to provide post-retirement life insurance or health benefits coverage for current or former officers, directors, or employees of the Company or any of its subsidiaries except (i) as may be required under Part 6 of Title I of ERISA at the sole expense of the participant or the participant's beneficiary, (ii) a medical expense reimbursement account plan</w:t>
      </w:r>
    </w:p>
    <w:p>
      <w:pPr>
        <w:spacing w:after="0" w:line="267"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9919"/>
          </w:cols>
          <w:pgMar w:left="540" w:top="273" w:right="1440" w:bottom="1440" w:gutter="0" w:footer="0" w:header="0"/>
        </w:sectPr>
      </w:pPr>
    </w:p>
    <w:bookmarkStart w:id="103" w:name="page104"/>
    <w:bookmarkEnd w:id="103"/>
    <w:p>
      <w:pPr>
        <w:ind w:left="300"/>
        <w:spacing w:after="0"/>
        <w:rPr>
          <w:sz w:val="20"/>
          <w:szCs w:val="20"/>
          <w:color w:val="auto"/>
        </w:rPr>
      </w:pPr>
      <w:r>
        <w:rPr>
          <w:rFonts w:ascii="Courier New" w:cs="Courier New" w:eastAsia="Courier New" w:hAnsi="Courier New"/>
          <w:sz w:val="16"/>
          <w:szCs w:val="16"/>
          <w:color w:val="auto"/>
        </w:rPr>
        <w:t>28</w:t>
      </w:r>
    </w:p>
    <w:p>
      <w:pPr>
        <w:spacing w:after="0" w:line="378" w:lineRule="exact"/>
        <w:rPr>
          <w:sz w:val="20"/>
          <w:szCs w:val="20"/>
          <w:color w:val="auto"/>
        </w:rPr>
      </w:pPr>
    </w:p>
    <w:p>
      <w:pPr>
        <w:ind w:right="2659"/>
        <w:spacing w:after="0" w:line="307" w:lineRule="auto"/>
        <w:rPr>
          <w:sz w:val="20"/>
          <w:szCs w:val="20"/>
          <w:color w:val="auto"/>
        </w:rPr>
      </w:pPr>
      <w:r>
        <w:rPr>
          <w:rFonts w:ascii="Courier New" w:cs="Courier New" w:eastAsia="Courier New" w:hAnsi="Courier New"/>
          <w:sz w:val="16"/>
          <w:szCs w:val="16"/>
          <w:color w:val="auto"/>
        </w:rPr>
        <w:t>pursuant to Section 125 of the Code, or (iii) through the last day of the calendar month in which the participant terminates employment with the Company or any subsidiary of the Company.</w:t>
      </w:r>
    </w:p>
    <w:p>
      <w:pPr>
        <w:spacing w:after="0" w:line="50" w:lineRule="exact"/>
        <w:rPr>
          <w:sz w:val="20"/>
          <w:szCs w:val="20"/>
          <w:color w:val="auto"/>
        </w:rPr>
      </w:pPr>
    </w:p>
    <w:p>
      <w:pPr>
        <w:ind w:right="2559" w:firstLine="871"/>
        <w:spacing w:after="0" w:line="287" w:lineRule="auto"/>
        <w:tabs>
          <w:tab w:leader="none" w:pos="126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Section 4.13(i) of the Company Disclosure Schedule, none of the assets of any Benefit Plan is stock of the Company or any of its affiliates, or property leased to or jointly owned by the Company or any of its affiliates.</w:t>
      </w:r>
    </w:p>
    <w:p>
      <w:pPr>
        <w:spacing w:after="0" w:line="64" w:lineRule="exact"/>
        <w:rPr>
          <w:rFonts w:ascii="Courier New" w:cs="Courier New" w:eastAsia="Courier New" w:hAnsi="Courier New"/>
          <w:sz w:val="16"/>
          <w:szCs w:val="16"/>
          <w:color w:val="auto"/>
        </w:rPr>
      </w:pPr>
    </w:p>
    <w:p>
      <w:pPr>
        <w:ind w:right="2459" w:firstLine="871"/>
        <w:spacing w:after="0" w:line="264" w:lineRule="auto"/>
        <w:tabs>
          <w:tab w:leader="none" w:pos="126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Section 4.13(j) of the Company Disclosure Schedule or in connection with equity compensation, neither the execution and delivery of this Agreement nor the consummation of the transactions contemplated hereby will (i) result in any payment becoming due to any employee (current, former, or retired) of the Company or any of its subsidiaries, (ii) increase any benefits under any Benefit Plan or Employee Arrangement, or (iii) result in the acceleration of the time of payment of, vesting of, or other rights in respect of any such benefits.</w:t>
      </w:r>
    </w:p>
    <w:p>
      <w:pPr>
        <w:spacing w:after="0" w:line="82" w:lineRule="exact"/>
        <w:rPr>
          <w:rFonts w:ascii="Courier New" w:cs="Courier New" w:eastAsia="Courier New" w:hAnsi="Courier New"/>
          <w:sz w:val="16"/>
          <w:szCs w:val="16"/>
          <w:color w:val="auto"/>
        </w:rPr>
      </w:pPr>
    </w:p>
    <w:p>
      <w:pPr>
        <w:ind w:right="2559" w:firstLine="871"/>
        <w:spacing w:after="0" w:line="276" w:lineRule="auto"/>
        <w:tabs>
          <w:tab w:leader="none" w:pos="126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Section 4.13(k) of the Company Disclosure Schedule, each of the Benefit Plans covering employees outside of the United States is fully funded through adequate reserves on the financial statements of the Company or its subsidiaries, insurance contracts, annuity contracts, trust funds, or similar arrangements.</w:t>
      </w:r>
    </w:p>
    <w:p>
      <w:pPr>
        <w:spacing w:after="0" w:line="76" w:lineRule="exact"/>
        <w:rPr>
          <w:sz w:val="20"/>
          <w:szCs w:val="20"/>
          <w:color w:val="auto"/>
        </w:rPr>
      </w:pPr>
    </w:p>
    <w:p>
      <w:pPr>
        <w:ind w:right="2459" w:firstLine="872"/>
        <w:spacing w:after="0" w:line="258" w:lineRule="auto"/>
        <w:rPr>
          <w:sz w:val="20"/>
          <w:szCs w:val="20"/>
          <w:color w:val="auto"/>
        </w:rPr>
      </w:pPr>
      <w:r>
        <w:rPr>
          <w:rFonts w:ascii="Courier New" w:cs="Courier New" w:eastAsia="Courier New" w:hAnsi="Courier New"/>
          <w:sz w:val="16"/>
          <w:szCs w:val="16"/>
          <w:color w:val="auto"/>
        </w:rPr>
        <w:t>SECTION 4.14 Labor Matters. (a) Neither the Company nor any of its subsidiaries is a party to any labor or collective bargaining agreement, and no employees of the Company or any of its subsidiaries are represented by any labor organization. Within the preceding three years, there have been no representation or certification proceedings, or petitions seeking a representation proceeding, pending or, to the Company's knowledge, threatened in writing to be brought or filed with the National Labor Relations Board or any other labor relations tribunal or authority. Within the preceding three years, to the Company's knowledge, there have been no organizing activities involving the Company or any of its subsidiaries in respect of any group of employees of the Company or any of its subsidiaries.</w:t>
      </w:r>
    </w:p>
    <w:p>
      <w:pPr>
        <w:spacing w:after="0" w:line="93" w:lineRule="exact"/>
        <w:rPr>
          <w:sz w:val="20"/>
          <w:szCs w:val="20"/>
          <w:color w:val="auto"/>
        </w:rPr>
      </w:pPr>
    </w:p>
    <w:p>
      <w:pPr>
        <w:ind w:right="2459" w:firstLine="871"/>
        <w:spacing w:after="0" w:line="264" w:lineRule="auto"/>
        <w:tabs>
          <w:tab w:leader="none" w:pos="126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strikes, work stoppages, slowdowns, lockouts, material arbitrations, or material grievances or other material labor disputes pending or threatened in writing against or involving the Company or any of its subsidiaries. There are no unfair labor practice charges, grievances, or complaints pending or, to the Company's knowledge, threatened in writing by or on behalf of any employee or group of employees of the Company or any of its subsidiaries which, if individually or collectively resolved against the Company or any of its subsidiaries, would have a Material Adverse Effect on the Company.</w:t>
      </w:r>
    </w:p>
    <w:p>
      <w:pPr>
        <w:spacing w:after="0" w:line="82" w:lineRule="exact"/>
        <w:rPr>
          <w:rFonts w:ascii="Courier New" w:cs="Courier New" w:eastAsia="Courier New" w:hAnsi="Courier New"/>
          <w:sz w:val="16"/>
          <w:szCs w:val="16"/>
          <w:color w:val="auto"/>
        </w:rPr>
      </w:pPr>
    </w:p>
    <w:p>
      <w:pPr>
        <w:ind w:right="2459" w:firstLine="871"/>
        <w:spacing w:after="0" w:line="270" w:lineRule="auto"/>
        <w:tabs>
          <w:tab w:leader="none" w:pos="126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complaints, charges, or claims against the Company or any of its subsidiaries pending or, to the Company's knowledge, threatened to be brought or filed with any Governmental Entity or arbitrator based on, arising out of, in connection with, or otherwise relating to the employment or termination of employment of any individual by the Company or any of its subsidiaries.</w:t>
      </w:r>
    </w:p>
    <w:p>
      <w:pPr>
        <w:spacing w:after="0" w:line="80" w:lineRule="exact"/>
        <w:rPr>
          <w:rFonts w:ascii="Courier New" w:cs="Courier New" w:eastAsia="Courier New" w:hAnsi="Courier New"/>
          <w:sz w:val="16"/>
          <w:szCs w:val="16"/>
          <w:color w:val="auto"/>
        </w:rPr>
      </w:pPr>
    </w:p>
    <w:p>
      <w:pPr>
        <w:ind w:right="2659" w:firstLine="871"/>
        <w:spacing w:after="0" w:line="307" w:lineRule="auto"/>
        <w:tabs>
          <w:tab w:leader="none" w:pos="126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are in material compliance with all Laws relating to the employment of labor, including all such Laws relating to wages, hours, the</w:t>
      </w:r>
    </w:p>
    <w:p>
      <w:pPr>
        <w:spacing w:after="0" w:line="23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273" w:right="1440" w:bottom="1440" w:gutter="0" w:footer="0" w:header="0"/>
        </w:sectPr>
      </w:pPr>
    </w:p>
    <w:bookmarkStart w:id="104" w:name="page105"/>
    <w:bookmarkEnd w:id="104"/>
    <w:p>
      <w:pPr>
        <w:ind w:left="300"/>
        <w:spacing w:after="0"/>
        <w:rPr>
          <w:sz w:val="20"/>
          <w:szCs w:val="20"/>
          <w:color w:val="auto"/>
        </w:rPr>
      </w:pPr>
      <w:r>
        <w:rPr>
          <w:rFonts w:ascii="Courier New" w:cs="Courier New" w:eastAsia="Courier New" w:hAnsi="Courier New"/>
          <w:sz w:val="16"/>
          <w:szCs w:val="16"/>
          <w:color w:val="auto"/>
        </w:rPr>
        <w:t>29</w:t>
      </w:r>
    </w:p>
    <w:p>
      <w:pPr>
        <w:spacing w:after="0" w:line="378" w:lineRule="exact"/>
        <w:rPr>
          <w:sz w:val="20"/>
          <w:szCs w:val="20"/>
          <w:color w:val="auto"/>
        </w:rPr>
      </w:pPr>
    </w:p>
    <w:p>
      <w:pPr>
        <w:ind w:right="2459"/>
        <w:spacing w:after="0" w:line="287" w:lineRule="auto"/>
        <w:rPr>
          <w:sz w:val="20"/>
          <w:szCs w:val="20"/>
          <w:color w:val="auto"/>
        </w:rPr>
      </w:pPr>
      <w:r>
        <w:rPr>
          <w:rFonts w:ascii="Courier New" w:cs="Courier New" w:eastAsia="Courier New" w:hAnsi="Courier New"/>
          <w:sz w:val="16"/>
          <w:szCs w:val="16"/>
          <w:color w:val="auto"/>
        </w:rPr>
        <w:t>Worker Adjustment and Retraining Notification Act, as amended ("WARN"), collective bargaining, discrimination, civil rights, safety and health, workers' compensation and the collection and payment of withholding and/or Social Security Taxes and any similar Tax.</w:t>
      </w:r>
    </w:p>
    <w:p>
      <w:pPr>
        <w:spacing w:after="0" w:line="65" w:lineRule="exact"/>
        <w:rPr>
          <w:sz w:val="20"/>
          <w:szCs w:val="20"/>
          <w:color w:val="auto"/>
        </w:rPr>
      </w:pPr>
    </w:p>
    <w:p>
      <w:pPr>
        <w:ind w:right="2559" w:firstLine="871"/>
        <w:spacing w:after="0" w:line="307" w:lineRule="auto"/>
        <w:tabs>
          <w:tab w:leader="none" w:pos="126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has been no "mass layoff" or "plant closing" as defined by WARN in respect of the Company or any of its subsidiaries within the six months prior to the Effective Time.</w:t>
      </w:r>
    </w:p>
    <w:p>
      <w:pPr>
        <w:spacing w:after="0" w:line="49" w:lineRule="exact"/>
        <w:rPr>
          <w:rFonts w:ascii="Courier New" w:cs="Courier New" w:eastAsia="Courier New" w:hAnsi="Courier New"/>
          <w:sz w:val="16"/>
          <w:szCs w:val="16"/>
          <w:color w:val="auto"/>
        </w:rPr>
      </w:pPr>
    </w:p>
    <w:p>
      <w:pPr>
        <w:ind w:right="2559" w:firstLine="871"/>
        <w:spacing w:after="0" w:line="276" w:lineRule="auto"/>
        <w:tabs>
          <w:tab w:leader="none" w:pos="126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Company's knowledge, all employees of the Company and its subsidiaries possess all applicable passports, visas, and other authorizations required by all applicable Laws and have otherwise complied with all applicable immigration and similar Laws in respect of their employment with the Company or any of its subsidiaries.</w:t>
      </w:r>
    </w:p>
    <w:p>
      <w:pPr>
        <w:spacing w:after="0" w:line="76"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SECTION 4.15 Environmental Matters. (a) For purposes of this Agreement:</w:t>
      </w:r>
    </w:p>
    <w:p>
      <w:pPr>
        <w:spacing w:after="0" w:line="191" w:lineRule="exact"/>
        <w:rPr>
          <w:sz w:val="20"/>
          <w:szCs w:val="20"/>
          <w:color w:val="auto"/>
        </w:rPr>
      </w:pPr>
    </w:p>
    <w:p>
      <w:pPr>
        <w:ind w:left="880" w:right="2459" w:firstLine="573"/>
        <w:spacing w:after="0" w:line="261" w:lineRule="auto"/>
        <w:tabs>
          <w:tab w:leader="none" w:pos="214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"ENVIRONMENTAL COSTS AND LIABILITIES" means any and all losses, liabilities, obligations, damages (including, compensatory, punitive, and consequential damages), fines, penalties, judgments, actions, claims, costs, and expenses (including, fees, disbursements, and expenses of legal counsel, experts, engineers, and consultants and the costs of investigation and feasibility studies and clean up, remedial, removal, or treatment activities, or in any other way addressing any Hazardous Materials) arising from, under, or pursuant to any Environmental Law;</w:t>
      </w:r>
    </w:p>
    <w:p>
      <w:pPr>
        <w:spacing w:after="0" w:line="89" w:lineRule="exact"/>
        <w:rPr>
          <w:rFonts w:ascii="Courier New" w:cs="Courier New" w:eastAsia="Courier New" w:hAnsi="Courier New"/>
          <w:sz w:val="16"/>
          <w:szCs w:val="16"/>
          <w:color w:val="auto"/>
        </w:rPr>
      </w:pPr>
    </w:p>
    <w:p>
      <w:pPr>
        <w:ind w:left="880" w:right="2459" w:firstLine="573"/>
        <w:spacing w:after="0" w:line="266" w:lineRule="auto"/>
        <w:tabs>
          <w:tab w:leader="none" w:pos="214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"ENVIRONMENTAL LAW" means any applicable federal, state, local, or foreign (including German) Law (including common Law), statute, rule, regulation, ordinance, decree, directive, or other legal requirement relating to the protection of natural resources, the environment, and public and employee health and safety or pollution or the release or exposure to Hazardous Materials as such Laws have been and may be amended or supplemented through the Closing Date;</w:t>
      </w:r>
    </w:p>
    <w:p>
      <w:pPr>
        <w:spacing w:after="0" w:line="84" w:lineRule="exact"/>
        <w:rPr>
          <w:rFonts w:ascii="Courier New" w:cs="Courier New" w:eastAsia="Courier New" w:hAnsi="Courier New"/>
          <w:sz w:val="16"/>
          <w:szCs w:val="16"/>
          <w:color w:val="auto"/>
        </w:rPr>
      </w:pPr>
    </w:p>
    <w:p>
      <w:pPr>
        <w:ind w:left="880" w:right="2459" w:firstLine="573"/>
        <w:spacing w:after="0" w:line="266" w:lineRule="auto"/>
        <w:tabs>
          <w:tab w:leader="none" w:pos="214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"HAZARDOUS MATERIAL" means any substance, material, or waste which is regulated, classified, or otherwise characterized as hazardous, toxic, pollutant, contaminant or words of similar meaning or regulatory effect by any domestic or foreign Governmental Entity, the United States, Germany, or the European Union and includes petroleum, petroleum by-products and wastes, asbestos, and polychlorinated biphenyls;</w:t>
      </w:r>
    </w:p>
    <w:p>
      <w:pPr>
        <w:spacing w:after="0" w:line="84" w:lineRule="exact"/>
        <w:rPr>
          <w:rFonts w:ascii="Courier New" w:cs="Courier New" w:eastAsia="Courier New" w:hAnsi="Courier New"/>
          <w:sz w:val="16"/>
          <w:szCs w:val="16"/>
          <w:color w:val="auto"/>
        </w:rPr>
      </w:pPr>
    </w:p>
    <w:p>
      <w:pPr>
        <w:ind w:left="880" w:right="2559" w:firstLine="573"/>
        <w:spacing w:after="0" w:line="276" w:lineRule="auto"/>
        <w:tabs>
          <w:tab w:leader="none" w:pos="214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"RELEASE" means any release, spill, effluent, emission, leaking, pumping, injection, deposit, disposal, discharge, dispersal, leaching, or migration into the indoor or outdoor environment, or into or out of any property owned, operated, or leased by the applicable party or its subsidiaries; and</w:t>
      </w:r>
    </w:p>
    <w:p>
      <w:pPr>
        <w:spacing w:after="0" w:line="75" w:lineRule="exact"/>
        <w:rPr>
          <w:rFonts w:ascii="Courier New" w:cs="Courier New" w:eastAsia="Courier New" w:hAnsi="Courier New"/>
          <w:sz w:val="16"/>
          <w:szCs w:val="16"/>
          <w:color w:val="auto"/>
        </w:rPr>
      </w:pPr>
    </w:p>
    <w:p>
      <w:pPr>
        <w:ind w:left="880" w:right="2459" w:firstLine="573"/>
        <w:spacing w:after="0" w:line="266" w:lineRule="auto"/>
        <w:tabs>
          <w:tab w:leader="none" w:pos="214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"REMEDIAL ACTION" means all actions, including, any capital expenditures, required by any domestic or foreign Governmental Entity or required under or taken pursuant to any Environmental Law, or voluntarily undertaken to (A) clean up, remove, treat, or in any other way, ameliorate or address any Hazardous Materials or other substance in the indoor or outdoor environment; (B) prevent the Release or threat of</w:t>
      </w:r>
    </w:p>
    <w:p>
      <w:pPr>
        <w:spacing w:after="0" w:line="27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273" w:right="1440" w:bottom="1440" w:gutter="0" w:footer="0" w:header="0"/>
        </w:sectPr>
      </w:pPr>
    </w:p>
    <w:bookmarkStart w:id="105" w:name="page106"/>
    <w:bookmarkEnd w:id="105"/>
    <w:p>
      <w:pPr>
        <w:spacing w:after="0"/>
        <w:rPr>
          <w:sz w:val="20"/>
          <w:szCs w:val="20"/>
          <w:color w:val="auto"/>
        </w:rPr>
      </w:pPr>
      <w:r>
        <w:rPr>
          <w:rFonts w:ascii="Courier New" w:cs="Courier New" w:eastAsia="Courier New" w:hAnsi="Courier New"/>
          <w:sz w:val="16"/>
          <w:szCs w:val="16"/>
          <w:color w:val="auto"/>
        </w:rPr>
        <w:t>30</w:t>
      </w:r>
    </w:p>
    <w:p>
      <w:pPr>
        <w:spacing w:after="0" w:line="378" w:lineRule="exact"/>
        <w:rPr>
          <w:sz w:val="20"/>
          <w:szCs w:val="20"/>
          <w:color w:val="auto"/>
        </w:rPr>
      </w:pPr>
    </w:p>
    <w:p>
      <w:pPr>
        <w:ind w:left="580" w:right="2559"/>
        <w:spacing w:after="0" w:line="270" w:lineRule="auto"/>
        <w:rPr>
          <w:sz w:val="20"/>
          <w:szCs w:val="20"/>
          <w:color w:val="auto"/>
        </w:rPr>
      </w:pPr>
      <w:r>
        <w:rPr>
          <w:rFonts w:ascii="Courier New" w:cs="Courier New" w:eastAsia="Courier New" w:hAnsi="Courier New"/>
          <w:sz w:val="16"/>
          <w:szCs w:val="16"/>
          <w:color w:val="auto"/>
        </w:rPr>
        <w:t>Release, or minimize the further Release of any Hazardous Material so it does not endanger or threaten to endanger the public health or welfare of the indoor or outdoor environment; (C) perform pre-remedial studies and investigations or post-remedial monitoring and care pertaining or relating to a Release; or (D) bring the applicable party into compliance with any Environmental Law.</w:t>
      </w:r>
    </w:p>
    <w:p>
      <w:pPr>
        <w:spacing w:after="0" w:line="81" w:lineRule="exact"/>
        <w:rPr>
          <w:sz w:val="20"/>
          <w:szCs w:val="20"/>
          <w:color w:val="auto"/>
        </w:rPr>
      </w:pPr>
    </w:p>
    <w:p>
      <w:pPr>
        <w:ind w:left="-300" w:right="2659" w:firstLine="871"/>
        <w:spacing w:after="0" w:line="276" w:lineRule="auto"/>
        <w:tabs>
          <w:tab w:leader="none" w:pos="96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operations of the Company and its subsidiaries have been and, as of the Closing Date, will be, in material compliance with all Environmental Laws, and the Company is not aware of any facts, circumstances, or conditions which, without significant capital expenditures, would prevent material compliance in the future, assuming no change in Environmental Laws.</w:t>
      </w:r>
    </w:p>
    <w:p>
      <w:pPr>
        <w:spacing w:after="0" w:line="75" w:lineRule="exact"/>
        <w:rPr>
          <w:rFonts w:ascii="Courier New" w:cs="Courier New" w:eastAsia="Courier New" w:hAnsi="Courier New"/>
          <w:sz w:val="16"/>
          <w:szCs w:val="16"/>
          <w:color w:val="auto"/>
        </w:rPr>
      </w:pPr>
    </w:p>
    <w:p>
      <w:pPr>
        <w:ind w:left="-300" w:right="2559" w:firstLine="871"/>
        <w:spacing w:after="0" w:line="287" w:lineRule="auto"/>
        <w:tabs>
          <w:tab w:leader="none" w:pos="96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have obtained and will, as of the Closing Date, maintain all permits, authorizations, licenses, or similar approvals required under applicable Environmental Laws for the continued operations of their respective businesses.</w:t>
      </w:r>
    </w:p>
    <w:p>
      <w:pPr>
        <w:spacing w:after="0" w:line="64" w:lineRule="exact"/>
        <w:rPr>
          <w:rFonts w:ascii="Courier New" w:cs="Courier New" w:eastAsia="Courier New" w:hAnsi="Courier New"/>
          <w:sz w:val="16"/>
          <w:szCs w:val="16"/>
          <w:color w:val="auto"/>
        </w:rPr>
      </w:pPr>
    </w:p>
    <w:p>
      <w:pPr>
        <w:ind w:left="-300" w:right="2659" w:firstLine="871"/>
        <w:spacing w:after="0" w:line="276" w:lineRule="auto"/>
        <w:tabs>
          <w:tab w:leader="none" w:pos="96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Company's knowledge, the Company and its subsidiaries are not subject to any outstanding written orders from any Governmental Entity respecting (A) Environmental Laws, (B) Remedial Action, or (C) any Release or threatened Release of a Hazardous Material and, to the Company's knowledge, no such orders or contracts are currently threatened or contemplated.</w:t>
      </w:r>
    </w:p>
    <w:p>
      <w:pPr>
        <w:spacing w:after="0" w:line="75" w:lineRule="exact"/>
        <w:rPr>
          <w:rFonts w:ascii="Courier New" w:cs="Courier New" w:eastAsia="Courier New" w:hAnsi="Courier New"/>
          <w:sz w:val="16"/>
          <w:szCs w:val="16"/>
          <w:color w:val="auto"/>
        </w:rPr>
      </w:pPr>
    </w:p>
    <w:p>
      <w:pPr>
        <w:ind w:left="-300" w:right="2559" w:firstLine="871"/>
        <w:spacing w:after="0" w:line="307" w:lineRule="auto"/>
        <w:tabs>
          <w:tab w:leader="none" w:pos="96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have not received any written communication alleging, in respect of any such party, the material violation of or material liability (real or potential) under any Environmental Law.</w:t>
      </w:r>
    </w:p>
    <w:p>
      <w:pPr>
        <w:spacing w:after="0" w:line="49" w:lineRule="exact"/>
        <w:rPr>
          <w:rFonts w:ascii="Courier New" w:cs="Courier New" w:eastAsia="Courier New" w:hAnsi="Courier New"/>
          <w:sz w:val="16"/>
          <w:szCs w:val="16"/>
          <w:color w:val="auto"/>
        </w:rPr>
      </w:pPr>
    </w:p>
    <w:p>
      <w:pPr>
        <w:ind w:left="-300" w:right="2559" w:firstLine="871"/>
        <w:spacing w:after="0" w:line="307" w:lineRule="auto"/>
        <w:tabs>
          <w:tab w:leader="none" w:pos="96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Company's knowledge, neither the Company nor any of its subsidiaries has any contingent liability in connection with the Release of any Hazardous Material (whether on-site or off-site).</w:t>
      </w:r>
    </w:p>
    <w:p>
      <w:pPr>
        <w:spacing w:after="0" w:line="49" w:lineRule="exact"/>
        <w:rPr>
          <w:rFonts w:ascii="Courier New" w:cs="Courier New" w:eastAsia="Courier New" w:hAnsi="Courier New"/>
          <w:sz w:val="16"/>
          <w:szCs w:val="16"/>
          <w:color w:val="auto"/>
        </w:rPr>
      </w:pPr>
    </w:p>
    <w:p>
      <w:pPr>
        <w:ind w:left="-300" w:right="2459" w:firstLine="871"/>
        <w:spacing w:after="0" w:line="264" w:lineRule="auto"/>
        <w:tabs>
          <w:tab w:leader="none" w:pos="96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Company's knowledge, there is not now, nor has there been in the past, on or in any property of the Company or any of its subsidiaries any of the following: (A) any underground storage tanks installed or used by the Company or surface impoundments, (B) any asbestos-containing materials, or (C) any polychlorinated biphenyls; and, to the Company's knowledge, neither the Company nor any of its subsidiaries did in the past own or operate any facilities at which were located underground storage tanks or surface impoundments over which the Company exercised control.</w:t>
      </w:r>
    </w:p>
    <w:p>
      <w:pPr>
        <w:spacing w:after="0" w:line="82" w:lineRule="exact"/>
        <w:rPr>
          <w:rFonts w:ascii="Courier New" w:cs="Courier New" w:eastAsia="Courier New" w:hAnsi="Courier New"/>
          <w:sz w:val="16"/>
          <w:szCs w:val="16"/>
          <w:color w:val="auto"/>
        </w:rPr>
      </w:pPr>
    </w:p>
    <w:p>
      <w:pPr>
        <w:ind w:left="-300" w:right="2459" w:firstLine="871"/>
        <w:spacing w:after="0" w:line="270" w:lineRule="auto"/>
        <w:tabs>
          <w:tab w:leader="none" w:pos="96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judicial or administrative proceedings are pending or, to the Company's knowledge, threatened against the Company or its subsidiaries alleging the violation of or seeking to impose liability pursuant to any Environmental Law and, to the Company's knowledge, there are no investigations pending or threatened against the Company or any of its subsidiaries under Environmental Laws.</w:t>
      </w:r>
    </w:p>
    <w:p>
      <w:pPr>
        <w:spacing w:after="0" w:line="80" w:lineRule="exact"/>
        <w:rPr>
          <w:rFonts w:ascii="Courier New" w:cs="Courier New" w:eastAsia="Courier New" w:hAnsi="Courier New"/>
          <w:sz w:val="16"/>
          <w:szCs w:val="16"/>
          <w:color w:val="auto"/>
        </w:rPr>
      </w:pPr>
    </w:p>
    <w:p>
      <w:pPr>
        <w:ind w:left="-300" w:right="2559" w:firstLine="871"/>
        <w:spacing w:after="0" w:line="307" w:lineRule="auto"/>
        <w:tabs>
          <w:tab w:leader="none" w:pos="96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provided Parent with copies of all environmentally related assessments, audits, investigations, sampling or similar reports relating to the Company or its</w:t>
      </w:r>
    </w:p>
    <w:p>
      <w:pPr>
        <w:spacing w:after="0" w:line="236"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9919"/>
          </w:cols>
          <w:pgMar w:left="540" w:top="273" w:right="1440" w:bottom="1440" w:gutter="0" w:footer="0" w:header="0"/>
        </w:sectPr>
      </w:pPr>
    </w:p>
    <w:bookmarkStart w:id="106" w:name="page107"/>
    <w:bookmarkEnd w:id="106"/>
    <w:p>
      <w:pPr>
        <w:ind w:left="300"/>
        <w:spacing w:after="0"/>
        <w:rPr>
          <w:sz w:val="20"/>
          <w:szCs w:val="20"/>
          <w:color w:val="auto"/>
        </w:rPr>
      </w:pPr>
      <w:r>
        <w:rPr>
          <w:rFonts w:ascii="Courier New" w:cs="Courier New" w:eastAsia="Courier New" w:hAnsi="Courier New"/>
          <w:sz w:val="16"/>
          <w:szCs w:val="16"/>
          <w:color w:val="auto"/>
        </w:rPr>
        <w:t>31</w:t>
      </w:r>
    </w:p>
    <w:p>
      <w:pPr>
        <w:spacing w:after="0" w:line="378" w:lineRule="exact"/>
        <w:rPr>
          <w:sz w:val="20"/>
          <w:szCs w:val="20"/>
          <w:color w:val="auto"/>
        </w:rPr>
      </w:pPr>
    </w:p>
    <w:p>
      <w:pPr>
        <w:jc w:val="both"/>
        <w:ind w:right="2959"/>
        <w:spacing w:after="0" w:line="307" w:lineRule="auto"/>
        <w:rPr>
          <w:sz w:val="20"/>
          <w:szCs w:val="20"/>
          <w:color w:val="auto"/>
        </w:rPr>
      </w:pPr>
      <w:r>
        <w:rPr>
          <w:rFonts w:ascii="Courier New" w:cs="Courier New" w:eastAsia="Courier New" w:hAnsi="Courier New"/>
          <w:sz w:val="16"/>
          <w:szCs w:val="16"/>
          <w:color w:val="auto"/>
        </w:rPr>
        <w:t>subsidiaries or any real property currently or formerly owned, operated, or leased by or for the Company or its subsidiaries that are in the Company's possession or control.</w:t>
      </w:r>
    </w:p>
    <w:p>
      <w:pPr>
        <w:spacing w:after="0" w:line="50" w:lineRule="exact"/>
        <w:rPr>
          <w:sz w:val="20"/>
          <w:szCs w:val="20"/>
          <w:color w:val="auto"/>
        </w:rPr>
      </w:pPr>
    </w:p>
    <w:p>
      <w:pPr>
        <w:ind w:right="2459" w:firstLine="872"/>
        <w:spacing w:after="0" w:line="250" w:lineRule="auto"/>
        <w:rPr>
          <w:sz w:val="20"/>
          <w:szCs w:val="20"/>
          <w:color w:val="auto"/>
        </w:rPr>
      </w:pPr>
      <w:r>
        <w:rPr>
          <w:rFonts w:ascii="Courier New" w:cs="Courier New" w:eastAsia="Courier New" w:hAnsi="Courier New"/>
          <w:sz w:val="16"/>
          <w:szCs w:val="16"/>
          <w:color w:val="auto"/>
        </w:rPr>
        <w:t>SECTION 4.16 Tax Matters. (a) The Company and each of its subsidiaries, and each consolidated or combined affiliated group (within the meaning of Section 1504 of the Internal Revenue Code of 1986, as amended (the "CODE"), or any corresponding or equivalent provision of any state, local, or foreign Tax Law ("CORRESPONDING PROVISION")) of which the Company or any of its subsidiaries is or has been a member has timely filed all federal and foreign income Tax Returns and all other material Tax Returns and reports required to be filed by it. All such Tax Returns are complete and correct in all material respects. The Company and each of its subsidiaries has paid (or the Company has paid on its subsidiaries' behalf) all Taxes due for the periods covered by such Tax Returns. The most recent consolidated financial statements contained in the Company SEC Reports reflect an adequate reserve for all Taxes payable by the Company and its subsidiaries for all Taxable periods and portions thereof through the date of such financial statements. The Company has previously delivered to Parent copies of (i) all federal, state, local, and foreign income and franchise Tax Returns filed by the Company and each of its subsidiaries for their taxable years ended in 1996, 1997, and 1998; and (ii) any audit report issued within the last two years (or otherwise in respect of any audit or investigation in progress) relating to Taxes due from or in respect of the Company and each of its subsidiaries. For purposes of this Agreement, "TAX" or "TAXES" means all Taxes, charges, fees, imposts, duties, levies, gaming, or other assessments, including, all net income, gross receipts, capital, trade income, sales, use, ad valorem, value added, transfer, trade, consumption, insurance, franchise, profits, inventory, capital stock, license, withholding, payroll, employment, social security, unemployment, excise, severance, stamp, occupation, property, import/export, and estimated Taxes, customs duties, fees, assessments, and charges of any kind whatsoever, together with any interest and any penalties, fines, additions to Tax, or additional amounts imposed by any taxing authority (domestic or foreign, including German) and shall include any transferee liability in respect of Taxes, any liability in respect of Taxes imposed by contract, Tax sharing agreement, Tax indemnity agreement, or any similar agreement. "TAX RETURNS" means any report, return, document, declaration, or any other information or filing required to be supplied to any taxing authority or jurisdiction (domestic or foreign, including German) in respect of Taxes, including, information returns, any document in respect of or accompanying payments or estimated Taxes, or in respect of or accompanying requests for the extension of time in which to file any such report, return document, declaration, or other information.</w:t>
      </w:r>
    </w:p>
    <w:p>
      <w:pPr>
        <w:spacing w:after="0" w:line="93" w:lineRule="exact"/>
        <w:rPr>
          <w:sz w:val="20"/>
          <w:szCs w:val="20"/>
          <w:color w:val="auto"/>
        </w:rPr>
      </w:pPr>
    </w:p>
    <w:p>
      <w:pPr>
        <w:ind w:right="2459" w:firstLine="871"/>
        <w:spacing w:after="0" w:line="264" w:lineRule="auto"/>
        <w:tabs>
          <w:tab w:leader="none" w:pos="126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material deficiencies for any Taxes have been proposed, asserted, or assessed against the Company or any of its subsidiaries that have not been fully paid or adequately provided for in the appropriate financial statements of the Company and its subsidiaries, no requests for waivers of the time to assess any Taxes are pending, and no power of attorney in respect of any Taxes has been executed or filed with any taxing authority. All income and franchise Tax Returns filed by or on behalf of the Company or any of its subsidiaries have been reviewed by the relevant taxing authority.</w:t>
      </w:r>
    </w:p>
    <w:p>
      <w:pPr>
        <w:spacing w:after="0" w:line="82" w:lineRule="exact"/>
        <w:rPr>
          <w:rFonts w:ascii="Courier New" w:cs="Courier New" w:eastAsia="Courier New" w:hAnsi="Courier New"/>
          <w:sz w:val="16"/>
          <w:szCs w:val="16"/>
          <w:color w:val="auto"/>
        </w:rPr>
      </w:pPr>
    </w:p>
    <w:p>
      <w:pPr>
        <w:ind w:right="2459" w:firstLine="871"/>
        <w:spacing w:after="0" w:line="307" w:lineRule="auto"/>
        <w:tabs>
          <w:tab w:leader="none" w:pos="126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material liens for Taxes exist in respect of any assets or properties of the Company or any of its subsidiaries, except for statutory liens for Taxes not yet due.</w:t>
      </w:r>
    </w:p>
    <w:p>
      <w:pPr>
        <w:spacing w:after="0" w:line="23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273" w:right="1440" w:bottom="1440" w:gutter="0" w:footer="0" w:header="0"/>
        </w:sectPr>
      </w:pPr>
    </w:p>
    <w:bookmarkStart w:id="107" w:name="page108"/>
    <w:bookmarkEnd w:id="107"/>
    <w:p>
      <w:pPr>
        <w:ind w:left="301"/>
        <w:spacing w:after="0"/>
        <w:rPr>
          <w:sz w:val="20"/>
          <w:szCs w:val="20"/>
          <w:color w:val="auto"/>
        </w:rPr>
      </w:pPr>
      <w:r>
        <w:rPr>
          <w:rFonts w:ascii="Courier New" w:cs="Courier New" w:eastAsia="Courier New" w:hAnsi="Courier New"/>
          <w:sz w:val="16"/>
          <w:szCs w:val="16"/>
          <w:color w:val="auto"/>
        </w:rPr>
        <w:t>32</w:t>
      </w:r>
    </w:p>
    <w:p>
      <w:pPr>
        <w:spacing w:after="0" w:line="378" w:lineRule="exact"/>
        <w:rPr>
          <w:sz w:val="20"/>
          <w:szCs w:val="20"/>
          <w:color w:val="auto"/>
        </w:rPr>
      </w:pPr>
    </w:p>
    <w:p>
      <w:pPr>
        <w:ind w:left="1" w:right="2559" w:firstLine="871"/>
        <w:spacing w:after="0" w:line="276" w:lineRule="auto"/>
        <w:tabs>
          <w:tab w:leader="none" w:pos="1260"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Company or any of its subsidiaries is a party to or is bound by any Tax sharing agreement, Tax indemnity obligation, or similar agreement, arrangement, or practice in respect of Taxes (including, any advance pricing agreement, closing agreement, or other agreement relating to Taxes with any taxing authority).</w:t>
      </w:r>
    </w:p>
    <w:p>
      <w:pPr>
        <w:spacing w:after="0" w:line="75" w:lineRule="exact"/>
        <w:rPr>
          <w:rFonts w:ascii="Courier New" w:cs="Courier New" w:eastAsia="Courier New" w:hAnsi="Courier New"/>
          <w:sz w:val="16"/>
          <w:szCs w:val="16"/>
          <w:color w:val="auto"/>
        </w:rPr>
      </w:pPr>
    </w:p>
    <w:p>
      <w:pPr>
        <w:ind w:left="1" w:right="2459" w:firstLine="871"/>
        <w:spacing w:after="0" w:line="270" w:lineRule="auto"/>
        <w:tabs>
          <w:tab w:leader="none" w:pos="1260"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employment, severance, or termination agreements, other compensation arrangements, or Benefit Plans or Employee Arrangements currently in effect which provide for the payment of any amount (whether in cash or property or the vesting, or accelerated vesting, of property) as a result of any of the transactions contemplated by this Agreement that would give rise to a payment which is nondeductible by reason of Section 280G of the Code.</w:t>
      </w:r>
    </w:p>
    <w:p>
      <w:pPr>
        <w:spacing w:after="0" w:line="80" w:lineRule="exact"/>
        <w:rPr>
          <w:rFonts w:ascii="Courier New" w:cs="Courier New" w:eastAsia="Courier New" w:hAnsi="Courier New"/>
          <w:sz w:val="16"/>
          <w:szCs w:val="16"/>
          <w:color w:val="auto"/>
        </w:rPr>
      </w:pPr>
    </w:p>
    <w:p>
      <w:pPr>
        <w:ind w:left="1" w:right="2959" w:firstLine="871"/>
        <w:spacing w:after="0" w:line="367" w:lineRule="auto"/>
        <w:tabs>
          <w:tab w:leader="none" w:pos="1260"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have complied in all material respects with all Laws applicable to the payment and withholding of Taxes.</w:t>
      </w:r>
    </w:p>
    <w:p>
      <w:pPr>
        <w:spacing w:after="0" w:line="4" w:lineRule="exact"/>
        <w:rPr>
          <w:rFonts w:ascii="Courier New" w:cs="Courier New" w:eastAsia="Courier New" w:hAnsi="Courier New"/>
          <w:sz w:val="16"/>
          <w:szCs w:val="16"/>
          <w:color w:val="auto"/>
        </w:rPr>
      </w:pPr>
    </w:p>
    <w:p>
      <w:pPr>
        <w:ind w:left="1" w:right="2459" w:firstLine="871"/>
        <w:spacing w:after="0" w:line="276" w:lineRule="auto"/>
        <w:tabs>
          <w:tab w:leader="none" w:pos="1260"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federal, state, local, or foreign audits or other administrative proceedings or court proceedings are presently pending in respect of any federal income or material state, local, or foreign Taxes or Tax Returns of the Company or its subsidiaries and neither the Company nor any of its subsidiaries has received a written notice of any pending audit or proceeding.</w:t>
      </w:r>
    </w:p>
    <w:p>
      <w:pPr>
        <w:spacing w:after="0" w:line="75" w:lineRule="exact"/>
        <w:rPr>
          <w:rFonts w:ascii="Courier New" w:cs="Courier New" w:eastAsia="Courier New" w:hAnsi="Courier New"/>
          <w:sz w:val="16"/>
          <w:szCs w:val="16"/>
          <w:color w:val="auto"/>
        </w:rPr>
      </w:pPr>
    </w:p>
    <w:p>
      <w:pPr>
        <w:ind w:left="1" w:right="2459" w:firstLine="871"/>
        <w:spacing w:after="0" w:line="367" w:lineRule="auto"/>
        <w:tabs>
          <w:tab w:leader="none" w:pos="1260"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has agreed to or is required to make any adjustment under Section 481(a) of the Code.</w:t>
      </w:r>
    </w:p>
    <w:p>
      <w:pPr>
        <w:spacing w:after="0" w:line="4" w:lineRule="exact"/>
        <w:rPr>
          <w:rFonts w:ascii="Courier New" w:cs="Courier New" w:eastAsia="Courier New" w:hAnsi="Courier New"/>
          <w:sz w:val="16"/>
          <w:szCs w:val="16"/>
          <w:color w:val="auto"/>
        </w:rPr>
      </w:pPr>
    </w:p>
    <w:p>
      <w:pPr>
        <w:ind w:left="1" w:right="2459" w:firstLine="871"/>
        <w:spacing w:after="0" w:line="258" w:lineRule="auto"/>
        <w:tabs>
          <w:tab w:leader="none" w:pos="1260"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has (i) in respect of any assets or property held or acquired by any of them, filed a consent to the application of Section 341(f) of the Code or agreed to have Section 341(f)(2) of the Code apply to any disposition of a subsection (f) asset (as such term is defined in Section 341(f)(4) of the Code) owned by the Company or any of its subsidiaries; (ii) executed or entered into a closing agreement pursuant to Section 7121 of the Code or any Corresponding Provision; (iii) received or filed any requests for rulings or determinations in respect of any Taxes within the last five years; or (iv) extended the time within which to file any Tax Return, which Tax Return has since not been filed, or the assessment or collection of Taxes, which Taxes have not since been paid.</w:t>
      </w:r>
    </w:p>
    <w:p>
      <w:pPr>
        <w:spacing w:after="0" w:line="92" w:lineRule="exact"/>
        <w:rPr>
          <w:rFonts w:ascii="Courier New" w:cs="Courier New" w:eastAsia="Courier New" w:hAnsi="Courier New"/>
          <w:sz w:val="16"/>
          <w:szCs w:val="16"/>
          <w:color w:val="auto"/>
        </w:rPr>
      </w:pPr>
    </w:p>
    <w:p>
      <w:pPr>
        <w:ind w:left="1" w:right="2459" w:firstLine="871"/>
        <w:spacing w:after="0" w:line="256" w:lineRule="auto"/>
        <w:tabs>
          <w:tab w:leader="none" w:pos="1260"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property owned by the Company or any of its subsidiaries (i) is property required to be treated as being owned by another person pursuant to the provisions of Section 168(f)(8) of the Internal Revenue Code of 1954, as amended and in effect immediately prior to the enactment of the Tax Reform Act of 1986;</w:t>
      </w:r>
    </w:p>
    <w:p>
      <w:pPr>
        <w:spacing w:after="0" w:line="2" w:lineRule="exact"/>
        <w:rPr>
          <w:rFonts w:ascii="Courier New" w:cs="Courier New" w:eastAsia="Courier New" w:hAnsi="Courier New"/>
          <w:sz w:val="16"/>
          <w:szCs w:val="16"/>
          <w:color w:val="auto"/>
        </w:rPr>
      </w:pPr>
    </w:p>
    <w:p>
      <w:pPr>
        <w:ind w:left="1" w:right="2659" w:hanging="1"/>
        <w:spacing w:after="0" w:line="273" w:lineRule="auto"/>
        <w:tabs>
          <w:tab w:leader="none" w:pos="485"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constitutes "tax exempt use property" within the meaning of Section 168(h)(1) of the Code; (iii) is "tax exempt bond financed property" within the meaning of Section 168(g)(5) of the Code; or (iv) is "limited use property" within the meaning of Rev. Proc. 76-30.</w:t>
      </w:r>
    </w:p>
    <w:p>
      <w:pPr>
        <w:spacing w:after="0" w:line="77" w:lineRule="exact"/>
        <w:rPr>
          <w:rFonts w:ascii="Courier New" w:cs="Courier New" w:eastAsia="Courier New" w:hAnsi="Courier New"/>
          <w:sz w:val="16"/>
          <w:szCs w:val="16"/>
          <w:color w:val="auto"/>
        </w:rPr>
      </w:pPr>
    </w:p>
    <w:p>
      <w:pPr>
        <w:jc w:val="both"/>
        <w:ind w:left="1" w:right="2659" w:firstLine="871"/>
        <w:spacing w:after="0" w:line="287" w:lineRule="auto"/>
        <w:tabs>
          <w:tab w:leader="none" w:pos="1260" w:val="left"/>
        </w:tabs>
        <w:numPr>
          <w:ilvl w:val="1"/>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each of its subsidiaries are not currently, have not been within the last five years, and do not anticipate becoming a "United States real property holding corporation" within the meaning of Section 897(c) of the Code.</w:t>
      </w:r>
    </w:p>
    <w:p>
      <w:pPr>
        <w:spacing w:after="0" w:line="64" w:lineRule="exact"/>
        <w:rPr>
          <w:rFonts w:ascii="Courier New" w:cs="Courier New" w:eastAsia="Courier New" w:hAnsi="Courier New"/>
          <w:sz w:val="16"/>
          <w:szCs w:val="16"/>
          <w:color w:val="auto"/>
        </w:rPr>
      </w:pPr>
    </w:p>
    <w:p>
      <w:pPr>
        <w:ind w:left="1261" w:hanging="389"/>
        <w:spacing w:after="0"/>
        <w:tabs>
          <w:tab w:leader="none" w:pos="1261" w:val="left"/>
        </w:tabs>
        <w:numPr>
          <w:ilvl w:val="1"/>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subsidiary of the Company owns any Shares.</w:t>
      </w:r>
    </w:p>
    <w:p>
      <w:pPr>
        <w:spacing w:after="0" w:line="378"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20"/>
          </w:cols>
          <w:pgMar w:left="239" w:top="273" w:right="1440" w:bottom="1440" w:gutter="0" w:footer="0" w:header="0"/>
        </w:sectPr>
      </w:pPr>
    </w:p>
    <w:bookmarkStart w:id="108" w:name="page109"/>
    <w:bookmarkEnd w:id="108"/>
    <w:p>
      <w:pPr>
        <w:ind w:left="300"/>
        <w:spacing w:after="0"/>
        <w:rPr>
          <w:sz w:val="20"/>
          <w:szCs w:val="20"/>
          <w:color w:val="auto"/>
        </w:rPr>
      </w:pPr>
      <w:r>
        <w:rPr>
          <w:rFonts w:ascii="Courier New" w:cs="Courier New" w:eastAsia="Courier New" w:hAnsi="Courier New"/>
          <w:sz w:val="16"/>
          <w:szCs w:val="16"/>
          <w:color w:val="auto"/>
        </w:rPr>
        <w:t>33</w:t>
      </w:r>
    </w:p>
    <w:p>
      <w:pPr>
        <w:spacing w:after="0" w:line="378" w:lineRule="exact"/>
        <w:rPr>
          <w:sz w:val="20"/>
          <w:szCs w:val="20"/>
          <w:color w:val="auto"/>
        </w:rPr>
      </w:pPr>
    </w:p>
    <w:p>
      <w:pPr>
        <w:ind w:right="2659" w:firstLine="871"/>
        <w:spacing w:after="0" w:line="266" w:lineRule="auto"/>
        <w:tabs>
          <w:tab w:leader="none" w:pos="126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4.16(m) of the Company Disclosure Schedule sets forth a list of all types of Taxes paid and types of Tax Returns filed by or on behalf of the Company and each of its subsidiaries. To the Company's knowledge, no claim has been made within the past two years, by a taxing authority in a jurisdiction where the Company or any of its subsidiaries does not file Tax Returns to the effect that the Company or any of its subsidiaries is or may be subject to Taxation by that jurisdiction.</w:t>
      </w:r>
    </w:p>
    <w:p>
      <w:pPr>
        <w:spacing w:after="0" w:line="84" w:lineRule="exact"/>
        <w:rPr>
          <w:rFonts w:ascii="Courier New" w:cs="Courier New" w:eastAsia="Courier New" w:hAnsi="Courier New"/>
          <w:sz w:val="16"/>
          <w:szCs w:val="16"/>
          <w:color w:val="auto"/>
        </w:rPr>
      </w:pPr>
    </w:p>
    <w:p>
      <w:pPr>
        <w:jc w:val="both"/>
        <w:ind w:right="2659" w:firstLine="871"/>
        <w:spacing w:after="0" w:line="307" w:lineRule="auto"/>
        <w:tabs>
          <w:tab w:leader="none" w:pos="126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is a party to any contract, agreement, or other arrangement which could result in the payment of amounts that could be nondeductible by reason of Section 162(m) of the Code.</w:t>
      </w:r>
    </w:p>
    <w:p>
      <w:pPr>
        <w:spacing w:after="0" w:line="49" w:lineRule="exact"/>
        <w:rPr>
          <w:rFonts w:ascii="Courier New" w:cs="Courier New" w:eastAsia="Courier New" w:hAnsi="Courier New"/>
          <w:sz w:val="16"/>
          <w:szCs w:val="16"/>
          <w:color w:val="auto"/>
        </w:rPr>
      </w:pPr>
    </w:p>
    <w:p>
      <w:pPr>
        <w:ind w:right="2759" w:firstLine="871"/>
        <w:spacing w:after="0" w:line="307" w:lineRule="auto"/>
        <w:tabs>
          <w:tab w:leader="none" w:pos="126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has received any private letter rulings from the IRS or comparable rulings from other taxing authorities other than in respect of Benefit Plans.</w:t>
      </w:r>
    </w:p>
    <w:p>
      <w:pPr>
        <w:spacing w:after="0" w:line="49" w:lineRule="exact"/>
        <w:rPr>
          <w:rFonts w:ascii="Courier New" w:cs="Courier New" w:eastAsia="Courier New" w:hAnsi="Courier New"/>
          <w:sz w:val="16"/>
          <w:szCs w:val="16"/>
          <w:color w:val="auto"/>
        </w:rPr>
      </w:pPr>
    </w:p>
    <w:p>
      <w:pPr>
        <w:ind w:right="2559" w:firstLine="871"/>
        <w:spacing w:after="0" w:line="264" w:lineRule="auto"/>
        <w:tabs>
          <w:tab w:leader="none" w:pos="126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(i) has been a member of an affiliated group within the meaning of Section 1504(a) of the Code (or any similar group defined under any Corresponding Provision) other than an affiliated group, the common parent of which is the Company, and (ii) has any liability under Section 1.11502-6 of the Treasury Regulations (or any Corresponding Provision), as a transferee or successor, by contract or otherwise, for Taxes of any affiliated group of which the Company is not the common parent.</w:t>
      </w:r>
    </w:p>
    <w:p>
      <w:pPr>
        <w:spacing w:after="0" w:line="82" w:lineRule="exact"/>
        <w:rPr>
          <w:sz w:val="20"/>
          <w:szCs w:val="20"/>
          <w:color w:val="auto"/>
        </w:rPr>
      </w:pPr>
    </w:p>
    <w:p>
      <w:pPr>
        <w:ind w:right="2459" w:firstLine="872"/>
        <w:spacing w:after="0" w:line="255" w:lineRule="auto"/>
        <w:rPr>
          <w:sz w:val="20"/>
          <w:szCs w:val="20"/>
          <w:color w:val="auto"/>
        </w:rPr>
      </w:pPr>
      <w:r>
        <w:rPr>
          <w:rFonts w:ascii="Courier New" w:cs="Courier New" w:eastAsia="Courier New" w:hAnsi="Courier New"/>
          <w:sz w:val="16"/>
          <w:szCs w:val="16"/>
          <w:color w:val="auto"/>
        </w:rPr>
        <w:t>SECTION 4.17 Absence of Questionable Payments. Neither the Company nor any of its subsidiaries nor, to the Company's knowledge, any director, officer, agent, employee, or other person acting on behalf of the Company or any of its subsidiaries, has used any corporate or other funds for unlawful contributions, payments, gifts, or entertainment, or made any unlawful expenditures relating to political activity to government officials or others or established or maintained any unlawful or unrecorded funds in violation of Section 30A of the Exchange Act or any other domestic or foreign Law. Neither the Company nor any of its subsidiaries nor, to the Company's knowledge, any director, officer, agent, employee, or other person acting on behalf of the Company or any of its subsidiaries, has accepted or received any unlawful contributions, payments, gifts, or expenditures. To the Company's knowledge, the Company and each of its subsidiaries which is required to file reports pursuant to Section 12 or 15(d) of the Exchange Act is in compliance with the provisions of Section 13(b) of the Exchange Act.</w:t>
      </w:r>
    </w:p>
    <w:p>
      <w:pPr>
        <w:spacing w:after="0" w:line="93" w:lineRule="exact"/>
        <w:rPr>
          <w:sz w:val="20"/>
          <w:szCs w:val="20"/>
          <w:color w:val="auto"/>
        </w:rPr>
      </w:pPr>
    </w:p>
    <w:p>
      <w:pPr>
        <w:ind w:right="2459" w:firstLine="872"/>
        <w:spacing w:after="0" w:line="256" w:lineRule="auto"/>
        <w:rPr>
          <w:sz w:val="20"/>
          <w:szCs w:val="20"/>
          <w:color w:val="auto"/>
        </w:rPr>
      </w:pPr>
      <w:r>
        <w:rPr>
          <w:rFonts w:ascii="Courier New" w:cs="Courier New" w:eastAsia="Courier New" w:hAnsi="Courier New"/>
          <w:sz w:val="16"/>
          <w:szCs w:val="16"/>
          <w:color w:val="auto"/>
        </w:rPr>
        <w:t>SECTION 4.18 Material Contracts. (a) Section 4.18 of the Company Disclosure Schedule sets forth a list of all Material Contracts. The Company has heretofore made available to Parent true, correct, and complete copies of all written, and summaries of all oral, contracts and agreements (and all amendments, modifications, and supplements thereto and all side letters to which the Company or any of its subsidiaries is a party affecting the obligations of any party thereunder) to which the Company or any of its subsidiaries is a party or by which any of its assets or properties are bound that are material to the business, assets, or properties of the Company and its subsidiaries taken as a whole, including, to the extent any of the following are, individually or in the aggregate, material to the business, assets, or properties of the Company and its subsidiaries taken as a whole, all: (i) employment, severance, product design or development, personal services, consulting, non-competition, or indemnification contracts</w:t>
      </w:r>
    </w:p>
    <w:p>
      <w:pPr>
        <w:spacing w:after="0" w:line="27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273" w:right="1440" w:bottom="1440" w:gutter="0" w:footer="0" w:header="0"/>
        </w:sectPr>
      </w:pPr>
    </w:p>
    <w:bookmarkStart w:id="109" w:name="page110"/>
    <w:bookmarkEnd w:id="109"/>
    <w:p>
      <w:pPr>
        <w:ind w:left="301"/>
        <w:spacing w:after="0"/>
        <w:rPr>
          <w:sz w:val="20"/>
          <w:szCs w:val="20"/>
          <w:color w:val="auto"/>
        </w:rPr>
      </w:pPr>
      <w:r>
        <w:rPr>
          <w:rFonts w:ascii="Courier New" w:cs="Courier New" w:eastAsia="Courier New" w:hAnsi="Courier New"/>
          <w:sz w:val="16"/>
          <w:szCs w:val="16"/>
          <w:color w:val="auto"/>
        </w:rPr>
        <w:t>34</w:t>
      </w:r>
    </w:p>
    <w:p>
      <w:pPr>
        <w:spacing w:after="0" w:line="378" w:lineRule="exact"/>
        <w:rPr>
          <w:sz w:val="20"/>
          <w:szCs w:val="20"/>
          <w:color w:val="auto"/>
        </w:rPr>
      </w:pPr>
    </w:p>
    <w:p>
      <w:pPr>
        <w:ind w:left="1" w:right="2459"/>
        <w:spacing w:after="0" w:line="248" w:lineRule="auto"/>
        <w:rPr>
          <w:sz w:val="20"/>
          <w:szCs w:val="20"/>
          <w:color w:val="auto"/>
        </w:rPr>
      </w:pPr>
      <w:r>
        <w:rPr>
          <w:rFonts w:ascii="Courier New" w:cs="Courier New" w:eastAsia="Courier New" w:hAnsi="Courier New"/>
          <w:sz w:val="16"/>
          <w:szCs w:val="16"/>
          <w:color w:val="auto"/>
        </w:rPr>
        <w:t>(including, any contract to which the Company or any of its subsidiaries is a party involving employees of the Company or any of its subsidiaries); (ii) supply, purchase, licensing, merchandising, or distribution agreements; (iii) contracts granting a right of first refusal or first negotiation; (iv) partnership or joint venture agreements; (v) agreements for the acquisition, sale, or lease of material assets or properties of the Company (by merger, purchase or sale of assets or stock, or otherwise) entered into since December 1, 1997; (vi) contracts or agreements with any Governmental Entity; (vii) loan or credit agreements, mortgages, indentures, or other agreements or instruments evidencing indebtedness for borrowed money by the Company or any of its subsidiaries or any such agreement pursuant to which indebtedness for borrowed money may be incurred; (viii) agreements that purport to limit, curtail, or restrict the ability of the Company or any of its subsidiaries to compete in any geographic area or line of business; (ix) contracts or agreements that would be required to be filed as an exhibit to a Form 10-KSB filed by the Company with the SEC on the date hereof; (x) any other contract or agreement providing for annual payments to or by the Company or any of its subsidiaries for goods or services in excess of $250,000 (or the foreign currency equivalent thereof); and</w:t>
      </w:r>
    </w:p>
    <w:p>
      <w:pPr>
        <w:spacing w:after="0" w:line="13" w:lineRule="exact"/>
        <w:rPr>
          <w:sz w:val="20"/>
          <w:szCs w:val="20"/>
          <w:color w:val="auto"/>
        </w:rPr>
      </w:pPr>
    </w:p>
    <w:p>
      <w:pPr>
        <w:ind w:left="1" w:right="2459" w:hanging="1"/>
        <w:spacing w:after="0" w:line="260" w:lineRule="auto"/>
        <w:tabs>
          <w:tab w:leader="none" w:pos="485"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agreements to enter into any of the foregoing (collectively, together with any such contracts entered into in accordance with Section 6.1, the "MATERIAL CONTRACTS"). Neither the Company nor any of its subsidiaries is a party to or bound by any severance or other agreement with any employee or consultant pursuant to which such person would be entitled to receive any additional compensation or an accelerated payment of compensation as a result of the consummation of the transactions contemplated hereby.</w:t>
      </w:r>
    </w:p>
    <w:p>
      <w:pPr>
        <w:spacing w:after="0" w:line="86" w:lineRule="exact"/>
        <w:rPr>
          <w:rFonts w:ascii="Courier New" w:cs="Courier New" w:eastAsia="Courier New" w:hAnsi="Courier New"/>
          <w:sz w:val="16"/>
          <w:szCs w:val="16"/>
          <w:color w:val="auto"/>
        </w:rPr>
      </w:pPr>
    </w:p>
    <w:p>
      <w:pPr>
        <w:ind w:left="1" w:right="2459" w:firstLine="871"/>
        <w:spacing w:after="0" w:line="258" w:lineRule="auto"/>
        <w:tabs>
          <w:tab w:leader="none" w:pos="1260" w:val="left"/>
        </w:tabs>
        <w:numPr>
          <w:ilvl w:val="1"/>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Material Contracts constitutes the valid and legally binding obligation of the Company or its subsidiaries, enforceable in accordance with its terms (except as enforceability may be limited by applicable bankruptcy, insolvency, reorganization, moratorium, fraudulent transfer, and similar Laws of general applicability relating to or affecting creditors' rights or by general equity principles), and is in full force and effect. There is no material default under any Material Contract so listed either by the Company (or its subsidiaries) or, to the Company's knowledge, by any other party thereto, and no event has occurred that with the giving of notice, the lapse of time, or both would constitute a material default thereunder by the Company (or its subsidiaries) or, to the Company's knowledge, any other party.</w:t>
      </w:r>
    </w:p>
    <w:p>
      <w:pPr>
        <w:spacing w:after="0" w:line="92" w:lineRule="exact"/>
        <w:rPr>
          <w:rFonts w:ascii="Courier New" w:cs="Courier New" w:eastAsia="Courier New" w:hAnsi="Courier New"/>
          <w:sz w:val="16"/>
          <w:szCs w:val="16"/>
          <w:color w:val="auto"/>
        </w:rPr>
      </w:pPr>
    </w:p>
    <w:p>
      <w:pPr>
        <w:ind w:left="1" w:right="2859" w:firstLine="871"/>
        <w:spacing w:after="0" w:line="307" w:lineRule="auto"/>
        <w:tabs>
          <w:tab w:leader="none" w:pos="1260" w:val="left"/>
        </w:tabs>
        <w:numPr>
          <w:ilvl w:val="1"/>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party to any such Material Contract has given notice to the Company of or made a claim against the Company or any of its subsidiaries in respect of any breach or default thereunder.</w:t>
      </w:r>
    </w:p>
    <w:p>
      <w:pPr>
        <w:spacing w:after="0" w:line="50" w:lineRule="exact"/>
        <w:rPr>
          <w:sz w:val="20"/>
          <w:szCs w:val="20"/>
          <w:color w:val="auto"/>
        </w:rPr>
      </w:pPr>
    </w:p>
    <w:p>
      <w:pPr>
        <w:ind w:left="1" w:right="2459" w:firstLine="872"/>
        <w:spacing w:after="0" w:line="264" w:lineRule="auto"/>
        <w:rPr>
          <w:sz w:val="20"/>
          <w:szCs w:val="20"/>
          <w:color w:val="auto"/>
        </w:rPr>
      </w:pPr>
      <w:r>
        <w:rPr>
          <w:rFonts w:ascii="Courier New" w:cs="Courier New" w:eastAsia="Courier New" w:hAnsi="Courier New"/>
          <w:sz w:val="16"/>
          <w:szCs w:val="16"/>
          <w:color w:val="auto"/>
        </w:rPr>
        <w:t>SECTION 4.19 Insurance. Section 4.19 of the Company Disclosure Schedule sets forth a list of insurance policies (including, information on the premiums payable in connection therewith and the scope and amount of the coverage provided thereunder) maintained by the Company or any of its subsidiaries which policies have been issued by insurers, which, to the Company's knowledge, are reputable and financially sound and provide coverage for the operations conducted by the Company and its subsidiaries of a scope and coverage consistent with customary industry practice.</w:t>
      </w:r>
    </w:p>
    <w:p>
      <w:pPr>
        <w:spacing w:after="0" w:line="82" w:lineRule="exact"/>
        <w:rPr>
          <w:sz w:val="20"/>
          <w:szCs w:val="20"/>
          <w:color w:val="auto"/>
        </w:rPr>
      </w:pPr>
    </w:p>
    <w:p>
      <w:pPr>
        <w:ind w:left="1" w:right="2459" w:firstLine="872"/>
        <w:spacing w:after="0" w:line="307" w:lineRule="auto"/>
        <w:rPr>
          <w:sz w:val="20"/>
          <w:szCs w:val="20"/>
          <w:color w:val="auto"/>
        </w:rPr>
      </w:pPr>
      <w:r>
        <w:rPr>
          <w:rFonts w:ascii="Courier New" w:cs="Courier New" w:eastAsia="Courier New" w:hAnsi="Courier New"/>
          <w:sz w:val="16"/>
          <w:szCs w:val="16"/>
          <w:color w:val="auto"/>
        </w:rPr>
        <w:t>SECTION 4.20 Subsidies. Section 4.20 of the Company Disclosure Schedule sets forth (i) a list of all grants, subsidies, and similar arrangements directly or indirectly between or</w:t>
      </w:r>
    </w:p>
    <w:p>
      <w:pPr>
        <w:spacing w:after="0" w:line="23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20"/>
          </w:cols>
          <w:pgMar w:left="239" w:top="273" w:right="1440" w:bottom="1440" w:gutter="0" w:footer="0" w:header="0"/>
        </w:sectPr>
      </w:pPr>
    </w:p>
    <w:bookmarkStart w:id="110" w:name="page111"/>
    <w:bookmarkEnd w:id="110"/>
    <w:p>
      <w:pPr>
        <w:ind w:left="300"/>
        <w:spacing w:after="0"/>
        <w:rPr>
          <w:sz w:val="20"/>
          <w:szCs w:val="20"/>
          <w:color w:val="auto"/>
        </w:rPr>
      </w:pPr>
      <w:r>
        <w:rPr>
          <w:rFonts w:ascii="Courier New" w:cs="Courier New" w:eastAsia="Courier New" w:hAnsi="Courier New"/>
          <w:sz w:val="16"/>
          <w:szCs w:val="16"/>
          <w:color w:val="auto"/>
        </w:rPr>
        <w:t>35</w:t>
      </w:r>
    </w:p>
    <w:p>
      <w:pPr>
        <w:spacing w:after="0" w:line="378" w:lineRule="exact"/>
        <w:rPr>
          <w:sz w:val="20"/>
          <w:szCs w:val="20"/>
          <w:color w:val="auto"/>
        </w:rPr>
      </w:pPr>
    </w:p>
    <w:p>
      <w:pPr>
        <w:ind w:right="2459"/>
        <w:spacing w:after="0" w:line="256" w:lineRule="auto"/>
        <w:rPr>
          <w:sz w:val="20"/>
          <w:szCs w:val="20"/>
          <w:color w:val="auto"/>
        </w:rPr>
      </w:pPr>
      <w:r>
        <w:rPr>
          <w:rFonts w:ascii="Courier New" w:cs="Courier New" w:eastAsia="Courier New" w:hAnsi="Courier New"/>
          <w:sz w:val="16"/>
          <w:szCs w:val="16"/>
          <w:color w:val="auto"/>
        </w:rPr>
        <w:t>among the Company or any of its subsidiaries, on the one hand, and any domestic or foreign Governmental Entity or other person (including, to or from banks or other institutions working as agent for, on behalf of, or under contract to any domestic or foreign Governmental Entity), on the other hand, and (ii) sets forth in respect of such arrangements the parties thereto, amount of subsidy or grant received to date, the amounts available thereunder as of the date hereof, the term thereof and the date of execution, the value received thereunder other than in cash, obligations satisfied thereunder, and obligations remaining thereunder as of the date hereof. Except as set forth on Section 4.20 of the Company Disclosure Schedule, neither the Company nor any of its subsidiaries has entered into or has any currently pending application or request for any grant, subsidy, or similar arrangement directly or indirectly from or with any domestic or foreign Governmental Entity or any other person.</w:t>
      </w:r>
    </w:p>
    <w:p>
      <w:pPr>
        <w:spacing w:after="0" w:line="96" w:lineRule="exact"/>
        <w:rPr>
          <w:sz w:val="20"/>
          <w:szCs w:val="20"/>
          <w:color w:val="auto"/>
        </w:rPr>
      </w:pPr>
    </w:p>
    <w:p>
      <w:pPr>
        <w:ind w:right="2459" w:firstLine="872"/>
        <w:spacing w:after="0" w:line="253" w:lineRule="auto"/>
        <w:rPr>
          <w:sz w:val="20"/>
          <w:szCs w:val="20"/>
          <w:color w:val="auto"/>
        </w:rPr>
      </w:pPr>
      <w:r>
        <w:rPr>
          <w:rFonts w:ascii="Courier New" w:cs="Courier New" w:eastAsia="Courier New" w:hAnsi="Courier New"/>
          <w:sz w:val="16"/>
          <w:szCs w:val="16"/>
          <w:color w:val="auto"/>
        </w:rPr>
        <w:t>SECTION 4.21 Intellectual Property. (a) As used herein, the term "SCHEDULED INTELLECTUAL PROPERTY" means domestic and foreign letters patent, patents, patent applications, patent licenses, software licenses, know-how licenses, trade names, trademarks, trademark registrations and applications, service mark registrations and applications, and copyright registrations and applications. Section 4.21(a) of the Company Disclosure Schedule sets forth all right, title, and interest of the Company and its subsidiaries in and to all of the Scheduled Intellectual Property owned or used by the Company and its subsidiaries in the operation of their respective businesses, other than off-the-shelf software. Such Scheduled Intellectual Property and the goodwill of the Company's and its subsidiaries' respective businesses associated therewith, together with all copyrights (including, copyrights in Systems), Systems, service marks, trade secrets, technical knowledge, know-how, confidential information, proprietary processes, formulae, "semiconductor chip product" and "mask works" (as such terms are defined in 17 U.S.C. 901), and related ownership, use, and other rights (including, rights of renewal and rights to sue for past, present, and future infringements or misappropriations thereof), shall be collectively referred to herein as the "INTELLECTUAL PROPERTY."</w:t>
      </w:r>
    </w:p>
    <w:p>
      <w:pPr>
        <w:spacing w:after="0" w:line="101" w:lineRule="exact"/>
        <w:rPr>
          <w:sz w:val="20"/>
          <w:szCs w:val="20"/>
          <w:color w:val="auto"/>
        </w:rPr>
      </w:pPr>
    </w:p>
    <w:p>
      <w:pPr>
        <w:ind w:right="2459" w:firstLine="871"/>
        <w:spacing w:after="0" w:line="253" w:lineRule="auto"/>
        <w:tabs>
          <w:tab w:leader="none" w:pos="126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own or have the right to use pursuant to license, sublicense, agreement, or permission, free and clear of all claims or rights of others, all Intellectual Property necessary for the operation of the businesses of the Company and its subsidiaries as presently conducted and as presently proposed to be conducted. Each material item of Intellectual Property owned or used by the Company and its subsidiaries immediately prior to the Effective Time will be owned or available for use by Parent and the Surviving Corporation immediately subsequent to the Effective Time. The Company and its subsidiaries have taken all necessary or reasonable action to protect and preserve the confidentiality of all technical Intellectual Property not otherwise protected by patents, patent applications, or copyrights. Each employee of the Company and its subsidiaries has executed a non-disclosure agreement which included an agreement to assign to the Company or its subsidiaries all rights to Intellectual Property originated or invented by such employee relating to the business of the Company and its subsidiaries. No trade secret or confidential know-how material to the business of the Company or any of its subsidiaries as currently operated has been disclosed or authorized to be disclosed to any third party, other than pursuant to a non-disclosure agreement that protects the Company's or such subsidiary's proprietary interests in and to such trade secrets and confidential know-how.</w:t>
      </w:r>
    </w:p>
    <w:p>
      <w:pPr>
        <w:spacing w:after="0" w:line="2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273" w:right="1440" w:bottom="1440" w:gutter="0" w:footer="0" w:header="0"/>
        </w:sectPr>
      </w:pPr>
    </w:p>
    <w:bookmarkStart w:id="111" w:name="page112"/>
    <w:bookmarkEnd w:id="111"/>
    <w:p>
      <w:pPr>
        <w:ind w:left="300"/>
        <w:spacing w:after="0"/>
        <w:rPr>
          <w:sz w:val="20"/>
          <w:szCs w:val="20"/>
          <w:color w:val="auto"/>
        </w:rPr>
      </w:pPr>
      <w:r>
        <w:rPr>
          <w:rFonts w:ascii="Courier New" w:cs="Courier New" w:eastAsia="Courier New" w:hAnsi="Courier New"/>
          <w:sz w:val="16"/>
          <w:szCs w:val="16"/>
          <w:color w:val="auto"/>
        </w:rPr>
        <w:t>36</w:t>
      </w:r>
    </w:p>
    <w:p>
      <w:pPr>
        <w:spacing w:after="0" w:line="378" w:lineRule="exact"/>
        <w:rPr>
          <w:sz w:val="20"/>
          <w:szCs w:val="20"/>
          <w:color w:val="auto"/>
        </w:rPr>
      </w:pPr>
    </w:p>
    <w:p>
      <w:pPr>
        <w:ind w:right="2559" w:firstLine="871"/>
        <w:spacing w:after="0" w:line="260" w:lineRule="auto"/>
        <w:tabs>
          <w:tab w:leader="none" w:pos="126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Section 4.21(c) of the Company Disclosure Schedule, to the Company's knowledge, neither the Company nor any of its subsidiaries has interfered with, infringed upon, misappropriated, or otherwise come into conflict with any Intellectual Property rights of third parties, and neither the Company nor any of its subsidiaries has received any charge, complaint, claim, or notice alleging any such interference, infringement, misappropriation, or violation. No third party has, to the Company's knowledge, interfered with, infringed upon, misappropriated, or otherwise come into conflict with any Intellectual Property rights of the Company or its subsidiaries.</w:t>
      </w:r>
    </w:p>
    <w:p>
      <w:pPr>
        <w:spacing w:after="0" w:line="86" w:lineRule="exact"/>
        <w:rPr>
          <w:rFonts w:ascii="Courier New" w:cs="Courier New" w:eastAsia="Courier New" w:hAnsi="Courier New"/>
          <w:sz w:val="16"/>
          <w:szCs w:val="16"/>
          <w:color w:val="auto"/>
        </w:rPr>
      </w:pPr>
    </w:p>
    <w:p>
      <w:pPr>
        <w:ind w:right="2459" w:firstLine="871"/>
        <w:spacing w:after="0" w:line="276" w:lineRule="auto"/>
        <w:tabs>
          <w:tab w:leader="none" w:pos="126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4.21(d) of the Company Disclosure Schedule identifies each material item of Intellectual Property that any third party owns and that any of the Company or any of its subsidiaries uses pursuant to license, sublicense, agreement, or permission. To the Company's knowledge, in respect of each such item of used Intellectual Property:</w:t>
      </w:r>
    </w:p>
    <w:p>
      <w:pPr>
        <w:spacing w:after="0" w:line="75" w:lineRule="exact"/>
        <w:rPr>
          <w:rFonts w:ascii="Courier New" w:cs="Courier New" w:eastAsia="Courier New" w:hAnsi="Courier New"/>
          <w:sz w:val="16"/>
          <w:szCs w:val="16"/>
          <w:color w:val="auto"/>
        </w:rPr>
      </w:pPr>
    </w:p>
    <w:p>
      <w:pPr>
        <w:ind w:left="880" w:right="2459" w:firstLine="573"/>
        <w:spacing w:after="0" w:line="307" w:lineRule="auto"/>
        <w:tabs>
          <w:tab w:leader="none" w:pos="2140" w:val="left"/>
        </w:tabs>
        <w:numPr>
          <w:ilvl w:val="1"/>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license, sublicense, agreement, or permission covering the item is legal, valid, binding, enforceable, and in full force and effect;</w:t>
      </w:r>
    </w:p>
    <w:p>
      <w:pPr>
        <w:spacing w:after="0" w:line="49" w:lineRule="exact"/>
        <w:rPr>
          <w:rFonts w:ascii="Courier New" w:cs="Courier New" w:eastAsia="Courier New" w:hAnsi="Courier New"/>
          <w:sz w:val="16"/>
          <w:szCs w:val="16"/>
          <w:color w:val="auto"/>
        </w:rPr>
      </w:pPr>
    </w:p>
    <w:p>
      <w:pPr>
        <w:ind w:left="880" w:right="2759" w:firstLine="573"/>
        <w:spacing w:after="0" w:line="307" w:lineRule="auto"/>
        <w:tabs>
          <w:tab w:leader="none" w:pos="2140" w:val="left"/>
        </w:tabs>
        <w:numPr>
          <w:ilvl w:val="1"/>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license, sublicense, agreement, or permission will continue to be legal, valid, binding, enforceable, and in full force and effect on identical terms following the Effective Time;</w:t>
      </w:r>
    </w:p>
    <w:p>
      <w:pPr>
        <w:spacing w:after="0" w:line="49" w:lineRule="exact"/>
        <w:rPr>
          <w:rFonts w:ascii="Courier New" w:cs="Courier New" w:eastAsia="Courier New" w:hAnsi="Courier New"/>
          <w:sz w:val="16"/>
          <w:szCs w:val="16"/>
          <w:color w:val="auto"/>
        </w:rPr>
      </w:pPr>
    </w:p>
    <w:p>
      <w:pPr>
        <w:ind w:left="880" w:right="2759" w:firstLine="573"/>
        <w:spacing w:after="0" w:line="287" w:lineRule="auto"/>
        <w:tabs>
          <w:tab w:leader="none" w:pos="2140" w:val="left"/>
        </w:tabs>
        <w:numPr>
          <w:ilvl w:val="1"/>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party to the license, sublicense, agreement, or permission is in breach or default, and no event has occurred which with notice or lapse of time would constitute a breach or default or permit termination, modification, or acceleration thereunder; and</w:t>
      </w:r>
    </w:p>
    <w:p>
      <w:pPr>
        <w:spacing w:after="0" w:line="64" w:lineRule="exact"/>
        <w:rPr>
          <w:rFonts w:ascii="Courier New" w:cs="Courier New" w:eastAsia="Courier New" w:hAnsi="Courier New"/>
          <w:sz w:val="16"/>
          <w:szCs w:val="16"/>
          <w:color w:val="auto"/>
        </w:rPr>
      </w:pPr>
    </w:p>
    <w:p>
      <w:pPr>
        <w:ind w:left="880" w:right="3239" w:firstLine="573"/>
        <w:spacing w:after="0" w:line="367" w:lineRule="auto"/>
        <w:tabs>
          <w:tab w:leader="none" w:pos="2140" w:val="left"/>
        </w:tabs>
        <w:numPr>
          <w:ilvl w:val="1"/>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party to the license, sublicense, agreement, or permission has repudiated any provision thereof.</w:t>
      </w:r>
    </w:p>
    <w:p>
      <w:pPr>
        <w:spacing w:after="0" w:line="4" w:lineRule="exact"/>
        <w:rPr>
          <w:rFonts w:ascii="Courier New" w:cs="Courier New" w:eastAsia="Courier New" w:hAnsi="Courier New"/>
          <w:sz w:val="16"/>
          <w:szCs w:val="16"/>
          <w:color w:val="auto"/>
        </w:rPr>
      </w:pPr>
    </w:p>
    <w:p>
      <w:pPr>
        <w:ind w:right="2759" w:firstLine="871"/>
        <w:spacing w:after="0" w:line="287" w:lineRule="auto"/>
        <w:tabs>
          <w:tab w:leader="none" w:pos="126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Section 4.21(e) of the Company Disclosure Schedule, neither the Company nor any of its subsidiaries has granted any licenses of or other rights to use any of the Intellectual Property of the Company or any of its subsidiaries to any third party.</w:t>
      </w:r>
    </w:p>
    <w:p>
      <w:pPr>
        <w:spacing w:after="0" w:line="64" w:lineRule="exact"/>
        <w:rPr>
          <w:rFonts w:ascii="Courier New" w:cs="Courier New" w:eastAsia="Courier New" w:hAnsi="Courier New"/>
          <w:sz w:val="16"/>
          <w:szCs w:val="16"/>
          <w:color w:val="auto"/>
        </w:rPr>
      </w:pPr>
    </w:p>
    <w:p>
      <w:pPr>
        <w:ind w:right="2659" w:firstLine="871"/>
        <w:spacing w:after="0" w:line="287" w:lineRule="auto"/>
        <w:tabs>
          <w:tab w:leader="none" w:pos="126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Section 4.21(f) of the Company Disclosure Schedule, neither the Company nor any of its subsidiaries has entered into any agreement to indemnify any other person against any charge of infringement or misappropriation of any Intellectual Property.</w:t>
      </w:r>
    </w:p>
    <w:p>
      <w:pPr>
        <w:spacing w:after="0" w:line="65" w:lineRule="exact"/>
        <w:rPr>
          <w:sz w:val="20"/>
          <w:szCs w:val="20"/>
          <w:color w:val="auto"/>
        </w:rPr>
      </w:pPr>
    </w:p>
    <w:p>
      <w:pPr>
        <w:ind w:right="2459" w:firstLine="872"/>
        <w:spacing w:after="0" w:line="264" w:lineRule="auto"/>
        <w:rPr>
          <w:sz w:val="20"/>
          <w:szCs w:val="20"/>
          <w:color w:val="auto"/>
        </w:rPr>
      </w:pPr>
      <w:r>
        <w:rPr>
          <w:rFonts w:ascii="Courier New" w:cs="Courier New" w:eastAsia="Courier New" w:hAnsi="Courier New"/>
          <w:sz w:val="16"/>
          <w:szCs w:val="16"/>
          <w:color w:val="auto"/>
        </w:rPr>
        <w:t>SECTION 4.22 Software. (a) The computer software of the Company and its subsidiaries included in the Intellectual Property other than off-the-shelf software (the "SOFTWARE") performs substantially in accordance with the documentation and other written material used in connection with the Software, is in machine readable form, contains all current revisions of such Software, and includes all computer programs, Systems, materials, storage media, know-how, object and source codes, other written materials, know-how, and processes related to the Software.</w:t>
      </w:r>
    </w:p>
    <w:p>
      <w:pPr>
        <w:spacing w:after="0" w:line="82" w:lineRule="exact"/>
        <w:rPr>
          <w:sz w:val="20"/>
          <w:szCs w:val="20"/>
          <w:color w:val="auto"/>
        </w:rPr>
      </w:pPr>
    </w:p>
    <w:p>
      <w:pPr>
        <w:ind w:right="2559" w:firstLine="871"/>
        <w:spacing w:after="0" w:line="307" w:lineRule="auto"/>
        <w:tabs>
          <w:tab w:leader="none" w:pos="126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Company's knowledge, no employee of the Company or any of its subsidiaries is, or is now expected to be, in default under any term of any employment contract,</w:t>
      </w:r>
    </w:p>
    <w:p>
      <w:pPr>
        <w:spacing w:after="0" w:line="23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273" w:right="1440" w:bottom="1440" w:gutter="0" w:footer="0" w:header="0"/>
        </w:sectPr>
      </w:pPr>
    </w:p>
    <w:bookmarkStart w:id="112" w:name="page113"/>
    <w:bookmarkEnd w:id="112"/>
    <w:p>
      <w:pPr>
        <w:ind w:left="300"/>
        <w:spacing w:after="0"/>
        <w:rPr>
          <w:sz w:val="20"/>
          <w:szCs w:val="20"/>
          <w:color w:val="auto"/>
        </w:rPr>
      </w:pPr>
      <w:r>
        <w:rPr>
          <w:rFonts w:ascii="Courier New" w:cs="Courier New" w:eastAsia="Courier New" w:hAnsi="Courier New"/>
          <w:sz w:val="16"/>
          <w:szCs w:val="16"/>
          <w:color w:val="auto"/>
        </w:rPr>
        <w:t>37</w:t>
      </w:r>
    </w:p>
    <w:p>
      <w:pPr>
        <w:spacing w:after="0" w:line="378" w:lineRule="exact"/>
        <w:rPr>
          <w:sz w:val="20"/>
          <w:szCs w:val="20"/>
          <w:color w:val="auto"/>
        </w:rPr>
      </w:pPr>
    </w:p>
    <w:p>
      <w:pPr>
        <w:ind w:right="2459"/>
        <w:spacing w:after="0" w:line="260" w:lineRule="auto"/>
        <w:rPr>
          <w:sz w:val="20"/>
          <w:szCs w:val="20"/>
          <w:color w:val="auto"/>
        </w:rPr>
      </w:pPr>
      <w:r>
        <w:rPr>
          <w:rFonts w:ascii="Courier New" w:cs="Courier New" w:eastAsia="Courier New" w:hAnsi="Courier New"/>
          <w:sz w:val="16"/>
          <w:szCs w:val="16"/>
          <w:color w:val="auto"/>
        </w:rPr>
        <w:t>agreement, or arrangement relating to the Software or noncompetition arrangement, or any other Material Contract or any restrictive covenant relating to the Software or its development or exploitation. The Software was developed entirely by the employees of the Company or its subsidiaries during the time they were employees only of the Company or its subsidiaries, and the Company has made reasonable efforts to ensure that such Software does not include any inventions, works of authorship, derivatives, or contributions of such employees made prior to the time such employees became employees of the Company or its subsidiaries nor any intellectual property of any previous employer of such employee.</w:t>
      </w:r>
    </w:p>
    <w:p>
      <w:pPr>
        <w:spacing w:after="0" w:line="86" w:lineRule="exact"/>
        <w:rPr>
          <w:sz w:val="20"/>
          <w:szCs w:val="20"/>
          <w:color w:val="auto"/>
        </w:rPr>
      </w:pPr>
    </w:p>
    <w:p>
      <w:pPr>
        <w:ind w:right="2459" w:firstLine="871"/>
        <w:spacing w:after="0" w:line="255" w:lineRule="auto"/>
        <w:tabs>
          <w:tab w:leader="none" w:pos="126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Section 4.22(c) of the Company Disclosure Schedule, all right, title, and interest in and to the Software is owned by the Company or its subsidiaries, free and clear of all Liens, is fully transferable to Parent or the Surviving Corporation, as the case may be, and no person other than the Company or its subsidiaries has any interest in the Software, including, any security interest, license, contingent interest, or otherwise. To the Company's knowledge, the Company's and its subsidiaries' development, use, sale, or exploitation of the Software does not violate, any rights of any other person. Neither the Company nor any of its subsidiaries has received any communication alleging such a violation. Neither the Company nor any of its subsidiaries has any obligation to compensate any other person for the development, use, sale, or exploitation of the Software nor has the Company or any of its subsidiaries granted to any other person any license, option, or other rights to develop, use, sell, or exploit in any manner the Software whether requiring the payment of royalties or not.</w:t>
      </w:r>
    </w:p>
    <w:p>
      <w:pPr>
        <w:spacing w:after="0" w:line="92" w:lineRule="exact"/>
        <w:rPr>
          <w:rFonts w:ascii="Courier New" w:cs="Courier New" w:eastAsia="Courier New" w:hAnsi="Courier New"/>
          <w:sz w:val="16"/>
          <w:szCs w:val="16"/>
          <w:color w:val="auto"/>
        </w:rPr>
      </w:pPr>
    </w:p>
    <w:p>
      <w:pPr>
        <w:ind w:right="2459" w:firstLine="871"/>
        <w:spacing w:after="0" w:line="258" w:lineRule="auto"/>
        <w:tabs>
          <w:tab w:leader="none" w:pos="126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have kept secret and have not disclosed the source code for the Software to any person other than certain employees of the Company and its subsidiaries who are subject to the terms of a binding confidentiality agreement in respect thereof. Each of the Company and its subsidiaries has taken all appropriate measures to protect the confidential and proprietary nature of the Software, including the use of confidentiality agreements with all of its employees having access to the Software source and object code. There have been no patents applied for and no copyrights registered for any part of the Software, except for those owned by the Company or its subsidiaries. There are no trademark rights of any person in the Software, except for those owned by the Company or its subsidiaries.</w:t>
      </w:r>
    </w:p>
    <w:p>
      <w:pPr>
        <w:spacing w:after="0" w:line="92" w:lineRule="exact"/>
        <w:rPr>
          <w:rFonts w:ascii="Courier New" w:cs="Courier New" w:eastAsia="Courier New" w:hAnsi="Courier New"/>
          <w:sz w:val="16"/>
          <w:szCs w:val="16"/>
          <w:color w:val="auto"/>
        </w:rPr>
      </w:pPr>
    </w:p>
    <w:p>
      <w:pPr>
        <w:ind w:right="3139" w:firstLine="871"/>
        <w:spacing w:after="0" w:line="367" w:lineRule="auto"/>
        <w:tabs>
          <w:tab w:leader="none" w:pos="126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copies of the Software embodied in physical form will be delivered to Parent at the Closing.</w:t>
      </w:r>
    </w:p>
    <w:p>
      <w:pPr>
        <w:spacing w:after="0" w:line="5" w:lineRule="exact"/>
        <w:rPr>
          <w:sz w:val="20"/>
          <w:szCs w:val="20"/>
          <w:color w:val="auto"/>
        </w:rPr>
      </w:pPr>
    </w:p>
    <w:p>
      <w:pPr>
        <w:ind w:right="2559" w:firstLine="872"/>
        <w:spacing w:after="0" w:line="266" w:lineRule="auto"/>
        <w:rPr>
          <w:sz w:val="20"/>
          <w:szCs w:val="20"/>
          <w:color w:val="auto"/>
        </w:rPr>
      </w:pPr>
      <w:r>
        <w:rPr>
          <w:rFonts w:ascii="Courier New" w:cs="Courier New" w:eastAsia="Courier New" w:hAnsi="Courier New"/>
          <w:sz w:val="16"/>
          <w:szCs w:val="16"/>
          <w:color w:val="auto"/>
        </w:rPr>
        <w:t>SECTION 4.23 Year 2000. (a) To the Company's knowledge, none of the Systems that are used or relied on by the Company or by any of its subsidiaries in the conduct of their respective businesses will malfunction, will cease to function, will generate incorrect data, or will provide incorrect results when processing, providing, and/or receiving (i) date-related data in, into, or between the twentieth and twenty-first centuries or (ii) date-related data in connection with any valid date in the twentieth or twenty-first centuries.</w:t>
      </w:r>
    </w:p>
    <w:p>
      <w:pPr>
        <w:spacing w:after="0" w:line="85" w:lineRule="exact"/>
        <w:rPr>
          <w:sz w:val="20"/>
          <w:szCs w:val="20"/>
          <w:color w:val="auto"/>
        </w:rPr>
      </w:pPr>
    </w:p>
    <w:p>
      <w:pPr>
        <w:ind w:right="2559" w:firstLine="871"/>
        <w:spacing w:after="0" w:line="287" w:lineRule="auto"/>
        <w:tabs>
          <w:tab w:leader="none" w:pos="126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Company's knowledge, none of the products and services that are or have been sold, licensed, rendered, or otherwise provided or offered by the Company or by any of its subsidiaries in the conduct of their respective businesses will malfunction, will cease to function,</w:t>
      </w:r>
    </w:p>
    <w:p>
      <w:pPr>
        <w:spacing w:after="0" w:line="25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273" w:right="1440" w:bottom="1440" w:gutter="0" w:footer="0" w:header="0"/>
        </w:sectPr>
      </w:pPr>
    </w:p>
    <w:bookmarkStart w:id="113" w:name="page114"/>
    <w:bookmarkEnd w:id="113"/>
    <w:p>
      <w:pPr>
        <w:ind w:left="300"/>
        <w:spacing w:after="0"/>
        <w:rPr>
          <w:sz w:val="20"/>
          <w:szCs w:val="20"/>
          <w:color w:val="auto"/>
        </w:rPr>
      </w:pPr>
      <w:r>
        <w:rPr>
          <w:rFonts w:ascii="Courier New" w:cs="Courier New" w:eastAsia="Courier New" w:hAnsi="Courier New"/>
          <w:sz w:val="16"/>
          <w:szCs w:val="16"/>
          <w:color w:val="auto"/>
        </w:rPr>
        <w:t>38</w:t>
      </w:r>
    </w:p>
    <w:p>
      <w:pPr>
        <w:spacing w:after="0" w:line="378" w:lineRule="exact"/>
        <w:rPr>
          <w:sz w:val="20"/>
          <w:szCs w:val="20"/>
          <w:color w:val="auto"/>
        </w:rPr>
      </w:pPr>
    </w:p>
    <w:p>
      <w:pPr>
        <w:ind w:right="2459"/>
        <w:spacing w:after="0" w:line="266" w:lineRule="auto"/>
        <w:rPr>
          <w:sz w:val="20"/>
          <w:szCs w:val="20"/>
          <w:color w:val="auto"/>
        </w:rPr>
      </w:pPr>
      <w:r>
        <w:rPr>
          <w:rFonts w:ascii="Courier New" w:cs="Courier New" w:eastAsia="Courier New" w:hAnsi="Courier New"/>
          <w:sz w:val="16"/>
          <w:szCs w:val="16"/>
          <w:color w:val="auto"/>
        </w:rPr>
        <w:t>will generate incorrect data, or will produce incorrect results when processing, providing, and/or receiving (i) date-related data in, into, or between the twentieth and twenty-first centuries or (ii) date-related data in connection with any valid date in the twentieth or twenty-first centuries; and neither the Company nor any of its subsidiaries is or will be subject to claims or liabilities arising from any such malfunction, cessation of function, generation of incorrect data, or production of incorrect results.</w:t>
      </w:r>
    </w:p>
    <w:p>
      <w:pPr>
        <w:spacing w:after="0" w:line="85" w:lineRule="exact"/>
        <w:rPr>
          <w:sz w:val="20"/>
          <w:szCs w:val="20"/>
          <w:color w:val="auto"/>
        </w:rPr>
      </w:pPr>
    </w:p>
    <w:p>
      <w:pPr>
        <w:ind w:right="2659" w:firstLine="871"/>
        <w:spacing w:after="0" w:line="260" w:lineRule="auto"/>
        <w:tabs>
          <w:tab w:leader="none" w:pos="126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has made other representations or warranties regarding the ability of any product or service that is or has been sold, licensed, rendered, or otherwise provided or offered by the Company or by any of its subsidiaries, or of any of the Systems used by the Company or any of its subsidiaries, in the conduct of their respective businesses to operate without malfunction, to operate without ceasing to function, to generate correct data, and to produce correct results when processing, providing, and/or receiving (i) date-related data in, into, and between the twentieth and twenty-first centuries and (ii) date-related data in connection with any valid date in the twentieth and twenty-first centuries.</w:t>
      </w:r>
    </w:p>
    <w:p>
      <w:pPr>
        <w:spacing w:after="0" w:line="86" w:lineRule="exact"/>
        <w:rPr>
          <w:rFonts w:ascii="Courier New" w:cs="Courier New" w:eastAsia="Courier New" w:hAnsi="Courier New"/>
          <w:sz w:val="16"/>
          <w:szCs w:val="16"/>
          <w:color w:val="auto"/>
        </w:rPr>
      </w:pPr>
    </w:p>
    <w:p>
      <w:pPr>
        <w:ind w:right="2559" w:firstLine="871"/>
        <w:spacing w:after="0" w:line="261" w:lineRule="auto"/>
        <w:tabs>
          <w:tab w:leader="none" w:pos="126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a comprehensive inquiry of all material suppliers and service providers of the Company and its subsidiaries, neither the Company nor any of its subsidiaries knows of any inability on the part of any such supplier to timely ensure that its own (and its material suppliers' and service providers') Systems continue to operate without malfunction, to operate without ceasing to function, to generate correct data, and to produce correct results when processing, providing, and/or receiving (i) date-related data into and between the twentieth and twenty-first centuries and (ii) date-related data in connection with any valid date in the twentieth and twenty-first centuries.</w:t>
      </w:r>
    </w:p>
    <w:p>
      <w:pPr>
        <w:spacing w:after="0" w:line="89" w:lineRule="exact"/>
        <w:rPr>
          <w:rFonts w:ascii="Courier New" w:cs="Courier New" w:eastAsia="Courier New" w:hAnsi="Courier New"/>
          <w:sz w:val="16"/>
          <w:szCs w:val="16"/>
          <w:color w:val="auto"/>
        </w:rPr>
      </w:pPr>
    </w:p>
    <w:p>
      <w:pPr>
        <w:ind w:right="2459" w:firstLine="871"/>
        <w:spacing w:after="0" w:line="258" w:lineRule="auto"/>
        <w:tabs>
          <w:tab w:leader="none" w:pos="126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purposes of this Agreement, "SYSTEMS" means any and all hardware, software and firmware used by the Company or any of its subsidiaries in the course of their respective businesses, including (i) any and all source and object code; (ii) databases and compilations, including any and all data and collections of data, whether machine readable or otherwise; (iii) billing, reporting, and other management information systems; (iv) all descriptions, flow-charts, and other work product used to design, plan, organize, and develop any of the foregoing; (v) all content contained on any Internet site(s) maintained by the Company or any of its subsidiaries; and (vi) all documentation, including user manuals and training materials, relating to any of the foregoing.</w:t>
      </w:r>
    </w:p>
    <w:p>
      <w:pPr>
        <w:spacing w:after="0" w:line="93" w:lineRule="exact"/>
        <w:rPr>
          <w:sz w:val="20"/>
          <w:szCs w:val="20"/>
          <w:color w:val="auto"/>
        </w:rPr>
      </w:pPr>
    </w:p>
    <w:p>
      <w:pPr>
        <w:ind w:right="2459" w:firstLine="872"/>
        <w:spacing w:after="0" w:line="260" w:lineRule="auto"/>
        <w:rPr>
          <w:sz w:val="20"/>
          <w:szCs w:val="20"/>
          <w:color w:val="auto"/>
        </w:rPr>
      </w:pPr>
      <w:r>
        <w:rPr>
          <w:rFonts w:ascii="Courier New" w:cs="Courier New" w:eastAsia="Courier New" w:hAnsi="Courier New"/>
          <w:sz w:val="16"/>
          <w:szCs w:val="16"/>
          <w:color w:val="auto"/>
        </w:rPr>
        <w:t>SECTION 4.24 Opinion of Financial Advisor. The Financial Advisor has delivered to the Company Board its opinion, dated the date of this Agreement, to the effect that, as of such date, the consideration to be received in the Offer and the Merger by the Company's stockholders is fair to the Company's stockholders from a financial point of view, and such opinion has not been withdrawn or modified. The Company has been authorized by the Financial Advisor to permit the inclusion of such opinion in its entirety in the Offer Documents, the Schedule 14D-9, and the Proxy Statement, so long as such inclusion is in form and substance reasonably satisfactory to the Financial Advisor and its counsel.</w:t>
      </w:r>
    </w:p>
    <w:p>
      <w:pPr>
        <w:spacing w:after="0" w:line="86" w:lineRule="exact"/>
        <w:rPr>
          <w:sz w:val="20"/>
          <w:szCs w:val="20"/>
          <w:color w:val="auto"/>
        </w:rPr>
      </w:pPr>
    </w:p>
    <w:p>
      <w:pPr>
        <w:ind w:right="2759" w:firstLine="872"/>
        <w:spacing w:after="0" w:line="307" w:lineRule="auto"/>
        <w:rPr>
          <w:sz w:val="20"/>
          <w:szCs w:val="20"/>
          <w:color w:val="auto"/>
        </w:rPr>
      </w:pPr>
      <w:r>
        <w:rPr>
          <w:rFonts w:ascii="Courier New" w:cs="Courier New" w:eastAsia="Courier New" w:hAnsi="Courier New"/>
          <w:sz w:val="16"/>
          <w:szCs w:val="16"/>
          <w:color w:val="auto"/>
        </w:rPr>
        <w:t>SECTION 4.25 Brokers. No broker, finder, or investment banker (other than the Financial Advisor, a true and correct copy of whose engagement agreement has been provided to</w:t>
      </w:r>
    </w:p>
    <w:p>
      <w:pPr>
        <w:spacing w:after="0" w:line="23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273" w:right="1440" w:bottom="1440" w:gutter="0" w:footer="0" w:header="0"/>
        </w:sectPr>
      </w:pPr>
    </w:p>
    <w:bookmarkStart w:id="114" w:name="page115"/>
    <w:bookmarkEnd w:id="114"/>
    <w:p>
      <w:pPr>
        <w:ind w:left="300"/>
        <w:spacing w:after="0"/>
        <w:rPr>
          <w:sz w:val="20"/>
          <w:szCs w:val="20"/>
          <w:color w:val="auto"/>
        </w:rPr>
      </w:pPr>
      <w:r>
        <w:rPr>
          <w:rFonts w:ascii="Courier New" w:cs="Courier New" w:eastAsia="Courier New" w:hAnsi="Courier New"/>
          <w:sz w:val="16"/>
          <w:szCs w:val="16"/>
          <w:color w:val="auto"/>
        </w:rPr>
        <w:t>39</w:t>
      </w:r>
    </w:p>
    <w:p>
      <w:pPr>
        <w:spacing w:after="0" w:line="378" w:lineRule="exact"/>
        <w:rPr>
          <w:sz w:val="20"/>
          <w:szCs w:val="20"/>
          <w:color w:val="auto"/>
        </w:rPr>
      </w:pPr>
    </w:p>
    <w:p>
      <w:pPr>
        <w:ind w:right="2459"/>
        <w:spacing w:after="0" w:line="287" w:lineRule="auto"/>
        <w:rPr>
          <w:sz w:val="20"/>
          <w:szCs w:val="20"/>
          <w:color w:val="auto"/>
        </w:rPr>
      </w:pPr>
      <w:r>
        <w:rPr>
          <w:rFonts w:ascii="Courier New" w:cs="Courier New" w:eastAsia="Courier New" w:hAnsi="Courier New"/>
          <w:sz w:val="16"/>
          <w:szCs w:val="16"/>
          <w:color w:val="auto"/>
        </w:rPr>
        <w:t>Parent) is entitled to any brokerage, finder's, or other fee or commission or expense reimbursement in connection with the transactions contemplated by this Agreement based upon arrangements made by and on behalf of the Company or any of its subsidiaries or affiliates.</w:t>
      </w:r>
    </w:p>
    <w:p>
      <w:pPr>
        <w:spacing w:after="0" w:line="65" w:lineRule="exact"/>
        <w:rPr>
          <w:sz w:val="20"/>
          <w:szCs w:val="20"/>
          <w:color w:val="auto"/>
        </w:rPr>
      </w:pPr>
    </w:p>
    <w:p>
      <w:pPr>
        <w:ind w:right="2459" w:firstLine="872"/>
        <w:spacing w:after="0" w:line="252" w:lineRule="auto"/>
        <w:rPr>
          <w:sz w:val="20"/>
          <w:szCs w:val="20"/>
          <w:color w:val="auto"/>
        </w:rPr>
      </w:pPr>
      <w:r>
        <w:rPr>
          <w:rFonts w:ascii="Courier New" w:cs="Courier New" w:eastAsia="Courier New" w:hAnsi="Courier New"/>
          <w:sz w:val="16"/>
          <w:szCs w:val="16"/>
          <w:color w:val="auto"/>
        </w:rPr>
        <w:t>SECTION 4.26 Product Liability; Recalls. (a) Except as set forth in the Company SEC Reports filed prior to the date hereof or on Schedule 4.26 of the Company Disclosure Schedule, (i) there is no notice, demand, claim, action, suit, inquiry, hearing, proceeding, notice of violation, or investigation of a civil, criminal, or administrative nature (collectively, "NOTICES") pending, or to the Company's knowledge, threatened before any domestic or foreign Governmental Entity in which a Product is alleged to have a Defect or relating to or resulting from any alleged failure to warn or from any alleged breach of express or implied warranties or representations, nor, to the Company's knowledge, is there any valid basis for any such demand, claim, action, suit, inquiry, hearing, proceeding, notice of violation, or investigation; (ii) no Notice would, if adversely determined, have, individually or in the aggregate, a Material Adverse Effect on the Company; (iii) there has not been any recall, rework, retrofit, or post-sale general consumer warning since the Company Balance Sheet Date (collectively, "RECALLS") of any Product, or, to the Company's knowledge, any investigation or consideration of or decision made by any person concerning whether to undertake or not to undertake any Recalls and neither the Company nor any of its subsidiaries has received any Notice from any domestic or foreign Governmental Entity or any other person in respect of the foregoing; and (iv) there are currently no material defects in design, manufacturing, materials, or workmanship, including, any failure to warn, or any breach of express or implied warranties or representations, which involve any Product that accounts for a material portion of the Company's sales.</w:t>
      </w:r>
    </w:p>
    <w:p>
      <w:pPr>
        <w:spacing w:after="0" w:line="95" w:lineRule="exact"/>
        <w:rPr>
          <w:sz w:val="20"/>
          <w:szCs w:val="20"/>
          <w:color w:val="auto"/>
        </w:rPr>
      </w:pPr>
    </w:p>
    <w:p>
      <w:pPr>
        <w:ind w:right="2759" w:firstLine="871"/>
        <w:spacing w:after="0" w:line="307" w:lineRule="auto"/>
        <w:tabs>
          <w:tab w:leader="none" w:pos="126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4.26 of the Company Disclosure Schedule sets forth all Notices received by the Company or its subsidiaries since the Company Balance Sheet Date and the Company's best estimate of the reserves provided therefor.</w:t>
      </w:r>
    </w:p>
    <w:p>
      <w:pPr>
        <w:spacing w:after="0" w:line="49" w:lineRule="exact"/>
        <w:rPr>
          <w:rFonts w:ascii="Courier New" w:cs="Courier New" w:eastAsia="Courier New" w:hAnsi="Courier New"/>
          <w:sz w:val="16"/>
          <w:szCs w:val="16"/>
          <w:color w:val="auto"/>
        </w:rPr>
      </w:pPr>
    </w:p>
    <w:p>
      <w:pPr>
        <w:ind w:right="2459" w:firstLine="871"/>
        <w:spacing w:after="0" w:line="264" w:lineRule="auto"/>
        <w:tabs>
          <w:tab w:leader="none" w:pos="126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herein, (i) "DEFECT" means a defect or impurity of any kind, whether in design, manufacture, processing, or otherwise, including, any dangerous propensity associated with any reasonably foreseeable use of a Product, or the failure to warn of the existence of any defect, impurity, or dangerous propensity; and (ii) "PRODUCT" means any product designed, manufactured, shipped, sold, marketed, distributed, and/or otherwise introduced into the stream of commerce by or on behalf of the Company or any of its past or present subsidiaries.</w:t>
      </w:r>
    </w:p>
    <w:p>
      <w:pPr>
        <w:spacing w:after="0" w:line="82" w:lineRule="exact"/>
        <w:rPr>
          <w:sz w:val="20"/>
          <w:szCs w:val="20"/>
          <w:color w:val="auto"/>
        </w:rPr>
      </w:pPr>
    </w:p>
    <w:p>
      <w:pPr>
        <w:ind w:right="2459" w:firstLine="872"/>
        <w:spacing w:after="0" w:line="256" w:lineRule="auto"/>
        <w:rPr>
          <w:sz w:val="20"/>
          <w:szCs w:val="20"/>
          <w:color w:val="auto"/>
        </w:rPr>
      </w:pPr>
      <w:r>
        <w:rPr>
          <w:rFonts w:ascii="Courier New" w:cs="Courier New" w:eastAsia="Courier New" w:hAnsi="Courier New"/>
          <w:sz w:val="16"/>
          <w:szCs w:val="16"/>
          <w:color w:val="auto"/>
        </w:rPr>
        <w:t>SECTION 4.27 Customers and Suppliers. Section 4.27 of the Company Disclosure Schedule sets forth (a) a list of the ten largest customers of the Company and its subsidiaries (taken as a whole) based on sales during the fiscal year ended March 31, 1998, and the nine months ended December 31, 1998, showing the name of each such customer and the approximate total sales by the Company and its subsidiaries to each such customer during such periods, and (b) a list of the ten largest suppliers of the Company and its subsidiaries (taken as a whole) based on purchases during the fiscal year ended March 31, 1998, and the nine months ended December 31, 1998, showing the name of each such supplier and the approximate total purchases by the Company and its subsidiaries from each such supplier during such periods. Since March 31, 1998, there has not been any adverse change in the business relationship of the Company or any of its subsidiaries with any customer or supplier named in Section 4.27 of the</w:t>
      </w:r>
    </w:p>
    <w:p>
      <w:pPr>
        <w:spacing w:after="0" w:line="28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273" w:right="1440" w:bottom="1440" w:gutter="0" w:footer="0" w:header="0"/>
        </w:sectPr>
      </w:pPr>
    </w:p>
    <w:bookmarkStart w:id="115" w:name="page116"/>
    <w:bookmarkEnd w:id="115"/>
    <w:p>
      <w:pPr>
        <w:ind w:left="300"/>
        <w:spacing w:after="0"/>
        <w:rPr>
          <w:sz w:val="20"/>
          <w:szCs w:val="20"/>
          <w:color w:val="auto"/>
        </w:rPr>
      </w:pPr>
      <w:r>
        <w:rPr>
          <w:rFonts w:ascii="Courier New" w:cs="Courier New" w:eastAsia="Courier New" w:hAnsi="Courier New"/>
          <w:sz w:val="16"/>
          <w:szCs w:val="16"/>
          <w:color w:val="auto"/>
        </w:rPr>
        <w:t>40</w:t>
      </w:r>
    </w:p>
    <w:p>
      <w:pPr>
        <w:spacing w:after="0" w:line="378" w:lineRule="exact"/>
        <w:rPr>
          <w:sz w:val="20"/>
          <w:szCs w:val="20"/>
          <w:color w:val="auto"/>
        </w:rPr>
      </w:pPr>
    </w:p>
    <w:p>
      <w:pPr>
        <w:ind w:right="2559"/>
        <w:spacing w:after="0" w:line="287" w:lineRule="auto"/>
        <w:rPr>
          <w:sz w:val="20"/>
          <w:szCs w:val="20"/>
          <w:color w:val="auto"/>
        </w:rPr>
      </w:pPr>
      <w:r>
        <w:rPr>
          <w:rFonts w:ascii="Courier New" w:cs="Courier New" w:eastAsia="Courier New" w:hAnsi="Courier New"/>
          <w:sz w:val="16"/>
          <w:szCs w:val="16"/>
          <w:color w:val="auto"/>
        </w:rPr>
        <w:t>Company Disclosure Schedule, and, as of the date hereof, the Company has no reason to believe that there will be any such adverse change in the future either as a result of the consummation of the transactions contemplated by this Agreement or otherwise.</w:t>
      </w:r>
    </w:p>
    <w:p>
      <w:pPr>
        <w:spacing w:after="0" w:line="65" w:lineRule="exact"/>
        <w:rPr>
          <w:sz w:val="20"/>
          <w:szCs w:val="20"/>
          <w:color w:val="auto"/>
        </w:rPr>
      </w:pPr>
    </w:p>
    <w:p>
      <w:pPr>
        <w:ind w:right="2559" w:firstLine="872"/>
        <w:spacing w:after="0" w:line="260" w:lineRule="auto"/>
        <w:rPr>
          <w:sz w:val="20"/>
          <w:szCs w:val="20"/>
          <w:color w:val="auto"/>
        </w:rPr>
      </w:pPr>
      <w:r>
        <w:rPr>
          <w:rFonts w:ascii="Courier New" w:cs="Courier New" w:eastAsia="Courier New" w:hAnsi="Courier New"/>
          <w:sz w:val="16"/>
          <w:szCs w:val="16"/>
          <w:color w:val="auto"/>
        </w:rPr>
        <w:t>SECTION 4.28 Takeover Statute. The Company has taken all action required to be taken by it in order to exempt this Agreement, the Stockholders Agreement, and the transactions contemplated hereby and thereby from, and this Agreement, the Stockholders Agreement, and the transactions contemplated hereby and thereby (the "COVERED TRANSACTIONS") are exempt from, the requirements of any "moratorium," "control share," "fair price," "affiliate transaction," "business combination," or other antitakeover Laws of any state (collectively, "TAKEOVER STATUTES"), including Section 203 of the DGCL, or any antitakeover provision in the Company's certificate of incorporation and bylaws. The provisions of Section 203 of the DGCL do not apply to the Covered Transactions.</w:t>
      </w:r>
    </w:p>
    <w:p>
      <w:pPr>
        <w:spacing w:after="0" w:line="86" w:lineRule="exact"/>
        <w:rPr>
          <w:sz w:val="20"/>
          <w:szCs w:val="20"/>
          <w:color w:val="auto"/>
        </w:rPr>
      </w:pPr>
    </w:p>
    <w:p>
      <w:pPr>
        <w:ind w:right="2559" w:firstLine="872"/>
        <w:spacing w:after="0" w:line="270" w:lineRule="auto"/>
        <w:rPr>
          <w:sz w:val="20"/>
          <w:szCs w:val="20"/>
          <w:color w:val="auto"/>
        </w:rPr>
      </w:pPr>
      <w:r>
        <w:rPr>
          <w:rFonts w:ascii="Courier New" w:cs="Courier New" w:eastAsia="Courier New" w:hAnsi="Courier New"/>
          <w:sz w:val="16"/>
          <w:szCs w:val="16"/>
          <w:color w:val="auto"/>
        </w:rPr>
        <w:t>SECTION 4.29 ISO 9001 and QS-9000 Certifications. Schedule 4.29 of the Company Disclosure Schedule contains a true, correct, and complete list of all ISO 9000 series and QS-9000 series certifications currently held or applied for by the Company and/or its subsidiaries, showing in respect of each such certification the specific certification, the current status, the facility, the operation concerned, and the certifying organization or other person.</w:t>
      </w:r>
    </w:p>
    <w:p>
      <w:pPr>
        <w:spacing w:after="0" w:line="8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ARTICLE V</w:t>
      </w:r>
    </w:p>
    <w:p>
      <w:pPr>
        <w:spacing w:after="0" w:line="35"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REPRESENTATIONS AND WARRANTIES</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OF PARENT AND MERGERSUB</w:t>
      </w:r>
    </w:p>
    <w:p>
      <w:pPr>
        <w:spacing w:after="0" w:line="161" w:lineRule="exact"/>
        <w:rPr>
          <w:sz w:val="20"/>
          <w:szCs w:val="20"/>
          <w:color w:val="auto"/>
        </w:rPr>
      </w:pPr>
    </w:p>
    <w:p>
      <w:pPr>
        <w:ind w:right="2459" w:firstLine="872"/>
        <w:spacing w:after="0" w:line="270" w:lineRule="auto"/>
        <w:rPr>
          <w:sz w:val="20"/>
          <w:szCs w:val="20"/>
          <w:color w:val="auto"/>
        </w:rPr>
      </w:pPr>
      <w:r>
        <w:rPr>
          <w:rFonts w:ascii="Courier New" w:cs="Courier New" w:eastAsia="Courier New" w:hAnsi="Courier New"/>
          <w:sz w:val="16"/>
          <w:szCs w:val="16"/>
          <w:color w:val="auto"/>
        </w:rPr>
        <w:t>Except as set forth in the disclosure schedule delivered by Parent to the Company prior to the execution of this Agreement (the "PARENT DISCLOSURE SCHEDULE") (each section of which qualifies the correspondingly numbered representation and warranty or covenant to the extent specified therein), Parent and MergerSub hereby jointly and severally represent and warrant to the Company as follows:</w:t>
      </w:r>
    </w:p>
    <w:p>
      <w:pPr>
        <w:spacing w:after="0" w:line="81" w:lineRule="exact"/>
        <w:rPr>
          <w:sz w:val="20"/>
          <w:szCs w:val="20"/>
          <w:color w:val="auto"/>
        </w:rPr>
      </w:pPr>
    </w:p>
    <w:p>
      <w:pPr>
        <w:ind w:right="2459" w:firstLine="872"/>
        <w:spacing w:after="0" w:line="264" w:lineRule="auto"/>
        <w:rPr>
          <w:sz w:val="20"/>
          <w:szCs w:val="20"/>
          <w:color w:val="auto"/>
        </w:rPr>
      </w:pPr>
      <w:r>
        <w:rPr>
          <w:rFonts w:ascii="Courier New" w:cs="Courier New" w:eastAsia="Courier New" w:hAnsi="Courier New"/>
          <w:sz w:val="16"/>
          <w:szCs w:val="16"/>
          <w:color w:val="auto"/>
        </w:rPr>
        <w:t>SECTION 5.1 Organization. Each of Parent and MergerSub is a corporation duly organized, validly existing, and in good standing under the Laws of the jurisdiction of its incorporation and has all requisite corporate power and authority to own, lease, and operate its properties and to carry on its businesses as now conducted or proposed by Parent to be conducted, except where the failure to be duly organized, existing, and in good standing or to have such power and authority would not reasonably be expected to have, individually or in the aggregate, a Material Adverse Effect on Parent.</w:t>
      </w:r>
    </w:p>
    <w:p>
      <w:pPr>
        <w:spacing w:after="0" w:line="82" w:lineRule="exact"/>
        <w:rPr>
          <w:sz w:val="20"/>
          <w:szCs w:val="20"/>
          <w:color w:val="auto"/>
        </w:rPr>
      </w:pPr>
    </w:p>
    <w:p>
      <w:pPr>
        <w:ind w:right="2459" w:firstLine="872"/>
        <w:spacing w:after="0" w:line="261" w:lineRule="auto"/>
        <w:rPr>
          <w:sz w:val="20"/>
          <w:szCs w:val="20"/>
          <w:color w:val="auto"/>
        </w:rPr>
      </w:pPr>
      <w:r>
        <w:rPr>
          <w:rFonts w:ascii="Courier New" w:cs="Courier New" w:eastAsia="Courier New" w:hAnsi="Courier New"/>
          <w:sz w:val="16"/>
          <w:szCs w:val="16"/>
          <w:color w:val="auto"/>
        </w:rPr>
        <w:t>SECTION 5.2 Authority Relative to This Agreement. (a) Each of Parent and MergerSub has all necessary corporate power and authority to execute and deliver this Agreement and to consummate the transactions contemplated hereby. No other corporate proceedings on the part of Parent or MergerSub are necessary to authorize this Agreement or to consummate the transactions contemplated hereby. This Agreement has been duly and validly executed and delivered by each of Parent and MergerSub and constitutes a valid, legal, and binding agreement of each of Parent and MergerSub, enforceable against each of Parent and MergerSub in accordance with its terms.</w:t>
      </w:r>
    </w:p>
    <w:p>
      <w:pPr>
        <w:spacing w:after="0" w:line="27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273" w:right="1440" w:bottom="1440" w:gutter="0" w:footer="0" w:header="0"/>
        </w:sectPr>
      </w:pPr>
    </w:p>
    <w:bookmarkStart w:id="116" w:name="page117"/>
    <w:bookmarkEnd w:id="116"/>
    <w:p>
      <w:pPr>
        <w:ind w:left="301"/>
        <w:spacing w:after="0"/>
        <w:rPr>
          <w:sz w:val="20"/>
          <w:szCs w:val="20"/>
          <w:color w:val="auto"/>
        </w:rPr>
      </w:pPr>
      <w:r>
        <w:rPr>
          <w:rFonts w:ascii="Courier New" w:cs="Courier New" w:eastAsia="Courier New" w:hAnsi="Courier New"/>
          <w:sz w:val="16"/>
          <w:szCs w:val="16"/>
          <w:color w:val="auto"/>
        </w:rPr>
        <w:t>41</w:t>
      </w:r>
    </w:p>
    <w:p>
      <w:pPr>
        <w:spacing w:after="0" w:line="378" w:lineRule="exact"/>
        <w:rPr>
          <w:sz w:val="20"/>
          <w:szCs w:val="20"/>
          <w:color w:val="auto"/>
        </w:rPr>
      </w:pPr>
    </w:p>
    <w:p>
      <w:pPr>
        <w:ind w:left="1" w:right="2559" w:firstLine="871"/>
        <w:spacing w:after="0" w:line="270" w:lineRule="auto"/>
        <w:tabs>
          <w:tab w:leader="none" w:pos="126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Boards of Directors of Parent (the "PARENT BOARD") and MergerSub and Parent as the sole stockholder of MergerSub have duly and validly authorized the execution and delivery of this Agreement and the consummation of the transactions contemplated hereby, and taken all corporate actions required to be taken by such Boards of Directors and Parent as the sole stockholder of MergerSub for the consummation of the transactions.</w:t>
      </w:r>
    </w:p>
    <w:p>
      <w:pPr>
        <w:spacing w:after="0" w:line="81" w:lineRule="exact"/>
        <w:rPr>
          <w:sz w:val="20"/>
          <w:szCs w:val="20"/>
          <w:color w:val="auto"/>
        </w:rPr>
      </w:pPr>
    </w:p>
    <w:p>
      <w:pPr>
        <w:ind w:left="1" w:right="2459" w:firstLine="872"/>
        <w:spacing w:after="0" w:line="253" w:lineRule="auto"/>
        <w:rPr>
          <w:sz w:val="20"/>
          <w:szCs w:val="20"/>
          <w:color w:val="auto"/>
        </w:rPr>
      </w:pPr>
      <w:r>
        <w:rPr>
          <w:rFonts w:ascii="Courier New" w:cs="Courier New" w:eastAsia="Courier New" w:hAnsi="Courier New"/>
          <w:sz w:val="16"/>
          <w:szCs w:val="16"/>
          <w:color w:val="auto"/>
        </w:rPr>
        <w:t>SECTION 5.3 Proxy Statement; Offer Documents. The Offer Documents and any other documents to be filed by Parent or MergerSub with the SEC or any other Government Entity in connection with the Merger and the other Transactions will (in the case of the Offer Documents and any such other documents filed with the SEC under the Securities Act or the Exchange Act) comply as to form in all material respects with the requirements of the Securities Act and the Exchange Act, respectively, and will not, on the date of filing with the SEC or, in the case of the Proxy Statement, on the date the Proxy Statement is first mailed to stockholders of the Company, contain any untrue statement of a material fact, or omit to state any material fact required to be stated therein or necessary in order to make the statements made therein, in the light of the circumstances under which they are made, not misleading or shall, at the time of the Company Stockholder Meeting or at the Effective Time, omit to state any material fact necessary to correct any statement in any earlier communication in respect of the solicitation of proxies for the Company Stockholder Meeting which shall have become false or misleading in any material respect. Notwithstanding the foregoing provisions of this Section 5.3, neither Parent nor MergerSub makes any representation or warranty in respect of the statements made in any of the foregoing documents based on and in conformity with information supplied by or on behalf of the Company specifically for inclusion therein.</w:t>
      </w:r>
    </w:p>
    <w:p>
      <w:pPr>
        <w:spacing w:after="0" w:line="92" w:lineRule="exact"/>
        <w:rPr>
          <w:sz w:val="20"/>
          <w:szCs w:val="20"/>
          <w:color w:val="auto"/>
        </w:rPr>
      </w:pPr>
    </w:p>
    <w:p>
      <w:pPr>
        <w:ind w:left="1" w:right="2459" w:firstLine="872"/>
        <w:spacing w:after="0" w:line="249" w:lineRule="auto"/>
        <w:rPr>
          <w:sz w:val="20"/>
          <w:szCs w:val="20"/>
          <w:color w:val="auto"/>
        </w:rPr>
      </w:pPr>
      <w:r>
        <w:rPr>
          <w:rFonts w:ascii="Courier New" w:cs="Courier New" w:eastAsia="Courier New" w:hAnsi="Courier New"/>
          <w:sz w:val="16"/>
          <w:szCs w:val="16"/>
          <w:color w:val="auto"/>
        </w:rPr>
        <w:t>SECTION 5.4 Consents and Approvals; No Violations. Except for filings, permits, authorizations, consents, and approvals as may be required under, and other applicable requirements of, the Securities Act, the Exchange Act, state securities or blue sky Laws, the HSR Act, the German Cartel Act, and the filing and recordation of the Certificate of Merger as required by the DGCL, no filing with or notice to, and no permit, authorization, consent, or approval of, any Governmental Entity is necessary for the execution and delivery by Parent or MergerSub of this Agreement or the consummation by Parent or MergerSub of the Transactions contemplated hereby, except where the failure to obtain such permits, authorizations, consents, or approvals or to make such filings or give such notice do not or would not reasonably be expected to have, individually or in the aggregate, a Material Adverse Effect on Parent. Neither the execution, delivery, and performance of this Agreement by Parent or MergerSub nor the consummation by Parent or MergerSub of the Transactions contemplated hereby will</w:t>
      </w:r>
    </w:p>
    <w:p>
      <w:pPr>
        <w:spacing w:after="0" w:line="6" w:lineRule="exact"/>
        <w:rPr>
          <w:sz w:val="20"/>
          <w:szCs w:val="20"/>
          <w:color w:val="auto"/>
        </w:rPr>
      </w:pPr>
    </w:p>
    <w:p>
      <w:pPr>
        <w:ind w:left="1" w:right="2559" w:hanging="1"/>
        <w:spacing w:after="0" w:line="255" w:lineRule="auto"/>
        <w:tabs>
          <w:tab w:leader="none" w:pos="388"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conflict with or result in any breach of any provision of the respective certificate of incorporation or bylaws of Parent or MergerSub, (ii) result in a violation or breach of, or constitute (with or without due notice, or lapse of time, or both) a default (or give rise to any right of termination, amendment, cancellation, or acceleration or Lien) under, any of the terms, conditions, or provisions of any note, bond, mortgage, indenture, lease, license, contract, agreement, or other instrument or obligation to which Parent or MergerSub is a party or by which any of them or any of their respective assets or properties may be bound, or (iii) violate any Law applicable to Parent or MergerSub or any of their respective assets or properties, except in the case of</w:t>
      </w:r>
    </w:p>
    <w:p>
      <w:pPr>
        <w:spacing w:after="0" w:line="280"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20"/>
          </w:cols>
          <w:pgMar w:left="239" w:top="273" w:right="1440" w:bottom="1440" w:gutter="0" w:footer="0" w:header="0"/>
        </w:sectPr>
      </w:pPr>
    </w:p>
    <w:bookmarkStart w:id="117" w:name="page118"/>
    <w:bookmarkEnd w:id="117"/>
    <w:p>
      <w:pPr>
        <w:ind w:left="301"/>
        <w:spacing w:after="0"/>
        <w:rPr>
          <w:sz w:val="20"/>
          <w:szCs w:val="20"/>
          <w:color w:val="auto"/>
        </w:rPr>
      </w:pPr>
      <w:r>
        <w:rPr>
          <w:rFonts w:ascii="Courier New" w:cs="Courier New" w:eastAsia="Courier New" w:hAnsi="Courier New"/>
          <w:sz w:val="16"/>
          <w:szCs w:val="16"/>
          <w:color w:val="auto"/>
        </w:rPr>
        <w:t>42</w:t>
      </w:r>
    </w:p>
    <w:p>
      <w:pPr>
        <w:spacing w:after="0" w:line="378" w:lineRule="exact"/>
        <w:rPr>
          <w:sz w:val="20"/>
          <w:szCs w:val="20"/>
          <w:color w:val="auto"/>
        </w:rPr>
      </w:pPr>
    </w:p>
    <w:p>
      <w:pPr>
        <w:jc w:val="both"/>
        <w:ind w:left="1" w:right="2459"/>
        <w:spacing w:after="0" w:line="307" w:lineRule="auto"/>
        <w:rPr>
          <w:sz w:val="20"/>
          <w:szCs w:val="20"/>
          <w:color w:val="auto"/>
        </w:rPr>
      </w:pPr>
      <w:r>
        <w:rPr>
          <w:rFonts w:ascii="Courier New" w:cs="Courier New" w:eastAsia="Courier New" w:hAnsi="Courier New"/>
          <w:sz w:val="16"/>
          <w:szCs w:val="16"/>
          <w:color w:val="auto"/>
        </w:rPr>
        <w:t>clause (ii) or (iii) for violations, breaches, or defaults which do not or would not reasonably be expected to have, individually or in the aggregate, a Material Adverse Effect on Parent.</w:t>
      </w:r>
    </w:p>
    <w:p>
      <w:pPr>
        <w:spacing w:after="0" w:line="50" w:lineRule="exact"/>
        <w:rPr>
          <w:sz w:val="20"/>
          <w:szCs w:val="20"/>
          <w:color w:val="auto"/>
        </w:rPr>
      </w:pPr>
    </w:p>
    <w:p>
      <w:pPr>
        <w:ind w:left="1" w:right="2759" w:firstLine="872"/>
        <w:spacing w:after="0" w:line="270" w:lineRule="auto"/>
        <w:rPr>
          <w:sz w:val="20"/>
          <w:szCs w:val="20"/>
          <w:color w:val="auto"/>
        </w:rPr>
      </w:pPr>
      <w:r>
        <w:rPr>
          <w:rFonts w:ascii="Courier New" w:cs="Courier New" w:eastAsia="Courier New" w:hAnsi="Courier New"/>
          <w:sz w:val="16"/>
          <w:szCs w:val="16"/>
          <w:color w:val="auto"/>
        </w:rPr>
        <w:t>SECTION 5.5 No Prior Activities. Except for obligations incurred in connection with its incorporation or organization or the negotiation and consummation of this Agreement and the transactions contemplated hereby, MergerSub has neither incurred any obligation or liability nor engaged in any business or activity of any type or kind whatsoever or entered into any agreement or arrangement with any person.</w:t>
      </w:r>
    </w:p>
    <w:p>
      <w:pPr>
        <w:spacing w:after="0" w:line="81" w:lineRule="exact"/>
        <w:rPr>
          <w:sz w:val="20"/>
          <w:szCs w:val="20"/>
          <w:color w:val="auto"/>
        </w:rPr>
      </w:pPr>
    </w:p>
    <w:p>
      <w:pPr>
        <w:ind w:left="1" w:right="2759" w:firstLine="872"/>
        <w:spacing w:after="0" w:line="287" w:lineRule="auto"/>
        <w:rPr>
          <w:sz w:val="20"/>
          <w:szCs w:val="20"/>
          <w:color w:val="auto"/>
        </w:rPr>
      </w:pPr>
      <w:r>
        <w:rPr>
          <w:rFonts w:ascii="Courier New" w:cs="Courier New" w:eastAsia="Courier New" w:hAnsi="Courier New"/>
          <w:sz w:val="16"/>
          <w:szCs w:val="16"/>
          <w:color w:val="auto"/>
        </w:rPr>
        <w:t>SECTION 5.6 Brokers. No broker, finder, or investment banker is entitled to any brokerage, finder's, or other fee or commission in connection with the transactions contemplated by this Agreement based upon arrangements made by and on behalf of Parent, MergerSub, or any of their affiliates.</w:t>
      </w:r>
    </w:p>
    <w:p>
      <w:pPr>
        <w:spacing w:after="0" w:line="6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ARTICLE VI</w:t>
      </w:r>
    </w:p>
    <w:p>
      <w:pPr>
        <w:spacing w:after="0" w:line="3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COVENANTS RELATED TO CONDUCT OF BUSINESS</w:t>
      </w:r>
    </w:p>
    <w:p>
      <w:pPr>
        <w:spacing w:after="0" w:line="161" w:lineRule="exact"/>
        <w:rPr>
          <w:sz w:val="20"/>
          <w:szCs w:val="20"/>
          <w:color w:val="auto"/>
        </w:rPr>
      </w:pPr>
    </w:p>
    <w:p>
      <w:pPr>
        <w:ind w:left="1" w:right="2459" w:firstLine="872"/>
        <w:spacing w:after="0" w:line="256" w:lineRule="auto"/>
        <w:rPr>
          <w:sz w:val="20"/>
          <w:szCs w:val="20"/>
          <w:color w:val="auto"/>
        </w:rPr>
      </w:pPr>
      <w:r>
        <w:rPr>
          <w:rFonts w:ascii="Courier New" w:cs="Courier New" w:eastAsia="Courier New" w:hAnsi="Courier New"/>
          <w:sz w:val="16"/>
          <w:szCs w:val="16"/>
          <w:color w:val="auto"/>
        </w:rPr>
        <w:t>SECTION 6.1 Conduct of Business of the Company. Except as contemplated by this Agreement, during the period from the date hereof to the Effective Time, the Company will, and will cause each of its subsidiaries to, conduct its operations in the ordinary and usual course of business consistent with past practice and, to the extent consistent therewith, with no less diligence and effort than would be applied in the absence of this Agreement, seek to preserve intact its current business organizations, seek to keep available the service of its current officers and employees and seek to preserve its relationships with customers, suppliers, and others having business dealings with it to the end that goodwill and ongoing businesses shall be unimpaired at the Effective Time. Without limiting the generality of the foregoing, and except as otherwise expressly provided in this Agreement, prior to the Effective Time, neither the Company nor any of its subsidiaries will, without the prior written consent of Parent:</w:t>
      </w:r>
    </w:p>
    <w:p>
      <w:pPr>
        <w:spacing w:after="0" w:line="89" w:lineRule="exact"/>
        <w:rPr>
          <w:sz w:val="20"/>
          <w:szCs w:val="20"/>
          <w:color w:val="auto"/>
        </w:rPr>
      </w:pPr>
    </w:p>
    <w:p>
      <w:pPr>
        <w:ind w:left="1" w:right="2559" w:firstLine="871"/>
        <w:spacing w:after="0" w:line="367" w:lineRule="auto"/>
        <w:tabs>
          <w:tab w:leader="none" w:pos="1260" w:val="left"/>
        </w:tabs>
        <w:numPr>
          <w:ilvl w:val="1"/>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its certificate of incorporation or bylaws (or other similar organizational or governing instrument);</w:t>
      </w:r>
    </w:p>
    <w:p>
      <w:pPr>
        <w:spacing w:after="0" w:line="4" w:lineRule="exact"/>
        <w:rPr>
          <w:rFonts w:ascii="Courier New" w:cs="Courier New" w:eastAsia="Courier New" w:hAnsi="Courier New"/>
          <w:sz w:val="16"/>
          <w:szCs w:val="16"/>
          <w:color w:val="auto"/>
        </w:rPr>
      </w:pPr>
    </w:p>
    <w:p>
      <w:pPr>
        <w:ind w:left="1" w:right="2459" w:firstLine="871"/>
        <w:spacing w:after="0" w:line="260" w:lineRule="auto"/>
        <w:tabs>
          <w:tab w:leader="none" w:pos="1260" w:val="left"/>
        </w:tabs>
        <w:numPr>
          <w:ilvl w:val="1"/>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authorize for issuance, issue, sell, deliver, or agree or commit to issue, sell, or deliver (whether through the issuance or granting of options, warrants, commitments, subscriptions, rights to purchase, or otherwise) any stock of any class or any other securities convertible into or exchangeable for any stock or any equity equivalents (including any stock options or stock appreciation rights), except for (i) the issuance or sale of Shares pursuant to outstanding Company Stock Options or Company Warrants or the Company Stock Purchase Plan and (ii) the repurchase by the Company of all of the outstanding shares of capital stock of its German Subsidiary not owned by the Company pursuant to the Subsidiary Stock Purchase Agreement;</w:t>
      </w:r>
    </w:p>
    <w:p>
      <w:pPr>
        <w:spacing w:after="0" w:line="86" w:lineRule="exact"/>
        <w:rPr>
          <w:rFonts w:ascii="Courier New" w:cs="Courier New" w:eastAsia="Courier New" w:hAnsi="Courier New"/>
          <w:sz w:val="16"/>
          <w:szCs w:val="16"/>
          <w:color w:val="auto"/>
        </w:rPr>
      </w:pPr>
    </w:p>
    <w:p>
      <w:pPr>
        <w:ind w:left="1261" w:hanging="389"/>
        <w:spacing w:after="0"/>
        <w:tabs>
          <w:tab w:leader="none" w:pos="1261" w:val="left"/>
        </w:tabs>
        <w:numPr>
          <w:ilvl w:val="1"/>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split, combine, or reclassify any shares of its capital stock;</w:t>
      </w:r>
    </w:p>
    <w:p>
      <w:pPr>
        <w:spacing w:after="0" w:line="35" w:lineRule="exact"/>
        <w:rPr>
          <w:rFonts w:ascii="Courier New" w:cs="Courier New" w:eastAsia="Courier New" w:hAnsi="Courier New"/>
          <w:sz w:val="16"/>
          <w:szCs w:val="16"/>
          <w:color w:val="auto"/>
        </w:rPr>
      </w:pPr>
    </w:p>
    <w:p>
      <w:pPr>
        <w:ind w:left="1" w:right="2659" w:hanging="1"/>
        <w:spacing w:after="0" w:line="273" w:lineRule="auto"/>
        <w:tabs>
          <w:tab w:leader="none" w:pos="485"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set aside or pay any dividend or other distribution (whether in cash, stock, or property or any combination thereof) in respect of its capital stock; (iii) make any other actual, constructive, or deemed distribution in respect of any shares of its capital stock or otherwise make any payments</w:t>
      </w:r>
    </w:p>
    <w:p>
      <w:pPr>
        <w:spacing w:after="0" w:line="263"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20"/>
          </w:cols>
          <w:pgMar w:left="239" w:top="273" w:right="1440" w:bottom="1440" w:gutter="0" w:footer="0" w:header="0"/>
        </w:sectPr>
      </w:pPr>
    </w:p>
    <w:bookmarkStart w:id="118" w:name="page119"/>
    <w:bookmarkEnd w:id="118"/>
    <w:p>
      <w:pPr>
        <w:ind w:left="300"/>
        <w:spacing w:after="0"/>
        <w:rPr>
          <w:sz w:val="20"/>
          <w:szCs w:val="20"/>
          <w:color w:val="auto"/>
        </w:rPr>
      </w:pPr>
      <w:r>
        <w:rPr>
          <w:rFonts w:ascii="Courier New" w:cs="Courier New" w:eastAsia="Courier New" w:hAnsi="Courier New"/>
          <w:sz w:val="16"/>
          <w:szCs w:val="16"/>
          <w:color w:val="auto"/>
        </w:rPr>
        <w:t>43</w:t>
      </w:r>
    </w:p>
    <w:p>
      <w:pPr>
        <w:spacing w:after="0" w:line="378" w:lineRule="exact"/>
        <w:rPr>
          <w:sz w:val="20"/>
          <w:szCs w:val="20"/>
          <w:color w:val="auto"/>
        </w:rPr>
      </w:pPr>
    </w:p>
    <w:p>
      <w:pPr>
        <w:ind w:right="2459"/>
        <w:spacing w:after="0" w:line="276" w:lineRule="auto"/>
        <w:rPr>
          <w:sz w:val="20"/>
          <w:szCs w:val="20"/>
          <w:color w:val="auto"/>
        </w:rPr>
      </w:pPr>
      <w:r>
        <w:rPr>
          <w:rFonts w:ascii="Courier New" w:cs="Courier New" w:eastAsia="Courier New" w:hAnsi="Courier New"/>
          <w:sz w:val="16"/>
          <w:szCs w:val="16"/>
          <w:color w:val="auto"/>
        </w:rPr>
        <w:t>to stockholders in their capacity as such; or (iv) redeem, repurchase, or otherwise acquire any of any securities of the Company or any of its subsidiaries (other than the repurchase by the Company of all of the outstanding shares of capital stock of its German Subsidiary not owned by the Company pursuant to the Subsidiary Stock Purchase Agreement);</w:t>
      </w:r>
    </w:p>
    <w:p>
      <w:pPr>
        <w:spacing w:after="0" w:line="76" w:lineRule="exact"/>
        <w:rPr>
          <w:sz w:val="20"/>
          <w:szCs w:val="20"/>
          <w:color w:val="auto"/>
        </w:rPr>
      </w:pPr>
    </w:p>
    <w:p>
      <w:pPr>
        <w:ind w:right="2559" w:firstLine="871"/>
        <w:spacing w:after="0" w:line="307" w:lineRule="auto"/>
        <w:tabs>
          <w:tab w:leader="none" w:pos="126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adopt a plan of complete or partial liquidation, dissolution, merger, consolidation, restructuring, recapitalization, or other reorganization of the Company or any of its subsidiaries (other than the Merger);</w:t>
      </w:r>
    </w:p>
    <w:p>
      <w:pPr>
        <w:spacing w:after="0" w:line="49" w:lineRule="exact"/>
        <w:rPr>
          <w:rFonts w:ascii="Courier New" w:cs="Courier New" w:eastAsia="Courier New" w:hAnsi="Courier New"/>
          <w:sz w:val="16"/>
          <w:szCs w:val="16"/>
          <w:color w:val="auto"/>
        </w:rPr>
      </w:pPr>
    </w:p>
    <w:p>
      <w:pPr>
        <w:ind w:right="2659" w:firstLine="871"/>
        <w:spacing w:after="0" w:line="276" w:lineRule="auto"/>
        <w:tabs>
          <w:tab w:leader="none" w:pos="126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alter through merger, liquidation, reorganization, restructuring, or in any other fashion the corporate structure or ownership of any subsidiary of Company (other than the purchase by the Company of all of the outstanding shares of capital stock of its German Subsidiary not owned by the Company pursuant to the Subsidiary Stock Purchase Agreement);</w:t>
      </w:r>
    </w:p>
    <w:p>
      <w:pPr>
        <w:spacing w:after="0" w:line="75" w:lineRule="exact"/>
        <w:rPr>
          <w:rFonts w:ascii="Courier New" w:cs="Courier New" w:eastAsia="Courier New" w:hAnsi="Courier New"/>
          <w:sz w:val="16"/>
          <w:szCs w:val="16"/>
          <w:color w:val="auto"/>
        </w:rPr>
      </w:pPr>
    </w:p>
    <w:p>
      <w:pPr>
        <w:ind w:right="2459" w:firstLine="871"/>
        <w:spacing w:after="0" w:line="258" w:lineRule="auto"/>
        <w:tabs>
          <w:tab w:leader="none" w:pos="126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incur or assume any additional long-term or short-term debt or issue any debt securities; (ii) assume, guarantee, endorse, or otherwise become liable or responsible (whether directly, contingently, or otherwise) for the obligations of any other person; (iii) make any loans, advances, or capital contributions to, or investments in, any other person (other than to the wholly owned subsidiaries of the Company or customary loans or advances to employees in the ordinary and usual course of business consistent with past practice and in amounts not material to the maker of such loan or advance); (iv) pledge or otherwise encumber shares of capital stock of the Company or its subsidiaries; or (v) mortgage or pledge any of its material assets, tangible or intangible, or create or suffer to exist any material Lien thereupon;</w:t>
      </w:r>
    </w:p>
    <w:p>
      <w:pPr>
        <w:spacing w:after="0" w:line="92" w:lineRule="exact"/>
        <w:rPr>
          <w:rFonts w:ascii="Courier New" w:cs="Courier New" w:eastAsia="Courier New" w:hAnsi="Courier New"/>
          <w:sz w:val="16"/>
          <w:szCs w:val="16"/>
          <w:color w:val="auto"/>
        </w:rPr>
      </w:pPr>
    </w:p>
    <w:p>
      <w:pPr>
        <w:ind w:right="2459" w:firstLine="871"/>
        <w:spacing w:after="0" w:line="261" w:lineRule="auto"/>
        <w:tabs>
          <w:tab w:leader="none" w:pos="126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acquire, sell, lease, or dispose of any assets outside the ordinary and usual course of business consistent with past practice or any assets which in the aggregate are material to the Company and its subsidiaries taken as a whole, enter into any commitment or transaction outside the ordinary and usual course of business consistent with past practice, grant any exclusive distribution rights, grant any license, right to use, or covenant not to sue in respect of any Intellectual Property, or disclose any trade secrets or other confidential proprietary information of the Company or any of its subsidiaries to any third person (other than the transactions contemplated hereby);</w:t>
      </w:r>
    </w:p>
    <w:p>
      <w:pPr>
        <w:spacing w:after="0" w:line="89" w:lineRule="exact"/>
        <w:rPr>
          <w:rFonts w:ascii="Courier New" w:cs="Courier New" w:eastAsia="Courier New" w:hAnsi="Courier New"/>
          <w:sz w:val="16"/>
          <w:szCs w:val="16"/>
          <w:color w:val="auto"/>
        </w:rPr>
      </w:pPr>
    </w:p>
    <w:p>
      <w:pPr>
        <w:ind w:right="2959" w:firstLine="871"/>
        <w:spacing w:after="0" w:line="367" w:lineRule="auto"/>
        <w:tabs>
          <w:tab w:leader="none" w:pos="126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may be required as a result of a change in Law or in GAAP, change any of the accounting principles or practices used by it;</w:t>
      </w:r>
    </w:p>
    <w:p>
      <w:pPr>
        <w:spacing w:after="0" w:line="4" w:lineRule="exact"/>
        <w:rPr>
          <w:rFonts w:ascii="Courier New" w:cs="Courier New" w:eastAsia="Courier New" w:hAnsi="Courier New"/>
          <w:sz w:val="16"/>
          <w:szCs w:val="16"/>
          <w:color w:val="auto"/>
        </w:rPr>
      </w:pPr>
    </w:p>
    <w:p>
      <w:pPr>
        <w:ind w:right="2559" w:firstLine="871"/>
        <w:spacing w:after="0" w:line="287" w:lineRule="auto"/>
        <w:tabs>
          <w:tab w:leader="none" w:pos="126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revalue in any material respect any of its assets, including writing down the value of inventory or writing-off notes or accounts receivable other than in the ordinary and usual course of business consistent with past practice or as required by GAAP;</w:t>
      </w:r>
    </w:p>
    <w:p>
      <w:pPr>
        <w:spacing w:after="0" w:line="64" w:lineRule="exact"/>
        <w:rPr>
          <w:rFonts w:ascii="Courier New" w:cs="Courier New" w:eastAsia="Courier New" w:hAnsi="Courier New"/>
          <w:sz w:val="16"/>
          <w:szCs w:val="16"/>
          <w:color w:val="auto"/>
        </w:rPr>
      </w:pPr>
    </w:p>
    <w:p>
      <w:pPr>
        <w:ind w:right="2459" w:firstLine="871"/>
        <w:spacing w:after="0" w:line="261" w:lineRule="auto"/>
        <w:tabs>
          <w:tab w:leader="none" w:pos="126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acquire (by merger, consolidation, or acquisition of stock or assets) any corporation, partnership, or other business organization or division thereof or any equity interest therein (other than the repurchase by the Company of all of the outstanding shares of capital stock of its German Subsidiary not owned by the Company pursuant to the Subsidiary Stock Purchase Agreement); (ii) enter into or amend any Material Contract; (iii) authorize any new capital expenditures which, individually, are in excess of $250,000 (or the foreign currency equivalent thereof) or, in the aggregate, are in excess of $1,000,000 (or the foreign currency</w:t>
      </w:r>
    </w:p>
    <w:p>
      <w:pPr>
        <w:spacing w:after="0" w:line="27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273" w:right="1440" w:bottom="1440" w:gutter="0" w:footer="0" w:header="0"/>
        </w:sectPr>
      </w:pPr>
    </w:p>
    <w:bookmarkStart w:id="119" w:name="page120"/>
    <w:bookmarkEnd w:id="119"/>
    <w:p>
      <w:pPr>
        <w:ind w:left="300"/>
        <w:spacing w:after="0"/>
        <w:rPr>
          <w:sz w:val="20"/>
          <w:szCs w:val="20"/>
          <w:color w:val="auto"/>
        </w:rPr>
      </w:pPr>
      <w:r>
        <w:rPr>
          <w:rFonts w:ascii="Courier New" w:cs="Courier New" w:eastAsia="Courier New" w:hAnsi="Courier New"/>
          <w:sz w:val="16"/>
          <w:szCs w:val="16"/>
          <w:color w:val="auto"/>
        </w:rPr>
        <w:t>44</w:t>
      </w:r>
    </w:p>
    <w:p>
      <w:pPr>
        <w:spacing w:after="0" w:line="378" w:lineRule="exact"/>
        <w:rPr>
          <w:sz w:val="20"/>
          <w:szCs w:val="20"/>
          <w:color w:val="auto"/>
        </w:rPr>
      </w:pPr>
    </w:p>
    <w:p>
      <w:pPr>
        <w:ind w:right="2559"/>
        <w:spacing w:after="0" w:line="307" w:lineRule="auto"/>
        <w:rPr>
          <w:sz w:val="20"/>
          <w:szCs w:val="20"/>
          <w:color w:val="auto"/>
        </w:rPr>
      </w:pPr>
      <w:r>
        <w:rPr>
          <w:rFonts w:ascii="Courier New" w:cs="Courier New" w:eastAsia="Courier New" w:hAnsi="Courier New"/>
          <w:sz w:val="16"/>
          <w:szCs w:val="16"/>
          <w:color w:val="auto"/>
        </w:rPr>
        <w:t>equivalent thereof); or (iv) enter into or amend any contract, agreement, commitment, or arrangement providing for the taking of any action that would be prohibited hereunder;</w:t>
      </w:r>
    </w:p>
    <w:p>
      <w:pPr>
        <w:spacing w:after="0" w:line="50" w:lineRule="exact"/>
        <w:rPr>
          <w:sz w:val="20"/>
          <w:szCs w:val="20"/>
          <w:color w:val="auto"/>
        </w:rPr>
      </w:pPr>
    </w:p>
    <w:p>
      <w:pPr>
        <w:ind w:right="2659" w:firstLine="871"/>
        <w:spacing w:after="0" w:line="307" w:lineRule="auto"/>
        <w:tabs>
          <w:tab w:leader="none" w:pos="126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or revoke any Tax election, or settle or compromise any Tax liability, or change (or make a request to any taxing authority to change) any aspect of its method of accounting for Tax purposes;</w:t>
      </w:r>
    </w:p>
    <w:p>
      <w:pPr>
        <w:spacing w:after="0" w:line="49" w:lineRule="exact"/>
        <w:rPr>
          <w:rFonts w:ascii="Courier New" w:cs="Courier New" w:eastAsia="Courier New" w:hAnsi="Courier New"/>
          <w:sz w:val="16"/>
          <w:szCs w:val="16"/>
          <w:color w:val="auto"/>
        </w:rPr>
      </w:pPr>
    </w:p>
    <w:p>
      <w:pPr>
        <w:ind w:right="2659" w:firstLine="871"/>
        <w:spacing w:after="0" w:line="261" w:lineRule="auto"/>
        <w:tabs>
          <w:tab w:leader="none" w:pos="126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discharge, or satisfy any material claims, liabilities, or obligations (absolute, accrued, asserted or unasserted, contingent, or otherwise), other than the payment, discharge, or satisfaction in the ordinary and usual course of business consistent with past practice of liabilities reflected or reserved against in the consolidated financial statements of the Company and its subsidiaries or incurred in the ordinary and usual course of business consistent with past practice or waive the benefits of, or agree to modify in any manner, any confidentiality, standstill, or similar agreement to which the Company or any of its subsidiaries is a party;</w:t>
      </w:r>
    </w:p>
    <w:p>
      <w:pPr>
        <w:spacing w:after="0" w:line="89" w:lineRule="exact"/>
        <w:rPr>
          <w:rFonts w:ascii="Courier New" w:cs="Courier New" w:eastAsia="Courier New" w:hAnsi="Courier New"/>
          <w:sz w:val="16"/>
          <w:szCs w:val="16"/>
          <w:color w:val="auto"/>
        </w:rPr>
      </w:pPr>
    </w:p>
    <w:p>
      <w:pPr>
        <w:ind w:right="2459" w:firstLine="871"/>
        <w:spacing w:after="0" w:line="367" w:lineRule="auto"/>
        <w:tabs>
          <w:tab w:leader="none" w:pos="126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settle or compromise any pending or threatened claim, action, suit, or proceeding, relating to the transactions contemplated hereby;</w:t>
      </w:r>
    </w:p>
    <w:p>
      <w:pPr>
        <w:spacing w:after="0" w:line="4" w:lineRule="exact"/>
        <w:rPr>
          <w:rFonts w:ascii="Courier New" w:cs="Courier New" w:eastAsia="Courier New" w:hAnsi="Courier New"/>
          <w:sz w:val="16"/>
          <w:szCs w:val="16"/>
          <w:color w:val="auto"/>
        </w:rPr>
      </w:pPr>
    </w:p>
    <w:p>
      <w:pPr>
        <w:ind w:right="2459" w:firstLine="871"/>
        <w:spacing w:after="0" w:line="276" w:lineRule="auto"/>
        <w:tabs>
          <w:tab w:leader="none" w:pos="126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any agreement or arrangement that limits or otherwise restricts the Company or any of its subsidiaries or any successor thereto or that would, after the Effective Time, limit or restrict the Surviving Corporation and its affiliates (including Parent) or any successor thereto, from engaging or competing in any line of business or in any geographic area;</w:t>
      </w:r>
    </w:p>
    <w:p>
      <w:pPr>
        <w:spacing w:after="0" w:line="75" w:lineRule="exact"/>
        <w:rPr>
          <w:rFonts w:ascii="Courier New" w:cs="Courier New" w:eastAsia="Courier New" w:hAnsi="Courier New"/>
          <w:sz w:val="16"/>
          <w:szCs w:val="16"/>
          <w:color w:val="auto"/>
        </w:rPr>
      </w:pPr>
    </w:p>
    <w:p>
      <w:pPr>
        <w:ind w:right="2459" w:firstLine="871"/>
        <w:spacing w:after="0" w:line="307" w:lineRule="auto"/>
        <w:tabs>
          <w:tab w:leader="none" w:pos="126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 to comply in any material respect with any Law (including, any Environmental Law) applicable to the Company, its subsidiaries, or their respective assets;</w:t>
      </w:r>
    </w:p>
    <w:p>
      <w:pPr>
        <w:spacing w:after="0" w:line="49" w:lineRule="exact"/>
        <w:rPr>
          <w:rFonts w:ascii="Courier New" w:cs="Courier New" w:eastAsia="Courier New" w:hAnsi="Courier New"/>
          <w:sz w:val="16"/>
          <w:szCs w:val="16"/>
          <w:color w:val="auto"/>
        </w:rPr>
      </w:pPr>
    </w:p>
    <w:p>
      <w:pPr>
        <w:ind w:right="2459" w:firstLine="871"/>
        <w:spacing w:after="0" w:line="307" w:lineRule="auto"/>
        <w:tabs>
          <w:tab w:leader="none" w:pos="126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modify, alter, or terminate the Subsidiary Stock Purchase Agreement as in effect on the date hereof or any supply arrangements between the Company (or any of its subsidiaries) and Nagano Keiki Co., Ltd.;</w:t>
      </w:r>
    </w:p>
    <w:p>
      <w:pPr>
        <w:spacing w:after="0" w:line="49" w:lineRule="exact"/>
        <w:rPr>
          <w:rFonts w:ascii="Courier New" w:cs="Courier New" w:eastAsia="Courier New" w:hAnsi="Courier New"/>
          <w:sz w:val="16"/>
          <w:szCs w:val="16"/>
          <w:color w:val="auto"/>
        </w:rPr>
      </w:pPr>
    </w:p>
    <w:p>
      <w:pPr>
        <w:ind w:right="2859" w:firstLine="871"/>
        <w:spacing w:after="0" w:line="307" w:lineRule="auto"/>
        <w:tabs>
          <w:tab w:leader="none" w:pos="126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any direct or indirect arrangements for financial or other subsidies with any domestic or foreign Governmental Entity or other person;</w:t>
      </w:r>
    </w:p>
    <w:p>
      <w:pPr>
        <w:spacing w:after="0" w:line="49" w:lineRule="exact"/>
        <w:rPr>
          <w:rFonts w:ascii="Courier New" w:cs="Courier New" w:eastAsia="Courier New" w:hAnsi="Courier New"/>
          <w:sz w:val="16"/>
          <w:szCs w:val="16"/>
          <w:color w:val="auto"/>
        </w:rPr>
      </w:pPr>
    </w:p>
    <w:p>
      <w:pPr>
        <w:ind w:right="2559" w:firstLine="871"/>
        <w:spacing w:after="0" w:line="264" w:lineRule="auto"/>
        <w:tabs>
          <w:tab w:leader="none" w:pos="126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change to, or amend in any way, the contracts, salaries, wages, or other compensation (including, any completion bonuses or change of control payments) of any officer, director, employee, agent, or other similar representative of the Company or any of its subsidiaries, other than changes or amendments that (i) are made in the ordinary course of business and consistent with past practice and (ii) do not and will not result in increases, in the aggregate, of more than five percent in the salary, wages, and other compensation of any such person;</w:t>
      </w:r>
    </w:p>
    <w:p>
      <w:pPr>
        <w:spacing w:after="0" w:line="82" w:lineRule="exact"/>
        <w:rPr>
          <w:rFonts w:ascii="Courier New" w:cs="Courier New" w:eastAsia="Courier New" w:hAnsi="Courier New"/>
          <w:sz w:val="16"/>
          <w:szCs w:val="16"/>
          <w:color w:val="auto"/>
        </w:rPr>
      </w:pPr>
    </w:p>
    <w:p>
      <w:pPr>
        <w:ind w:right="2659" w:firstLine="871"/>
        <w:spacing w:after="0" w:line="307" w:lineRule="auto"/>
        <w:tabs>
          <w:tab w:leader="none" w:pos="126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adopt, enter into, amend, alter, or terminate (partially or completely) any Benefit Plan or Employee Arrangement except as contemplated by this Agreement or to the extent required by applicable Law;</w:t>
      </w:r>
    </w:p>
    <w:p>
      <w:pPr>
        <w:spacing w:after="0" w:line="23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273" w:right="1440" w:bottom="1440" w:gutter="0" w:footer="0" w:header="0"/>
        </w:sectPr>
      </w:pPr>
    </w:p>
    <w:bookmarkStart w:id="120" w:name="page121"/>
    <w:bookmarkEnd w:id="120"/>
    <w:p>
      <w:pPr>
        <w:ind w:left="300"/>
        <w:spacing w:after="0"/>
        <w:rPr>
          <w:sz w:val="20"/>
          <w:szCs w:val="20"/>
          <w:color w:val="auto"/>
        </w:rPr>
      </w:pPr>
      <w:r>
        <w:rPr>
          <w:rFonts w:ascii="Courier New" w:cs="Courier New" w:eastAsia="Courier New" w:hAnsi="Courier New"/>
          <w:sz w:val="16"/>
          <w:szCs w:val="16"/>
          <w:color w:val="auto"/>
        </w:rPr>
        <w:t>45</w:t>
      </w:r>
    </w:p>
    <w:p>
      <w:pPr>
        <w:spacing w:after="0" w:line="378" w:lineRule="exact"/>
        <w:rPr>
          <w:sz w:val="20"/>
          <w:szCs w:val="20"/>
          <w:color w:val="auto"/>
        </w:rPr>
      </w:pPr>
    </w:p>
    <w:p>
      <w:pPr>
        <w:ind w:right="2459" w:firstLine="871"/>
        <w:spacing w:after="0" w:line="287" w:lineRule="auto"/>
        <w:tabs>
          <w:tab w:leader="none" w:pos="126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any contract with an officer, director, employee, agent, or other similar representative of the Company or any of its subsidiaries that is not terminable, without penalty or other liability, upon not more than 60 calendar days' notice; or</w:t>
      </w:r>
    </w:p>
    <w:p>
      <w:pPr>
        <w:spacing w:after="0" w:line="64" w:lineRule="exact"/>
        <w:rPr>
          <w:rFonts w:ascii="Courier New" w:cs="Courier New" w:eastAsia="Courier New" w:hAnsi="Courier New"/>
          <w:sz w:val="16"/>
          <w:szCs w:val="16"/>
          <w:color w:val="auto"/>
        </w:rPr>
      </w:pPr>
    </w:p>
    <w:p>
      <w:pPr>
        <w:ind w:right="2759" w:firstLine="871"/>
        <w:spacing w:after="0" w:line="287" w:lineRule="auto"/>
        <w:tabs>
          <w:tab w:leader="none" w:pos="126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propose to take, or agree in writing or otherwise to take, any of the actions described in Sections 6.1(a) through 6.1(t) or any action which would make any of the representations or warranties of the Company contained in this Agreement untrue or incorrect.</w:t>
      </w:r>
    </w:p>
    <w:p>
      <w:pPr>
        <w:spacing w:after="0" w:line="65" w:lineRule="exact"/>
        <w:rPr>
          <w:sz w:val="20"/>
          <w:szCs w:val="20"/>
          <w:color w:val="auto"/>
        </w:rPr>
      </w:pPr>
    </w:p>
    <w:p>
      <w:pPr>
        <w:ind w:right="2459" w:firstLine="872"/>
        <w:spacing w:after="0" w:line="255" w:lineRule="auto"/>
        <w:rPr>
          <w:sz w:val="20"/>
          <w:szCs w:val="20"/>
          <w:color w:val="auto"/>
        </w:rPr>
      </w:pPr>
      <w:r>
        <w:rPr>
          <w:rFonts w:ascii="Courier New" w:cs="Courier New" w:eastAsia="Courier New" w:hAnsi="Courier New"/>
          <w:sz w:val="16"/>
          <w:szCs w:val="16"/>
          <w:color w:val="auto"/>
        </w:rPr>
        <w:t>SECTION 6.2 Access to Information. (a) Between the date hereof and the Effective Time, the Company will give Parent and MergerSub and their authorized representatives (including, counsel, financial advisors, auditors, and environmental consultants) reasonable access during normal business hours to all employees, plants, offices, warehouses, and other facilities and to all books and records of the Company and its subsidiaries, will permit Parent and MergerSub to make such inspections as Parent and MergerSub may reasonably require (including, any environmental audit, investigation, or study) and will cause the Company's officers and those of its subsidiaries to furnish Parent and MergerSub with such financial and operating data and other information in respect of the business, properties, and personnel of the Company and its subsidiaries as Parent or MergerSub may from time to time reasonably request, provided that no investigation pursuant to this Section 6.2(a) shall affect or be deemed to modify any of the representations or warranties made by the Company.</w:t>
      </w:r>
    </w:p>
    <w:p>
      <w:pPr>
        <w:spacing w:after="0" w:line="93" w:lineRule="exact"/>
        <w:rPr>
          <w:sz w:val="20"/>
          <w:szCs w:val="20"/>
          <w:color w:val="auto"/>
        </w:rPr>
      </w:pPr>
    </w:p>
    <w:p>
      <w:pPr>
        <w:ind w:right="2459" w:firstLine="871"/>
        <w:spacing w:after="0" w:line="257" w:lineRule="auto"/>
        <w:tabs>
          <w:tab w:leader="none" w:pos="126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Between the date hereof and the Effective Time, the Company shall furnish to Parent and MergerSub (i) within five business days after the delivery thereof to management, such monthly financial statements and data as are regularly prepared for distribution to Company management, (ii) at the earliest time they are available, such quarterly and annual financial statements as are prepared for the Company's SEC filings, which (in the case of this clause (ii)), shall be in accordance with the books and records of the Company, and (iii) as soon as available but in no event later than May 30, 1999, the complete consolidated financial statements of the Company and its subsidiaries for the fiscal year ended March 31, 1999, including footnotes, prepared in accordance with GAAP and reviewed by (but excluding the opinion of) the Company's independent auditors.</w:t>
      </w:r>
    </w:p>
    <w:p>
      <w:pPr>
        <w:spacing w:after="0" w:line="93" w:lineRule="exact"/>
        <w:rPr>
          <w:rFonts w:ascii="Courier New" w:cs="Courier New" w:eastAsia="Courier New" w:hAnsi="Courier New"/>
          <w:sz w:val="16"/>
          <w:szCs w:val="16"/>
          <w:color w:val="auto"/>
        </w:rPr>
      </w:pPr>
    </w:p>
    <w:p>
      <w:pPr>
        <w:ind w:right="2459" w:firstLine="871"/>
        <w:spacing w:after="0" w:line="261" w:lineRule="auto"/>
        <w:tabs>
          <w:tab w:leader="none" w:pos="126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Parent and MergerSub will hold and will cause its authorized representatives to hold in confidence all documents and information concerning the Company and its subsidiaries furnished to Parent or MergerSub in connection with the transactions contemplated by this Agreement pursuant to the terms of that certain agreement entered into between the Company and Parent dated March 2, 1999 (the "CONFIDENTIALITY AGREEMENT"). Notwithstanding the foregoing, the Company shall not be required to provide or disclose to Parent or MergerSub any documents or materials relating to any Acquisition Proposal made prior to the date hereof.</w:t>
      </w:r>
    </w:p>
    <w:p>
      <w:pPr>
        <w:spacing w:after="0" w:line="27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273" w:right="1440" w:bottom="1440" w:gutter="0" w:footer="0" w:header="0"/>
        </w:sectPr>
      </w:pPr>
    </w:p>
    <w:bookmarkStart w:id="121" w:name="page122"/>
    <w:bookmarkEnd w:id="121"/>
    <w:p>
      <w:pPr>
        <w:ind w:left="300"/>
        <w:spacing w:after="0"/>
        <w:rPr>
          <w:sz w:val="20"/>
          <w:szCs w:val="20"/>
          <w:color w:val="auto"/>
        </w:rPr>
      </w:pPr>
      <w:r>
        <w:rPr>
          <w:rFonts w:ascii="Courier New" w:cs="Courier New" w:eastAsia="Courier New" w:hAnsi="Courier New"/>
          <w:sz w:val="16"/>
          <w:szCs w:val="16"/>
          <w:color w:val="auto"/>
        </w:rPr>
        <w:t>46</w:t>
      </w:r>
    </w:p>
    <w:p>
      <w:pPr>
        <w:spacing w:after="0" w:line="378"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VII</w:t>
      </w:r>
    </w:p>
    <w:p>
      <w:pPr>
        <w:spacing w:after="0" w:line="3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ADDITIONAL AGREEMENTS</w:t>
      </w:r>
    </w:p>
    <w:p>
      <w:pPr>
        <w:spacing w:after="0" w:line="161" w:lineRule="exact"/>
        <w:rPr>
          <w:sz w:val="20"/>
          <w:szCs w:val="20"/>
          <w:color w:val="auto"/>
        </w:rPr>
      </w:pPr>
    </w:p>
    <w:p>
      <w:pPr>
        <w:ind w:right="2559" w:firstLine="872"/>
        <w:spacing w:after="0" w:line="287" w:lineRule="auto"/>
        <w:rPr>
          <w:sz w:val="20"/>
          <w:szCs w:val="20"/>
          <w:color w:val="auto"/>
        </w:rPr>
      </w:pPr>
      <w:r>
        <w:rPr>
          <w:rFonts w:ascii="Courier New" w:cs="Courier New" w:eastAsia="Courier New" w:hAnsi="Courier New"/>
          <w:sz w:val="16"/>
          <w:szCs w:val="16"/>
          <w:color w:val="auto"/>
        </w:rPr>
        <w:t>SECTION 7.1 Company Stockholder Meeting, Proxy Statement. (a) If required by applicable Law in order to consummate the Merger, the Company, acting through the Company Board, shall, in accordance with applicable Law, its certificate of incorporation, and bylaws:</w:t>
      </w:r>
    </w:p>
    <w:p>
      <w:pPr>
        <w:spacing w:after="0" w:line="65" w:lineRule="exact"/>
        <w:rPr>
          <w:sz w:val="20"/>
          <w:szCs w:val="20"/>
          <w:color w:val="auto"/>
        </w:rPr>
      </w:pPr>
    </w:p>
    <w:p>
      <w:pPr>
        <w:ind w:left="880" w:right="2459" w:firstLine="573"/>
        <w:spacing w:after="0" w:line="270" w:lineRule="auto"/>
        <w:tabs>
          <w:tab w:leader="none" w:pos="2140" w:val="left"/>
        </w:tabs>
        <w:numPr>
          <w:ilvl w:val="1"/>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promptly as practicable following the acceptance for payment and purchase of Shares by MergerSub pursuant to the Offer duly, call, give notice of, convene, and hold a special meeting of its stockholders (the "COMPANY STOCKHOLDER MEETING") for the purposes of considering and taking action upon the approval of the Merger and the approval and adoption of this Agreement;</w:t>
      </w:r>
    </w:p>
    <w:p>
      <w:pPr>
        <w:spacing w:after="0" w:line="80" w:lineRule="exact"/>
        <w:rPr>
          <w:rFonts w:ascii="Courier New" w:cs="Courier New" w:eastAsia="Courier New" w:hAnsi="Courier New"/>
          <w:sz w:val="16"/>
          <w:szCs w:val="16"/>
          <w:color w:val="auto"/>
        </w:rPr>
      </w:pPr>
    </w:p>
    <w:p>
      <w:pPr>
        <w:ind w:left="880" w:right="2459" w:firstLine="573"/>
        <w:spacing w:after="0" w:line="256" w:lineRule="auto"/>
        <w:tabs>
          <w:tab w:leader="none" w:pos="2140" w:val="left"/>
        </w:tabs>
        <w:numPr>
          <w:ilvl w:val="1"/>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and file with the SEC a preliminary proxy or information statement relating to the Merger and this Agreement and (x) obtain and furnish the information required to be included by the SEC in the Proxy Statement and, after consultation with Parent, respond promptly to any comments made by the SEC in respect of the preliminary proxy or information statement and cause a definitive proxy or information statement, including any amendment or supplement thereto to be mailed to its stockholders at the earliest practicable date; provided, however, that no amendment or supplement to the Proxy Statement will be made by the Company without consultation with Parent and its counsel and (y) use its reasonable best efforts to obtain the necessary approvals of the Merger and this Agreement by its stockholders; and</w:t>
      </w:r>
    </w:p>
    <w:p>
      <w:pPr>
        <w:spacing w:after="0" w:line="95" w:lineRule="exact"/>
        <w:rPr>
          <w:rFonts w:ascii="Courier New" w:cs="Courier New" w:eastAsia="Courier New" w:hAnsi="Courier New"/>
          <w:sz w:val="16"/>
          <w:szCs w:val="16"/>
          <w:color w:val="auto"/>
        </w:rPr>
      </w:pPr>
    </w:p>
    <w:p>
      <w:pPr>
        <w:ind w:left="880" w:right="2459" w:firstLine="573"/>
        <w:spacing w:after="0" w:line="276" w:lineRule="auto"/>
        <w:tabs>
          <w:tab w:leader="none" w:pos="2140" w:val="left"/>
        </w:tabs>
        <w:numPr>
          <w:ilvl w:val="1"/>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this Agreement has been terminated in accordance with Article IX, subject to its rights pursuant to Section 7.3, include in the Proxy Statement the recommendation of the Company Board that stockholders of the Company vote in favor of the approval of the Merger and the approval and adoption of this Agreement.</w:t>
      </w:r>
    </w:p>
    <w:p>
      <w:pPr>
        <w:spacing w:after="0" w:line="75" w:lineRule="exact"/>
        <w:rPr>
          <w:rFonts w:ascii="Courier New" w:cs="Courier New" w:eastAsia="Courier New" w:hAnsi="Courier New"/>
          <w:sz w:val="16"/>
          <w:szCs w:val="16"/>
          <w:color w:val="auto"/>
        </w:rPr>
      </w:pPr>
    </w:p>
    <w:p>
      <w:pPr>
        <w:ind w:right="2859" w:firstLine="871"/>
        <w:spacing w:after="0" w:line="307" w:lineRule="auto"/>
        <w:tabs>
          <w:tab w:leader="none" w:pos="126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vote, or cause to be voted, all of the Shares then owned by it, MergerSub, or any of its other subsidiaries in favor of the approval and adoption of this Agreement.</w:t>
      </w:r>
    </w:p>
    <w:p>
      <w:pPr>
        <w:spacing w:after="0" w:line="49" w:lineRule="exact"/>
        <w:rPr>
          <w:rFonts w:ascii="Courier New" w:cs="Courier New" w:eastAsia="Courier New" w:hAnsi="Courier New"/>
          <w:sz w:val="16"/>
          <w:szCs w:val="16"/>
          <w:color w:val="auto"/>
        </w:rPr>
      </w:pPr>
    </w:p>
    <w:p>
      <w:pPr>
        <w:ind w:right="2459" w:firstLine="871"/>
        <w:spacing w:after="0" w:line="260" w:lineRule="auto"/>
        <w:tabs>
          <w:tab w:leader="none" w:pos="126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Section 7.1, in the event that Parent, MergerSub, and any of its other subsidiaries shall acquire in the aggregate a number of the outstanding shares of each class of capital stock of the Company, pursuant to the Offer or otherwise, sufficient to enable MergerSub or the Company to cause the Merger to become effective under applicable Law without a meeting of stockholders of the Company, the parties hereto shall, at the request of Parent and subject to Article VIII, take all necessary and appropriate action to cause the Merger to become effective as soon as practicable after the consummation of such acquisition, without a meeting of stockholders of the Company, in accordance with Section 253 of the DGCL.</w:t>
      </w:r>
    </w:p>
    <w:p>
      <w:pPr>
        <w:spacing w:after="0" w:line="86" w:lineRule="exact"/>
        <w:rPr>
          <w:sz w:val="20"/>
          <w:szCs w:val="20"/>
          <w:color w:val="auto"/>
        </w:rPr>
      </w:pPr>
    </w:p>
    <w:p>
      <w:pPr>
        <w:ind w:right="2459" w:firstLine="872"/>
        <w:spacing w:after="0" w:line="287" w:lineRule="auto"/>
        <w:rPr>
          <w:sz w:val="20"/>
          <w:szCs w:val="20"/>
          <w:color w:val="auto"/>
        </w:rPr>
      </w:pPr>
      <w:r>
        <w:rPr>
          <w:rFonts w:ascii="Courier New" w:cs="Courier New" w:eastAsia="Courier New" w:hAnsi="Courier New"/>
          <w:sz w:val="16"/>
          <w:szCs w:val="16"/>
          <w:color w:val="auto"/>
        </w:rPr>
        <w:t>SECTION 7.2 Reasonable Best Efforts. (a) Subject to the terms and conditions of this Agreement, each party will use its reasonable best efforts to take, or cause to be taken, all actions and to do, or cause to be done, all things necessary, proper, or advisable under applicable</w:t>
      </w:r>
    </w:p>
    <w:p>
      <w:pPr>
        <w:spacing w:after="0" w:line="25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273" w:right="1440" w:bottom="1440" w:gutter="0" w:footer="0" w:header="0"/>
        </w:sectPr>
      </w:pPr>
    </w:p>
    <w:bookmarkStart w:id="122" w:name="page123"/>
    <w:bookmarkEnd w:id="122"/>
    <w:p>
      <w:pPr>
        <w:ind w:left="300"/>
        <w:spacing w:after="0"/>
        <w:rPr>
          <w:sz w:val="20"/>
          <w:szCs w:val="20"/>
          <w:color w:val="auto"/>
        </w:rPr>
      </w:pPr>
      <w:r>
        <w:rPr>
          <w:rFonts w:ascii="Courier New" w:cs="Courier New" w:eastAsia="Courier New" w:hAnsi="Courier New"/>
          <w:sz w:val="16"/>
          <w:szCs w:val="16"/>
          <w:color w:val="auto"/>
        </w:rPr>
        <w:t>47</w:t>
      </w:r>
    </w:p>
    <w:p>
      <w:pPr>
        <w:spacing w:after="0" w:line="378" w:lineRule="exact"/>
        <w:rPr>
          <w:sz w:val="20"/>
          <w:szCs w:val="20"/>
          <w:color w:val="auto"/>
        </w:rPr>
      </w:pPr>
    </w:p>
    <w:p>
      <w:pPr>
        <w:ind w:right="2559"/>
        <w:spacing w:after="0" w:line="253" w:lineRule="auto"/>
        <w:rPr>
          <w:sz w:val="20"/>
          <w:szCs w:val="20"/>
          <w:color w:val="auto"/>
        </w:rPr>
      </w:pPr>
      <w:r>
        <w:rPr>
          <w:rFonts w:ascii="Courier New" w:cs="Courier New" w:eastAsia="Courier New" w:hAnsi="Courier New"/>
          <w:sz w:val="16"/>
          <w:szCs w:val="16"/>
          <w:color w:val="auto"/>
        </w:rPr>
        <w:t>Laws to consummate the Offer and the Merger and the other Transactions contemplated by this Agreement. In furtherance and not in limitation of the foregoing, each party hereto shall (i) make an appropriate filing of a Notification and Report Form pursuant to the HSR Act in respect of the transactions contemplated hereby as promptly as practicable and in any event within ten business days of the date hereof and to supply as promptly as practicable any additional information and documentary material that may be requested pursuant to the HSR Act and use its reasonable best efforts to take, or cause to be taken, all other actions consistent with this Section 7.2 necessary to cause the expiration or termination of the applicable waiting periods under the HSR Act as soon as practicable, and (ii) make all appropriate filings pursuant to the German Cartel Act in respect of the Transactions contemplated hereby as promptly as practicable and in any event within ten business days of the date hereof and to supply as promptly as practicable any additional information and documentary material that may be requested pursuant to the German Cartel Act and use its reasonable best efforts to take, or cause to be taken, all other actions consistent with this Section 7.2 necessary to cause the expiration or termination of the applicable waiting periods under the German Cartel Act as soon as practicable.</w:t>
      </w:r>
    </w:p>
    <w:p>
      <w:pPr>
        <w:spacing w:after="0" w:line="97" w:lineRule="exact"/>
        <w:rPr>
          <w:sz w:val="20"/>
          <w:szCs w:val="20"/>
          <w:color w:val="auto"/>
        </w:rPr>
      </w:pPr>
    </w:p>
    <w:p>
      <w:pPr>
        <w:ind w:right="2459" w:firstLine="871"/>
        <w:spacing w:after="0" w:line="251" w:lineRule="auto"/>
        <w:tabs>
          <w:tab w:leader="none" w:pos="126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Parent and the Company shall, in connection with the efforts referenced in Section 7.2(a) to obtain all requisite approvals and authorizations for the transactions contemplated by this Agreement under the HSR Act, the German Cartel Act, or any other Antitrust Law, use its reasonable best efforts to (i) cooperate in all respects with each other in connection with any filing or submission and in connection with any investigation or other inquiry, including any proceeding initiated by a private party; and (ii) keep the other party informed in all material respects of any material communication received by such party from, or given by such party to, the Federal Trade Commission (the "FTC"), the Antitrust Division of the Department of Justice (the "DOJ"), the Bundeskartellamt (i.e., the "GERMAN FEDERAL CARTEL OFFICE"), or any other domestic or foreign Governmental Entity and of any material communication received or given in connection with any proceeding by a private party, in each case regarding any of the transactions contemplated hereby. The Company shall permit Parent to review any material communication given by the Company to, and consult with Parent in advance of any meeting or conference with, the FTC, the DOJ, the German Federal Cartel Office, or any such other domestic or foreign Governmental Entity or, in connection with any proceeding by a private party, with any other person, and to the extent permitted by the FTC, the DOJ, the German Federal Cartel Office, or such other applicable domestic or foreign Governmental Entity or other person, give Parent the opportunity to attend and participate in such meetings and conferences. For purposes of this Agreement, "ANTITRUST LAW" means the Sherman Act, as amended, the Clayton Act, as amended, the HSR Act, the Federal Trade Commission Act, as amended, the German Cartel Act, and all other Laws that are designed or intended to prohibit, restrict, or regulate actions having the purpose or effect of monopolization or restraint of trade or lessening of competition through merger or acquisition.</w:t>
      </w:r>
    </w:p>
    <w:p>
      <w:pPr>
        <w:spacing w:after="0" w:line="99" w:lineRule="exact"/>
        <w:rPr>
          <w:rFonts w:ascii="Courier New" w:cs="Courier New" w:eastAsia="Courier New" w:hAnsi="Courier New"/>
          <w:sz w:val="16"/>
          <w:szCs w:val="16"/>
          <w:color w:val="auto"/>
        </w:rPr>
      </w:pPr>
    </w:p>
    <w:p>
      <w:pPr>
        <w:ind w:right="2459" w:firstLine="871"/>
        <w:spacing w:after="0" w:line="266" w:lineRule="auto"/>
        <w:tabs>
          <w:tab w:leader="none" w:pos="126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furtherance and not in limitation of the covenants of the parties contained in Sections 7.2(a) and (b), each of Parent and the Company shall use its reasonable best efforts to resolve such objections if any, as may be asserted by a Governmental Entity or other person in respect of the transactions contemplated hereby under any Antitrust Law. In connection with the foregoing, if any administrative or judicial action or proceeding, including any proceeding by a</w:t>
      </w:r>
    </w:p>
    <w:p>
      <w:pPr>
        <w:spacing w:after="0" w:line="27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273" w:right="1440" w:bottom="1440" w:gutter="0" w:footer="0" w:header="0"/>
        </w:sectPr>
      </w:pPr>
    </w:p>
    <w:bookmarkStart w:id="123" w:name="page124"/>
    <w:bookmarkEnd w:id="123"/>
    <w:p>
      <w:pPr>
        <w:ind w:left="300"/>
        <w:spacing w:after="0"/>
        <w:rPr>
          <w:sz w:val="20"/>
          <w:szCs w:val="20"/>
          <w:color w:val="auto"/>
        </w:rPr>
      </w:pPr>
      <w:r>
        <w:rPr>
          <w:rFonts w:ascii="Courier New" w:cs="Courier New" w:eastAsia="Courier New" w:hAnsi="Courier New"/>
          <w:sz w:val="16"/>
          <w:szCs w:val="16"/>
          <w:color w:val="auto"/>
        </w:rPr>
        <w:t>48</w:t>
      </w:r>
    </w:p>
    <w:p>
      <w:pPr>
        <w:spacing w:after="0" w:line="378" w:lineRule="exact"/>
        <w:rPr>
          <w:sz w:val="20"/>
          <w:szCs w:val="20"/>
          <w:color w:val="auto"/>
        </w:rPr>
      </w:pPr>
    </w:p>
    <w:p>
      <w:pPr>
        <w:ind w:right="2459"/>
        <w:spacing w:after="0" w:line="255" w:lineRule="auto"/>
        <w:rPr>
          <w:sz w:val="20"/>
          <w:szCs w:val="20"/>
          <w:color w:val="auto"/>
        </w:rPr>
      </w:pPr>
      <w:r>
        <w:rPr>
          <w:rFonts w:ascii="Courier New" w:cs="Courier New" w:eastAsia="Courier New" w:hAnsi="Courier New"/>
          <w:sz w:val="16"/>
          <w:szCs w:val="16"/>
          <w:color w:val="auto"/>
        </w:rPr>
        <w:t>private party, is instituted (or threatened to be instituted) challenging any transaction contemplated by this Agreement as violative of any Antitrust Law, each of Parent and the Company shall cooperate in all respects with each other and use its respective reasonable best efforts to contest and resist any such action or proceeding and to have vacated, lifted, reversed, or overturned any decree, judgment, injunction, or other order, whether temporary, preliminary, or permanent, that is in effect and that prohibits, prevents, or restricts consummation of the transactions contemplated by this Agreement. Notwithstanding the foregoing or any other provision of this Agreement, nothing in this Section 7.2 shall (i) limit a party's right to terminate this Agreement pursuant to Section 9.1(b) so long as such party has up to then complied in all material respects with its obligations under this Section 7.2, or (ii) require Parent to dispose or hold separate any part of its or the Company's business or operations (or a combination of Parent's and the Company's business or operations), or agree not to compete in any geographic area or line of business.</w:t>
      </w:r>
    </w:p>
    <w:p>
      <w:pPr>
        <w:spacing w:after="0" w:line="93" w:lineRule="exact"/>
        <w:rPr>
          <w:sz w:val="20"/>
          <w:szCs w:val="20"/>
          <w:color w:val="auto"/>
        </w:rPr>
      </w:pPr>
    </w:p>
    <w:p>
      <w:pPr>
        <w:ind w:right="2459" w:firstLine="871"/>
        <w:spacing w:after="0" w:line="261" w:lineRule="auto"/>
        <w:tabs>
          <w:tab w:leader="none" w:pos="126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Parent agree that in connection with any litigation which may be brought against the Company or its directors relating to the transactions contemplated hereby, the Company will keep Parent, and any counsel which Parent may retain at its own expense, informed of the course of such litigation, to the extent Parent is not otherwise a party thereto, and the Company agrees that it will consult with Parent prior to entering into any settlement or compromise of any such litigation; provided, however, that no such settlement or compromise will be entered into without Parent's prior written consent, which consent shall not be unreasonably withheld.</w:t>
      </w:r>
    </w:p>
    <w:p>
      <w:pPr>
        <w:spacing w:after="0" w:line="89" w:lineRule="exact"/>
        <w:rPr>
          <w:sz w:val="20"/>
          <w:szCs w:val="20"/>
          <w:color w:val="auto"/>
        </w:rPr>
      </w:pPr>
    </w:p>
    <w:p>
      <w:pPr>
        <w:ind w:right="2459" w:firstLine="872"/>
        <w:spacing w:after="0" w:line="251" w:lineRule="auto"/>
        <w:rPr>
          <w:sz w:val="20"/>
          <w:szCs w:val="20"/>
          <w:color w:val="auto"/>
        </w:rPr>
      </w:pPr>
      <w:r>
        <w:rPr>
          <w:rFonts w:ascii="Courier New" w:cs="Courier New" w:eastAsia="Courier New" w:hAnsi="Courier New"/>
          <w:sz w:val="16"/>
          <w:szCs w:val="16"/>
          <w:color w:val="auto"/>
        </w:rPr>
        <w:t>SECTION 7.3 Acquisition Proposals. (a) From the date hereof until the termination hereof and except as expressly permitted by the following provisions of this Section 7.3, the Company will not, nor will it permit any of its subsidiaries to, nor will it authorize or direct any officer, director, or employee of or any investment banker, attorney, accountant, or other advisor or representative of, the Company or any of its subsidiaries to, directly or indirectly, (i) solicit, initiate, or encourage the submission of any Acquisition Proposal or (ii) participate in any discussions or negotiations regarding, or furnish to any person any information in respect of, or take any other action to facilitate, any Acquisition Proposal or any inquiries or the making of any proposal that constitutes, or may reasonably be expected to lead to, any Acquisition Proposal; provided, however, that nothing contained in this Section 7.3(a) shall prohibit the Company Board from furnishing information to, or entering into discussions or negotiations with, any person that makes an unsolicited bona fide written Acquisition Proposal if, and only to the extent that (A) the Company Board, after consultation with independent legal counsel, determines in good faith that such action is necessary for the Company Board to comply with its fiduciary duties to the Company's stockholders under applicable Law, (B) the Company Board determines in good faith that such Acquisition Proposal, if accepted, is reasonably likely to be consummated taking into account all legal, financial, regulatory, and other aspects of the proposal and the person making the proposal, and believes in good faith, after consolation with its Financial Advisor, that such Acquisition Proposal would, if consummated, result in a transaction more favorable to the Company's stockholders from a financial point of view than the Offer and the Merger (any such more favorable Acquisition Proposal being referred to herein as a "SUPERIOR PROPOSAL"), and (C) prior to taking such action, the Company (x) provides reasonable notice to</w:t>
      </w:r>
    </w:p>
    <w:p>
      <w:pPr>
        <w:spacing w:after="0" w:line="28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273" w:right="1440" w:bottom="1440" w:gutter="0" w:footer="0" w:header="0"/>
        </w:sectPr>
      </w:pPr>
    </w:p>
    <w:bookmarkStart w:id="124" w:name="page125"/>
    <w:bookmarkEnd w:id="124"/>
    <w:p>
      <w:pPr>
        <w:ind w:left="300"/>
        <w:spacing w:after="0"/>
        <w:rPr>
          <w:sz w:val="20"/>
          <w:szCs w:val="20"/>
          <w:color w:val="auto"/>
        </w:rPr>
      </w:pPr>
      <w:r>
        <w:rPr>
          <w:rFonts w:ascii="Courier New" w:cs="Courier New" w:eastAsia="Courier New" w:hAnsi="Courier New"/>
          <w:sz w:val="16"/>
          <w:szCs w:val="16"/>
          <w:color w:val="auto"/>
        </w:rPr>
        <w:t>49</w:t>
      </w:r>
    </w:p>
    <w:p>
      <w:pPr>
        <w:spacing w:after="0" w:line="378" w:lineRule="exact"/>
        <w:rPr>
          <w:sz w:val="20"/>
          <w:szCs w:val="20"/>
          <w:color w:val="auto"/>
        </w:rPr>
      </w:pPr>
    </w:p>
    <w:p>
      <w:pPr>
        <w:ind w:right="2459"/>
        <w:spacing w:after="0" w:line="251" w:lineRule="auto"/>
        <w:rPr>
          <w:sz w:val="20"/>
          <w:szCs w:val="20"/>
          <w:color w:val="auto"/>
        </w:rPr>
      </w:pPr>
      <w:r>
        <w:rPr>
          <w:rFonts w:ascii="Courier New" w:cs="Courier New" w:eastAsia="Courier New" w:hAnsi="Courier New"/>
          <w:sz w:val="16"/>
          <w:szCs w:val="16"/>
          <w:color w:val="auto"/>
        </w:rPr>
        <w:t>Parent to the effect that it is taking such action and (y) receives from such person an executed confidentiality/standstill agreement in reasonably customary form and in any event containing terms at least as stringent as those contained in the Confidentiality Agreement between Parent and the Company. Prior to providing any information to or entering into discussions or negotiations with any person in connection with an Acquisition Proposal by such person, the Company shall notify Parent of any Acquisition Proposal (including, the material terms and conditions thereof and the identity of the person making it) as promptly as practicable (but in no case later than 24 hours) after its receipt thereof, and shall provide Parent with a copy of any written Acquisition Proposal or amendments or supplements thereto, and shall thereafter inform Parent on a prompt basis of the status of any discussions or negotiations with such third party, and any material changes to the terms and conditions of such Acquisition Proposal, and shall promptly give Parent a copy of any information delivered to such person which has not previously been reviewed by Parent. Immediately after the execution and delivery of this Agreement, the Company will, and will cause its subsidiaries and affiliates, and their respective officers, directors, employees, investment bankers, attorneys, accountants, and other agents and representatives to, cease and terminate any existing activities, discussions, or negotiations with any parties conducted heretofore in respect of any possible Acquisition Proposal and shall notify each party that it, or any officer, director, investment advisor, financial advisor, attorney, or other agent or representative retained by it, has had discussions with during the 30 days prior to the date of this Agreement that the Company Board no longer seeks the making of any Acquisition Proposal. The Company shall take all necessary steps to promptly inform the individuals or entities referred to in the first sentence of this Section 7.3(a) of the obligations undertaken in this Section 7.3(a).</w:t>
      </w:r>
    </w:p>
    <w:p>
      <w:pPr>
        <w:spacing w:after="0" w:line="96" w:lineRule="exact"/>
        <w:rPr>
          <w:sz w:val="20"/>
          <w:szCs w:val="20"/>
          <w:color w:val="auto"/>
        </w:rPr>
      </w:pPr>
    </w:p>
    <w:p>
      <w:pPr>
        <w:ind w:right="2459" w:firstLine="871"/>
        <w:spacing w:after="0" w:line="251" w:lineRule="auto"/>
        <w:tabs>
          <w:tab w:leader="none" w:pos="126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Board will not withdraw or modify, or propose to withdraw or modify, in a manner adverse to Parent, its approval or recommendation of this Agreement, the Offer, or the Merger unless the Company Board after consultation with independent legal counsel, determines in good faith that such action is necessary for the Company Board to comply with the fiduciary duties to the Company's stockholders under applicable Law; provided, however, that the Company Board may not approve or recommend (and in connection therewith, withdraw or modify its approval or recommendation of this Agreement, the Offer, or the Merger) an Acquisition Proposal unless such an Acquisition Proposal is a Superior Proposal (and the Company shall have first complied with its obligations set forth in Section 9.1(d)(i)) and unless it shall have first consulted with independent legal counsel, and have determined that such action is necessary for the Company Board to comply with its fiduciary duties to the Company's stockholders. Nothing contained in this Section 7.3(b) shall prohibit the Company from taking and disclosing to its stockholders a position contemplated by Rule 14e-2(a) promulgated under the Exchange Act or from making any disclosure to the Company's stockholders which, in the good faith reasonable judgment of the Company Board, after consultation with independent legal counsel, is required under applicable Law; provided, however, that except as otherwise permitted in this Section 7.3(b), the Company does not withdraw or modify, or propose to withdraw or modify, its position in respect of the Offer or the Merger, or approve or recommend, or propose to approve or recommend, an Acquisition Proposal. Notwithstanding any other provision of this Agreement to the contrary, any action by the Company Board permitted by, and taken in accordance with, this Section 7.3(b) shall not constitute a breach of this Agreement by the</w:t>
      </w:r>
    </w:p>
    <w:p>
      <w:pPr>
        <w:spacing w:after="0" w:line="28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273" w:right="1440" w:bottom="1440" w:gutter="0" w:footer="0" w:header="0"/>
        </w:sectPr>
      </w:pPr>
    </w:p>
    <w:bookmarkStart w:id="125" w:name="page126"/>
    <w:bookmarkEnd w:id="125"/>
    <w:p>
      <w:pPr>
        <w:ind w:left="300"/>
        <w:spacing w:after="0"/>
        <w:rPr>
          <w:sz w:val="20"/>
          <w:szCs w:val="20"/>
          <w:color w:val="auto"/>
        </w:rPr>
      </w:pPr>
      <w:r>
        <w:rPr>
          <w:rFonts w:ascii="Courier New" w:cs="Courier New" w:eastAsia="Courier New" w:hAnsi="Courier New"/>
          <w:sz w:val="16"/>
          <w:szCs w:val="16"/>
          <w:color w:val="auto"/>
        </w:rPr>
        <w:t>50</w:t>
      </w:r>
    </w:p>
    <w:p>
      <w:pPr>
        <w:spacing w:after="0" w:line="378" w:lineRule="exact"/>
        <w:rPr>
          <w:sz w:val="20"/>
          <w:szCs w:val="20"/>
          <w:color w:val="auto"/>
        </w:rPr>
      </w:pPr>
    </w:p>
    <w:p>
      <w:pPr>
        <w:ind w:right="2659"/>
        <w:spacing w:after="0" w:line="307" w:lineRule="auto"/>
        <w:rPr>
          <w:sz w:val="20"/>
          <w:szCs w:val="20"/>
          <w:color w:val="auto"/>
        </w:rPr>
      </w:pPr>
      <w:r>
        <w:rPr>
          <w:rFonts w:ascii="Courier New" w:cs="Courier New" w:eastAsia="Courier New" w:hAnsi="Courier New"/>
          <w:sz w:val="16"/>
          <w:szCs w:val="16"/>
          <w:color w:val="auto"/>
        </w:rPr>
        <w:t>Company. Nothing in this Section 7.3(b) shall (i) permit the Company to terminate this Agreement (except as provided in Article IX) or (ii) affect any other obligations of the Company under this Agreement.</w:t>
      </w:r>
    </w:p>
    <w:p>
      <w:pPr>
        <w:spacing w:after="0" w:line="50" w:lineRule="exact"/>
        <w:rPr>
          <w:sz w:val="20"/>
          <w:szCs w:val="20"/>
          <w:color w:val="auto"/>
        </w:rPr>
      </w:pPr>
    </w:p>
    <w:p>
      <w:pPr>
        <w:ind w:right="2459" w:firstLine="872"/>
        <w:spacing w:after="0" w:line="261" w:lineRule="auto"/>
        <w:rPr>
          <w:sz w:val="20"/>
          <w:szCs w:val="20"/>
          <w:color w:val="auto"/>
        </w:rPr>
      </w:pPr>
      <w:r>
        <w:rPr>
          <w:rFonts w:ascii="Courier New" w:cs="Courier New" w:eastAsia="Courier New" w:hAnsi="Courier New"/>
          <w:sz w:val="16"/>
          <w:szCs w:val="16"/>
          <w:color w:val="auto"/>
        </w:rPr>
        <w:t>SECTION 7.4 Publicity. The initial press releases in respect of the execution of this Agreement shall be acceptable to Parent and the Company and shall be in the form of ANNEX B hereto. Thereafter, so long as this Agreement is in effect, neither the Company, Parent, nor any of their respective affiliates shall issue or cause to be issued the publication of any press release in respect of the Offer, the Merger, this Agreement, or the transactions contemplated hereby without the prior consultation with the other party, except as may be required by applicable Law or any listing agreement with a national securities exchange or national securities quotation system.</w:t>
      </w:r>
    </w:p>
    <w:p>
      <w:pPr>
        <w:spacing w:after="0" w:line="89" w:lineRule="exact"/>
        <w:rPr>
          <w:sz w:val="20"/>
          <w:szCs w:val="20"/>
          <w:color w:val="auto"/>
        </w:rPr>
      </w:pPr>
    </w:p>
    <w:p>
      <w:pPr>
        <w:ind w:right="2459" w:firstLine="872"/>
        <w:spacing w:after="0" w:line="250" w:lineRule="auto"/>
        <w:rPr>
          <w:sz w:val="20"/>
          <w:szCs w:val="20"/>
          <w:color w:val="auto"/>
        </w:rPr>
      </w:pPr>
      <w:r>
        <w:rPr>
          <w:rFonts w:ascii="Courier New" w:cs="Courier New" w:eastAsia="Courier New" w:hAnsi="Courier New"/>
          <w:sz w:val="16"/>
          <w:szCs w:val="16"/>
          <w:color w:val="auto"/>
        </w:rPr>
        <w:t>SECTION 7.5 Indemnification; Directors' and Officers' Insurance. (a) From and after the Effective Time, the Surviving Corporation shall, and Parent shall cause the Surviving Corporation to the fullest extent permitted by applicable Law, indemnify, defend, and hold harmless each person who is now, or has been at any time prior to the date hereof, or who becomes prior to the Effective Time, a director, officer, or employee of the Company or any subsidiary thereof (each an "INDEMNIFIED PARTY" and, collectively, the "INDEMNIFIED PARTIES") against all losses, expenses (including, reasonable attorneys' fees and expenses), claims, damages, or liabilities or, subject to the proviso of the next succeeding sentence, amounts paid in settlement, arising out of actions or omissions occurring at or prior to the Effective Time and whether asserted or claimed prior to, at, or after the Effective Time that are in whole or in part (i) based on, or arising out of the fact that such person is or was a director, officer, or employee of the Company or such subsidiary thereof or (ii) based on, arising out of, or pertaining to the transactions contemplated by this Agreement. In the event of any such loss, expense, claim, damage, or liability (whether or not arising before the Effective Time), (i) the Surviving Corporation shall pay the reasonable fees and expenses of counsel selected by the Indemnified Parties, which counsel shall be reasonably satisfactory to the Surviving Corporation, promptly after statements therefor are received and otherwise advance to such Indemnified Party upon request reimbursement of documented expenses reasonably incurred, in either case to the extent not prohibited by DGCL and upon receipt of any affirmation and undertaking required by the DGCL, (ii) the Surviving Corporation will cooperate in the defense of any such matter and (iii) any determination required to be made in respect of whether an Indemnified Party's conduct complies with the standards set forth under the DGCL and the Surviving Corporation's certificate of incorporation or bylaws shall be made by independent counsel mutually acceptable to the Surviving Corporation and the Indemnified Party; provided, however, that the Surviving Corporation shall not be liable for any settlement effected without its written consent (which consent shall not be unreasonably withheld). The Indemnified Parties as a group may retain only one law firm in respect of each related matter except to the extent there is, in the opinion of counsel to an Indemnified Party, under applicable standards of professional conduct, a conflict on any significant issue between positions of any two or more Indemnified Parties.</w:t>
      </w:r>
    </w:p>
    <w:p>
      <w:pPr>
        <w:spacing w:after="0" w:line="98" w:lineRule="exact"/>
        <w:rPr>
          <w:sz w:val="20"/>
          <w:szCs w:val="20"/>
          <w:color w:val="auto"/>
        </w:rPr>
      </w:pPr>
    </w:p>
    <w:p>
      <w:pPr>
        <w:ind w:right="2559" w:firstLine="871"/>
        <w:spacing w:after="0" w:line="287" w:lineRule="auto"/>
        <w:tabs>
          <w:tab w:leader="none" w:pos="126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Surviving Corporation or any of its successors or assigns (i) consolidates with or merges into any other person and shall not be the continuing or surviving corporation or entity or such consolidation or merger or (ii) transfers all or substantially all of its</w:t>
      </w:r>
    </w:p>
    <w:p>
      <w:pPr>
        <w:spacing w:after="0" w:line="25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273" w:right="1440" w:bottom="1440" w:gutter="0" w:footer="0" w:header="0"/>
        </w:sectPr>
      </w:pPr>
    </w:p>
    <w:bookmarkStart w:id="126" w:name="page127"/>
    <w:bookmarkEnd w:id="126"/>
    <w:p>
      <w:pPr>
        <w:ind w:left="300"/>
        <w:spacing w:after="0"/>
        <w:rPr>
          <w:sz w:val="20"/>
          <w:szCs w:val="20"/>
          <w:color w:val="auto"/>
        </w:rPr>
      </w:pPr>
      <w:r>
        <w:rPr>
          <w:rFonts w:ascii="Courier New" w:cs="Courier New" w:eastAsia="Courier New" w:hAnsi="Courier New"/>
          <w:sz w:val="16"/>
          <w:szCs w:val="16"/>
          <w:color w:val="auto"/>
        </w:rPr>
        <w:t>51</w:t>
      </w:r>
    </w:p>
    <w:p>
      <w:pPr>
        <w:spacing w:after="0" w:line="378" w:lineRule="exact"/>
        <w:rPr>
          <w:sz w:val="20"/>
          <w:szCs w:val="20"/>
          <w:color w:val="auto"/>
        </w:rPr>
      </w:pPr>
    </w:p>
    <w:p>
      <w:pPr>
        <w:ind w:right="2959"/>
        <w:spacing w:after="0" w:line="307" w:lineRule="auto"/>
        <w:rPr>
          <w:sz w:val="20"/>
          <w:szCs w:val="20"/>
          <w:color w:val="auto"/>
        </w:rPr>
      </w:pPr>
      <w:r>
        <w:rPr>
          <w:rFonts w:ascii="Courier New" w:cs="Courier New" w:eastAsia="Courier New" w:hAnsi="Courier New"/>
          <w:sz w:val="16"/>
          <w:szCs w:val="16"/>
          <w:color w:val="auto"/>
        </w:rPr>
        <w:t>assets and properties to any person, then and in either such case, proper provision shall be made so that the successors and assigns of the Surviving Corporation shall assume the obligations set forth in this Section 7.5.</w:t>
      </w:r>
    </w:p>
    <w:p>
      <w:pPr>
        <w:spacing w:after="0" w:line="50" w:lineRule="exact"/>
        <w:rPr>
          <w:sz w:val="20"/>
          <w:szCs w:val="20"/>
          <w:color w:val="auto"/>
        </w:rPr>
      </w:pPr>
    </w:p>
    <w:p>
      <w:pPr>
        <w:ind w:right="2459" w:firstLine="871"/>
        <w:spacing w:after="0" w:line="264" w:lineRule="auto"/>
        <w:tabs>
          <w:tab w:leader="none" w:pos="1260"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fullest extent permitted by Law, from and after the Effective Time, all rights to indemnification now existing in favor of the employees, agents, directors, or officers of the Company and its subsidiaries in respect of their activities as such prior to the Effective Time, as provided in the Company's certificate of incorporation or bylaws, in effect on the date thereof or otherwise in effect on the date hereof, shall survive the Merger and shall continue in full force and effect for a period of not less than six years from the Effective Time.</w:t>
      </w:r>
    </w:p>
    <w:p>
      <w:pPr>
        <w:spacing w:after="0" w:line="82" w:lineRule="exact"/>
        <w:rPr>
          <w:rFonts w:ascii="Courier New" w:cs="Courier New" w:eastAsia="Courier New" w:hAnsi="Courier New"/>
          <w:sz w:val="16"/>
          <w:szCs w:val="16"/>
          <w:color w:val="auto"/>
        </w:rPr>
      </w:pPr>
    </w:p>
    <w:p>
      <w:pPr>
        <w:ind w:right="2959" w:firstLine="871"/>
        <w:spacing w:after="0" w:line="307" w:lineRule="auto"/>
        <w:tabs>
          <w:tab w:leader="none" w:pos="1260"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this Section 7.5 are intended to be for the benefit of, and shall be enforceable by, each Indemnified Party, his or her heirs, and his or her representatives.</w:t>
      </w:r>
    </w:p>
    <w:p>
      <w:pPr>
        <w:spacing w:after="0" w:line="50" w:lineRule="exact"/>
        <w:rPr>
          <w:sz w:val="20"/>
          <w:szCs w:val="20"/>
          <w:color w:val="auto"/>
        </w:rPr>
      </w:pPr>
    </w:p>
    <w:p>
      <w:pPr>
        <w:ind w:right="2459" w:firstLine="872"/>
        <w:spacing w:after="0" w:line="252" w:lineRule="auto"/>
        <w:rPr>
          <w:sz w:val="20"/>
          <w:szCs w:val="20"/>
          <w:color w:val="auto"/>
        </w:rPr>
      </w:pPr>
      <w:r>
        <w:rPr>
          <w:rFonts w:ascii="Courier New" w:cs="Courier New" w:eastAsia="Courier New" w:hAnsi="Courier New"/>
          <w:sz w:val="16"/>
          <w:szCs w:val="16"/>
          <w:color w:val="auto"/>
        </w:rPr>
        <w:t>SECTION 7.6 Notification of Certain Matters. The Company shall give prompt notice to Parent and MergerSub, and Parent and MergerSub shall give prompt notice to the Company, of (i) the occurrence or nonoccurrence of any event the occurrence or nonoccurrence of which would be likely to cause any representation or warranty contained in this Agreement to be untrue or inaccurate at or prior to the Effective Time, (ii) any material failure of the Company, Parent, or MergerSub, as the case may be, to comply with or satisfy any covenant, condition, or agreement to be complied with or satisfied by it hereunder, (iii) any notice of, or other communication relating to, a default or event which, with notice, lapse of time, or both, would become a default which could reasonably be expected to have a Material Adverse Effect on the Company, Parent, or MergerSub, as the case may be, received by it or any of its subsidiaries subsequent to the date of this Agreement and prior to the Effective Time, under any contract or agreement to which it or any of its subsidiaries is a party or is subject, (iv) any notice or other communication from any third party alleging that the consent of such third party is or may be required in connection with the transactions contemplated by this Agreement, or (v) any Material Adverse Effect in their respective financial conditions, properties, businesses, results of operations, or prospects, taken as a whole, other than changes resulting from general economic conditions; provided, however, that the delivery of any notice pursuant to this Section 7.6 shall not cure such breach or non-compliance or limit or otherwise affect the remedies available hereunder to the party receiving such notice.</w:t>
      </w:r>
    </w:p>
    <w:p>
      <w:pPr>
        <w:spacing w:after="0" w:line="95" w:lineRule="exact"/>
        <w:rPr>
          <w:sz w:val="20"/>
          <w:szCs w:val="20"/>
          <w:color w:val="auto"/>
        </w:rPr>
      </w:pPr>
    </w:p>
    <w:p>
      <w:pPr>
        <w:ind w:right="2559" w:firstLine="872"/>
        <w:spacing w:after="0" w:line="258" w:lineRule="auto"/>
        <w:rPr>
          <w:sz w:val="20"/>
          <w:szCs w:val="20"/>
          <w:color w:val="auto"/>
        </w:rPr>
      </w:pPr>
      <w:r>
        <w:rPr>
          <w:rFonts w:ascii="Courier New" w:cs="Courier New" w:eastAsia="Courier New" w:hAnsi="Courier New"/>
          <w:sz w:val="16"/>
          <w:szCs w:val="16"/>
          <w:color w:val="auto"/>
        </w:rPr>
        <w:t>SECTION 7.7 Employee Matters. (a) Parent will cause the Surviving Corporation to honor the obligations of the Company or any of its subsidiaries under the provisions of all employment, consulting, termination, severance, change of control, and indemnification agreements set forth in Section 7.7 of the Company Disclosure Schedule between and among the Company or any of its subsidiaries and any current or former officer, director, consultant, or employee of the Company or any of its subsidiaries. The Company shall terminate and shall cause each of its subsidiaries to terminate prior to the Closing Date any and all employees of the Company or any of its subsidiaries who do not have proper work authorization from any applicable Governmental Entity in respect of their employment with the Company or its subsidiaries.</w:t>
      </w:r>
    </w:p>
    <w:p>
      <w:pPr>
        <w:spacing w:after="0" w:line="27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273" w:right="1440" w:bottom="1440" w:gutter="0" w:footer="0" w:header="0"/>
        </w:sectPr>
      </w:pPr>
    </w:p>
    <w:bookmarkStart w:id="127" w:name="page128"/>
    <w:bookmarkEnd w:id="127"/>
    <w:p>
      <w:pPr>
        <w:spacing w:after="0"/>
        <w:rPr>
          <w:sz w:val="20"/>
          <w:szCs w:val="20"/>
          <w:color w:val="auto"/>
        </w:rPr>
      </w:pPr>
      <w:r>
        <w:rPr>
          <w:rFonts w:ascii="Courier New" w:cs="Courier New" w:eastAsia="Courier New" w:hAnsi="Courier New"/>
          <w:sz w:val="16"/>
          <w:szCs w:val="16"/>
          <w:color w:val="auto"/>
        </w:rPr>
        <w:t>52</w:t>
      </w:r>
    </w:p>
    <w:p>
      <w:pPr>
        <w:spacing w:after="0" w:line="378" w:lineRule="exact"/>
        <w:rPr>
          <w:sz w:val="20"/>
          <w:szCs w:val="20"/>
          <w:color w:val="auto"/>
        </w:rPr>
      </w:pPr>
    </w:p>
    <w:p>
      <w:pPr>
        <w:ind w:left="-300" w:right="2459" w:firstLine="871"/>
        <w:spacing w:after="0" w:line="287" w:lineRule="auto"/>
        <w:tabs>
          <w:tab w:leader="none" w:pos="96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request of Parent, the Company shall, not less than ten days prior to the scheduled Closing Date, terminate its 401(k) retirement plan and complete the distribution of all participants' accounts thereunder (including, direct roll over of outstanding loans).</w:t>
      </w:r>
    </w:p>
    <w:p>
      <w:pPr>
        <w:spacing w:after="0" w:line="64" w:lineRule="exact"/>
        <w:rPr>
          <w:rFonts w:ascii="Courier New" w:cs="Courier New" w:eastAsia="Courier New" w:hAnsi="Courier New"/>
          <w:sz w:val="16"/>
          <w:szCs w:val="16"/>
          <w:color w:val="auto"/>
        </w:rPr>
      </w:pPr>
    </w:p>
    <w:p>
      <w:pPr>
        <w:ind w:left="-300" w:right="2459" w:firstLine="871"/>
        <w:spacing w:after="0" w:line="253" w:lineRule="auto"/>
        <w:tabs>
          <w:tab w:leader="none" w:pos="96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terminate its 1997 Employee Stock Purchase Plan (the "COMPANY STOCK PURCHASE PLAN"), including all employee salary deductions in connection therewith, on or before the Closing Date. On the Closing Date, all accumulated employee salary deductions shall be applied to the purchase of whole shares of Company Common Stock in accordance with the terms of the Company Stock Purchase Plan and any remaining employee salary deductions shall be returned to participants without interest. The shares of Company Common Stock to be delivered by the Company pursuant to the Company Stock Purchase Plan shall be converted into cash on the Closing Date in accordance with Article III, without further action by any participant. Further, the Company shall immediately amend, effective as of the date hereof, the Company Stock Purchase Plan to suspend any new offering periods or stock purchases after the date hereof (and any increases in employee salary deductions thereunder) except employees currently participating therein may continue to purchase stock in the current offering period in accordance with their current salary deduction election or may reduce the amount of their salary deduction election through the Closing Date. The Company shall promptly notify Parent of any changes in employee salary deductions and the number of shares of Company Common Stock hereafter acquired under the Company Stock Purchase Plan.</w:t>
      </w:r>
    </w:p>
    <w:p>
      <w:pPr>
        <w:spacing w:after="0" w:line="96" w:lineRule="exact"/>
        <w:rPr>
          <w:rFonts w:ascii="Courier New" w:cs="Courier New" w:eastAsia="Courier New" w:hAnsi="Courier New"/>
          <w:sz w:val="16"/>
          <w:szCs w:val="16"/>
          <w:color w:val="auto"/>
        </w:rPr>
      </w:pPr>
    </w:p>
    <w:p>
      <w:pPr>
        <w:ind w:left="-300" w:right="2859" w:firstLine="871"/>
        <w:spacing w:after="0" w:line="307" w:lineRule="auto"/>
        <w:tabs>
          <w:tab w:leader="none" w:pos="96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permitted in Section 3.2(a)(ii)(A), the Company shall not, prior to the Closing Date, accelerate the vesting of any stock options granted under the Company Option Plans.</w:t>
      </w:r>
    </w:p>
    <w:p>
      <w:pPr>
        <w:spacing w:after="0" w:line="49" w:lineRule="exact"/>
        <w:rPr>
          <w:rFonts w:ascii="Courier New" w:cs="Courier New" w:eastAsia="Courier New" w:hAnsi="Courier New"/>
          <w:sz w:val="16"/>
          <w:szCs w:val="16"/>
          <w:color w:val="auto"/>
        </w:rPr>
      </w:pPr>
    </w:p>
    <w:p>
      <w:pPr>
        <w:ind w:left="-300" w:right="2459" w:firstLine="871"/>
        <w:spacing w:after="0" w:line="258" w:lineRule="auto"/>
        <w:tabs>
          <w:tab w:leader="none" w:pos="96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United States employees of the Company who remain employees of the Surviving Corporation following the Effective Time ("CONTINUING U.S. EMPLOYEES") shall, from and after the Effective Time, participate in Parent benefit plans identified in Section 7.7(e) of the Parent Disclosure Schedule. Parent reserves the right to change such benefits from time to time. Parent and the Surviving Corporation will give Continuing U.S. Employees full credit for purposes of eligibility and vesting under applicable Parent benefit plans and employee arrangements to the extent each such Continuing U.S. Employee has been credited with service with the Company or any of its subsidiaries under each comparable Benefit Plan or Employee Arrangement maintained by the Company immediately prior to the Effective Time.</w:t>
      </w:r>
    </w:p>
    <w:p>
      <w:pPr>
        <w:spacing w:after="0" w:line="92" w:lineRule="exact"/>
        <w:rPr>
          <w:rFonts w:ascii="Courier New" w:cs="Courier New" w:eastAsia="Courier New" w:hAnsi="Courier New"/>
          <w:sz w:val="16"/>
          <w:szCs w:val="16"/>
          <w:color w:val="auto"/>
        </w:rPr>
      </w:pPr>
    </w:p>
    <w:p>
      <w:pPr>
        <w:ind w:left="-300" w:right="2459" w:firstLine="871"/>
        <w:spacing w:after="0" w:line="256" w:lineRule="auto"/>
        <w:tabs>
          <w:tab w:leader="none" w:pos="96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and the Surviving Corporation will use their respective reasonable efforts to: (i) waive all limitations as to pre-existing condition exclusions and waiting periods in respect of participation and coverage requirements applicable to the Continuing U.S. Employees under any of Parent's benefit plans or employee arrangements that such Continuing U.S. Employees may be eligible to participate in after the Effective Time, other than limitations or waiting periods that are already in effect in respect of such Continuing U.S. Employees and that have not been satisfied as of the Effective Time under any Benefit Plan or Employee Arrangement maintained for the Continuing U.S. Employee immediately prior to the Effective Time, and (ii) provide each Continuing U.S. Employee with credit for the remaining short plan year for any co-payments and deductibles paid under each comparable Benefit Plan or Employee Arrangement maintained by the Company immediately prior to the Effective Time in satisfying</w:t>
      </w:r>
    </w:p>
    <w:p>
      <w:pPr>
        <w:spacing w:after="0" w:line="282"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9919"/>
          </w:cols>
          <w:pgMar w:left="540" w:top="273" w:right="1440" w:bottom="1440" w:gutter="0" w:footer="0" w:header="0"/>
        </w:sectPr>
      </w:pPr>
    </w:p>
    <w:bookmarkStart w:id="128" w:name="page129"/>
    <w:bookmarkEnd w:id="128"/>
    <w:p>
      <w:pPr>
        <w:ind w:left="300"/>
        <w:spacing w:after="0"/>
        <w:rPr>
          <w:sz w:val="20"/>
          <w:szCs w:val="20"/>
          <w:color w:val="auto"/>
        </w:rPr>
      </w:pPr>
      <w:r>
        <w:rPr>
          <w:rFonts w:ascii="Courier New" w:cs="Courier New" w:eastAsia="Courier New" w:hAnsi="Courier New"/>
          <w:sz w:val="16"/>
          <w:szCs w:val="16"/>
          <w:color w:val="auto"/>
        </w:rPr>
        <w:t>53</w:t>
      </w:r>
    </w:p>
    <w:p>
      <w:pPr>
        <w:spacing w:after="0" w:line="378" w:lineRule="exact"/>
        <w:rPr>
          <w:sz w:val="20"/>
          <w:szCs w:val="20"/>
          <w:color w:val="auto"/>
        </w:rPr>
      </w:pPr>
    </w:p>
    <w:p>
      <w:pPr>
        <w:ind w:right="2659"/>
        <w:spacing w:after="0" w:line="307" w:lineRule="auto"/>
        <w:rPr>
          <w:sz w:val="20"/>
          <w:szCs w:val="20"/>
          <w:color w:val="auto"/>
        </w:rPr>
      </w:pPr>
      <w:r>
        <w:rPr>
          <w:rFonts w:ascii="Courier New" w:cs="Courier New" w:eastAsia="Courier New" w:hAnsi="Courier New"/>
          <w:sz w:val="16"/>
          <w:szCs w:val="16"/>
          <w:color w:val="auto"/>
        </w:rPr>
        <w:t>any applicable deductible or co-payment requirements under any of Parent's benefit plans or employee arrangements that such Continuing U.S. Employees are eligible to participate in after the Effective Time.</w:t>
      </w:r>
    </w:p>
    <w:p>
      <w:pPr>
        <w:spacing w:after="0" w:line="50" w:lineRule="exact"/>
        <w:rPr>
          <w:sz w:val="20"/>
          <w:szCs w:val="20"/>
          <w:color w:val="auto"/>
        </w:rPr>
      </w:pPr>
    </w:p>
    <w:p>
      <w:pPr>
        <w:ind w:right="2459" w:firstLine="872"/>
        <w:spacing w:after="0" w:line="276" w:lineRule="auto"/>
        <w:rPr>
          <w:sz w:val="20"/>
          <w:szCs w:val="20"/>
          <w:color w:val="auto"/>
        </w:rPr>
      </w:pPr>
      <w:r>
        <w:rPr>
          <w:rFonts w:ascii="Courier New" w:cs="Courier New" w:eastAsia="Courier New" w:hAnsi="Courier New"/>
          <w:sz w:val="16"/>
          <w:szCs w:val="16"/>
          <w:color w:val="auto"/>
        </w:rPr>
        <w:t>SECTION 7.8 SEC Filings. Each of Parent and the Company shall promptly provide the other party (or its counsel) with copies of all filings made by the other party or any of its subsidiaries with the SEC or any other state, federal, or foreign Governmental Entity in connection with this Agreement and the transactions contemplated hereby.</w:t>
      </w:r>
    </w:p>
    <w:p>
      <w:pPr>
        <w:spacing w:after="0" w:line="76" w:lineRule="exact"/>
        <w:rPr>
          <w:sz w:val="20"/>
          <w:szCs w:val="20"/>
          <w:color w:val="auto"/>
        </w:rPr>
      </w:pPr>
    </w:p>
    <w:p>
      <w:pPr>
        <w:ind w:right="2459" w:firstLine="872"/>
        <w:spacing w:after="0" w:line="287" w:lineRule="auto"/>
        <w:rPr>
          <w:sz w:val="20"/>
          <w:szCs w:val="20"/>
          <w:color w:val="auto"/>
        </w:rPr>
      </w:pPr>
      <w:r>
        <w:rPr>
          <w:rFonts w:ascii="Courier New" w:cs="Courier New" w:eastAsia="Courier New" w:hAnsi="Courier New"/>
          <w:sz w:val="16"/>
          <w:szCs w:val="16"/>
          <w:color w:val="auto"/>
        </w:rPr>
        <w:t>SECTION 7.9 Obligations of MergerSub. Parent will take all action necessary to cause MergerSub to perform its obligations under this Agreement and to consummate the Merger on the terms and conditions set forth in this Agreement.</w:t>
      </w:r>
    </w:p>
    <w:p>
      <w:pPr>
        <w:spacing w:after="0" w:line="65" w:lineRule="exact"/>
        <w:rPr>
          <w:sz w:val="20"/>
          <w:szCs w:val="20"/>
          <w:color w:val="auto"/>
        </w:rPr>
      </w:pPr>
    </w:p>
    <w:p>
      <w:pPr>
        <w:ind w:right="2459" w:firstLine="872"/>
        <w:spacing w:after="0" w:line="270" w:lineRule="auto"/>
        <w:rPr>
          <w:sz w:val="20"/>
          <w:szCs w:val="20"/>
          <w:color w:val="auto"/>
        </w:rPr>
      </w:pPr>
      <w:r>
        <w:rPr>
          <w:rFonts w:ascii="Courier New" w:cs="Courier New" w:eastAsia="Courier New" w:hAnsi="Courier New"/>
          <w:sz w:val="16"/>
          <w:szCs w:val="16"/>
          <w:color w:val="auto"/>
        </w:rPr>
        <w:t>SECTION 7.10 Anti-Takeover Statutes. If any Takeover Statute is or may become applicable to the Merger, each of Parent and Company shall take such actions as are necessary so that the transactions contemplated by this Agreement may be consummated as promptly as practicable on the terms contemplated hereby and otherwise act to eliminate or minimize the effects of any Takeover Statute on the Merger.</w:t>
      </w:r>
    </w:p>
    <w:p>
      <w:pPr>
        <w:spacing w:after="0" w:line="81" w:lineRule="exact"/>
        <w:rPr>
          <w:sz w:val="20"/>
          <w:szCs w:val="20"/>
          <w:color w:val="auto"/>
        </w:rPr>
      </w:pPr>
    </w:p>
    <w:p>
      <w:pPr>
        <w:ind w:right="2459" w:firstLine="872"/>
        <w:spacing w:after="0" w:line="276" w:lineRule="auto"/>
        <w:rPr>
          <w:sz w:val="20"/>
          <w:szCs w:val="20"/>
          <w:color w:val="auto"/>
        </w:rPr>
      </w:pPr>
      <w:r>
        <w:rPr>
          <w:rFonts w:ascii="Courier New" w:cs="Courier New" w:eastAsia="Courier New" w:hAnsi="Courier New"/>
          <w:sz w:val="16"/>
          <w:szCs w:val="16"/>
          <w:color w:val="auto"/>
        </w:rPr>
        <w:t>SECTION 7.11 Non-Solicitation and Non-Competition Agreements. As soon as practicable following the execution of this Agreement, the Company will enter into Non-Solicitation and Non-Competition Agreements in substantially the form attached hereto as ANNEX C with the Company stockholders identified in Section 7.11 of the Company Disclosure Schedule.</w:t>
      </w:r>
    </w:p>
    <w:p>
      <w:pPr>
        <w:spacing w:after="0" w:line="76"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ARTICLE VIII</w:t>
      </w:r>
    </w:p>
    <w:p>
      <w:pPr>
        <w:spacing w:after="0" w:line="3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CONDITIONS TO CONSUMMATION OF THE MERGER</w:t>
      </w:r>
    </w:p>
    <w:p>
      <w:pPr>
        <w:spacing w:after="0" w:line="161" w:lineRule="exact"/>
        <w:rPr>
          <w:sz w:val="20"/>
          <w:szCs w:val="20"/>
          <w:color w:val="auto"/>
        </w:rPr>
      </w:pPr>
    </w:p>
    <w:p>
      <w:pPr>
        <w:ind w:right="2459" w:firstLine="872"/>
        <w:spacing w:after="0" w:line="270" w:lineRule="auto"/>
        <w:rPr>
          <w:sz w:val="20"/>
          <w:szCs w:val="20"/>
          <w:color w:val="auto"/>
        </w:rPr>
      </w:pPr>
      <w:r>
        <w:rPr>
          <w:rFonts w:ascii="Courier New" w:cs="Courier New" w:eastAsia="Courier New" w:hAnsi="Courier New"/>
          <w:sz w:val="16"/>
          <w:szCs w:val="16"/>
          <w:color w:val="auto"/>
        </w:rPr>
        <w:t>SECTION 8.1 Conditions to Each Party's Obligations to Effect the Merger. The respective obligations of each party to consummate the transactions contemplated by this Agreement are subject to the fulfillment at or prior to the Effective Time of each of the following conditions, any or all of which may be waived in whole or in part by the party being benefited thereby, to the extent permitted by applicable Law:</w:t>
      </w:r>
    </w:p>
    <w:p>
      <w:pPr>
        <w:spacing w:after="0" w:line="81" w:lineRule="exact"/>
        <w:rPr>
          <w:sz w:val="20"/>
          <w:szCs w:val="20"/>
          <w:color w:val="auto"/>
        </w:rPr>
      </w:pPr>
    </w:p>
    <w:p>
      <w:pPr>
        <w:ind w:right="2559" w:firstLine="871"/>
        <w:spacing w:after="0" w:line="367" w:lineRule="auto"/>
        <w:tabs>
          <w:tab w:leader="none" w:pos="126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have been approved and adopted by the Company Requisite Vote, if required by applicable Law.</w:t>
      </w:r>
    </w:p>
    <w:p>
      <w:pPr>
        <w:spacing w:after="0" w:line="4" w:lineRule="exact"/>
        <w:rPr>
          <w:rFonts w:ascii="Courier New" w:cs="Courier New" w:eastAsia="Courier New" w:hAnsi="Courier New"/>
          <w:sz w:val="16"/>
          <w:szCs w:val="16"/>
          <w:color w:val="auto"/>
        </w:rPr>
      </w:pPr>
    </w:p>
    <w:p>
      <w:pPr>
        <w:ind w:right="2459" w:firstLine="871"/>
        <w:spacing w:after="0" w:line="307" w:lineRule="auto"/>
        <w:tabs>
          <w:tab w:leader="none" w:pos="126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waiting periods applicable to the Merger under the HSR Act and the German Cartel Act shall have expired or early termination thereof shall have been granted without limitation, restriction, or condition.</w:t>
      </w:r>
    </w:p>
    <w:p>
      <w:pPr>
        <w:spacing w:after="0" w:line="49" w:lineRule="exact"/>
        <w:rPr>
          <w:rFonts w:ascii="Courier New" w:cs="Courier New" w:eastAsia="Courier New" w:hAnsi="Courier New"/>
          <w:sz w:val="16"/>
          <w:szCs w:val="16"/>
          <w:color w:val="auto"/>
        </w:rPr>
      </w:pPr>
    </w:p>
    <w:p>
      <w:pPr>
        <w:ind w:right="2459" w:firstLine="871"/>
        <w:spacing w:after="0" w:line="266" w:lineRule="auto"/>
        <w:tabs>
          <w:tab w:leader="none" w:pos="126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not be in effect any Law of any Governmental Entity of competent jurisdiction, restraining, enjoining, or otherwise preventing consummation of the transactions contemplated by this Agreement or permitting such consummation only subject to any condition or restriction that has or would reasonably be expected to have, individually or in the aggregate, a Material Adverse Effect on the Company (or an effect on Parent and its subsidiaries that, were</w:t>
      </w:r>
    </w:p>
    <w:p>
      <w:pPr>
        <w:spacing w:after="0" w:line="27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273" w:right="1440" w:bottom="1440" w:gutter="0" w:footer="0" w:header="0"/>
        </w:sectPr>
      </w:pPr>
    </w:p>
    <w:bookmarkStart w:id="129" w:name="page130"/>
    <w:bookmarkEnd w:id="129"/>
    <w:p>
      <w:pPr>
        <w:ind w:left="300"/>
        <w:spacing w:after="0"/>
        <w:rPr>
          <w:sz w:val="20"/>
          <w:szCs w:val="20"/>
          <w:color w:val="auto"/>
        </w:rPr>
      </w:pPr>
      <w:r>
        <w:rPr>
          <w:rFonts w:ascii="Courier New" w:cs="Courier New" w:eastAsia="Courier New" w:hAnsi="Courier New"/>
          <w:sz w:val="16"/>
          <w:szCs w:val="16"/>
          <w:color w:val="auto"/>
        </w:rPr>
        <w:t>54</w:t>
      </w:r>
    </w:p>
    <w:p>
      <w:pPr>
        <w:spacing w:after="0" w:line="378" w:lineRule="exact"/>
        <w:rPr>
          <w:sz w:val="20"/>
          <w:szCs w:val="20"/>
          <w:color w:val="auto"/>
        </w:rPr>
      </w:pPr>
    </w:p>
    <w:p>
      <w:pPr>
        <w:ind w:right="2459"/>
        <w:spacing w:after="0" w:line="287" w:lineRule="auto"/>
        <w:rPr>
          <w:sz w:val="20"/>
          <w:szCs w:val="20"/>
          <w:color w:val="auto"/>
        </w:rPr>
      </w:pPr>
      <w:r>
        <w:rPr>
          <w:rFonts w:ascii="Courier New" w:cs="Courier New" w:eastAsia="Courier New" w:hAnsi="Courier New"/>
          <w:sz w:val="16"/>
          <w:szCs w:val="16"/>
          <w:color w:val="auto"/>
        </w:rPr>
        <w:t>such effect applied to the Company and its subsidiaries, has or would reasonably be expected to have, individually or in the aggregate, a Material Adverse Effect on the Company) and no Governmental Entity shall have instituted any proceeding which continues to be pending seeking any such Law.</w:t>
      </w:r>
    </w:p>
    <w:p>
      <w:pPr>
        <w:spacing w:after="0" w:line="65" w:lineRule="exact"/>
        <w:rPr>
          <w:sz w:val="20"/>
          <w:szCs w:val="20"/>
          <w:color w:val="auto"/>
        </w:rPr>
      </w:pPr>
    </w:p>
    <w:p>
      <w:pPr>
        <w:ind w:right="2459" w:firstLine="871"/>
        <w:spacing w:after="0" w:line="367" w:lineRule="auto"/>
        <w:tabs>
          <w:tab w:leader="none" w:pos="126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MergerSub or its affiliates shall have purchased all Shares validly tendered and not withdrawn pursuant to the Offer.</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ARTICLE IX</w:t>
      </w:r>
    </w:p>
    <w:p>
      <w:pPr>
        <w:spacing w:after="0" w:line="3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TERMINATION; AMENDMENT; WAIVER</w:t>
      </w:r>
    </w:p>
    <w:p>
      <w:pPr>
        <w:spacing w:after="0" w:line="161" w:lineRule="exact"/>
        <w:rPr>
          <w:sz w:val="20"/>
          <w:szCs w:val="20"/>
          <w:color w:val="auto"/>
        </w:rPr>
      </w:pPr>
    </w:p>
    <w:p>
      <w:pPr>
        <w:ind w:right="2659" w:firstLine="872"/>
        <w:spacing w:after="0" w:line="287" w:lineRule="auto"/>
        <w:rPr>
          <w:sz w:val="20"/>
          <w:szCs w:val="20"/>
          <w:color w:val="auto"/>
        </w:rPr>
      </w:pPr>
      <w:r>
        <w:rPr>
          <w:rFonts w:ascii="Courier New" w:cs="Courier New" w:eastAsia="Courier New" w:hAnsi="Courier New"/>
          <w:sz w:val="16"/>
          <w:szCs w:val="16"/>
          <w:color w:val="auto"/>
        </w:rPr>
        <w:t>SECTION 9.1 Termination. This Agreement may be terminated and the Merger contemplated herein may be abandoned at any time prior to the Effective Time, whether before or after approval of matters presented in connection with the Merger by the stockholders of the Company:</w:t>
      </w:r>
    </w:p>
    <w:p>
      <w:pPr>
        <w:spacing w:after="0" w:line="65" w:lineRule="exact"/>
        <w:rPr>
          <w:sz w:val="20"/>
          <w:szCs w:val="20"/>
          <w:color w:val="auto"/>
        </w:rPr>
      </w:pPr>
    </w:p>
    <w:p>
      <w:pPr>
        <w:ind w:right="2559" w:firstLine="871"/>
        <w:spacing w:after="0" w:line="287" w:lineRule="auto"/>
        <w:tabs>
          <w:tab w:leader="none" w:pos="126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mutual written consent of Parent and the Company; provided, however, that if Parent shall have a majority of the directors pursuant to Section 1.4, such consent of the Company may only be given if approved by the Continuing Directors.</w:t>
      </w:r>
    </w:p>
    <w:p>
      <w:pPr>
        <w:spacing w:after="0" w:line="64" w:lineRule="exact"/>
        <w:rPr>
          <w:rFonts w:ascii="Courier New" w:cs="Courier New" w:eastAsia="Courier New" w:hAnsi="Courier New"/>
          <w:sz w:val="16"/>
          <w:szCs w:val="16"/>
          <w:color w:val="auto"/>
        </w:rPr>
      </w:pPr>
    </w:p>
    <w:p>
      <w:pPr>
        <w:ind w:right="2459" w:firstLine="871"/>
        <w:spacing w:after="0" w:line="261" w:lineRule="auto"/>
        <w:tabs>
          <w:tab w:leader="none" w:pos="126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either of Parent or the Company if (i) a statute, rule, or executive order shall have been enacted, entered, or promulgated prohibiting the Transactions on the terms contemplated by this Agreement, or (ii) any Governmental Entity shall have issued an order, decree, or ruling or taken any other action (which order, decree, ruling, or other action the parties hereto shall use their reasonable efforts to lift), in each case permanently restraining, enjoining, or otherwise prohibiting the Transactions and such order, decree, ruling, or other action shall have become final and non-appealable.</w:t>
      </w:r>
    </w:p>
    <w:p>
      <w:pPr>
        <w:spacing w:after="0" w:line="89" w:lineRule="exact"/>
        <w:rPr>
          <w:rFonts w:ascii="Courier New" w:cs="Courier New" w:eastAsia="Courier New" w:hAnsi="Courier New"/>
          <w:sz w:val="16"/>
          <w:szCs w:val="16"/>
          <w:color w:val="auto"/>
        </w:rPr>
      </w:pPr>
    </w:p>
    <w:p>
      <w:pPr>
        <w:ind w:right="2459" w:firstLine="871"/>
        <w:spacing w:after="0" w:line="261" w:lineRule="auto"/>
        <w:tabs>
          <w:tab w:leader="none" w:pos="126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either of Parent or the Company if the Offer has not been consummated by October 31, 1999 (except MergerSub may extend the expiration date of the Offer through December 31, 1999 as required to comply with any rule, regulation, or interpretation of the SEC) or the Effective Time shall not have occurred on or before October 31, 1999; provided, however, that the party seeking to terminate this Agreement pursuant to this Section 9.1(c) shall not have breached in any material respect its obligations under this Agreement in any manner that shall have proximately contributed to the failure to consummate the Merger on or before such date.</w:t>
      </w:r>
    </w:p>
    <w:p>
      <w:pPr>
        <w:spacing w:after="0" w:line="89" w:lineRule="exact"/>
        <w:rPr>
          <w:rFonts w:ascii="Courier New" w:cs="Courier New" w:eastAsia="Courier New" w:hAnsi="Courier New"/>
          <w:sz w:val="16"/>
          <w:szCs w:val="16"/>
          <w:color w:val="auto"/>
        </w:rPr>
      </w:pPr>
    </w:p>
    <w:p>
      <w:pPr>
        <w:ind w:left="1260" w:hanging="389"/>
        <w:spacing w:after="0"/>
        <w:tabs>
          <w:tab w:leader="none" w:pos="126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Company:</w:t>
      </w:r>
    </w:p>
    <w:p>
      <w:pPr>
        <w:spacing w:after="0" w:line="191" w:lineRule="exact"/>
        <w:rPr>
          <w:rFonts w:ascii="Courier New" w:cs="Courier New" w:eastAsia="Courier New" w:hAnsi="Courier New"/>
          <w:sz w:val="16"/>
          <w:szCs w:val="16"/>
          <w:color w:val="auto"/>
        </w:rPr>
      </w:pPr>
    </w:p>
    <w:p>
      <w:pPr>
        <w:ind w:left="880" w:right="2559" w:firstLine="573"/>
        <w:spacing w:after="0" w:line="266" w:lineRule="auto"/>
        <w:tabs>
          <w:tab w:leader="none" w:pos="2140" w:val="left"/>
        </w:tabs>
        <w:numPr>
          <w:ilvl w:val="1"/>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the Company is not in breach of Section 7.3, (B) the Merger shall not have been approved by the Company Requisite Vote,</w:t>
      </w:r>
    </w:p>
    <w:p>
      <w:pPr>
        <w:ind w:left="880" w:right="2459"/>
        <w:spacing w:after="0" w:line="25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 the Company Board authorizes the Company, subject to complying with the terms of this Agreement, to enter into a binding written agreement concerning a transaction that constitutes a Superior Proposal and the Company notifies Parent in writing that it intends to enter into such an agreement, attaching the most current version of such agreement to such notice, (D) during the five-day period after the Company's notice, the Company shall have negotiated with, and shall have caused its respective financial and legal advisors to</w:t>
      </w:r>
    </w:p>
    <w:p>
      <w:pPr>
        <w:spacing w:after="0" w:line="27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273" w:right="1440" w:bottom="1440" w:gutter="0" w:footer="0" w:header="0"/>
        </w:sectPr>
      </w:pPr>
    </w:p>
    <w:bookmarkStart w:id="130" w:name="page131"/>
    <w:bookmarkEnd w:id="130"/>
    <w:p>
      <w:pPr>
        <w:spacing w:after="0"/>
        <w:rPr>
          <w:sz w:val="20"/>
          <w:szCs w:val="20"/>
          <w:color w:val="auto"/>
        </w:rPr>
      </w:pPr>
      <w:r>
        <w:rPr>
          <w:rFonts w:ascii="Courier New" w:cs="Courier New" w:eastAsia="Courier New" w:hAnsi="Courier New"/>
          <w:sz w:val="16"/>
          <w:szCs w:val="16"/>
          <w:color w:val="auto"/>
        </w:rPr>
        <w:t>55</w:t>
      </w:r>
    </w:p>
    <w:p>
      <w:pPr>
        <w:spacing w:after="0" w:line="378" w:lineRule="exact"/>
        <w:rPr>
          <w:sz w:val="20"/>
          <w:szCs w:val="20"/>
          <w:color w:val="auto"/>
        </w:rPr>
      </w:pPr>
    </w:p>
    <w:p>
      <w:pPr>
        <w:ind w:left="580" w:right="2459"/>
        <w:spacing w:after="0" w:line="255" w:lineRule="auto"/>
        <w:rPr>
          <w:sz w:val="20"/>
          <w:szCs w:val="20"/>
          <w:color w:val="auto"/>
        </w:rPr>
      </w:pPr>
      <w:r>
        <w:rPr>
          <w:rFonts w:ascii="Courier New" w:cs="Courier New" w:eastAsia="Courier New" w:hAnsi="Courier New"/>
          <w:sz w:val="16"/>
          <w:szCs w:val="16"/>
          <w:color w:val="auto"/>
        </w:rPr>
        <w:t>negotiate with, Parent to attempt to make such commercially reasonable adjustments in the terms and conditions of this Agreement as would enable the Company to proceed with the transactions contemplated hereby and (E) the Company Board shall have concluded, after considering the results of such negotiations, that any Superior Proposal giving rise to the Company's notice continues to be a Superior Proposal. The Company may not effect such termination unless contemporaneously therewith the Company pays to Parent in immediately available funds the fees required to be paid pursuant to Section 9.3. The Company agrees (x) that it will not enter into a binding agreement referred to in clause (C) above until at least the sixth business day after it has provided the notice to Parent required thereby and (y) to notify Parent promptly if its intention to enter into a written agreement referred to in its notification shall change at any time after giving such notification, or;</w:t>
      </w:r>
    </w:p>
    <w:p>
      <w:pPr>
        <w:spacing w:after="0" w:line="93" w:lineRule="exact"/>
        <w:rPr>
          <w:sz w:val="20"/>
          <w:szCs w:val="20"/>
          <w:color w:val="auto"/>
        </w:rPr>
      </w:pPr>
    </w:p>
    <w:p>
      <w:pPr>
        <w:ind w:left="580" w:right="2559" w:firstLine="573"/>
        <w:spacing w:after="0" w:line="276" w:lineRule="auto"/>
        <w:tabs>
          <w:tab w:leader="none" w:pos="1840" w:val="left"/>
        </w:tabs>
        <w:numPr>
          <w:ilvl w:val="1"/>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Parent or MergerSub shall have terminated the Offer or the Offer expires without MergerSub purchasing any Shares pursuant thereto; provided, however, that the Company may not terminate this Agreement pursuant to this Section 9.1(d)(ii) if the Company is in material breach of this Agreement; or</w:t>
      </w:r>
    </w:p>
    <w:p>
      <w:pPr>
        <w:spacing w:after="0" w:line="75" w:lineRule="exact"/>
        <w:rPr>
          <w:rFonts w:ascii="Courier New" w:cs="Courier New" w:eastAsia="Courier New" w:hAnsi="Courier New"/>
          <w:sz w:val="16"/>
          <w:szCs w:val="16"/>
          <w:color w:val="auto"/>
        </w:rPr>
      </w:pPr>
    </w:p>
    <w:p>
      <w:pPr>
        <w:ind w:left="580" w:right="2759" w:firstLine="573"/>
        <w:spacing w:after="0" w:line="270" w:lineRule="auto"/>
        <w:tabs>
          <w:tab w:leader="none" w:pos="1840" w:val="left"/>
        </w:tabs>
        <w:numPr>
          <w:ilvl w:val="1"/>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Parent, MergerSub, or any of their affiliates shall have failed to commence the Offer on or prior to five business days following the date of the initial public announcement of the Offer; provided, however, that the Company may not terminate this Agreement pursuant to this Section 9.1(d)(iii) if the Company is in material breach of this Agreement; or</w:t>
      </w:r>
    </w:p>
    <w:p>
      <w:pPr>
        <w:spacing w:after="0" w:line="80" w:lineRule="exact"/>
        <w:rPr>
          <w:rFonts w:ascii="Courier New" w:cs="Courier New" w:eastAsia="Courier New" w:hAnsi="Courier New"/>
          <w:sz w:val="16"/>
          <w:szCs w:val="16"/>
          <w:color w:val="auto"/>
        </w:rPr>
      </w:pPr>
    </w:p>
    <w:p>
      <w:pPr>
        <w:ind w:left="580" w:right="2759" w:firstLine="573"/>
        <w:spacing w:after="0" w:line="307" w:lineRule="auto"/>
        <w:tabs>
          <w:tab w:leader="none" w:pos="1840" w:val="left"/>
        </w:tabs>
        <w:numPr>
          <w:ilvl w:val="1"/>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there is a material breach by Parent or MergerSub of any of their representations, warranties, covenants, or agreements contained in this Agreement; or</w:t>
      </w:r>
    </w:p>
    <w:p>
      <w:pPr>
        <w:spacing w:after="0" w:line="49" w:lineRule="exact"/>
        <w:rPr>
          <w:rFonts w:ascii="Courier New" w:cs="Courier New" w:eastAsia="Courier New" w:hAnsi="Courier New"/>
          <w:sz w:val="16"/>
          <w:szCs w:val="16"/>
          <w:color w:val="auto"/>
        </w:rPr>
      </w:pPr>
    </w:p>
    <w:p>
      <w:pPr>
        <w:ind w:left="960" w:hanging="389"/>
        <w:spacing w:after="0"/>
        <w:tabs>
          <w:tab w:leader="none" w:pos="96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Parent or MergerSub:</w:t>
      </w:r>
    </w:p>
    <w:p>
      <w:pPr>
        <w:spacing w:after="0" w:line="191" w:lineRule="exact"/>
        <w:rPr>
          <w:rFonts w:ascii="Courier New" w:cs="Courier New" w:eastAsia="Courier New" w:hAnsi="Courier New"/>
          <w:sz w:val="16"/>
          <w:szCs w:val="16"/>
          <w:color w:val="auto"/>
        </w:rPr>
      </w:pPr>
    </w:p>
    <w:p>
      <w:pPr>
        <w:ind w:left="580" w:right="2459" w:firstLine="573"/>
        <w:spacing w:after="0" w:line="270" w:lineRule="auto"/>
        <w:tabs>
          <w:tab w:leader="none" w:pos="1840" w:val="left"/>
        </w:tabs>
        <w:numPr>
          <w:ilvl w:val="1"/>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prior to the purchase of the Shares pursuant to the Offer, (A) the Company Board shall have withdrawn, modified, or changed in a manner adverse to Parent or MergerSub its approval or recommendation of the Offer, this Agreement, or the Merger or shall have recommended or approved an Acquisition Proposal, or (B) the Company shall have materially breached any provision of Section 7.3; or</w:t>
      </w:r>
    </w:p>
    <w:p>
      <w:pPr>
        <w:spacing w:after="0" w:line="80" w:lineRule="exact"/>
        <w:rPr>
          <w:rFonts w:ascii="Courier New" w:cs="Courier New" w:eastAsia="Courier New" w:hAnsi="Courier New"/>
          <w:sz w:val="16"/>
          <w:szCs w:val="16"/>
          <w:color w:val="auto"/>
        </w:rPr>
      </w:pPr>
    </w:p>
    <w:p>
      <w:pPr>
        <w:ind w:left="580" w:right="2459" w:firstLine="573"/>
        <w:spacing w:after="0" w:line="270" w:lineRule="auto"/>
        <w:tabs>
          <w:tab w:leader="none" w:pos="1840" w:val="left"/>
        </w:tabs>
        <w:numPr>
          <w:ilvl w:val="1"/>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Parent or MergerSub shall have terminated the Offer without Parent or MergerSub purchasing any Shares thereunder in accordance with the provisions of ANNEX A; provided, however, that Parent or MergerSub may not terminate this Agreement pursuant to this Section 9.1(e)(ii) if Parent or MergerSub is in material breach of this Agreement; or</w:t>
      </w:r>
    </w:p>
    <w:p>
      <w:pPr>
        <w:spacing w:after="0" w:line="80" w:lineRule="exact"/>
        <w:rPr>
          <w:rFonts w:ascii="Courier New" w:cs="Courier New" w:eastAsia="Courier New" w:hAnsi="Courier New"/>
          <w:sz w:val="16"/>
          <w:szCs w:val="16"/>
          <w:color w:val="auto"/>
        </w:rPr>
      </w:pPr>
    </w:p>
    <w:p>
      <w:pPr>
        <w:ind w:left="580" w:right="2459" w:firstLine="573"/>
        <w:spacing w:after="0" w:line="276" w:lineRule="auto"/>
        <w:tabs>
          <w:tab w:leader="none" w:pos="1937" w:val="left"/>
        </w:tabs>
        <w:numPr>
          <w:ilvl w:val="1"/>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receives an Acquisition Proposal from any person (other than Parent or MergerSub), and the Company Board takes a neutral position or makes no recommendation in respect of such Acquisition Proposal after a reasonable amount of time (and in no event more than five business days following such receipt) has elapsed</w:t>
      </w:r>
    </w:p>
    <w:p>
      <w:pPr>
        <w:spacing w:after="0" w:line="262"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9919"/>
          </w:cols>
          <w:pgMar w:left="540" w:top="273" w:right="1440" w:bottom="1440" w:gutter="0" w:footer="0" w:header="0"/>
        </w:sectPr>
      </w:pPr>
    </w:p>
    <w:bookmarkStart w:id="131" w:name="page132"/>
    <w:bookmarkEnd w:id="131"/>
    <w:p>
      <w:pPr>
        <w:ind w:left="300"/>
        <w:spacing w:after="0"/>
        <w:rPr>
          <w:sz w:val="20"/>
          <w:szCs w:val="20"/>
          <w:color w:val="auto"/>
        </w:rPr>
      </w:pPr>
      <w:r>
        <w:rPr>
          <w:rFonts w:ascii="Courier New" w:cs="Courier New" w:eastAsia="Courier New" w:hAnsi="Courier New"/>
          <w:sz w:val="16"/>
          <w:szCs w:val="16"/>
          <w:color w:val="auto"/>
        </w:rPr>
        <w:t>56</w:t>
      </w:r>
    </w:p>
    <w:p>
      <w:pPr>
        <w:spacing w:after="0" w:line="378" w:lineRule="exact"/>
        <w:rPr>
          <w:sz w:val="20"/>
          <w:szCs w:val="20"/>
          <w:color w:val="auto"/>
        </w:rPr>
      </w:pPr>
    </w:p>
    <w:p>
      <w:pPr>
        <w:ind w:left="880" w:right="2459"/>
        <w:spacing w:after="0" w:line="367" w:lineRule="auto"/>
        <w:rPr>
          <w:sz w:val="20"/>
          <w:szCs w:val="20"/>
          <w:color w:val="auto"/>
        </w:rPr>
      </w:pPr>
      <w:r>
        <w:rPr>
          <w:rFonts w:ascii="Courier New" w:cs="Courier New" w:eastAsia="Courier New" w:hAnsi="Courier New"/>
          <w:sz w:val="16"/>
          <w:szCs w:val="16"/>
          <w:color w:val="auto"/>
        </w:rPr>
        <w:t>for the Company Board to review and make a recommendation in respect of such Acquisition Proposal; or</w:t>
      </w:r>
    </w:p>
    <w:p>
      <w:pPr>
        <w:spacing w:after="0" w:line="5" w:lineRule="exact"/>
        <w:rPr>
          <w:sz w:val="20"/>
          <w:szCs w:val="20"/>
          <w:color w:val="auto"/>
        </w:rPr>
      </w:pPr>
    </w:p>
    <w:p>
      <w:pPr>
        <w:ind w:left="880" w:right="2459" w:firstLine="573"/>
        <w:spacing w:after="0" w:line="270" w:lineRule="auto"/>
        <w:tabs>
          <w:tab w:leader="none" w:pos="214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there is a breach by the Company of any of its representations, warranties, covenants, or agreements contained in this Agreement which breach is not curable or, if curable, is not cured within ten calendar days after written notice of such breach is given by Parent to the Company and which is reasonably likely to have a Material Adverse Effect on the Company; or</w:t>
      </w:r>
    </w:p>
    <w:p>
      <w:pPr>
        <w:spacing w:after="0" w:line="80" w:lineRule="exact"/>
        <w:rPr>
          <w:rFonts w:ascii="Courier New" w:cs="Courier New" w:eastAsia="Courier New" w:hAnsi="Courier New"/>
          <w:sz w:val="16"/>
          <w:szCs w:val="16"/>
          <w:color w:val="auto"/>
        </w:rPr>
      </w:pPr>
    </w:p>
    <w:p>
      <w:pPr>
        <w:ind w:left="880" w:right="2559" w:firstLine="573"/>
        <w:spacing w:after="0" w:line="287" w:lineRule="auto"/>
        <w:tabs>
          <w:tab w:leader="none" w:pos="214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audited financial statements of the Company delivered to Parent pursuant to Section 6.2(b)(iii) shall differ materially from the unaudited financial statements attached to Section 4.4(c) of the Company Disclosure Schedule.</w:t>
      </w:r>
    </w:p>
    <w:p>
      <w:pPr>
        <w:spacing w:after="0" w:line="65" w:lineRule="exact"/>
        <w:rPr>
          <w:sz w:val="20"/>
          <w:szCs w:val="20"/>
          <w:color w:val="auto"/>
        </w:rPr>
      </w:pPr>
    </w:p>
    <w:p>
      <w:pPr>
        <w:ind w:right="2559" w:firstLine="872"/>
        <w:spacing w:after="0" w:line="264" w:lineRule="auto"/>
        <w:rPr>
          <w:sz w:val="20"/>
          <w:szCs w:val="20"/>
          <w:color w:val="auto"/>
        </w:rPr>
      </w:pPr>
      <w:r>
        <w:rPr>
          <w:rFonts w:ascii="Courier New" w:cs="Courier New" w:eastAsia="Courier New" w:hAnsi="Courier New"/>
          <w:sz w:val="16"/>
          <w:szCs w:val="16"/>
          <w:color w:val="auto"/>
        </w:rPr>
        <w:t>SECTION 9.2 Effect of the Termination. In the event of termination of this Agreement by either the Company or Parent or MergerSub as provided in Section 9.1, this Agreement shall forthwith become void and have no effect, without any liability or obligation on the part of Parent, MergerSub, or the Company, other than the provisions of Section 6.2(c), this Section 9.2, Section 9.3, and Article X and except to the extent that such termination results from the willful and material breach by a party of any of its representations, warranties, covenants, or agreements set forth in this Agreement.</w:t>
      </w:r>
    </w:p>
    <w:p>
      <w:pPr>
        <w:spacing w:after="0" w:line="82" w:lineRule="exact"/>
        <w:rPr>
          <w:sz w:val="20"/>
          <w:szCs w:val="20"/>
          <w:color w:val="auto"/>
        </w:rPr>
      </w:pPr>
    </w:p>
    <w:p>
      <w:pPr>
        <w:ind w:right="2459" w:firstLine="872"/>
        <w:spacing w:after="0" w:line="287" w:lineRule="auto"/>
        <w:rPr>
          <w:sz w:val="20"/>
          <w:szCs w:val="20"/>
          <w:color w:val="auto"/>
        </w:rPr>
      </w:pPr>
      <w:r>
        <w:rPr>
          <w:rFonts w:ascii="Courier New" w:cs="Courier New" w:eastAsia="Courier New" w:hAnsi="Courier New"/>
          <w:sz w:val="16"/>
          <w:szCs w:val="16"/>
          <w:color w:val="auto"/>
        </w:rPr>
        <w:t>SECTION 9.3 Fees and Expenses. (a) Except as provided below, all fees and expenses incurred in connection with the Offer, the Merger, this Agreement, and the Transactions shall be paid by the party incurring such fees or expenses, whether or not the Offer or the Merger is consummated.</w:t>
      </w:r>
    </w:p>
    <w:p>
      <w:pPr>
        <w:spacing w:after="0" w:line="65" w:lineRule="exact"/>
        <w:rPr>
          <w:sz w:val="20"/>
          <w:szCs w:val="20"/>
          <w:color w:val="auto"/>
        </w:rPr>
      </w:pPr>
    </w:p>
    <w:p>
      <w:pPr>
        <w:ind w:right="2459" w:firstLine="871"/>
        <w:spacing w:after="0" w:line="252" w:lineRule="auto"/>
        <w:tabs>
          <w:tab w:leader="none" w:pos="126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(x) Parent or MergerSub terminates this Agreement pursuant to Section 9.1(e)(i) or 9.1(e)(iii) or (y) the Company terminates this Agreement pursuant to Section 9.1(d)(i), then in each case, the Company shall pay, or cause to be paid to Parent, or MergerSub, at the time of termination, an amount equal to $2,000,000 (the "TERMINATION FEE") plus an amount equal to Parent's and MergerSub's actual and reasonably documented out-of-pocket expenses incurred by Parent or MergerSub in connection with the Offer, the Merger, this Agreement, and the consummation of the Transactions, up to an aggregate of $500,000 (the "EXPENSES"). In addition, if this Agreement is terminated by Parent or MergerSub pursuant to Section 9.1(e)(ii), 9.1(e)(iv) (other than by reason of a breach of Section 7.3), or 9.1(e)(v) or, prior to consummation of the Offer, by reason of a breach of the conditions set forth in paragraph (c) of ANNEX A, or by the Company pursuant to Section 9.1(d)(ii) and at the time of such termination, neither Parent nor MergerSub is in material breach of this Agreement, then the Company shall pay to Parent, at the time of termination, the Expenses, and, if the Company shall thereafter, within 12 months after such termination, announce its intention to enter into an agreement in respect of an Acquisition Proposal and the Company subsequently consummates the transaction(s) contemplated by such agreement, then the Company shall pay the Termination Fee concurrently with such consummation. Any payments required to be made pursuant to this Section 9.3 shall be made by wire transfer of same day funds to an account designated by Parent.</w:t>
      </w:r>
    </w:p>
    <w:p>
      <w:pPr>
        <w:spacing w:after="0" w:line="2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273" w:right="1440" w:bottom="1440" w:gutter="0" w:footer="0" w:header="0"/>
        </w:sectPr>
      </w:pPr>
    </w:p>
    <w:bookmarkStart w:id="132" w:name="page133"/>
    <w:bookmarkEnd w:id="132"/>
    <w:p>
      <w:pPr>
        <w:ind w:left="300"/>
        <w:spacing w:after="0"/>
        <w:rPr>
          <w:sz w:val="20"/>
          <w:szCs w:val="20"/>
          <w:color w:val="auto"/>
        </w:rPr>
      </w:pPr>
      <w:r>
        <w:rPr>
          <w:rFonts w:ascii="Courier New" w:cs="Courier New" w:eastAsia="Courier New" w:hAnsi="Courier New"/>
          <w:sz w:val="16"/>
          <w:szCs w:val="16"/>
          <w:color w:val="auto"/>
        </w:rPr>
        <w:t>57</w:t>
      </w:r>
    </w:p>
    <w:p>
      <w:pPr>
        <w:spacing w:after="0" w:line="378" w:lineRule="exact"/>
        <w:rPr>
          <w:sz w:val="20"/>
          <w:szCs w:val="20"/>
          <w:color w:val="auto"/>
        </w:rPr>
      </w:pPr>
    </w:p>
    <w:p>
      <w:pPr>
        <w:ind w:right="2459" w:firstLine="871"/>
        <w:spacing w:after="0" w:line="264" w:lineRule="auto"/>
        <w:tabs>
          <w:tab w:leader="none" w:pos="126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pay all Taxes, such as (i) transfer, stamp, and documentary Taxes or fees and (b) sales, use, gains, real property transfer, and other or similar Taxes or fees, incident to preparing for, entering into, and carrying out this Agreement and the consummation of the transactions contemplated hereby. Expenses incurred in connection with the filing, printing, and mailing of the Offer Documents, Proxy Statement and the filing fees associated with the HSR Act, the German Cartel Act, and any similar filings with Governmental Entities shall be shared equally by the Company and Parent.</w:t>
      </w:r>
    </w:p>
    <w:p>
      <w:pPr>
        <w:spacing w:after="0" w:line="82" w:lineRule="exact"/>
        <w:rPr>
          <w:rFonts w:ascii="Courier New" w:cs="Courier New" w:eastAsia="Courier New" w:hAnsi="Courier New"/>
          <w:sz w:val="16"/>
          <w:szCs w:val="16"/>
          <w:color w:val="auto"/>
        </w:rPr>
      </w:pPr>
    </w:p>
    <w:p>
      <w:pPr>
        <w:ind w:right="2459" w:firstLine="871"/>
        <w:spacing w:after="0" w:line="258" w:lineRule="auto"/>
        <w:tabs>
          <w:tab w:leader="none" w:pos="126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acknowledges that the agreements contained in Section 9.1(b) are an integral part of the transactions contemplated by this Agreement, and that, without these agreements, the Company, Parent, and MergerSub would not have entered into this Agreement; accordingly, if the Company fails to promptly pay the amount due pursuant to Section 9.3(b), and, in order to obtain such payment, Parent commences a suit which results in a judgment against the Company for the fee set forth in this Section 9.3, the Company shall pay to Parent its costs and expenses (including attorneys' fees) in connection with such suit, together with interest from the date of termination of this Agreement on the amounts owed at the prime rate of Bank of America, N.A. in effect from time to time during such period plus two percent.</w:t>
      </w:r>
    </w:p>
    <w:p>
      <w:pPr>
        <w:spacing w:after="0" w:line="93" w:lineRule="exact"/>
        <w:rPr>
          <w:sz w:val="20"/>
          <w:szCs w:val="20"/>
          <w:color w:val="auto"/>
        </w:rPr>
      </w:pPr>
    </w:p>
    <w:p>
      <w:pPr>
        <w:ind w:right="2459" w:firstLine="872"/>
        <w:spacing w:after="0" w:line="270" w:lineRule="auto"/>
        <w:rPr>
          <w:sz w:val="20"/>
          <w:szCs w:val="20"/>
          <w:color w:val="auto"/>
        </w:rPr>
      </w:pPr>
      <w:r>
        <w:rPr>
          <w:rFonts w:ascii="Courier New" w:cs="Courier New" w:eastAsia="Courier New" w:hAnsi="Courier New"/>
          <w:sz w:val="16"/>
          <w:szCs w:val="16"/>
          <w:color w:val="auto"/>
        </w:rPr>
        <w:t>SECTION 9.4 Amendment. This Agreement may be amended by action taken by the Company, Parent, and MergerSub at any time before or after approval of the Merger by the Company Requisite Vote but, after any such approval, no amendment shall be made which requires the approval of such stockholders under applicable Law without such approval. This Agreement may not be amended except by an instrument in writing signed on behalf of the parties hereto.</w:t>
      </w:r>
    </w:p>
    <w:p>
      <w:pPr>
        <w:spacing w:after="0" w:line="81" w:lineRule="exact"/>
        <w:rPr>
          <w:sz w:val="20"/>
          <w:szCs w:val="20"/>
          <w:color w:val="auto"/>
        </w:rPr>
      </w:pPr>
    </w:p>
    <w:p>
      <w:pPr>
        <w:ind w:right="2459" w:firstLine="872"/>
        <w:spacing w:after="0" w:line="257" w:lineRule="auto"/>
        <w:rPr>
          <w:sz w:val="20"/>
          <w:szCs w:val="20"/>
          <w:color w:val="auto"/>
        </w:rPr>
      </w:pPr>
      <w:r>
        <w:rPr>
          <w:rFonts w:ascii="Courier New" w:cs="Courier New" w:eastAsia="Courier New" w:hAnsi="Courier New"/>
          <w:sz w:val="16"/>
          <w:szCs w:val="16"/>
          <w:color w:val="auto"/>
        </w:rPr>
        <w:t>SECTION 9.5 Extension; Waiver. At any time prior to the Effective Time, each party hereto (for these purposes, Parent and MergerSub shall together be deemed one party and the Company shall be deemed the other party) may (i) extend the time for the performance of any of the obligations or other acts of the other party, (ii) waive any inaccuracies in the representations and warranties of the other party contained herein or in any document, certificate, or writing delivered pursuant hereto, or (iii) waive compliance by the other party with any of the agreements or conditions contained herein. Any agreement on the part of either party hereto to any such extension or waiver shall be valid only if set forth in an instrument in writing signed on behalf of such party. The failure of any party hereto to assert any of its rights hereunder shall not constitute a waiver of such rights.</w:t>
      </w:r>
    </w:p>
    <w:p>
      <w:pPr>
        <w:spacing w:after="0" w:line="93"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ARTICLE X</w:t>
      </w:r>
    </w:p>
    <w:p>
      <w:pPr>
        <w:spacing w:after="0" w:line="3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MISCELLANEOUS</w:t>
      </w:r>
    </w:p>
    <w:p>
      <w:pPr>
        <w:spacing w:after="0" w:line="161" w:lineRule="exact"/>
        <w:rPr>
          <w:sz w:val="20"/>
          <w:szCs w:val="20"/>
          <w:color w:val="auto"/>
        </w:rPr>
      </w:pPr>
    </w:p>
    <w:p>
      <w:pPr>
        <w:ind w:right="2459" w:firstLine="872"/>
        <w:spacing w:after="0" w:line="264" w:lineRule="auto"/>
        <w:rPr>
          <w:sz w:val="20"/>
          <w:szCs w:val="20"/>
          <w:color w:val="auto"/>
        </w:rPr>
      </w:pPr>
      <w:r>
        <w:rPr>
          <w:rFonts w:ascii="Courier New" w:cs="Courier New" w:eastAsia="Courier New" w:hAnsi="Courier New"/>
          <w:sz w:val="16"/>
          <w:szCs w:val="16"/>
          <w:color w:val="auto"/>
        </w:rPr>
        <w:t>SECTION 10.1 Nonsurvival of Representations and Warranties. None of the representations, warranties, covenants, and agreements in this Agreement or in any exhibit, schedule, or instrument delivered pursuant to this Agreement shall survive beyond the Effective Time, except for those covenants and agreements contained herein and therein that by their terms apply or are to be performed in whole or in part after the Effective Time and this Article X. This Section 10.1 shall not limit any covenant or agreement of the parties which by its terms contemplates performance after the Effective Time.</w:t>
      </w:r>
    </w:p>
    <w:p>
      <w:pPr>
        <w:spacing w:after="0" w:line="26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273" w:right="1440" w:bottom="1440" w:gutter="0" w:footer="0" w:header="0"/>
        </w:sectPr>
      </w:pPr>
    </w:p>
    <w:bookmarkStart w:id="133" w:name="page134"/>
    <w:bookmarkEnd w:id="133"/>
    <w:p>
      <w:pPr>
        <w:ind w:left="300"/>
        <w:spacing w:after="0"/>
        <w:rPr>
          <w:sz w:val="20"/>
          <w:szCs w:val="20"/>
          <w:color w:val="auto"/>
        </w:rPr>
      </w:pPr>
      <w:r>
        <w:rPr>
          <w:rFonts w:ascii="Courier New" w:cs="Courier New" w:eastAsia="Courier New" w:hAnsi="Courier New"/>
          <w:sz w:val="16"/>
          <w:szCs w:val="16"/>
          <w:color w:val="auto"/>
        </w:rPr>
        <w:t>58</w:t>
      </w:r>
    </w:p>
    <w:p>
      <w:pPr>
        <w:spacing w:after="0" w:line="378" w:lineRule="exact"/>
        <w:rPr>
          <w:sz w:val="20"/>
          <w:szCs w:val="20"/>
          <w:color w:val="auto"/>
        </w:rPr>
      </w:pPr>
    </w:p>
    <w:p>
      <w:pPr>
        <w:ind w:right="2759" w:firstLine="872"/>
        <w:spacing w:after="0" w:line="276" w:lineRule="auto"/>
        <w:rPr>
          <w:sz w:val="20"/>
          <w:szCs w:val="20"/>
          <w:color w:val="auto"/>
        </w:rPr>
      </w:pPr>
      <w:r>
        <w:rPr>
          <w:rFonts w:ascii="Courier New" w:cs="Courier New" w:eastAsia="Courier New" w:hAnsi="Courier New"/>
          <w:sz w:val="16"/>
          <w:szCs w:val="16"/>
          <w:color w:val="auto"/>
        </w:rPr>
        <w:t>SECTION 10.2 Entire Agreement; Assignment. (a) This Agreement constitutes the entire agreement between the parties hereto in respect of the subject matter hereof and supersedes all other prior agreements and understandings, both written and oral, between the parties in respect of the subject matter hereof other than the Confidentiality Agreement.</w:t>
      </w:r>
    </w:p>
    <w:p>
      <w:pPr>
        <w:spacing w:after="0" w:line="76" w:lineRule="exact"/>
        <w:rPr>
          <w:sz w:val="20"/>
          <w:szCs w:val="20"/>
          <w:color w:val="auto"/>
        </w:rPr>
      </w:pPr>
    </w:p>
    <w:p>
      <w:pPr>
        <w:ind w:right="2559" w:firstLine="871"/>
        <w:spacing w:after="0" w:line="258" w:lineRule="auto"/>
        <w:tabs>
          <w:tab w:leader="none" w:pos="126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this Agreement nor any of the rights, interests, or obligations hereunder shall be assigned by operation of Law (including, by merger or consolidation) or otherwise; provided, however, that MergerSub may assign, in its sole discretion, any or all of its rights, interests, and obligations under this Agreement to any direct wholly owned subsidiary of Parent, but no such assignment shall relieve Parent or MergerSub of its obligations hereunder if such assignee does not perform such obligations. Any assignment in violation of the preceding sentence shall be void. Subject to the preceding sentence, this Agreement will be binding upon, inure to the benefit of, and be enforceable by, the parties and their respective successors and permitted assigns.</w:t>
      </w:r>
    </w:p>
    <w:p>
      <w:pPr>
        <w:spacing w:after="0" w:line="93" w:lineRule="exact"/>
        <w:rPr>
          <w:sz w:val="20"/>
          <w:szCs w:val="20"/>
          <w:color w:val="auto"/>
        </w:rPr>
      </w:pPr>
    </w:p>
    <w:p>
      <w:pPr>
        <w:ind w:right="2459" w:firstLine="872"/>
        <w:spacing w:after="0" w:line="261" w:lineRule="auto"/>
        <w:rPr>
          <w:sz w:val="20"/>
          <w:szCs w:val="20"/>
          <w:color w:val="auto"/>
        </w:rPr>
      </w:pPr>
      <w:r>
        <w:rPr>
          <w:rFonts w:ascii="Courier New" w:cs="Courier New" w:eastAsia="Courier New" w:hAnsi="Courier New"/>
          <w:sz w:val="16"/>
          <w:szCs w:val="16"/>
          <w:color w:val="auto"/>
        </w:rPr>
        <w:t>SECTION 10.3 Notices. All notices, requests, instructions, or other documents to be given under this Agreement shall be in writing and shall be deemed given, (i) five business days following sending by registered or certified mail, postage prepaid, (ii) when sent if sent by facsimile; provided, however, that the facsimile is promptly confirmed by telephone confirmation thereof, (iii) when delivered, if delivered personally to the intended recipient, and (iv) one business day following sending by overnight delivery via a national courier service, and in each case, addressed to a party at the following address for such party:</w:t>
      </w:r>
    </w:p>
    <w:p>
      <w:pPr>
        <w:spacing w:after="0" w:line="89" w:lineRule="exact"/>
        <w:rPr>
          <w:sz w:val="20"/>
          <w:szCs w:val="20"/>
          <w:color w:val="auto"/>
        </w:rPr>
      </w:pPr>
    </w:p>
    <w:tbl>
      <w:tblPr>
        <w:tblLayout w:type="fixed"/>
        <w:tblInd w:w="1460" w:type="dxa"/>
        <w:tblCellMar>
          <w:top w:w="0" w:type="dxa"/>
          <w:left w:w="0" w:type="dxa"/>
          <w:bottom w:w="0" w:type="dxa"/>
          <w:right w:w="0" w:type="dxa"/>
        </w:tblCellMar>
      </w:tblPr>
      <w:tr>
        <w:trPr>
          <w:trHeight w:val="186"/>
        </w:trPr>
        <w:tc>
          <w:tcPr>
            <w:tcW w:w="2180" w:type="dxa"/>
            <w:vAlign w:val="bottom"/>
          </w:tcPr>
          <w:p>
            <w:pPr>
              <w:spacing w:after="0"/>
              <w:rPr>
                <w:sz w:val="20"/>
                <w:szCs w:val="20"/>
                <w:color w:val="auto"/>
              </w:rPr>
            </w:pPr>
            <w:r>
              <w:rPr>
                <w:rFonts w:ascii="Courier New" w:cs="Courier New" w:eastAsia="Courier New" w:hAnsi="Courier New"/>
                <w:sz w:val="16"/>
                <w:szCs w:val="16"/>
                <w:color w:val="auto"/>
              </w:rPr>
              <w:t>if to MergerSub or to</w:t>
            </w:r>
          </w:p>
        </w:tc>
        <w:tc>
          <w:tcPr>
            <w:tcW w:w="1940" w:type="dxa"/>
            <w:vAlign w:val="bottom"/>
            <w:gridSpan w:val="3"/>
            <w:vMerge w:val="restart"/>
          </w:tcPr>
          <w:p>
            <w:pPr>
              <w:ind w:left="240"/>
              <w:spacing w:after="0"/>
              <w:rPr>
                <w:sz w:val="20"/>
                <w:szCs w:val="20"/>
                <w:color w:val="auto"/>
              </w:rPr>
            </w:pPr>
            <w:r>
              <w:rPr>
                <w:rFonts w:ascii="Courier New" w:cs="Courier New" w:eastAsia="Courier New" w:hAnsi="Courier New"/>
                <w:sz w:val="16"/>
                <w:szCs w:val="16"/>
                <w:color w:val="auto"/>
              </w:rPr>
              <w:t>Texas Instruments</w:t>
            </w:r>
          </w:p>
        </w:tc>
        <w:tc>
          <w:tcPr>
            <w:tcW w:w="168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Incorporated</w:t>
            </w:r>
          </w:p>
        </w:tc>
        <w:tc>
          <w:tcPr>
            <w:tcW w:w="0" w:type="dxa"/>
            <w:vAlign w:val="bottom"/>
          </w:tcPr>
          <w:p>
            <w:pPr>
              <w:spacing w:after="0"/>
              <w:rPr>
                <w:sz w:val="1"/>
                <w:szCs w:val="1"/>
                <w:color w:val="auto"/>
              </w:rPr>
            </w:pPr>
          </w:p>
        </w:tc>
      </w:tr>
      <w:tr>
        <w:trPr>
          <w:trHeight w:val="186"/>
        </w:trPr>
        <w:tc>
          <w:tcPr>
            <w:tcW w:w="2180" w:type="dxa"/>
            <w:vAlign w:val="bottom"/>
          </w:tcPr>
          <w:p>
            <w:pPr>
              <w:spacing w:after="0"/>
              <w:rPr>
                <w:sz w:val="20"/>
                <w:szCs w:val="20"/>
                <w:color w:val="auto"/>
              </w:rPr>
            </w:pPr>
            <w:r>
              <w:rPr>
                <w:rFonts w:ascii="Courier New" w:cs="Courier New" w:eastAsia="Courier New" w:hAnsi="Courier New"/>
                <w:sz w:val="16"/>
                <w:szCs w:val="16"/>
                <w:color w:val="auto"/>
              </w:rPr>
              <w:t>Parent, to:</w:t>
            </w:r>
          </w:p>
        </w:tc>
        <w:tc>
          <w:tcPr>
            <w:tcW w:w="1940" w:type="dxa"/>
            <w:vAlign w:val="bottom"/>
            <w:gridSpan w:val="3"/>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3620" w:type="dxa"/>
            <w:vAlign w:val="bottom"/>
            <w:gridSpan w:val="4"/>
          </w:tcPr>
          <w:p>
            <w:pPr>
              <w:ind w:left="240"/>
              <w:spacing w:after="0"/>
              <w:rPr>
                <w:sz w:val="20"/>
                <w:szCs w:val="20"/>
                <w:color w:val="auto"/>
              </w:rPr>
            </w:pPr>
            <w:r>
              <w:rPr>
                <w:rFonts w:ascii="Courier New" w:cs="Courier New" w:eastAsia="Courier New" w:hAnsi="Courier New"/>
                <w:sz w:val="16"/>
                <w:szCs w:val="16"/>
                <w:color w:val="auto"/>
              </w:rPr>
              <w:t>7839 Churchill Way, M/S 3995</w:t>
            </w: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16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Dallas, Texas</w:t>
            </w:r>
          </w:p>
        </w:tc>
        <w:tc>
          <w:tcPr>
            <w:tcW w:w="202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75251</w:t>
            </w: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1340" w:type="dxa"/>
            <w:vAlign w:val="bottom"/>
          </w:tcPr>
          <w:p>
            <w:pPr>
              <w:ind w:left="240"/>
              <w:spacing w:after="0"/>
              <w:rPr>
                <w:sz w:val="20"/>
                <w:szCs w:val="20"/>
                <w:color w:val="auto"/>
              </w:rPr>
            </w:pPr>
            <w:r>
              <w:rPr>
                <w:rFonts w:ascii="Courier New" w:cs="Courier New" w:eastAsia="Courier New" w:hAnsi="Courier New"/>
                <w:sz w:val="16"/>
                <w:szCs w:val="16"/>
                <w:color w:val="auto"/>
              </w:rPr>
              <w:t>Attention:</w:t>
            </w:r>
          </w:p>
        </w:tc>
        <w:tc>
          <w:tcPr>
            <w:tcW w:w="228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Charles D. Tobin</w:t>
            </w: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1340" w:type="dxa"/>
            <w:vAlign w:val="bottom"/>
          </w:tcPr>
          <w:p>
            <w:pPr>
              <w:ind w:left="240"/>
              <w:spacing w:after="0"/>
              <w:rPr>
                <w:sz w:val="20"/>
                <w:szCs w:val="20"/>
                <w:color w:val="auto"/>
              </w:rPr>
            </w:pPr>
            <w:r>
              <w:rPr>
                <w:rFonts w:ascii="Courier New" w:cs="Courier New" w:eastAsia="Courier New" w:hAnsi="Courier New"/>
                <w:sz w:val="16"/>
                <w:szCs w:val="16"/>
                <w:color w:val="auto"/>
              </w:rPr>
              <w:t>Telephone:</w:t>
            </w:r>
          </w:p>
        </w:tc>
        <w:tc>
          <w:tcPr>
            <w:tcW w:w="6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(972)</w:t>
            </w:r>
          </w:p>
        </w:tc>
        <w:tc>
          <w:tcPr>
            <w:tcW w:w="1680" w:type="dxa"/>
            <w:vAlign w:val="bottom"/>
          </w:tcPr>
          <w:p>
            <w:pPr>
              <w:ind w:left="40"/>
              <w:spacing w:after="0"/>
              <w:rPr>
                <w:sz w:val="20"/>
                <w:szCs w:val="20"/>
                <w:color w:val="auto"/>
              </w:rPr>
            </w:pPr>
            <w:r>
              <w:rPr>
                <w:rFonts w:ascii="Courier New" w:cs="Courier New" w:eastAsia="Courier New" w:hAnsi="Courier New"/>
                <w:sz w:val="16"/>
                <w:szCs w:val="16"/>
                <w:color w:val="auto"/>
              </w:rPr>
              <w:t>917-3810</w:t>
            </w:r>
          </w:p>
        </w:tc>
        <w:tc>
          <w:tcPr>
            <w:tcW w:w="0" w:type="dxa"/>
            <w:vAlign w:val="bottom"/>
          </w:tcPr>
          <w:p>
            <w:pPr>
              <w:spacing w:after="0"/>
              <w:rPr>
                <w:sz w:val="1"/>
                <w:szCs w:val="1"/>
                <w:color w:val="auto"/>
              </w:rPr>
            </w:pPr>
          </w:p>
        </w:tc>
      </w:tr>
      <w:tr>
        <w:trPr>
          <w:trHeight w:val="273"/>
        </w:trPr>
        <w:tc>
          <w:tcPr>
            <w:tcW w:w="2180" w:type="dxa"/>
            <w:vAlign w:val="bottom"/>
          </w:tcPr>
          <w:p>
            <w:pPr>
              <w:spacing w:after="0"/>
              <w:rPr>
                <w:sz w:val="23"/>
                <w:szCs w:val="23"/>
                <w:color w:val="auto"/>
              </w:rPr>
            </w:pPr>
          </w:p>
        </w:tc>
        <w:tc>
          <w:tcPr>
            <w:tcW w:w="1340" w:type="dxa"/>
            <w:vAlign w:val="bottom"/>
          </w:tcPr>
          <w:p>
            <w:pPr>
              <w:ind w:left="240"/>
              <w:spacing w:after="0"/>
              <w:rPr>
                <w:sz w:val="20"/>
                <w:szCs w:val="20"/>
                <w:color w:val="auto"/>
              </w:rPr>
            </w:pPr>
            <w:r>
              <w:rPr>
                <w:rFonts w:ascii="Courier New" w:cs="Courier New" w:eastAsia="Courier New" w:hAnsi="Courier New"/>
                <w:sz w:val="16"/>
                <w:szCs w:val="16"/>
                <w:color w:val="auto"/>
              </w:rPr>
              <w:t>Facsimile:</w:t>
            </w:r>
          </w:p>
        </w:tc>
        <w:tc>
          <w:tcPr>
            <w:tcW w:w="6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(972)</w:t>
            </w:r>
          </w:p>
        </w:tc>
        <w:tc>
          <w:tcPr>
            <w:tcW w:w="1680" w:type="dxa"/>
            <w:vAlign w:val="bottom"/>
          </w:tcPr>
          <w:p>
            <w:pPr>
              <w:ind w:left="40"/>
              <w:spacing w:after="0"/>
              <w:rPr>
                <w:sz w:val="20"/>
                <w:szCs w:val="20"/>
                <w:color w:val="auto"/>
              </w:rPr>
            </w:pPr>
            <w:r>
              <w:rPr>
                <w:rFonts w:ascii="Courier New" w:cs="Courier New" w:eastAsia="Courier New" w:hAnsi="Courier New"/>
                <w:sz w:val="16"/>
                <w:szCs w:val="16"/>
                <w:color w:val="auto"/>
              </w:rPr>
              <w:t>917-3804</w:t>
            </w:r>
          </w:p>
        </w:tc>
        <w:tc>
          <w:tcPr>
            <w:tcW w:w="0" w:type="dxa"/>
            <w:vAlign w:val="bottom"/>
          </w:tcPr>
          <w:p>
            <w:pPr>
              <w:spacing w:after="0"/>
              <w:rPr>
                <w:sz w:val="1"/>
                <w:szCs w:val="1"/>
                <w:color w:val="auto"/>
              </w:rPr>
            </w:pPr>
          </w:p>
        </w:tc>
      </w:tr>
      <w:tr>
        <w:trPr>
          <w:trHeight w:val="287"/>
        </w:trPr>
        <w:tc>
          <w:tcPr>
            <w:tcW w:w="2180" w:type="dxa"/>
            <w:vAlign w:val="bottom"/>
          </w:tcPr>
          <w:p>
            <w:pPr>
              <w:spacing w:after="0"/>
              <w:rPr>
                <w:sz w:val="20"/>
                <w:szCs w:val="20"/>
                <w:color w:val="auto"/>
              </w:rPr>
            </w:pPr>
            <w:r>
              <w:rPr>
                <w:rFonts w:ascii="Courier New" w:cs="Courier New" w:eastAsia="Courier New" w:hAnsi="Courier New"/>
                <w:sz w:val="16"/>
                <w:szCs w:val="16"/>
                <w:color w:val="auto"/>
              </w:rPr>
              <w:t>with a copies to:</w:t>
            </w:r>
          </w:p>
        </w:tc>
        <w:tc>
          <w:tcPr>
            <w:tcW w:w="194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Texas Instruments</w:t>
            </w:r>
          </w:p>
        </w:tc>
        <w:tc>
          <w:tcPr>
            <w:tcW w:w="1680" w:type="dxa"/>
            <w:vAlign w:val="bottom"/>
          </w:tcPr>
          <w:p>
            <w:pPr>
              <w:ind w:left="40"/>
              <w:spacing w:after="0"/>
              <w:rPr>
                <w:sz w:val="20"/>
                <w:szCs w:val="20"/>
                <w:color w:val="auto"/>
              </w:rPr>
            </w:pPr>
            <w:r>
              <w:rPr>
                <w:rFonts w:ascii="Courier New" w:cs="Courier New" w:eastAsia="Courier New" w:hAnsi="Courier New"/>
                <w:sz w:val="16"/>
                <w:szCs w:val="16"/>
                <w:color w:val="auto"/>
              </w:rPr>
              <w:t>Incorporated</w:t>
            </w: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1340" w:type="dxa"/>
            <w:vAlign w:val="bottom"/>
          </w:tcPr>
          <w:p>
            <w:pPr>
              <w:ind w:left="240"/>
              <w:spacing w:after="0"/>
              <w:rPr>
                <w:sz w:val="20"/>
                <w:szCs w:val="20"/>
                <w:color w:val="auto"/>
              </w:rPr>
            </w:pPr>
            <w:r>
              <w:rPr>
                <w:rFonts w:ascii="Courier New" w:cs="Courier New" w:eastAsia="Courier New" w:hAnsi="Courier New"/>
                <w:sz w:val="16"/>
                <w:szCs w:val="16"/>
                <w:color w:val="auto"/>
              </w:rPr>
              <w:t>8505 Forest</w:t>
            </w:r>
          </w:p>
        </w:tc>
        <w:tc>
          <w:tcPr>
            <w:tcW w:w="6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Lane,</w:t>
            </w:r>
          </w:p>
        </w:tc>
        <w:tc>
          <w:tcPr>
            <w:tcW w:w="1680" w:type="dxa"/>
            <w:vAlign w:val="bottom"/>
          </w:tcPr>
          <w:p>
            <w:pPr>
              <w:ind w:left="40"/>
              <w:spacing w:after="0"/>
              <w:rPr>
                <w:sz w:val="20"/>
                <w:szCs w:val="20"/>
                <w:color w:val="auto"/>
              </w:rPr>
            </w:pPr>
            <w:r>
              <w:rPr>
                <w:rFonts w:ascii="Courier New" w:cs="Courier New" w:eastAsia="Courier New" w:hAnsi="Courier New"/>
                <w:sz w:val="16"/>
                <w:szCs w:val="16"/>
                <w:color w:val="auto"/>
              </w:rPr>
              <w:t>M/S 8658</w:t>
            </w: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16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Dallas, Texas</w:t>
            </w:r>
          </w:p>
        </w:tc>
        <w:tc>
          <w:tcPr>
            <w:tcW w:w="202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75243</w:t>
            </w: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1340" w:type="dxa"/>
            <w:vAlign w:val="bottom"/>
          </w:tcPr>
          <w:p>
            <w:pPr>
              <w:ind w:left="240"/>
              <w:spacing w:after="0"/>
              <w:rPr>
                <w:sz w:val="20"/>
                <w:szCs w:val="20"/>
                <w:color w:val="auto"/>
              </w:rPr>
            </w:pPr>
            <w:r>
              <w:rPr>
                <w:rFonts w:ascii="Courier New" w:cs="Courier New" w:eastAsia="Courier New" w:hAnsi="Courier New"/>
                <w:sz w:val="16"/>
                <w:szCs w:val="16"/>
                <w:color w:val="auto"/>
              </w:rPr>
              <w:t>Attention:</w:t>
            </w:r>
          </w:p>
        </w:tc>
        <w:tc>
          <w:tcPr>
            <w:tcW w:w="2280" w:type="dxa"/>
            <w:vAlign w:val="bottom"/>
            <w:gridSpan w:val="3"/>
          </w:tcPr>
          <w:p>
            <w:pPr>
              <w:ind w:left="60"/>
              <w:spacing w:after="0"/>
              <w:rPr>
                <w:sz w:val="20"/>
                <w:szCs w:val="20"/>
                <w:color w:val="auto"/>
              </w:rPr>
            </w:pPr>
            <w:r>
              <w:rPr>
                <w:rFonts w:ascii="Courier New" w:cs="Courier New" w:eastAsia="Courier New" w:hAnsi="Courier New"/>
                <w:sz w:val="16"/>
                <w:szCs w:val="16"/>
                <w:color w:val="auto"/>
                <w:w w:val="99"/>
              </w:rPr>
              <w:t>Richard J. Agnich, Esq.</w:t>
            </w: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1340" w:type="dxa"/>
            <w:vAlign w:val="bottom"/>
          </w:tcPr>
          <w:p>
            <w:pPr>
              <w:ind w:left="240"/>
              <w:spacing w:after="0"/>
              <w:rPr>
                <w:sz w:val="20"/>
                <w:szCs w:val="20"/>
                <w:color w:val="auto"/>
              </w:rPr>
            </w:pPr>
            <w:r>
              <w:rPr>
                <w:rFonts w:ascii="Courier New" w:cs="Courier New" w:eastAsia="Courier New" w:hAnsi="Courier New"/>
                <w:sz w:val="16"/>
                <w:szCs w:val="16"/>
                <w:color w:val="auto"/>
              </w:rPr>
              <w:t>Telephone:</w:t>
            </w:r>
          </w:p>
        </w:tc>
        <w:tc>
          <w:tcPr>
            <w:tcW w:w="6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(972)</w:t>
            </w:r>
          </w:p>
        </w:tc>
        <w:tc>
          <w:tcPr>
            <w:tcW w:w="1680" w:type="dxa"/>
            <w:vAlign w:val="bottom"/>
          </w:tcPr>
          <w:p>
            <w:pPr>
              <w:ind w:left="40"/>
              <w:spacing w:after="0"/>
              <w:rPr>
                <w:sz w:val="20"/>
                <w:szCs w:val="20"/>
                <w:color w:val="auto"/>
              </w:rPr>
            </w:pPr>
            <w:r>
              <w:rPr>
                <w:rFonts w:ascii="Courier New" w:cs="Courier New" w:eastAsia="Courier New" w:hAnsi="Courier New"/>
                <w:sz w:val="16"/>
                <w:szCs w:val="16"/>
                <w:color w:val="auto"/>
              </w:rPr>
              <w:t>480-5050</w:t>
            </w:r>
          </w:p>
        </w:tc>
        <w:tc>
          <w:tcPr>
            <w:tcW w:w="0" w:type="dxa"/>
            <w:vAlign w:val="bottom"/>
          </w:tcPr>
          <w:p>
            <w:pPr>
              <w:spacing w:after="0"/>
              <w:rPr>
                <w:sz w:val="1"/>
                <w:szCs w:val="1"/>
                <w:color w:val="auto"/>
              </w:rPr>
            </w:pPr>
          </w:p>
        </w:tc>
      </w:tr>
      <w:tr>
        <w:trPr>
          <w:trHeight w:val="273"/>
        </w:trPr>
        <w:tc>
          <w:tcPr>
            <w:tcW w:w="2180" w:type="dxa"/>
            <w:vAlign w:val="bottom"/>
          </w:tcPr>
          <w:p>
            <w:pPr>
              <w:spacing w:after="0"/>
              <w:rPr>
                <w:sz w:val="23"/>
                <w:szCs w:val="23"/>
                <w:color w:val="auto"/>
              </w:rPr>
            </w:pPr>
          </w:p>
        </w:tc>
        <w:tc>
          <w:tcPr>
            <w:tcW w:w="1340" w:type="dxa"/>
            <w:vAlign w:val="bottom"/>
          </w:tcPr>
          <w:p>
            <w:pPr>
              <w:ind w:left="240"/>
              <w:spacing w:after="0"/>
              <w:rPr>
                <w:sz w:val="20"/>
                <w:szCs w:val="20"/>
                <w:color w:val="auto"/>
              </w:rPr>
            </w:pPr>
            <w:r>
              <w:rPr>
                <w:rFonts w:ascii="Courier New" w:cs="Courier New" w:eastAsia="Courier New" w:hAnsi="Courier New"/>
                <w:sz w:val="16"/>
                <w:szCs w:val="16"/>
                <w:color w:val="auto"/>
              </w:rPr>
              <w:t>Facsimile:</w:t>
            </w:r>
          </w:p>
        </w:tc>
        <w:tc>
          <w:tcPr>
            <w:tcW w:w="6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(972)</w:t>
            </w:r>
          </w:p>
        </w:tc>
        <w:tc>
          <w:tcPr>
            <w:tcW w:w="1680" w:type="dxa"/>
            <w:vAlign w:val="bottom"/>
          </w:tcPr>
          <w:p>
            <w:pPr>
              <w:ind w:left="40"/>
              <w:spacing w:after="0"/>
              <w:rPr>
                <w:sz w:val="20"/>
                <w:szCs w:val="20"/>
                <w:color w:val="auto"/>
              </w:rPr>
            </w:pPr>
            <w:r>
              <w:rPr>
                <w:rFonts w:ascii="Courier New" w:cs="Courier New" w:eastAsia="Courier New" w:hAnsi="Courier New"/>
                <w:sz w:val="16"/>
                <w:szCs w:val="16"/>
                <w:color w:val="auto"/>
              </w:rPr>
              <w:t>480-5061</w:t>
            </w:r>
          </w:p>
        </w:tc>
        <w:tc>
          <w:tcPr>
            <w:tcW w:w="0" w:type="dxa"/>
            <w:vAlign w:val="bottom"/>
          </w:tcPr>
          <w:p>
            <w:pPr>
              <w:spacing w:after="0"/>
              <w:rPr>
                <w:sz w:val="1"/>
                <w:szCs w:val="1"/>
                <w:color w:val="auto"/>
              </w:rPr>
            </w:pPr>
          </w:p>
        </w:tc>
      </w:tr>
      <w:tr>
        <w:trPr>
          <w:trHeight w:val="287"/>
        </w:trPr>
        <w:tc>
          <w:tcPr>
            <w:tcW w:w="2180" w:type="dxa"/>
            <w:vAlign w:val="bottom"/>
          </w:tcPr>
          <w:p>
            <w:pPr>
              <w:spacing w:after="0"/>
              <w:rPr>
                <w:sz w:val="24"/>
                <w:szCs w:val="24"/>
                <w:color w:val="auto"/>
              </w:rPr>
            </w:pPr>
          </w:p>
        </w:tc>
        <w:tc>
          <w:tcPr>
            <w:tcW w:w="3620" w:type="dxa"/>
            <w:vAlign w:val="bottom"/>
            <w:gridSpan w:val="4"/>
          </w:tcPr>
          <w:p>
            <w:pPr>
              <w:ind w:left="240"/>
              <w:spacing w:after="0"/>
              <w:rPr>
                <w:sz w:val="20"/>
                <w:szCs w:val="20"/>
                <w:color w:val="auto"/>
              </w:rPr>
            </w:pPr>
            <w:r>
              <w:rPr>
                <w:rFonts w:ascii="Courier New" w:cs="Courier New" w:eastAsia="Courier New" w:hAnsi="Courier New"/>
                <w:sz w:val="16"/>
                <w:szCs w:val="16"/>
                <w:color w:val="auto"/>
              </w:rPr>
              <w:t>Weil, Gotshal &amp; Manges LLP</w:t>
            </w: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3620" w:type="dxa"/>
            <w:vAlign w:val="bottom"/>
            <w:gridSpan w:val="4"/>
          </w:tcPr>
          <w:p>
            <w:pPr>
              <w:ind w:left="240"/>
              <w:spacing w:after="0"/>
              <w:rPr>
                <w:sz w:val="20"/>
                <w:szCs w:val="20"/>
                <w:color w:val="auto"/>
              </w:rPr>
            </w:pPr>
            <w:r>
              <w:rPr>
                <w:rFonts w:ascii="Courier New" w:cs="Courier New" w:eastAsia="Courier New" w:hAnsi="Courier New"/>
                <w:sz w:val="16"/>
                <w:szCs w:val="16"/>
                <w:color w:val="auto"/>
              </w:rPr>
              <w:t>100 Crescent Court, Suite 1300</w:t>
            </w: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16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Dallas, Texas</w:t>
            </w:r>
          </w:p>
        </w:tc>
        <w:tc>
          <w:tcPr>
            <w:tcW w:w="202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75201-6950</w:t>
            </w: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3620" w:type="dxa"/>
            <w:vAlign w:val="bottom"/>
            <w:gridSpan w:val="4"/>
          </w:tcPr>
          <w:p>
            <w:pPr>
              <w:ind w:left="240"/>
              <w:spacing w:after="0"/>
              <w:rPr>
                <w:sz w:val="20"/>
                <w:szCs w:val="20"/>
                <w:color w:val="auto"/>
              </w:rPr>
            </w:pPr>
            <w:r>
              <w:rPr>
                <w:rFonts w:ascii="Courier New" w:cs="Courier New" w:eastAsia="Courier New" w:hAnsi="Courier New"/>
                <w:sz w:val="16"/>
                <w:szCs w:val="16"/>
                <w:color w:val="auto"/>
              </w:rPr>
              <w:t>Attention: R. Scott Cohen, Esq.</w:t>
            </w: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1340" w:type="dxa"/>
            <w:vAlign w:val="bottom"/>
          </w:tcPr>
          <w:p>
            <w:pPr>
              <w:ind w:left="240"/>
              <w:spacing w:after="0"/>
              <w:rPr>
                <w:sz w:val="20"/>
                <w:szCs w:val="20"/>
                <w:color w:val="auto"/>
              </w:rPr>
            </w:pPr>
            <w:r>
              <w:rPr>
                <w:rFonts w:ascii="Courier New" w:cs="Courier New" w:eastAsia="Courier New" w:hAnsi="Courier New"/>
                <w:sz w:val="16"/>
                <w:szCs w:val="16"/>
                <w:color w:val="auto"/>
              </w:rPr>
              <w:t>Telephone:</w:t>
            </w:r>
          </w:p>
        </w:tc>
        <w:tc>
          <w:tcPr>
            <w:tcW w:w="6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(214)</w:t>
            </w:r>
          </w:p>
        </w:tc>
        <w:tc>
          <w:tcPr>
            <w:tcW w:w="1680" w:type="dxa"/>
            <w:vAlign w:val="bottom"/>
          </w:tcPr>
          <w:p>
            <w:pPr>
              <w:ind w:left="40"/>
              <w:spacing w:after="0"/>
              <w:rPr>
                <w:sz w:val="20"/>
                <w:szCs w:val="20"/>
                <w:color w:val="auto"/>
              </w:rPr>
            </w:pPr>
            <w:r>
              <w:rPr>
                <w:rFonts w:ascii="Courier New" w:cs="Courier New" w:eastAsia="Courier New" w:hAnsi="Courier New"/>
                <w:sz w:val="16"/>
                <w:szCs w:val="16"/>
                <w:color w:val="auto"/>
              </w:rPr>
              <w:t>746-7700</w:t>
            </w:r>
          </w:p>
        </w:tc>
        <w:tc>
          <w:tcPr>
            <w:tcW w:w="0" w:type="dxa"/>
            <w:vAlign w:val="bottom"/>
          </w:tcPr>
          <w:p>
            <w:pPr>
              <w:spacing w:after="0"/>
              <w:rPr>
                <w:sz w:val="1"/>
                <w:szCs w:val="1"/>
                <w:color w:val="auto"/>
              </w:rPr>
            </w:pPr>
          </w:p>
        </w:tc>
      </w:tr>
      <w:tr>
        <w:trPr>
          <w:trHeight w:val="273"/>
        </w:trPr>
        <w:tc>
          <w:tcPr>
            <w:tcW w:w="2180" w:type="dxa"/>
            <w:vAlign w:val="bottom"/>
          </w:tcPr>
          <w:p>
            <w:pPr>
              <w:spacing w:after="0"/>
              <w:rPr>
                <w:sz w:val="23"/>
                <w:szCs w:val="23"/>
                <w:color w:val="auto"/>
              </w:rPr>
            </w:pPr>
          </w:p>
        </w:tc>
        <w:tc>
          <w:tcPr>
            <w:tcW w:w="3620" w:type="dxa"/>
            <w:vAlign w:val="bottom"/>
            <w:gridSpan w:val="4"/>
          </w:tcPr>
          <w:p>
            <w:pPr>
              <w:ind w:left="240"/>
              <w:spacing w:after="0"/>
              <w:rPr>
                <w:sz w:val="20"/>
                <w:szCs w:val="20"/>
                <w:color w:val="auto"/>
              </w:rPr>
            </w:pPr>
            <w:r>
              <w:rPr>
                <w:rFonts w:ascii="Courier New" w:cs="Courier New" w:eastAsia="Courier New" w:hAnsi="Courier New"/>
                <w:sz w:val="16"/>
                <w:szCs w:val="16"/>
                <w:color w:val="auto"/>
              </w:rPr>
              <w:t>Facsimile: (214) 746-7777</w:t>
            </w:r>
          </w:p>
        </w:tc>
        <w:tc>
          <w:tcPr>
            <w:tcW w:w="0" w:type="dxa"/>
            <w:vAlign w:val="bottom"/>
          </w:tcPr>
          <w:p>
            <w:pPr>
              <w:spacing w:after="0"/>
              <w:rPr>
                <w:sz w:val="1"/>
                <w:szCs w:val="1"/>
                <w:color w:val="auto"/>
              </w:rPr>
            </w:pPr>
          </w:p>
        </w:tc>
      </w:tr>
      <w:tr>
        <w:trPr>
          <w:trHeight w:val="559"/>
        </w:trPr>
        <w:tc>
          <w:tcPr>
            <w:tcW w:w="2180" w:type="dxa"/>
            <w:vAlign w:val="bottom"/>
          </w:tcPr>
          <w:p>
            <w:pPr>
              <w:spacing w:after="0"/>
              <w:rPr>
                <w:sz w:val="24"/>
                <w:szCs w:val="24"/>
                <w:color w:val="auto"/>
              </w:rPr>
            </w:pPr>
          </w:p>
        </w:tc>
        <w:tc>
          <w:tcPr>
            <w:tcW w:w="1340" w:type="dxa"/>
            <w:vAlign w:val="bottom"/>
          </w:tcPr>
          <w:p>
            <w:pPr>
              <w:ind w:left="140"/>
              <w:spacing w:after="0"/>
              <w:rPr>
                <w:sz w:val="20"/>
                <w:szCs w:val="20"/>
                <w:color w:val="auto"/>
              </w:rPr>
            </w:pPr>
            <w:r>
              <w:rPr>
                <w:rFonts w:ascii="Courier New" w:cs="Courier New" w:eastAsia="Courier New" w:hAnsi="Courier New"/>
                <w:sz w:val="16"/>
                <w:szCs w:val="16"/>
                <w:color w:val="auto"/>
              </w:rPr>
              <w:t>51</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73" w:right="1440" w:bottom="1440" w:gutter="0" w:footer="0" w:header="0"/>
        </w:sectPr>
      </w:pPr>
    </w:p>
    <w:bookmarkStart w:id="134" w:name="page135"/>
    <w:bookmarkEnd w:id="134"/>
    <w:p>
      <w:pPr>
        <w:ind w:left="300"/>
        <w:spacing w:after="0"/>
        <w:rPr>
          <w:sz w:val="20"/>
          <w:szCs w:val="20"/>
          <w:color w:val="auto"/>
        </w:rPr>
      </w:pPr>
      <w:r>
        <w:rPr>
          <w:rFonts w:ascii="Courier New" w:cs="Courier New" w:eastAsia="Courier New" w:hAnsi="Courier New"/>
          <w:sz w:val="16"/>
          <w:szCs w:val="16"/>
          <w:color w:val="auto"/>
        </w:rPr>
        <w:t>59</w:t>
      </w:r>
    </w:p>
    <w:p>
      <w:pPr>
        <w:spacing w:after="0" w:line="378" w:lineRule="exact"/>
        <w:rPr>
          <w:sz w:val="20"/>
          <w:szCs w:val="20"/>
          <w:color w:val="auto"/>
        </w:rPr>
      </w:pPr>
    </w:p>
    <w:tbl>
      <w:tblPr>
        <w:tblLayout w:type="fixed"/>
        <w:tblInd w:w="1460" w:type="dxa"/>
        <w:tblCellMar>
          <w:top w:w="0" w:type="dxa"/>
          <w:left w:w="0" w:type="dxa"/>
          <w:bottom w:w="0" w:type="dxa"/>
          <w:right w:w="0" w:type="dxa"/>
        </w:tblCellMar>
      </w:tblPr>
      <w:tr>
        <w:trPr>
          <w:trHeight w:val="186"/>
        </w:trPr>
        <w:tc>
          <w:tcPr>
            <w:tcW w:w="2280" w:type="dxa"/>
            <w:vAlign w:val="bottom"/>
          </w:tcPr>
          <w:p>
            <w:pPr>
              <w:spacing w:after="0"/>
              <w:rPr>
                <w:sz w:val="20"/>
                <w:szCs w:val="20"/>
                <w:color w:val="auto"/>
              </w:rPr>
            </w:pPr>
            <w:r>
              <w:rPr>
                <w:rFonts w:ascii="Courier New" w:cs="Courier New" w:eastAsia="Courier New" w:hAnsi="Courier New"/>
                <w:sz w:val="16"/>
                <w:szCs w:val="16"/>
                <w:color w:val="auto"/>
              </w:rPr>
              <w:t>if to the Company, to:</w:t>
            </w:r>
          </w:p>
        </w:tc>
        <w:tc>
          <w:tcPr>
            <w:tcW w:w="1160" w:type="dxa"/>
            <w:vAlign w:val="bottom"/>
          </w:tcPr>
          <w:p>
            <w:pPr>
              <w:ind w:left="140"/>
              <w:spacing w:after="0"/>
              <w:rPr>
                <w:sz w:val="20"/>
                <w:szCs w:val="20"/>
                <w:color w:val="auto"/>
              </w:rPr>
            </w:pPr>
            <w:r>
              <w:rPr>
                <w:rFonts w:ascii="Courier New" w:cs="Courier New" w:eastAsia="Courier New" w:hAnsi="Courier New"/>
                <w:sz w:val="16"/>
                <w:szCs w:val="16"/>
                <w:color w:val="auto"/>
              </w:rPr>
              <w:t>Integrated</w:t>
            </w:r>
          </w:p>
        </w:tc>
        <w:tc>
          <w:tcPr>
            <w:tcW w:w="21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Sensor Solutions, Inc.</w:t>
            </w:r>
          </w:p>
        </w:tc>
        <w:tc>
          <w:tcPr>
            <w:tcW w:w="0" w:type="dxa"/>
            <w:vAlign w:val="bottom"/>
          </w:tcPr>
          <w:p>
            <w:pPr>
              <w:spacing w:after="0"/>
              <w:rPr>
                <w:sz w:val="1"/>
                <w:szCs w:val="1"/>
                <w:color w:val="auto"/>
              </w:rPr>
            </w:pPr>
          </w:p>
        </w:tc>
      </w:tr>
      <w:tr>
        <w:trPr>
          <w:trHeight w:val="186"/>
        </w:trPr>
        <w:tc>
          <w:tcPr>
            <w:tcW w:w="2280" w:type="dxa"/>
            <w:vAlign w:val="bottom"/>
          </w:tcPr>
          <w:p>
            <w:pPr>
              <w:spacing w:after="0"/>
              <w:rPr>
                <w:sz w:val="16"/>
                <w:szCs w:val="16"/>
                <w:color w:val="auto"/>
              </w:rPr>
            </w:pPr>
          </w:p>
        </w:tc>
        <w:tc>
          <w:tcPr>
            <w:tcW w:w="226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9"/>
              </w:rPr>
              <w:t>625 River Oaks Parkway</w:t>
            </w:r>
          </w:p>
        </w:tc>
        <w:tc>
          <w:tcPr>
            <w:tcW w:w="1080" w:type="dxa"/>
            <w:vAlign w:val="bottom"/>
            <w:vMerge w:val="restart"/>
          </w:tcPr>
          <w:p>
            <w:pPr>
              <w:jc w:val="right"/>
              <w:ind w:right="499"/>
              <w:spacing w:after="0"/>
              <w:rPr>
                <w:sz w:val="20"/>
                <w:szCs w:val="20"/>
                <w:color w:val="auto"/>
              </w:rPr>
            </w:pPr>
            <w:r>
              <w:rPr>
                <w:rFonts w:ascii="Courier New" w:cs="Courier New" w:eastAsia="Courier New" w:hAnsi="Courier New"/>
                <w:sz w:val="16"/>
                <w:szCs w:val="16"/>
                <w:color w:val="auto"/>
                <w:w w:val="99"/>
              </w:rPr>
              <w:t>95134</w:t>
            </w:r>
          </w:p>
        </w:tc>
        <w:tc>
          <w:tcPr>
            <w:tcW w:w="0" w:type="dxa"/>
            <w:vAlign w:val="bottom"/>
          </w:tcPr>
          <w:p>
            <w:pPr>
              <w:spacing w:after="0"/>
              <w:rPr>
                <w:sz w:val="1"/>
                <w:szCs w:val="1"/>
                <w:color w:val="auto"/>
              </w:rPr>
            </w:pPr>
          </w:p>
        </w:tc>
      </w:tr>
      <w:tr>
        <w:trPr>
          <w:trHeight w:val="186"/>
        </w:trPr>
        <w:tc>
          <w:tcPr>
            <w:tcW w:w="2280" w:type="dxa"/>
            <w:vAlign w:val="bottom"/>
          </w:tcPr>
          <w:p>
            <w:pPr>
              <w:spacing w:after="0"/>
              <w:rPr>
                <w:sz w:val="16"/>
                <w:szCs w:val="16"/>
                <w:color w:val="auto"/>
              </w:rPr>
            </w:pPr>
          </w:p>
        </w:tc>
        <w:tc>
          <w:tcPr>
            <w:tcW w:w="22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San Jose, California</w:t>
            </w: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80" w:type="dxa"/>
            <w:vAlign w:val="bottom"/>
          </w:tcPr>
          <w:p>
            <w:pPr>
              <w:spacing w:after="0"/>
              <w:rPr>
                <w:sz w:val="16"/>
                <w:szCs w:val="16"/>
                <w:color w:val="auto"/>
              </w:rPr>
            </w:pPr>
          </w:p>
        </w:tc>
        <w:tc>
          <w:tcPr>
            <w:tcW w:w="334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Attention: Manher D. Naik</w:t>
            </w:r>
          </w:p>
        </w:tc>
        <w:tc>
          <w:tcPr>
            <w:tcW w:w="0" w:type="dxa"/>
            <w:vAlign w:val="bottom"/>
          </w:tcPr>
          <w:p>
            <w:pPr>
              <w:spacing w:after="0"/>
              <w:rPr>
                <w:sz w:val="1"/>
                <w:szCs w:val="1"/>
                <w:color w:val="auto"/>
              </w:rPr>
            </w:pPr>
          </w:p>
        </w:tc>
      </w:tr>
      <w:tr>
        <w:trPr>
          <w:trHeight w:val="186"/>
        </w:trPr>
        <w:tc>
          <w:tcPr>
            <w:tcW w:w="2280" w:type="dxa"/>
            <w:vAlign w:val="bottom"/>
          </w:tcPr>
          <w:p>
            <w:pPr>
              <w:spacing w:after="0"/>
              <w:rPr>
                <w:sz w:val="16"/>
                <w:szCs w:val="16"/>
                <w:color w:val="auto"/>
              </w:rPr>
            </w:pPr>
          </w:p>
        </w:tc>
        <w:tc>
          <w:tcPr>
            <w:tcW w:w="1160" w:type="dxa"/>
            <w:vAlign w:val="bottom"/>
          </w:tcPr>
          <w:p>
            <w:pPr>
              <w:ind w:left="140"/>
              <w:spacing w:after="0"/>
              <w:rPr>
                <w:sz w:val="20"/>
                <w:szCs w:val="20"/>
                <w:color w:val="auto"/>
              </w:rPr>
            </w:pPr>
            <w:r>
              <w:rPr>
                <w:rFonts w:ascii="Courier New" w:cs="Courier New" w:eastAsia="Courier New" w:hAnsi="Courier New"/>
                <w:sz w:val="16"/>
                <w:szCs w:val="16"/>
                <w:color w:val="auto"/>
              </w:rPr>
              <w:t>Telephone:</w:t>
            </w:r>
          </w:p>
        </w:tc>
        <w:tc>
          <w:tcPr>
            <w:tcW w:w="21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(408) 324-1044</w:t>
            </w:r>
          </w:p>
        </w:tc>
        <w:tc>
          <w:tcPr>
            <w:tcW w:w="0" w:type="dxa"/>
            <w:vAlign w:val="bottom"/>
          </w:tcPr>
          <w:p>
            <w:pPr>
              <w:spacing w:after="0"/>
              <w:rPr>
                <w:sz w:val="1"/>
                <w:szCs w:val="1"/>
                <w:color w:val="auto"/>
              </w:rPr>
            </w:pPr>
          </w:p>
        </w:tc>
      </w:tr>
      <w:tr>
        <w:trPr>
          <w:trHeight w:val="273"/>
        </w:trPr>
        <w:tc>
          <w:tcPr>
            <w:tcW w:w="2280" w:type="dxa"/>
            <w:vAlign w:val="bottom"/>
          </w:tcPr>
          <w:p>
            <w:pPr>
              <w:spacing w:after="0"/>
              <w:rPr>
                <w:sz w:val="23"/>
                <w:szCs w:val="23"/>
                <w:color w:val="auto"/>
              </w:rPr>
            </w:pPr>
          </w:p>
        </w:tc>
        <w:tc>
          <w:tcPr>
            <w:tcW w:w="1160" w:type="dxa"/>
            <w:vAlign w:val="bottom"/>
          </w:tcPr>
          <w:p>
            <w:pPr>
              <w:ind w:left="140"/>
              <w:spacing w:after="0"/>
              <w:rPr>
                <w:sz w:val="20"/>
                <w:szCs w:val="20"/>
                <w:color w:val="auto"/>
              </w:rPr>
            </w:pPr>
            <w:r>
              <w:rPr>
                <w:rFonts w:ascii="Courier New" w:cs="Courier New" w:eastAsia="Courier New" w:hAnsi="Courier New"/>
                <w:sz w:val="16"/>
                <w:szCs w:val="16"/>
                <w:color w:val="auto"/>
              </w:rPr>
              <w:t>Facsimile:</w:t>
            </w:r>
          </w:p>
        </w:tc>
        <w:tc>
          <w:tcPr>
            <w:tcW w:w="21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(408) 324-1054</w:t>
            </w:r>
          </w:p>
        </w:tc>
        <w:tc>
          <w:tcPr>
            <w:tcW w:w="0" w:type="dxa"/>
            <w:vAlign w:val="bottom"/>
          </w:tcPr>
          <w:p>
            <w:pPr>
              <w:spacing w:after="0"/>
              <w:rPr>
                <w:sz w:val="1"/>
                <w:szCs w:val="1"/>
                <w:color w:val="auto"/>
              </w:rPr>
            </w:pPr>
          </w:p>
        </w:tc>
      </w:tr>
      <w:tr>
        <w:trPr>
          <w:trHeight w:val="287"/>
        </w:trPr>
        <w:tc>
          <w:tcPr>
            <w:tcW w:w="2280" w:type="dxa"/>
            <w:vAlign w:val="bottom"/>
          </w:tcPr>
          <w:p>
            <w:pPr>
              <w:spacing w:after="0"/>
              <w:rPr>
                <w:sz w:val="20"/>
                <w:szCs w:val="20"/>
                <w:color w:val="auto"/>
              </w:rPr>
            </w:pPr>
            <w:r>
              <w:rPr>
                <w:rFonts w:ascii="Courier New" w:cs="Courier New" w:eastAsia="Courier New" w:hAnsi="Courier New"/>
                <w:sz w:val="16"/>
                <w:szCs w:val="16"/>
                <w:color w:val="auto"/>
              </w:rPr>
              <w:t>with a copy to:</w:t>
            </w:r>
          </w:p>
        </w:tc>
        <w:tc>
          <w:tcPr>
            <w:tcW w:w="334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Gray Cary Ware Freidenrich LLP</w:t>
            </w:r>
          </w:p>
        </w:tc>
        <w:tc>
          <w:tcPr>
            <w:tcW w:w="0" w:type="dxa"/>
            <w:vAlign w:val="bottom"/>
          </w:tcPr>
          <w:p>
            <w:pPr>
              <w:spacing w:after="0"/>
              <w:rPr>
                <w:sz w:val="1"/>
                <w:szCs w:val="1"/>
                <w:color w:val="auto"/>
              </w:rPr>
            </w:pPr>
          </w:p>
        </w:tc>
      </w:tr>
      <w:tr>
        <w:trPr>
          <w:trHeight w:val="186"/>
        </w:trPr>
        <w:tc>
          <w:tcPr>
            <w:tcW w:w="2280" w:type="dxa"/>
            <w:vAlign w:val="bottom"/>
          </w:tcPr>
          <w:p>
            <w:pPr>
              <w:spacing w:after="0"/>
              <w:rPr>
                <w:sz w:val="16"/>
                <w:szCs w:val="16"/>
                <w:color w:val="auto"/>
              </w:rPr>
            </w:pPr>
          </w:p>
        </w:tc>
        <w:tc>
          <w:tcPr>
            <w:tcW w:w="334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4365 Executive Drive, Suite 1600</w:t>
            </w:r>
          </w:p>
        </w:tc>
        <w:tc>
          <w:tcPr>
            <w:tcW w:w="0" w:type="dxa"/>
            <w:vAlign w:val="bottom"/>
          </w:tcPr>
          <w:p>
            <w:pPr>
              <w:spacing w:after="0"/>
              <w:rPr>
                <w:sz w:val="1"/>
                <w:szCs w:val="1"/>
                <w:color w:val="auto"/>
              </w:rPr>
            </w:pPr>
          </w:p>
        </w:tc>
      </w:tr>
      <w:tr>
        <w:trPr>
          <w:trHeight w:val="186"/>
        </w:trPr>
        <w:tc>
          <w:tcPr>
            <w:tcW w:w="2280" w:type="dxa"/>
            <w:vAlign w:val="bottom"/>
          </w:tcPr>
          <w:p>
            <w:pPr>
              <w:spacing w:after="0"/>
              <w:rPr>
                <w:sz w:val="16"/>
                <w:szCs w:val="16"/>
                <w:color w:val="auto"/>
              </w:rPr>
            </w:pPr>
          </w:p>
        </w:tc>
        <w:tc>
          <w:tcPr>
            <w:tcW w:w="22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San Diego, California</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92121-2189</w:t>
            </w:r>
          </w:p>
        </w:tc>
        <w:tc>
          <w:tcPr>
            <w:tcW w:w="0" w:type="dxa"/>
            <w:vAlign w:val="bottom"/>
          </w:tcPr>
          <w:p>
            <w:pPr>
              <w:spacing w:after="0"/>
              <w:rPr>
                <w:sz w:val="1"/>
                <w:szCs w:val="1"/>
                <w:color w:val="auto"/>
              </w:rPr>
            </w:pPr>
          </w:p>
        </w:tc>
      </w:tr>
      <w:tr>
        <w:trPr>
          <w:trHeight w:val="186"/>
        </w:trPr>
        <w:tc>
          <w:tcPr>
            <w:tcW w:w="2280" w:type="dxa"/>
            <w:vAlign w:val="bottom"/>
          </w:tcPr>
          <w:p>
            <w:pPr>
              <w:spacing w:after="0"/>
              <w:rPr>
                <w:sz w:val="16"/>
                <w:szCs w:val="16"/>
                <w:color w:val="auto"/>
              </w:rPr>
            </w:pPr>
          </w:p>
        </w:tc>
        <w:tc>
          <w:tcPr>
            <w:tcW w:w="334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Attention: Scott M. Stanton, Esq.</w:t>
            </w:r>
          </w:p>
        </w:tc>
        <w:tc>
          <w:tcPr>
            <w:tcW w:w="0" w:type="dxa"/>
            <w:vAlign w:val="bottom"/>
          </w:tcPr>
          <w:p>
            <w:pPr>
              <w:spacing w:after="0"/>
              <w:rPr>
                <w:sz w:val="1"/>
                <w:szCs w:val="1"/>
                <w:color w:val="auto"/>
              </w:rPr>
            </w:pPr>
          </w:p>
        </w:tc>
      </w:tr>
      <w:tr>
        <w:trPr>
          <w:trHeight w:val="186"/>
        </w:trPr>
        <w:tc>
          <w:tcPr>
            <w:tcW w:w="2280" w:type="dxa"/>
            <w:vAlign w:val="bottom"/>
          </w:tcPr>
          <w:p>
            <w:pPr>
              <w:spacing w:after="0"/>
              <w:rPr>
                <w:sz w:val="16"/>
                <w:szCs w:val="16"/>
                <w:color w:val="auto"/>
              </w:rPr>
            </w:pPr>
          </w:p>
        </w:tc>
        <w:tc>
          <w:tcPr>
            <w:tcW w:w="1160" w:type="dxa"/>
            <w:vAlign w:val="bottom"/>
          </w:tcPr>
          <w:p>
            <w:pPr>
              <w:ind w:left="140"/>
              <w:spacing w:after="0"/>
              <w:rPr>
                <w:sz w:val="20"/>
                <w:szCs w:val="20"/>
                <w:color w:val="auto"/>
              </w:rPr>
            </w:pPr>
            <w:r>
              <w:rPr>
                <w:rFonts w:ascii="Courier New" w:cs="Courier New" w:eastAsia="Courier New" w:hAnsi="Courier New"/>
                <w:sz w:val="16"/>
                <w:szCs w:val="16"/>
                <w:color w:val="auto"/>
              </w:rPr>
              <w:t>Telephone:</w:t>
            </w:r>
          </w:p>
        </w:tc>
        <w:tc>
          <w:tcPr>
            <w:tcW w:w="218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(619) 677-1400</w:t>
            </w:r>
          </w:p>
        </w:tc>
        <w:tc>
          <w:tcPr>
            <w:tcW w:w="0" w:type="dxa"/>
            <w:vAlign w:val="bottom"/>
          </w:tcPr>
          <w:p>
            <w:pPr>
              <w:spacing w:after="0"/>
              <w:rPr>
                <w:sz w:val="1"/>
                <w:szCs w:val="1"/>
                <w:color w:val="auto"/>
              </w:rPr>
            </w:pPr>
          </w:p>
        </w:tc>
      </w:tr>
      <w:tr>
        <w:trPr>
          <w:trHeight w:val="273"/>
        </w:trPr>
        <w:tc>
          <w:tcPr>
            <w:tcW w:w="2280" w:type="dxa"/>
            <w:vAlign w:val="bottom"/>
          </w:tcPr>
          <w:p>
            <w:pPr>
              <w:spacing w:after="0"/>
              <w:rPr>
                <w:sz w:val="23"/>
                <w:szCs w:val="23"/>
                <w:color w:val="auto"/>
              </w:rPr>
            </w:pPr>
          </w:p>
        </w:tc>
        <w:tc>
          <w:tcPr>
            <w:tcW w:w="1160" w:type="dxa"/>
            <w:vAlign w:val="bottom"/>
          </w:tcPr>
          <w:p>
            <w:pPr>
              <w:ind w:left="140"/>
              <w:spacing w:after="0"/>
              <w:rPr>
                <w:sz w:val="20"/>
                <w:szCs w:val="20"/>
                <w:color w:val="auto"/>
              </w:rPr>
            </w:pPr>
            <w:r>
              <w:rPr>
                <w:rFonts w:ascii="Courier New" w:cs="Courier New" w:eastAsia="Courier New" w:hAnsi="Courier New"/>
                <w:sz w:val="16"/>
                <w:szCs w:val="16"/>
                <w:color w:val="auto"/>
              </w:rPr>
              <w:t>Facsimile:</w:t>
            </w:r>
          </w:p>
        </w:tc>
        <w:tc>
          <w:tcPr>
            <w:tcW w:w="218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(619) 677-1477</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ind w:right="2759"/>
        <w:spacing w:after="0" w:line="307" w:lineRule="auto"/>
        <w:rPr>
          <w:sz w:val="20"/>
          <w:szCs w:val="20"/>
          <w:color w:val="auto"/>
        </w:rPr>
      </w:pPr>
      <w:r>
        <w:rPr>
          <w:rFonts w:ascii="Courier New" w:cs="Courier New" w:eastAsia="Courier New" w:hAnsi="Courier New"/>
          <w:sz w:val="16"/>
          <w:szCs w:val="16"/>
          <w:color w:val="auto"/>
        </w:rPr>
        <w:t>or to such other address or facsimile number as the person to whom notice is given may have previously furnished to the other in writing in the manner set forth above.</w:t>
      </w:r>
    </w:p>
    <w:p>
      <w:pPr>
        <w:spacing w:after="0" w:line="50" w:lineRule="exact"/>
        <w:rPr>
          <w:sz w:val="20"/>
          <w:szCs w:val="20"/>
          <w:color w:val="auto"/>
        </w:rPr>
      </w:pPr>
    </w:p>
    <w:p>
      <w:pPr>
        <w:ind w:right="2659" w:firstLine="872"/>
        <w:spacing w:after="0" w:line="307" w:lineRule="auto"/>
        <w:rPr>
          <w:sz w:val="20"/>
          <w:szCs w:val="20"/>
          <w:color w:val="auto"/>
        </w:rPr>
      </w:pPr>
      <w:r>
        <w:rPr>
          <w:rFonts w:ascii="Courier New" w:cs="Courier New" w:eastAsia="Courier New" w:hAnsi="Courier New"/>
          <w:sz w:val="16"/>
          <w:szCs w:val="16"/>
          <w:color w:val="auto"/>
        </w:rPr>
        <w:t>SECTION 10.4 Governing Law. This Agreement shall be governed by and construed in accordance with the Laws of the State of Delaware, without giving effect to the choice of Law principles thereof.</w:t>
      </w:r>
    </w:p>
    <w:p>
      <w:pPr>
        <w:spacing w:after="0" w:line="50" w:lineRule="exact"/>
        <w:rPr>
          <w:sz w:val="20"/>
          <w:szCs w:val="20"/>
          <w:color w:val="auto"/>
        </w:rPr>
      </w:pPr>
    </w:p>
    <w:p>
      <w:pPr>
        <w:ind w:right="2459" w:firstLine="872"/>
        <w:spacing w:after="0" w:line="307" w:lineRule="auto"/>
        <w:rPr>
          <w:sz w:val="20"/>
          <w:szCs w:val="20"/>
          <w:color w:val="auto"/>
        </w:rPr>
      </w:pPr>
      <w:r>
        <w:rPr>
          <w:rFonts w:ascii="Courier New" w:cs="Courier New" w:eastAsia="Courier New" w:hAnsi="Courier New"/>
          <w:sz w:val="16"/>
          <w:szCs w:val="16"/>
          <w:color w:val="auto"/>
        </w:rPr>
        <w:t>SECTION 10.5 Descriptive Headings. The descriptive headings herein are inserted for convenience of reference only and are not intended to be part of or to affect the meaning or interpretation of this Agreement.</w:t>
      </w:r>
    </w:p>
    <w:p>
      <w:pPr>
        <w:spacing w:after="0" w:line="50" w:lineRule="exact"/>
        <w:rPr>
          <w:sz w:val="20"/>
          <w:szCs w:val="20"/>
          <w:color w:val="auto"/>
        </w:rPr>
      </w:pPr>
    </w:p>
    <w:p>
      <w:pPr>
        <w:ind w:right="2559" w:firstLine="872"/>
        <w:spacing w:after="0" w:line="270" w:lineRule="auto"/>
        <w:rPr>
          <w:sz w:val="20"/>
          <w:szCs w:val="20"/>
          <w:color w:val="auto"/>
        </w:rPr>
      </w:pPr>
      <w:r>
        <w:rPr>
          <w:rFonts w:ascii="Courier New" w:cs="Courier New" w:eastAsia="Courier New" w:hAnsi="Courier New"/>
          <w:sz w:val="16"/>
          <w:szCs w:val="16"/>
          <w:color w:val="auto"/>
        </w:rPr>
        <w:t>SECTION 10.6 Parties in Interest. This Agreement shall be binding upon and inure solely to the benefit of each party hereto and its successors and permitted assigns, and, except as provided in Section 7.5, nothing in this Agreement, express or implied, is intended to or shall confer upon any other person any rights, benefits, or remedies of any nature whatsoever under or by reason of this Agreement.</w:t>
      </w:r>
    </w:p>
    <w:p>
      <w:pPr>
        <w:spacing w:after="0" w:line="81" w:lineRule="exact"/>
        <w:rPr>
          <w:sz w:val="20"/>
          <w:szCs w:val="20"/>
          <w:color w:val="auto"/>
        </w:rPr>
      </w:pPr>
    </w:p>
    <w:p>
      <w:pPr>
        <w:ind w:right="2459" w:firstLine="872"/>
        <w:spacing w:after="0" w:line="257" w:lineRule="auto"/>
        <w:rPr>
          <w:sz w:val="20"/>
          <w:szCs w:val="20"/>
          <w:color w:val="auto"/>
        </w:rPr>
      </w:pPr>
      <w:r>
        <w:rPr>
          <w:rFonts w:ascii="Courier New" w:cs="Courier New" w:eastAsia="Courier New" w:hAnsi="Courier New"/>
          <w:sz w:val="16"/>
          <w:szCs w:val="16"/>
          <w:color w:val="auto"/>
        </w:rPr>
        <w:t>SECTION 10.7 Severability. The provisions of this Agreement shall be deemed severable and the invalidity or unenforceability of any provision shall not affect the validity or enforceability of the other provisions hereof. If any provision of this Agreement, or the application thereof to any person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spacing w:after="0" w:line="93" w:lineRule="exact"/>
        <w:rPr>
          <w:sz w:val="20"/>
          <w:szCs w:val="20"/>
          <w:color w:val="auto"/>
        </w:rPr>
      </w:pPr>
    </w:p>
    <w:p>
      <w:pPr>
        <w:ind w:right="2659" w:firstLine="872"/>
        <w:spacing w:after="0" w:line="276" w:lineRule="auto"/>
        <w:rPr>
          <w:sz w:val="20"/>
          <w:szCs w:val="20"/>
          <w:color w:val="auto"/>
        </w:rPr>
      </w:pPr>
      <w:r>
        <w:rPr>
          <w:rFonts w:ascii="Courier New" w:cs="Courier New" w:eastAsia="Courier New" w:hAnsi="Courier New"/>
          <w:sz w:val="16"/>
          <w:szCs w:val="16"/>
          <w:color w:val="auto"/>
        </w:rPr>
        <w:t>SECTION 10.8 Specific Performance.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w:t>
      </w:r>
    </w:p>
    <w:p>
      <w:pPr>
        <w:spacing w:after="0" w:line="26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273" w:right="1440" w:bottom="1440" w:gutter="0" w:footer="0" w:header="0"/>
        </w:sectPr>
      </w:pPr>
    </w:p>
    <w:bookmarkStart w:id="135" w:name="page136"/>
    <w:bookmarkEnd w:id="135"/>
    <w:p>
      <w:pPr>
        <w:ind w:left="300"/>
        <w:spacing w:after="0"/>
        <w:rPr>
          <w:sz w:val="20"/>
          <w:szCs w:val="20"/>
          <w:color w:val="auto"/>
        </w:rPr>
      </w:pPr>
      <w:r>
        <w:rPr>
          <w:rFonts w:ascii="Courier New" w:cs="Courier New" w:eastAsia="Courier New" w:hAnsi="Courier New"/>
          <w:sz w:val="16"/>
          <w:szCs w:val="16"/>
          <w:color w:val="auto"/>
        </w:rPr>
        <w:t>60</w:t>
      </w:r>
    </w:p>
    <w:p>
      <w:pPr>
        <w:spacing w:after="0" w:line="378" w:lineRule="exact"/>
        <w:rPr>
          <w:sz w:val="20"/>
          <w:szCs w:val="20"/>
          <w:color w:val="auto"/>
        </w:rPr>
      </w:pPr>
    </w:p>
    <w:p>
      <w:pPr>
        <w:ind w:right="2459"/>
        <w:spacing w:after="0" w:line="257" w:lineRule="auto"/>
        <w:rPr>
          <w:sz w:val="20"/>
          <w:szCs w:val="20"/>
          <w:color w:val="auto"/>
        </w:rPr>
      </w:pPr>
      <w:r>
        <w:rPr>
          <w:rFonts w:ascii="Courier New" w:cs="Courier New" w:eastAsia="Courier New" w:hAnsi="Courier New"/>
          <w:sz w:val="16"/>
          <w:szCs w:val="16"/>
          <w:color w:val="auto"/>
        </w:rPr>
        <w:t>and to enforce specifically the terms and provisions of this Agreement in any court of the United States located in the State of Delaware or in Delaware state court, this being in addition to any other remedy to which they are entitled at Law or in equity. In addition, each of the parties hereto (a) consents to submit itself to the personal jurisdiction of any federal court located in the State of Delaware or any Delaware state court in the event any dispute arises out of this Agreement or any of the transactions contemplated hereby, (b) agrees that it will not attempt to deny or defeat such personal jurisdiction by motion or other request for leave from any such court, and (c) agrees that it will not bring any action relating to this Agreement or any of the transactions contemplated hereby in any court other than a federal or state court sitting in the State of Delaware.</w:t>
      </w:r>
    </w:p>
    <w:p>
      <w:pPr>
        <w:spacing w:after="0" w:line="93" w:lineRule="exact"/>
        <w:rPr>
          <w:sz w:val="20"/>
          <w:szCs w:val="20"/>
          <w:color w:val="auto"/>
        </w:rPr>
      </w:pPr>
    </w:p>
    <w:p>
      <w:pPr>
        <w:ind w:right="2659" w:firstLine="872"/>
        <w:spacing w:after="0" w:line="287" w:lineRule="auto"/>
        <w:rPr>
          <w:sz w:val="20"/>
          <w:szCs w:val="20"/>
          <w:color w:val="auto"/>
        </w:rPr>
      </w:pPr>
      <w:r>
        <w:rPr>
          <w:rFonts w:ascii="Courier New" w:cs="Courier New" w:eastAsia="Courier New" w:hAnsi="Courier New"/>
          <w:sz w:val="16"/>
          <w:szCs w:val="16"/>
          <w:color w:val="auto"/>
        </w:rPr>
        <w:t>SECTION 10.9 Counterparts. This Agreement may be executed in two or more counterparts, all of which shall be considered one and the same agreement and shall become effective when one or more counterparts have been signed by each of the parties and delivered to the other parties.</w:t>
      </w:r>
    </w:p>
    <w:p>
      <w:pPr>
        <w:spacing w:after="0" w:line="6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SECTION 10.10 Interpretation.</w:t>
      </w:r>
    </w:p>
    <w:p>
      <w:pPr>
        <w:spacing w:after="0" w:line="191" w:lineRule="exact"/>
        <w:rPr>
          <w:sz w:val="20"/>
          <w:szCs w:val="20"/>
          <w:color w:val="auto"/>
        </w:rPr>
      </w:pPr>
    </w:p>
    <w:p>
      <w:pPr>
        <w:ind w:right="2459" w:firstLine="871"/>
        <w:spacing w:after="0" w:line="253" w:lineRule="auto"/>
        <w:tabs>
          <w:tab w:leader="none" w:pos="126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"hereof," "herein," "herewith," and words of similar import shall, unless otherwise stated, be construed to refer to this Agreement as a whole and not to any particular provision of this Agreement, and article, section, paragraph, exhibit, and schedule references are to the articles, sections, paragraphs, exhibits, and schedules of this Agreement unless otherwise specified. Whenever the words "include," "includes," or "including" are used in this Agreement, they shall be deemed to be followed by the words "without limitation." All terms defined in this Agreement shall have the defined meanings contained herein when used in any certificate or other document made or delivered pursuant hereto unless otherwise defined therein. The definitions contained in this Agreement are applicable to the singular as well as the plural forms of such terms and to the masculine as well as to the feminine and neuter genders of such terms. Any agreement, instrument, or statute defined or referred to herein or in any agreement or instrument that is referred to herein means such agreement, instrument, or statute as from time to time, amended, qualified or supplemented, including (in the case of agreements and instruments) by waiver or consent and (in the case of statutes) by succession of comparable successor statutes and all attachments thereto and instruments incorporated therein. References to a person are also to its permitted successors and assigns.</w:t>
      </w:r>
    </w:p>
    <w:p>
      <w:pPr>
        <w:spacing w:after="0" w:line="96" w:lineRule="exact"/>
        <w:rPr>
          <w:rFonts w:ascii="Courier New" w:cs="Courier New" w:eastAsia="Courier New" w:hAnsi="Courier New"/>
          <w:sz w:val="16"/>
          <w:szCs w:val="16"/>
          <w:color w:val="auto"/>
        </w:rPr>
      </w:pPr>
    </w:p>
    <w:p>
      <w:pPr>
        <w:ind w:right="2559" w:firstLine="871"/>
        <w:spacing w:after="0" w:line="276" w:lineRule="auto"/>
        <w:tabs>
          <w:tab w:leader="none" w:pos="126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phrases "the date of this Agreement," "the date hereof," and terms of similar import, unless the context otherwise requires, shall be deemed to refer to May 3, 1999. The phrase "made available" in this agreement shall mean that the information referred to has been actually delivered to the party to whom such information is to be made available.</w:t>
      </w:r>
    </w:p>
    <w:p>
      <w:pPr>
        <w:spacing w:after="0" w:line="75" w:lineRule="exact"/>
        <w:rPr>
          <w:rFonts w:ascii="Courier New" w:cs="Courier New" w:eastAsia="Courier New" w:hAnsi="Courier New"/>
          <w:sz w:val="16"/>
          <w:szCs w:val="16"/>
          <w:color w:val="auto"/>
        </w:rPr>
      </w:pPr>
    </w:p>
    <w:p>
      <w:pPr>
        <w:ind w:right="2659" w:firstLine="871"/>
        <w:spacing w:after="0" w:line="270" w:lineRule="auto"/>
        <w:tabs>
          <w:tab w:leader="none" w:pos="126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provisions of this Agreement.</w:t>
      </w:r>
    </w:p>
    <w:p>
      <w:pPr>
        <w:spacing w:after="0" w:line="26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273" w:right="1440" w:bottom="1440" w:gutter="0" w:footer="0" w:header="0"/>
        </w:sectPr>
      </w:pPr>
    </w:p>
    <w:bookmarkStart w:id="136" w:name="page137"/>
    <w:bookmarkEnd w:id="136"/>
    <w:p>
      <w:pPr>
        <w:ind w:left="301"/>
        <w:spacing w:after="0"/>
        <w:rPr>
          <w:sz w:val="20"/>
          <w:szCs w:val="20"/>
          <w:color w:val="auto"/>
        </w:rPr>
      </w:pPr>
      <w:r>
        <w:rPr>
          <w:rFonts w:ascii="Courier New" w:cs="Courier New" w:eastAsia="Courier New" w:hAnsi="Courier New"/>
          <w:sz w:val="16"/>
          <w:szCs w:val="16"/>
          <w:color w:val="auto"/>
        </w:rPr>
        <w:t>61</w:t>
      </w:r>
    </w:p>
    <w:p>
      <w:pPr>
        <w:spacing w:after="0" w:line="378"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SECTION 10.11 Definitions. As used herein,</w:t>
      </w:r>
    </w:p>
    <w:p>
      <w:pPr>
        <w:spacing w:after="0" w:line="191" w:lineRule="exact"/>
        <w:rPr>
          <w:sz w:val="20"/>
          <w:szCs w:val="20"/>
          <w:color w:val="auto"/>
        </w:rPr>
      </w:pPr>
    </w:p>
    <w:p>
      <w:pPr>
        <w:ind w:left="1" w:right="2459" w:firstLine="871"/>
        <w:spacing w:after="0" w:line="257" w:lineRule="auto"/>
        <w:tabs>
          <w:tab w:leader="none" w:pos="1260" w:val="left"/>
        </w:tabs>
        <w:numPr>
          <w:ilvl w:val="1"/>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 PROPOSAL" means an inquiry, offer, or proposal regarding any of the following (other than the transactions contemplated by this Agreement) involving the Company or any of its subsidiaries: (i) any merger, consolidation, share exchange, recapitalization, business combination, or other similar transaction; (ii) any sale, lease, exchange, mortgage, pledge, transfer, or other disposition of all or substantially all the assets of the Company and its subsidiaries, taken as a whole, in a single transaction or series of related transactions; (iii) any tender offer or exchange offer for 20% or more of the outstanding Shares or the filing of a registration statement under the Securities Act in connection therewith; or (iv) any public announcement of a proposal, plan or intention to do any of the foregoing or any agreement to engage in any of the foregoing.</w:t>
      </w:r>
    </w:p>
    <w:p>
      <w:pPr>
        <w:spacing w:after="0" w:line="93" w:lineRule="exact"/>
        <w:rPr>
          <w:rFonts w:ascii="Courier New" w:cs="Courier New" w:eastAsia="Courier New" w:hAnsi="Courier New"/>
          <w:sz w:val="16"/>
          <w:szCs w:val="16"/>
          <w:color w:val="auto"/>
        </w:rPr>
      </w:pPr>
    </w:p>
    <w:p>
      <w:pPr>
        <w:ind w:left="1" w:right="2959" w:firstLine="871"/>
        <w:spacing w:after="0" w:line="307" w:lineRule="auto"/>
        <w:tabs>
          <w:tab w:leader="none" w:pos="1260" w:val="left"/>
        </w:tabs>
        <w:numPr>
          <w:ilvl w:val="1"/>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"BENEFICIAL OWNERSHIP" or "BENEFICIALLY OWN" has the meaning provided in Section 13(d) of the Exchange Act and the rules and regulations thereunder.</w:t>
      </w:r>
    </w:p>
    <w:p>
      <w:pPr>
        <w:spacing w:after="0" w:line="49" w:lineRule="exact"/>
        <w:rPr>
          <w:rFonts w:ascii="Courier New" w:cs="Courier New" w:eastAsia="Courier New" w:hAnsi="Courier New"/>
          <w:sz w:val="16"/>
          <w:szCs w:val="16"/>
          <w:color w:val="auto"/>
        </w:rPr>
      </w:pPr>
    </w:p>
    <w:p>
      <w:pPr>
        <w:ind w:left="1" w:right="2559" w:firstLine="871"/>
        <w:spacing w:after="0" w:line="259" w:lineRule="auto"/>
        <w:tabs>
          <w:tab w:leader="none" w:pos="1260" w:val="left"/>
        </w:tabs>
        <w:numPr>
          <w:ilvl w:val="1"/>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"CONTINUING DIRECTOR" means (i) any member of the Company Board as of the date hereof, or (ii) any successor of a Continuing Director who is (A) unaffiliated with, and not a designee or nominee, of Parent or MergerSub, and</w:t>
      </w:r>
    </w:p>
    <w:p>
      <w:pPr>
        <w:spacing w:after="0" w:line="2" w:lineRule="exact"/>
        <w:rPr>
          <w:rFonts w:ascii="Courier New" w:cs="Courier New" w:eastAsia="Courier New" w:hAnsi="Courier New"/>
          <w:sz w:val="16"/>
          <w:szCs w:val="16"/>
          <w:color w:val="auto"/>
        </w:rPr>
      </w:pPr>
    </w:p>
    <w:p>
      <w:pPr>
        <w:ind w:left="1" w:right="2459" w:hanging="1"/>
        <w:spacing w:after="0" w:line="287" w:lineRule="auto"/>
        <w:tabs>
          <w:tab w:leader="none" w:pos="388"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recommended to succeed a Continuing Director by a majority of the Continuing Directors then on the Company Board, and in each case under clauses (i) and (ii), who is not an employee of the Company.</w:t>
      </w:r>
    </w:p>
    <w:p>
      <w:pPr>
        <w:spacing w:after="0" w:line="65" w:lineRule="exact"/>
        <w:rPr>
          <w:rFonts w:ascii="Courier New" w:cs="Courier New" w:eastAsia="Courier New" w:hAnsi="Courier New"/>
          <w:sz w:val="16"/>
          <w:szCs w:val="16"/>
          <w:color w:val="auto"/>
        </w:rPr>
      </w:pPr>
    </w:p>
    <w:p>
      <w:pPr>
        <w:ind w:left="1" w:right="2559" w:firstLine="871"/>
        <w:spacing w:after="0" w:line="264" w:lineRule="auto"/>
        <w:tabs>
          <w:tab w:leader="none" w:pos="1260" w:val="left"/>
        </w:tabs>
        <w:numPr>
          <w:ilvl w:val="1"/>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"KNOW" or "KNOWLEDGE" means, in respect of the Company, the knowledge of (i) Manher D. Naik, Chief Executive Officer of the Company, (ii) Donald E. Paulus, Chief Operating Officer of the Company, (iii) Dr. Ramesh Sirsi, Executive Vice President, Marketing and Sales of the Company, (iv) David Satterfield, Vice President, Finance and Administration of the Company, and (v) Dr. Wolfram Beyer, Managing Director of the German Subsidiary, after due inquiry, including inquiry of such party's counsel and other officers or employees of such party responsible for the relevant matter.</w:t>
      </w:r>
    </w:p>
    <w:p>
      <w:pPr>
        <w:spacing w:after="0" w:line="82" w:lineRule="exact"/>
        <w:rPr>
          <w:rFonts w:ascii="Courier New" w:cs="Courier New" w:eastAsia="Courier New" w:hAnsi="Courier New"/>
          <w:sz w:val="16"/>
          <w:szCs w:val="16"/>
          <w:color w:val="auto"/>
        </w:rPr>
      </w:pPr>
    </w:p>
    <w:p>
      <w:pPr>
        <w:ind w:left="1" w:right="2459" w:firstLine="871"/>
        <w:spacing w:after="0" w:line="253" w:lineRule="auto"/>
        <w:tabs>
          <w:tab w:leader="none" w:pos="1260" w:val="left"/>
        </w:tabs>
        <w:numPr>
          <w:ilvl w:val="1"/>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ADVERSE EFFECT" means in respect of any entity, any change, circumstance, or effect that, individually or in the aggregate with all other changes, circumstances, and effects, is or is reasonably likely to be materially adverse to (i) the assets, properties, condition (financial or otherwise), or results of operations of such entity and its subsidiaries taken as a whole, or (ii) the ability of such party to consummate the transactions contemplated by this Agreement; provided, however, that in respect of the Company, none of the following shall be deemed by itself or themselves, either alone or in combination, to constitute a Material Adverse Effect: (a) a failure by the Company to meet internal earnings or revenue projections or the published earnings or revenue projections of equity analysts (provided, that the foregoing shall not prevent Parent or MergerSub from asserting that any underlying cause of such failure independently constitutes such a Material Adverse Effect); (b) conditions affecting the semiconductor industry as a whole, the automotive industry as a whole, or the U.S. economy as a whole; or (c) any disruption of customer relationship arising directly out of or resulting directly from actions contemplated by the parties hereto in connection with, or which is directly attributable to the announcement of this Agreement and the transactions contemplated hereby.</w:t>
      </w:r>
    </w:p>
    <w:p>
      <w:pPr>
        <w:spacing w:after="0" w:line="283"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20"/>
          </w:cols>
          <w:pgMar w:left="239" w:top="273" w:right="1440" w:bottom="1440" w:gutter="0" w:footer="0" w:header="0"/>
        </w:sectPr>
      </w:pPr>
    </w:p>
    <w:bookmarkStart w:id="137" w:name="page138"/>
    <w:bookmarkEnd w:id="137"/>
    <w:p>
      <w:pPr>
        <w:spacing w:after="0"/>
        <w:rPr>
          <w:sz w:val="20"/>
          <w:szCs w:val="20"/>
          <w:color w:val="auto"/>
        </w:rPr>
      </w:pPr>
      <w:r>
        <w:rPr>
          <w:rFonts w:ascii="Courier New" w:cs="Courier New" w:eastAsia="Courier New" w:hAnsi="Courier New"/>
          <w:sz w:val="16"/>
          <w:szCs w:val="16"/>
          <w:color w:val="auto"/>
        </w:rPr>
        <w:t>62</w:t>
      </w:r>
    </w:p>
    <w:p>
      <w:pPr>
        <w:spacing w:after="0" w:line="378" w:lineRule="exact"/>
        <w:rPr>
          <w:sz w:val="20"/>
          <w:szCs w:val="20"/>
          <w:color w:val="auto"/>
        </w:rPr>
      </w:pPr>
    </w:p>
    <w:p>
      <w:pPr>
        <w:ind w:left="-300" w:right="2859" w:firstLine="871"/>
        <w:spacing w:after="0" w:line="307" w:lineRule="auto"/>
        <w:tabs>
          <w:tab w:leader="none" w:pos="960"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means an individual, corporation, limited liability company, partnership, association, trust, unincorporated organization, other entity or group (as defined in the Exchange Act).</w:t>
      </w:r>
    </w:p>
    <w:p>
      <w:pPr>
        <w:spacing w:after="0" w:line="49" w:lineRule="exact"/>
        <w:rPr>
          <w:rFonts w:ascii="Courier New" w:cs="Courier New" w:eastAsia="Courier New" w:hAnsi="Courier New"/>
          <w:sz w:val="16"/>
          <w:szCs w:val="16"/>
          <w:color w:val="auto"/>
        </w:rPr>
      </w:pPr>
    </w:p>
    <w:p>
      <w:pPr>
        <w:ind w:left="-300" w:right="2459" w:firstLine="871"/>
        <w:spacing w:after="0" w:line="258" w:lineRule="auto"/>
        <w:tabs>
          <w:tab w:leader="none" w:pos="960"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means, in respect of any party, any corporation, partnership, or other entity or organization, whether incorporated or unincorporated, of which (i) such other party or any other subsidiary of such party is a general partner (excluding such partnerships where such party or any subsidiary of such party does not have a majority of the voting interest in such partnership) or (ii) at least a majority of the securities or other interests having by their terms ordinary voting power to elect a majority of the board of directors or others performing similar functions in respect of such corporation or other organization is directly or indirectly owned or controlled by such party or by any one or more of its subsidiaries, or by such party and one or more of its subsidiaries.</w:t>
      </w:r>
    </w:p>
    <w:p>
      <w:pPr>
        <w:spacing w:after="0" w:line="200" w:lineRule="exact"/>
        <w:rPr>
          <w:sz w:val="20"/>
          <w:szCs w:val="20"/>
          <w:color w:val="auto"/>
        </w:rPr>
      </w:pPr>
    </w:p>
    <w:p>
      <w:pPr>
        <w:spacing w:after="0" w:line="26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[THE REMAINDER OF THIS PAGE IS INTENTIONALLY LEFT BLANK]</w:t>
      </w:r>
    </w:p>
    <w:p>
      <w:pPr>
        <w:spacing w:after="0" w:line="378"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9919"/>
          </w:cols>
          <w:pgMar w:left="540" w:top="273" w:right="1440" w:bottom="1440" w:gutter="0" w:footer="0" w:header="0"/>
        </w:sectPr>
      </w:pPr>
    </w:p>
    <w:bookmarkStart w:id="138" w:name="page139"/>
    <w:bookmarkEnd w:id="138"/>
    <w:p>
      <w:pPr>
        <w:ind w:left="300"/>
        <w:spacing w:after="0"/>
        <w:rPr>
          <w:sz w:val="20"/>
          <w:szCs w:val="20"/>
          <w:color w:val="auto"/>
        </w:rPr>
      </w:pPr>
      <w:r>
        <w:rPr>
          <w:rFonts w:ascii="Courier New" w:cs="Courier New" w:eastAsia="Courier New" w:hAnsi="Courier New"/>
          <w:sz w:val="16"/>
          <w:szCs w:val="16"/>
          <w:color w:val="auto"/>
        </w:rPr>
        <w:t>63</w:t>
      </w:r>
    </w:p>
    <w:p>
      <w:pPr>
        <w:spacing w:after="0" w:line="378" w:lineRule="exact"/>
        <w:rPr>
          <w:sz w:val="20"/>
          <w:szCs w:val="20"/>
          <w:color w:val="auto"/>
        </w:rPr>
      </w:pPr>
    </w:p>
    <w:p>
      <w:pPr>
        <w:ind w:right="2459" w:firstLine="872"/>
        <w:spacing w:after="0" w:line="367" w:lineRule="auto"/>
        <w:rPr>
          <w:sz w:val="20"/>
          <w:szCs w:val="20"/>
          <w:color w:val="auto"/>
        </w:rPr>
      </w:pPr>
      <w:r>
        <w:rPr>
          <w:rFonts w:ascii="Courier New" w:cs="Courier New" w:eastAsia="Courier New" w:hAnsi="Courier New"/>
          <w:sz w:val="16"/>
          <w:szCs w:val="16"/>
          <w:color w:val="auto"/>
        </w:rPr>
        <w:t>IN WITNESS WHEREOF, each of the parties has caused this Agreement to be duly executed on its behalf as of the date first above written.</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TEXAS INSTRUMENTS INCORPORATED</w:t>
      </w:r>
    </w:p>
    <w:p>
      <w:pPr>
        <w:sectPr>
          <w:pgSz w:w="11900" w:h="16838" w:orient="portrait"/>
          <w:cols w:equalWidth="0" w:num="1">
            <w:col w:w="10219"/>
          </w:cols>
          <w:pgMar w:left="240" w:top="273" w:right="1440" w:bottom="1440" w:gutter="0" w:footer="0" w:header="0"/>
        </w:sectPr>
      </w:pPr>
    </w:p>
    <w:p>
      <w:pPr>
        <w:spacing w:after="0" w:line="378"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/s/ WILLIAM A. AYLESWORTH</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Name:</w:t>
        <w:tab/>
        <w:t>William A. Aylesworth</w:t>
      </w:r>
    </w:p>
    <w:p>
      <w:pPr>
        <w:spacing w:after="0" w:line="5"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Title:</w:t>
        <w:tab/>
        <w:t>Senior Vice President, Chief Financial</w:t>
      </w:r>
    </w:p>
    <w:p>
      <w:pPr>
        <w:spacing w:after="0" w:line="5"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Officer, and Treasurer</w:t>
      </w:r>
    </w:p>
    <w:p>
      <w:pPr>
        <w:spacing w:after="0" w:line="200" w:lineRule="exact"/>
        <w:rPr>
          <w:sz w:val="20"/>
          <w:szCs w:val="20"/>
          <w:color w:val="auto"/>
        </w:rPr>
      </w:pPr>
    </w:p>
    <w:p>
      <w:pPr>
        <w:sectPr>
          <w:pgSz w:w="11900" w:h="16838" w:orient="portrait"/>
          <w:cols w:equalWidth="0" w:num="2">
            <w:col w:w="3300" w:space="0"/>
            <w:col w:w="6919"/>
          </w:cols>
          <w:pgMar w:left="240" w:top="273" w:right="1440" w:bottom="1440" w:gutter="0" w:footer="0" w:header="0"/>
          <w:type w:val="continuous"/>
        </w:sectPr>
      </w:pPr>
    </w:p>
    <w:p>
      <w:pPr>
        <w:spacing w:after="0" w:line="334"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SENSOR ACQUISITION CORPORATION</w:t>
      </w:r>
    </w:p>
    <w:p>
      <w:pPr>
        <w:sectPr>
          <w:pgSz w:w="11900" w:h="16838" w:orient="portrait"/>
          <w:cols w:equalWidth="0" w:num="1">
            <w:col w:w="10219"/>
          </w:cols>
          <w:pgMar w:left="240" w:top="273" w:right="1440" w:bottom="1440" w:gutter="0" w:footer="0" w:header="0"/>
          <w:type w:val="continuous"/>
        </w:sectPr>
      </w:pPr>
    </w:p>
    <w:p>
      <w:pPr>
        <w:spacing w:after="0" w:line="378"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/s/ WILLIAM A. AYLESWORTH</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Name:</w:t>
        <w:tab/>
        <w:t>William A. Aylesworth</w:t>
      </w:r>
    </w:p>
    <w:p>
      <w:pPr>
        <w:spacing w:after="0" w:line="5"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Title:</w:t>
        <w:tab/>
        <w:t>Vice President</w:t>
      </w:r>
    </w:p>
    <w:p>
      <w:pPr>
        <w:spacing w:after="0" w:line="200" w:lineRule="exact"/>
        <w:rPr>
          <w:sz w:val="20"/>
          <w:szCs w:val="20"/>
          <w:color w:val="auto"/>
        </w:rPr>
      </w:pPr>
    </w:p>
    <w:p>
      <w:pPr>
        <w:sectPr>
          <w:pgSz w:w="11900" w:h="16838" w:orient="portrait"/>
          <w:cols w:equalWidth="0" w:num="2">
            <w:col w:w="3300" w:space="0"/>
            <w:col w:w="6919"/>
          </w:cols>
          <w:pgMar w:left="240" w:top="273" w:right="1440" w:bottom="1440" w:gutter="0" w:footer="0" w:header="0"/>
          <w:type w:val="continuous"/>
        </w:sectPr>
      </w:pPr>
    </w:p>
    <w:p>
      <w:pPr>
        <w:spacing w:after="0" w:line="334"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INTEGRATED SENSOR SOLUTIONS, INC.</w:t>
      </w:r>
    </w:p>
    <w:p>
      <w:pPr>
        <w:sectPr>
          <w:pgSz w:w="11900" w:h="16838" w:orient="portrait"/>
          <w:cols w:equalWidth="0" w:num="1">
            <w:col w:w="10219"/>
          </w:cols>
          <w:pgMar w:left="240" w:top="273" w:right="1440" w:bottom="1440" w:gutter="0" w:footer="0" w:header="0"/>
          <w:type w:val="continuous"/>
        </w:sectPr>
      </w:pPr>
    </w:p>
    <w:p>
      <w:pPr>
        <w:spacing w:after="0" w:line="378"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/s/ MANHER D. NAIK</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Name:</w:t>
        <w:tab/>
        <w:t>Manher D. Naik</w:t>
      </w:r>
    </w:p>
    <w:p>
      <w:pPr>
        <w:spacing w:after="0" w:line="5"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Title:</w:t>
        <w:tab/>
        <w:t>Chairman, President, and Chief</w:t>
      </w:r>
    </w:p>
    <w:p>
      <w:pPr>
        <w:spacing w:after="0" w:line="5"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Executive Officer</w:t>
      </w:r>
    </w:p>
    <w:p>
      <w:pPr>
        <w:spacing w:after="0" w:line="200" w:lineRule="exact"/>
        <w:rPr>
          <w:sz w:val="20"/>
          <w:szCs w:val="20"/>
          <w:color w:val="auto"/>
        </w:rPr>
      </w:pPr>
    </w:p>
    <w:p>
      <w:pPr>
        <w:sectPr>
          <w:pgSz w:w="11900" w:h="16838" w:orient="portrait"/>
          <w:cols w:equalWidth="0" w:num="2">
            <w:col w:w="3300" w:space="0"/>
            <w:col w:w="6919"/>
          </w:cols>
          <w:pgMar w:left="240" w:top="273" w:right="1440" w:bottom="1440" w:gutter="0" w:footer="0" w:header="0"/>
          <w:type w:val="continuous"/>
        </w:sectPr>
      </w:pPr>
    </w:p>
    <w:p>
      <w:pPr>
        <w:spacing w:after="0" w:line="33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273" w:right="1440" w:bottom="1440" w:gutter="0" w:footer="0" w:header="0"/>
          <w:type w:val="continuous"/>
        </w:sectPr>
      </w:pPr>
    </w:p>
    <w:bookmarkStart w:id="139" w:name="page140"/>
    <w:bookmarkEnd w:id="139"/>
    <w:p>
      <w:pPr>
        <w:ind w:left="301"/>
        <w:spacing w:after="0"/>
        <w:rPr>
          <w:sz w:val="20"/>
          <w:szCs w:val="20"/>
          <w:color w:val="auto"/>
        </w:rPr>
      </w:pPr>
      <w:r>
        <w:rPr>
          <w:rFonts w:ascii="Courier New" w:cs="Courier New" w:eastAsia="Courier New" w:hAnsi="Courier New"/>
          <w:sz w:val="16"/>
          <w:szCs w:val="16"/>
          <w:color w:val="auto"/>
        </w:rPr>
        <w:t>64</w:t>
      </w:r>
    </w:p>
    <w:p>
      <w:pPr>
        <w:spacing w:after="0" w:line="3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ANNEX A</w:t>
      </w:r>
    </w:p>
    <w:p>
      <w:pPr>
        <w:spacing w:after="0" w:line="161" w:lineRule="exact"/>
        <w:rPr>
          <w:sz w:val="20"/>
          <w:szCs w:val="20"/>
          <w:color w:val="auto"/>
        </w:rPr>
      </w:pPr>
    </w:p>
    <w:p>
      <w:pPr>
        <w:ind w:left="2801"/>
        <w:spacing w:after="0"/>
        <w:rPr>
          <w:sz w:val="20"/>
          <w:szCs w:val="20"/>
          <w:color w:val="auto"/>
        </w:rPr>
      </w:pPr>
      <w:r>
        <w:rPr>
          <w:rFonts w:ascii="Courier New" w:cs="Courier New" w:eastAsia="Courier New" w:hAnsi="Courier New"/>
          <w:sz w:val="16"/>
          <w:szCs w:val="16"/>
          <w:color w:val="auto"/>
        </w:rPr>
        <w:t>CONDITIONS TO THE OFFER</w:t>
      </w:r>
    </w:p>
    <w:p>
      <w:pPr>
        <w:spacing w:after="0" w:line="191" w:lineRule="exact"/>
        <w:rPr>
          <w:sz w:val="20"/>
          <w:szCs w:val="20"/>
          <w:color w:val="auto"/>
        </w:rPr>
      </w:pPr>
    </w:p>
    <w:p>
      <w:pPr>
        <w:ind w:left="1" w:right="2459" w:firstLine="872"/>
        <w:spacing w:after="0" w:line="253" w:lineRule="auto"/>
        <w:rPr>
          <w:sz w:val="20"/>
          <w:szCs w:val="20"/>
          <w:color w:val="auto"/>
        </w:rPr>
      </w:pPr>
      <w:r>
        <w:rPr>
          <w:rFonts w:ascii="Courier New" w:cs="Courier New" w:eastAsia="Courier New" w:hAnsi="Courier New"/>
          <w:sz w:val="16"/>
          <w:szCs w:val="16"/>
          <w:color w:val="auto"/>
        </w:rPr>
        <w:t>Capitalized terms used but not defined herein shall have the meanings set forth in the Agreement and Plan of Merger of which this ANNEX A is a part. Notwithstanding any other provision of the Offer, MergerSub shall not be required to accept for payment or, subject to any applicable rules and regulations of the SEC, including Rule 14e-1(c) under the Exchange Act (relating to MergerSub's obligation to pay for or return tendered Shares promptly after termination or withdrawal of the Offer), pay for, and may delay the acceptance for payment of or, subject to the restriction referred to above, the payment for, any tendered Shares, and, subject to the terms of the Merger Agreement, may amend the Offer or terminate the Offer and not accept for payment any tendered Shares, if (i) there shall not have been validly tendered and not withdrawn prior to the expiration of the Offer such number of Shares which, when added to the Shares, if any, beneficially owned by Parent or MergerSub, would constitute at least a majority of the Shares outstanding on a fully diluted basis (the "MINIMUM CONDITION"), (ii) any applicable waiting period under the HSR Act or the German Cartel Act has not expired or been terminated prior to the expiration of the Offer, and/or (iii) at any time on or after the date of the Merger Agreement and prior to the time of acceptance of Shares for payment pursuant to the Offer, any of the following events shall occur:</w:t>
      </w:r>
    </w:p>
    <w:p>
      <w:pPr>
        <w:spacing w:after="0" w:line="97" w:lineRule="exact"/>
        <w:rPr>
          <w:sz w:val="20"/>
          <w:szCs w:val="20"/>
          <w:color w:val="auto"/>
        </w:rPr>
      </w:pPr>
    </w:p>
    <w:p>
      <w:pPr>
        <w:ind w:left="1" w:right="2459" w:firstLine="871"/>
        <w:spacing w:after="0" w:line="253" w:lineRule="auto"/>
        <w:tabs>
          <w:tab w:leader="none" w:pos="1260" w:val="left"/>
        </w:tabs>
        <w:numPr>
          <w:ilvl w:val="1"/>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be pending any action, suit, or proceeding (i) seeking to prohibit or impose any material limitations on Parent's or MergerSub's ownership or operation (or that of any of their respective subsidiaries or affiliates) of all or a material portion of their or the Company's businesses or assets, (ii) seeking to compel Parent or MergerSub or their respective subsidiaries and affiliates to dispose of or hold separate any material portion of the business or assets of the Company or Parent and their respective subsidiaries, in each case taken as a whole, (iii) challenging the acquisition by Parent or MergerSub of any Shares pursuant to the Offer, (iv) seeking to enjoin or prohibit the making or consummation of the Offer, the Merger, or the performance of any of the other Transactions, (v) seeking to impose material limitations on the ability of MergerSub, or rendering MergerSub unable, to accept for payment, pay for, or purchase some or all of the Shares pursuant to the Offer and the Merger, (vi) seeking to impose material limitations on the ability of MergerSub or Parent effectively to exercise full rights of ownership of the Shares, including, without limitation, the right to vote the Shares purchased by it on all matters properly presented to the Company's stockholders, or (vii) which otherwise is reasonably likely to have a Material Adverse Effect on the Company or, as a result of the Transactions, Parent, and its subsidiaries; or</w:t>
      </w:r>
    </w:p>
    <w:p>
      <w:pPr>
        <w:spacing w:after="0" w:line="91" w:lineRule="exact"/>
        <w:rPr>
          <w:rFonts w:ascii="Courier New" w:cs="Courier New" w:eastAsia="Courier New" w:hAnsi="Courier New"/>
          <w:sz w:val="16"/>
          <w:szCs w:val="16"/>
          <w:color w:val="auto"/>
        </w:rPr>
      </w:pPr>
    </w:p>
    <w:p>
      <w:pPr>
        <w:ind w:left="1" w:right="2559" w:firstLine="871"/>
        <w:spacing w:after="0" w:line="253" w:lineRule="auto"/>
        <w:tabs>
          <w:tab w:leader="none" w:pos="1260" w:val="left"/>
        </w:tabs>
        <w:numPr>
          <w:ilvl w:val="1"/>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be any Law, judgment, order, or injunction enacted, entered, enforced, promulgated or deemed applicable to the Offer or the Merger, or any other action shall be taken by any Governmental Entity, other than the application to the Offer or the Merger of applicable waiting periods under the HSR Act or the German Cartel Act, that is reasonably likely to result, directly or indirectly, in any of the consequences referred to in clauses (i) through</w:t>
      </w:r>
    </w:p>
    <w:p>
      <w:pPr>
        <w:spacing w:after="0" w:line="1" w:lineRule="exact"/>
        <w:rPr>
          <w:rFonts w:ascii="Courier New" w:cs="Courier New" w:eastAsia="Courier New" w:hAnsi="Courier New"/>
          <w:sz w:val="16"/>
          <w:szCs w:val="16"/>
          <w:color w:val="auto"/>
        </w:rPr>
      </w:pPr>
    </w:p>
    <w:p>
      <w:pPr>
        <w:ind w:left="581" w:hanging="581"/>
        <w:spacing w:after="0"/>
        <w:tabs>
          <w:tab w:leader="none" w:pos="581"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paragraph (a) above; or</w:t>
      </w:r>
    </w:p>
    <w:p>
      <w:pPr>
        <w:spacing w:after="0" w:line="161" w:lineRule="exact"/>
        <w:rPr>
          <w:sz w:val="20"/>
          <w:szCs w:val="20"/>
          <w:color w:val="auto"/>
        </w:rPr>
      </w:pPr>
    </w:p>
    <w:p>
      <w:pPr>
        <w:ind w:left="3581"/>
        <w:spacing w:after="0"/>
        <w:rPr>
          <w:sz w:val="20"/>
          <w:szCs w:val="20"/>
          <w:color w:val="auto"/>
        </w:rPr>
      </w:pPr>
      <w:r>
        <w:rPr>
          <w:rFonts w:ascii="Courier New" w:cs="Courier New" w:eastAsia="Courier New" w:hAnsi="Courier New"/>
          <w:sz w:val="16"/>
          <w:szCs w:val="16"/>
          <w:color w:val="auto"/>
        </w:rPr>
        <w:t>A - 1</w:t>
      </w:r>
    </w:p>
    <w:p>
      <w:pPr>
        <w:sectPr>
          <w:pgSz w:w="11900" w:h="16838" w:orient="portrait"/>
          <w:cols w:equalWidth="0" w:num="1">
            <w:col w:w="10220"/>
          </w:cols>
          <w:pgMar w:left="239" w:top="273" w:right="1440" w:bottom="1440" w:gutter="0" w:footer="0" w:header="0"/>
        </w:sectPr>
      </w:pPr>
    </w:p>
    <w:bookmarkStart w:id="140" w:name="page141"/>
    <w:bookmarkEnd w:id="140"/>
    <w:p>
      <w:pPr>
        <w:ind w:left="301"/>
        <w:spacing w:after="0"/>
        <w:rPr>
          <w:sz w:val="20"/>
          <w:szCs w:val="20"/>
          <w:color w:val="auto"/>
        </w:rPr>
      </w:pPr>
      <w:r>
        <w:rPr>
          <w:rFonts w:ascii="Courier New" w:cs="Courier New" w:eastAsia="Courier New" w:hAnsi="Courier New"/>
          <w:sz w:val="16"/>
          <w:szCs w:val="16"/>
          <w:color w:val="auto"/>
        </w:rPr>
        <w:t>65</w:t>
      </w:r>
    </w:p>
    <w:p>
      <w:pPr>
        <w:spacing w:after="0" w:line="191" w:lineRule="exact"/>
        <w:rPr>
          <w:sz w:val="20"/>
          <w:szCs w:val="20"/>
          <w:color w:val="auto"/>
        </w:rPr>
      </w:pPr>
    </w:p>
    <w:p>
      <w:pPr>
        <w:ind w:left="1" w:right="2459" w:firstLine="871"/>
        <w:spacing w:after="0" w:line="256" w:lineRule="auto"/>
        <w:tabs>
          <w:tab w:leader="none" w:pos="1260" w:val="left"/>
        </w:tabs>
        <w:numPr>
          <w:ilvl w:val="1"/>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of the Company set forth in the Merger Agreement shall not be true and accurate as of the date of consummation of the Offer as though made on or as of such date (except for those representations and warranties that address matters only as of a particular date or only in respect of a specific time which need only be true and accurate as of such date or in respect of such period) or the Company shall have breached or failed to perform or comply with any obligation, agreement, or covenant required by the Merger Agreement to be performed or complied with by it except, in each case where the failure of such representations and warranties to be true and accurate (without giving effect to any limitation as to "materiality" or "material adverse effect" set forth therein), or the failure to perform or comply with such obligations, agreements, or covenants, do not, individually or in the aggregate, have a Material Adverse Effect on the Company or a materially adverse effect on the ability to consummate the Offer or the Merger; or</w:t>
      </w:r>
    </w:p>
    <w:p>
      <w:pPr>
        <w:spacing w:after="0" w:line="88" w:lineRule="exact"/>
        <w:rPr>
          <w:rFonts w:ascii="Courier New" w:cs="Courier New" w:eastAsia="Courier New" w:hAnsi="Courier New"/>
          <w:sz w:val="16"/>
          <w:szCs w:val="16"/>
          <w:color w:val="auto"/>
        </w:rPr>
      </w:pPr>
    </w:p>
    <w:p>
      <w:pPr>
        <w:jc w:val="both"/>
        <w:ind w:left="1" w:right="2559" w:firstLine="871"/>
        <w:spacing w:after="0" w:line="307" w:lineRule="auto"/>
        <w:tabs>
          <w:tab w:leader="none" w:pos="1260" w:val="left"/>
        </w:tabs>
        <w:numPr>
          <w:ilvl w:val="1"/>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have delivered to Parent and MergerSub fully executed copies of each consent or other agreement required pursuant to Section 3.2(c) of the Merger Agreement; or</w:t>
      </w:r>
    </w:p>
    <w:p>
      <w:pPr>
        <w:spacing w:after="0" w:line="49" w:lineRule="exact"/>
        <w:rPr>
          <w:rFonts w:ascii="Courier New" w:cs="Courier New" w:eastAsia="Courier New" w:hAnsi="Courier New"/>
          <w:sz w:val="16"/>
          <w:szCs w:val="16"/>
          <w:color w:val="auto"/>
        </w:rPr>
      </w:pPr>
    </w:p>
    <w:p>
      <w:pPr>
        <w:ind w:left="1" w:right="2659" w:firstLine="871"/>
        <w:spacing w:after="0" w:line="307" w:lineRule="auto"/>
        <w:tabs>
          <w:tab w:leader="none" w:pos="1260" w:val="left"/>
        </w:tabs>
        <w:numPr>
          <w:ilvl w:val="1"/>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have occurred any events or changes which have had or which are reasonably likely to have or constitute, individually or in the aggregate, a Material Adverse Effect on the Company; or</w:t>
      </w:r>
    </w:p>
    <w:p>
      <w:pPr>
        <w:spacing w:after="0" w:line="49" w:lineRule="exact"/>
        <w:rPr>
          <w:rFonts w:ascii="Courier New" w:cs="Courier New" w:eastAsia="Courier New" w:hAnsi="Courier New"/>
          <w:sz w:val="16"/>
          <w:szCs w:val="16"/>
          <w:color w:val="auto"/>
        </w:rPr>
      </w:pPr>
    </w:p>
    <w:p>
      <w:pPr>
        <w:jc w:val="both"/>
        <w:ind w:left="1" w:right="2459" w:firstLine="871"/>
        <w:spacing w:after="0" w:line="259" w:lineRule="auto"/>
        <w:tabs>
          <w:tab w:leader="none" w:pos="1260" w:val="left"/>
        </w:tabs>
        <w:numPr>
          <w:ilvl w:val="1"/>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Board (i) shall have withdrawn, modified, or changed in a manner adverse to Parent or MergerSub (including, by amendment of the Schedule 14D-9) its recommendation of the Offer, the Merger Agreement, or the Merger,</w:t>
      </w:r>
    </w:p>
    <w:p>
      <w:pPr>
        <w:spacing w:after="0" w:line="2" w:lineRule="exact"/>
        <w:rPr>
          <w:rFonts w:ascii="Courier New" w:cs="Courier New" w:eastAsia="Courier New" w:hAnsi="Courier New"/>
          <w:sz w:val="16"/>
          <w:szCs w:val="16"/>
          <w:color w:val="auto"/>
        </w:rPr>
      </w:pPr>
    </w:p>
    <w:p>
      <w:pPr>
        <w:ind w:left="1" w:right="2659" w:hanging="1"/>
        <w:spacing w:after="0" w:line="273" w:lineRule="auto"/>
        <w:tabs>
          <w:tab w:leader="none" w:pos="485"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have recommended an Acquisition Proposal, (iii) shall have adopted any resolution to effect any of the foregoing, or (iv) upon request of MergerSub, shall fail to reaffirm its approval or recommendation of the Offer, the Merger Agreement, or the Merger; or</w:t>
      </w:r>
    </w:p>
    <w:p>
      <w:pPr>
        <w:spacing w:after="0" w:line="77" w:lineRule="exact"/>
        <w:rPr>
          <w:rFonts w:ascii="Courier New" w:cs="Courier New" w:eastAsia="Courier New" w:hAnsi="Courier New"/>
          <w:sz w:val="16"/>
          <w:szCs w:val="16"/>
          <w:color w:val="auto"/>
        </w:rPr>
      </w:pPr>
    </w:p>
    <w:p>
      <w:pPr>
        <w:ind w:left="1261" w:hanging="389"/>
        <w:spacing w:after="0"/>
        <w:tabs>
          <w:tab w:leader="none" w:pos="1261" w:val="left"/>
        </w:tabs>
        <w:numPr>
          <w:ilvl w:val="1"/>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Agreement shall have been terminated in accordance with</w:t>
      </w:r>
    </w:p>
    <w:p>
      <w:pPr>
        <w:spacing w:after="0" w:line="3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its terms; or</w:t>
      </w:r>
    </w:p>
    <w:p>
      <w:pPr>
        <w:spacing w:after="0" w:line="161" w:lineRule="exact"/>
        <w:rPr>
          <w:rFonts w:ascii="Courier New" w:cs="Courier New" w:eastAsia="Courier New" w:hAnsi="Courier New"/>
          <w:sz w:val="16"/>
          <w:szCs w:val="16"/>
          <w:color w:val="auto"/>
        </w:rPr>
      </w:pPr>
    </w:p>
    <w:p>
      <w:pPr>
        <w:ind w:left="1" w:right="2559" w:firstLine="871"/>
        <w:spacing w:after="0" w:line="287" w:lineRule="auto"/>
        <w:tabs>
          <w:tab w:leader="none" w:pos="1260" w:val="left"/>
        </w:tabs>
        <w:numPr>
          <w:ilvl w:val="1"/>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have acquired all of the outstanding capital stock of the German Subsidiary pursuant to Subsidiary Stock Purchase Agreement or shall not otherwise be the sole holder of all of the outstanding capital stock of the German Subsidiary.</w:t>
      </w:r>
    </w:p>
    <w:p>
      <w:pPr>
        <w:spacing w:after="0" w:line="65" w:lineRule="exact"/>
        <w:rPr>
          <w:sz w:val="20"/>
          <w:szCs w:val="20"/>
          <w:color w:val="auto"/>
        </w:rPr>
      </w:pPr>
    </w:p>
    <w:p>
      <w:pPr>
        <w:ind w:left="1" w:right="2459" w:firstLine="872"/>
        <w:spacing w:after="0" w:line="270" w:lineRule="auto"/>
        <w:rPr>
          <w:sz w:val="20"/>
          <w:szCs w:val="20"/>
          <w:color w:val="auto"/>
        </w:rPr>
      </w:pPr>
      <w:r>
        <w:rPr>
          <w:rFonts w:ascii="Courier New" w:cs="Courier New" w:eastAsia="Courier New" w:hAnsi="Courier New"/>
          <w:sz w:val="16"/>
          <w:szCs w:val="16"/>
          <w:color w:val="auto"/>
        </w:rPr>
        <w:t>The foregoing conditions are for the sole benefit of Parent and MergerSub and may be waived by Parent or MergerSub, in whole or in part, at any time and from time to time, in the sole discretion of Parent or MergerSub. The failure by Parent or MergerSub at any time to exercise any of the foregoing rights shall not be deemed a waiver of any right and each such right shall be deemed an ongoing right which may be asserted at any time and from time to time.</w:t>
      </w:r>
    </w:p>
    <w:p>
      <w:pPr>
        <w:spacing w:after="0" w:line="267" w:lineRule="exact"/>
        <w:rPr>
          <w:sz w:val="20"/>
          <w:szCs w:val="20"/>
          <w:color w:val="auto"/>
        </w:rPr>
      </w:pPr>
    </w:p>
    <w:p>
      <w:pPr>
        <w:ind w:left="3581"/>
        <w:spacing w:after="0"/>
        <w:rPr>
          <w:sz w:val="20"/>
          <w:szCs w:val="20"/>
          <w:color w:val="auto"/>
        </w:rPr>
      </w:pPr>
      <w:r>
        <w:rPr>
          <w:rFonts w:ascii="Courier New" w:cs="Courier New" w:eastAsia="Courier New" w:hAnsi="Courier New"/>
          <w:sz w:val="16"/>
          <w:szCs w:val="16"/>
          <w:color w:val="auto"/>
        </w:rPr>
        <w:t>A - 2</w:t>
      </w:r>
    </w:p>
    <w:p>
      <w:pPr>
        <w:sectPr>
          <w:pgSz w:w="11900" w:h="16838" w:orient="portrait"/>
          <w:cols w:equalWidth="0" w:num="1">
            <w:col w:w="10220"/>
          </w:cols>
          <w:pgMar w:left="239" w:top="273" w:right="1440" w:bottom="1440" w:gutter="0" w:footer="0" w:header="0"/>
        </w:sectPr>
      </w:pPr>
    </w:p>
    <w:bookmarkStart w:id="141" w:name="page142"/>
    <w:bookmarkEnd w:id="141"/>
    <w:p>
      <w:pPr>
        <w:ind w:left="300"/>
        <w:spacing w:after="0"/>
        <w:rPr>
          <w:sz w:val="20"/>
          <w:szCs w:val="20"/>
          <w:color w:val="auto"/>
        </w:rPr>
      </w:pPr>
      <w:r>
        <w:rPr>
          <w:rFonts w:ascii="Courier New" w:cs="Courier New" w:eastAsia="Courier New" w:hAnsi="Courier New"/>
          <w:sz w:val="16"/>
          <w:szCs w:val="16"/>
          <w:color w:val="auto"/>
        </w:rPr>
        <w:t>1</w:t>
      </w:r>
    </w:p>
    <w:p>
      <w:pPr>
        <w:spacing w:after="0" w:line="35" w:lineRule="exact"/>
        <w:rPr>
          <w:sz w:val="20"/>
          <w:szCs w:val="20"/>
          <w:color w:val="auto"/>
        </w:rPr>
      </w:pPr>
    </w:p>
    <w:p>
      <w:pPr>
        <w:ind w:left="6000"/>
        <w:spacing w:after="0"/>
        <w:rPr>
          <w:sz w:val="20"/>
          <w:szCs w:val="20"/>
          <w:color w:val="auto"/>
        </w:rPr>
      </w:pPr>
      <w:r>
        <w:rPr>
          <w:rFonts w:ascii="Courier New" w:cs="Courier New" w:eastAsia="Courier New" w:hAnsi="Courier New"/>
          <w:sz w:val="16"/>
          <w:szCs w:val="16"/>
          <w:color w:val="auto"/>
        </w:rPr>
        <w:t>EXHIBIT 99 (c)(2)</w:t>
      </w:r>
    </w:p>
    <w:p>
      <w:pPr>
        <w:spacing w:after="0" w:line="348"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STOCKHOLDERS AGREEMENT</w:t>
      </w:r>
    </w:p>
    <w:p>
      <w:pPr>
        <w:spacing w:after="0" w:line="191" w:lineRule="exact"/>
        <w:rPr>
          <w:sz w:val="20"/>
          <w:szCs w:val="20"/>
          <w:color w:val="auto"/>
        </w:rPr>
      </w:pPr>
    </w:p>
    <w:p>
      <w:pPr>
        <w:ind w:right="2459" w:firstLine="872"/>
        <w:spacing w:after="0" w:line="261" w:lineRule="auto"/>
        <w:rPr>
          <w:sz w:val="20"/>
          <w:szCs w:val="20"/>
          <w:color w:val="auto"/>
        </w:rPr>
      </w:pPr>
      <w:r>
        <w:rPr>
          <w:rFonts w:ascii="Courier New" w:cs="Courier New" w:eastAsia="Courier New" w:hAnsi="Courier New"/>
          <w:sz w:val="16"/>
          <w:szCs w:val="16"/>
          <w:color w:val="auto"/>
        </w:rPr>
        <w:t>THIS AGREEMENT (this "AGREEMENT") dated as of May 3, 1999, among SENSOR ACQUISITION CORPORATION, a Delaware corporation ("BUYER"), and the holders ("STOCKHOLDERS") of shares of capital stock of INTEGRATED SENSOR SOLUTIONS, INC., a Delaware corporation (the "COMPANY"), identified on the signature pages hereof. Capitalized terms used without definition herein shall have the meanings assigned to such terms in the Agreement and Plan of Merger of even date herewith (as amended from time to time, the "MERGER AGREEMENT") among the Company, Buyer, and Texas Instruments Incorporated, a Delaware corporation and the parent of Buyer ("PARENT").</w:t>
      </w:r>
    </w:p>
    <w:p>
      <w:pPr>
        <w:spacing w:after="0" w:line="89" w:lineRule="exact"/>
        <w:rPr>
          <w:sz w:val="20"/>
          <w:szCs w:val="20"/>
          <w:color w:val="auto"/>
        </w:rPr>
      </w:pPr>
    </w:p>
    <w:p>
      <w:pPr>
        <w:ind w:right="2559" w:firstLine="872"/>
        <w:spacing w:after="0" w:line="276" w:lineRule="auto"/>
        <w:rPr>
          <w:sz w:val="20"/>
          <w:szCs w:val="20"/>
          <w:color w:val="auto"/>
        </w:rPr>
      </w:pPr>
      <w:r>
        <w:rPr>
          <w:rFonts w:ascii="Courier New" w:cs="Courier New" w:eastAsia="Courier New" w:hAnsi="Courier New"/>
          <w:sz w:val="16"/>
          <w:szCs w:val="16"/>
          <w:color w:val="auto"/>
        </w:rPr>
        <w:t>WHEREAS, in order to induce Buyer and Parent to enter into the Merger Agreement with the Company, Buyer has requested the Stockholders, and the Stockholders have agreed, to enter into this Agreement in respect of all shares of capital stock of the Company beneficially owned by the Stockholders (the "SHARES"); and</w:t>
      </w:r>
    </w:p>
    <w:p>
      <w:pPr>
        <w:spacing w:after="0" w:line="76" w:lineRule="exact"/>
        <w:rPr>
          <w:sz w:val="20"/>
          <w:szCs w:val="20"/>
          <w:color w:val="auto"/>
        </w:rPr>
      </w:pPr>
    </w:p>
    <w:p>
      <w:pPr>
        <w:ind w:right="2759" w:firstLine="872"/>
        <w:spacing w:after="0" w:line="307" w:lineRule="auto"/>
        <w:rPr>
          <w:sz w:val="20"/>
          <w:szCs w:val="20"/>
          <w:color w:val="auto"/>
        </w:rPr>
      </w:pPr>
      <w:r>
        <w:rPr>
          <w:rFonts w:ascii="Courier New" w:cs="Courier New" w:eastAsia="Courier New" w:hAnsi="Courier New"/>
          <w:sz w:val="16"/>
          <w:szCs w:val="16"/>
          <w:color w:val="auto"/>
        </w:rPr>
        <w:t>WHEREAS, subject to certain conditions and pursuant to the Merger Agreement, Buyer shall commence an offer (the "OFFER") to purchase all of the outstanding shares of Company Common Stock.</w:t>
      </w:r>
    </w:p>
    <w:p>
      <w:pPr>
        <w:spacing w:after="0" w:line="50"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NOW, THEREFORE, the parties hereto agree as follows:</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ARTICLE I</w:t>
      </w:r>
    </w:p>
    <w:p>
      <w:pPr>
        <w:spacing w:after="0" w:line="3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GRANT OF PROXY; VOTING AGREEMENT; AGREEMENT TO TENDER</w:t>
      </w:r>
    </w:p>
    <w:p>
      <w:pPr>
        <w:spacing w:after="0" w:line="161" w:lineRule="exact"/>
        <w:rPr>
          <w:sz w:val="20"/>
          <w:szCs w:val="20"/>
          <w:color w:val="auto"/>
        </w:rPr>
      </w:pPr>
    </w:p>
    <w:p>
      <w:pPr>
        <w:ind w:right="2459" w:firstLine="872"/>
        <w:spacing w:after="0" w:line="258" w:lineRule="auto"/>
        <w:rPr>
          <w:sz w:val="20"/>
          <w:szCs w:val="20"/>
          <w:color w:val="auto"/>
        </w:rPr>
      </w:pPr>
      <w:r>
        <w:rPr>
          <w:rFonts w:ascii="Courier New" w:cs="Courier New" w:eastAsia="Courier New" w:hAnsi="Courier New"/>
          <w:sz w:val="16"/>
          <w:szCs w:val="16"/>
          <w:color w:val="auto"/>
        </w:rPr>
        <w:t>SECTION 1.1 Voting Agreement. Each of the Stockholders hereby agrees to vote all Shares that such Stockholder is entitled to vote at the time of any vote to approve and adopt the Merger Agreement, the Merger, and all agreements related to the Merger and any actions related thereto at any meeting of the stockholders of the Company, and at any adjournment thereof, at which such Merger Agreement and other related agreements (or any amended version thereof), or such other actions, are submitted for the consideration and vote of the stockholders of the Company. Each Stockholder hereby agrees that it will not vote any Shares in favor of the approval of any (i) Acquisition Proposal or (ii) reorganization, recapitalization, liquidation, or winding up of the Company or any other extraordinary transaction involving the Company.</w:t>
      </w:r>
    </w:p>
    <w:p>
      <w:pPr>
        <w:spacing w:after="0" w:line="93" w:lineRule="exact"/>
        <w:rPr>
          <w:sz w:val="20"/>
          <w:szCs w:val="20"/>
          <w:color w:val="auto"/>
        </w:rPr>
      </w:pPr>
    </w:p>
    <w:p>
      <w:pPr>
        <w:ind w:right="2459" w:firstLine="872"/>
        <w:spacing w:after="0" w:line="255" w:lineRule="auto"/>
        <w:rPr>
          <w:sz w:val="20"/>
          <w:szCs w:val="20"/>
          <w:color w:val="auto"/>
        </w:rPr>
      </w:pPr>
      <w:r>
        <w:rPr>
          <w:rFonts w:ascii="Courier New" w:cs="Courier New" w:eastAsia="Courier New" w:hAnsi="Courier New"/>
          <w:sz w:val="16"/>
          <w:szCs w:val="16"/>
          <w:color w:val="auto"/>
        </w:rPr>
        <w:t>SECTION 1.2 Irrevocable Proxy. Each Stockholder hereby revokes any and all previous proxies granted in respect of the Shares. By entering into this Agreement, each Stockholder hereby grants a proxy appointing Buyer as such Stockholder's attorney-in-fact and proxy, with full power of substitution, for and in such Stockholder's name, to vote, express, consent, or dissent or otherwise to utilize such voting power in the manner contemplated by Section 1.1 as Buyer or its proxy or substitute shall, in Buyer's sole discretion, deem proper in respect of the Shares. The proxy granted by each Stockholder pursuant to this Article I is irrevocable and is granted in consideration of Buyer entering into this Agreement and the Merger Agreement and incurring certain related fees and expenses. The proxy granted by each Stockholder shall be revoked upon termination of this Agreement in accordance with its terms. Each Stockholder shall use its best effort to cause any record owner of Shares to grant to Buyer a proxy to the same effect as that contained herein. Each Stockholder shall perform such further</w:t>
      </w:r>
    </w:p>
    <w:p>
      <w:pPr>
        <w:sectPr>
          <w:pgSz w:w="11900" w:h="16838" w:orient="portrait"/>
          <w:cols w:equalWidth="0" w:num="1">
            <w:col w:w="10219"/>
          </w:cols>
          <w:pgMar w:left="240" w:top="112" w:right="1440" w:bottom="1440" w:gutter="0" w:footer="0" w:header="0"/>
        </w:sectPr>
      </w:pPr>
    </w:p>
    <w:bookmarkStart w:id="142" w:name="page143"/>
    <w:bookmarkEnd w:id="142"/>
    <w:p>
      <w:pPr>
        <w:ind w:left="301"/>
        <w:spacing w:after="0"/>
        <w:rPr>
          <w:sz w:val="20"/>
          <w:szCs w:val="20"/>
          <w:color w:val="auto"/>
        </w:rPr>
      </w:pPr>
      <w:r>
        <w:rPr>
          <w:rFonts w:ascii="Courier New" w:cs="Courier New" w:eastAsia="Courier New" w:hAnsi="Courier New"/>
          <w:sz w:val="16"/>
          <w:szCs w:val="16"/>
          <w:color w:val="auto"/>
        </w:rPr>
        <w:t>2</w:t>
      </w:r>
    </w:p>
    <w:p>
      <w:pPr>
        <w:spacing w:after="0" w:line="378" w:lineRule="exact"/>
        <w:rPr>
          <w:sz w:val="20"/>
          <w:szCs w:val="20"/>
          <w:color w:val="auto"/>
        </w:rPr>
      </w:pPr>
    </w:p>
    <w:p>
      <w:pPr>
        <w:jc w:val="both"/>
        <w:ind w:left="1" w:right="2559"/>
        <w:spacing w:after="0" w:line="307" w:lineRule="auto"/>
        <w:rPr>
          <w:sz w:val="20"/>
          <w:szCs w:val="20"/>
          <w:color w:val="auto"/>
        </w:rPr>
      </w:pPr>
      <w:r>
        <w:rPr>
          <w:rFonts w:ascii="Courier New" w:cs="Courier New" w:eastAsia="Courier New" w:hAnsi="Courier New"/>
          <w:sz w:val="16"/>
          <w:szCs w:val="16"/>
          <w:color w:val="auto"/>
        </w:rPr>
        <w:t>acts and execute such further documents as may be required to vest in Buyer the sole power to vote the Shares in accordance with this Agreement during the term of the proxy granted herein.</w:t>
      </w:r>
    </w:p>
    <w:p>
      <w:pPr>
        <w:spacing w:after="0" w:line="50" w:lineRule="exact"/>
        <w:rPr>
          <w:sz w:val="20"/>
          <w:szCs w:val="20"/>
          <w:color w:val="auto"/>
        </w:rPr>
      </w:pPr>
    </w:p>
    <w:p>
      <w:pPr>
        <w:ind w:left="1" w:right="2459" w:firstLine="872"/>
        <w:spacing w:after="0" w:line="264" w:lineRule="auto"/>
        <w:rPr>
          <w:sz w:val="20"/>
          <w:szCs w:val="20"/>
          <w:color w:val="auto"/>
        </w:rPr>
      </w:pPr>
      <w:r>
        <w:rPr>
          <w:rFonts w:ascii="Courier New" w:cs="Courier New" w:eastAsia="Courier New" w:hAnsi="Courier New"/>
          <w:sz w:val="16"/>
          <w:szCs w:val="16"/>
          <w:color w:val="auto"/>
        </w:rPr>
        <w:t>SECTION 1.3 Agreement to Tender. Each Stockholder hereby agrees to tender, upon the request of Buyer (and agrees that it will not withdraw), pursuant to and in accordance with the terms of the Offer, the Shares. Within five business days after the commencement of the Offer, each Stockholder shall deliver to the depositary designated in the Offer (i) a letter of transmittal in respect of the Shares complying with the terms of the Offer, (ii) certificates representing the Shares, and (iii) all other documents or instruments required to be delivered pursuant to the terms of the Offer.</w:t>
      </w:r>
    </w:p>
    <w:p>
      <w:pPr>
        <w:spacing w:after="0" w:line="82"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ARTICLE II</w:t>
      </w:r>
    </w:p>
    <w:p>
      <w:pPr>
        <w:spacing w:after="0" w:line="3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REPRESENTATIONS AND WARRANTIES OF STOCKHOLDERS</w:t>
      </w:r>
    </w:p>
    <w:p>
      <w:pPr>
        <w:spacing w:after="0" w:line="161"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Each Stockholder represents and warrants to Buyer that:</w:t>
      </w:r>
    </w:p>
    <w:p>
      <w:pPr>
        <w:spacing w:after="0" w:line="191" w:lineRule="exact"/>
        <w:rPr>
          <w:sz w:val="20"/>
          <w:szCs w:val="20"/>
          <w:color w:val="auto"/>
        </w:rPr>
      </w:pPr>
    </w:p>
    <w:p>
      <w:pPr>
        <w:ind w:left="1" w:right="2459" w:firstLine="872"/>
        <w:spacing w:after="0" w:line="270" w:lineRule="auto"/>
        <w:rPr>
          <w:sz w:val="20"/>
          <w:szCs w:val="20"/>
          <w:color w:val="auto"/>
        </w:rPr>
      </w:pPr>
      <w:r>
        <w:rPr>
          <w:rFonts w:ascii="Courier New" w:cs="Courier New" w:eastAsia="Courier New" w:hAnsi="Courier New"/>
          <w:sz w:val="16"/>
          <w:szCs w:val="16"/>
          <w:color w:val="auto"/>
        </w:rPr>
        <w:t>SECTION 2.1 Power; Binding Effect. Such Stockholder has the legal capacity, power, and authority to enter into, deliver, and perform all of such Stockholder's obligations under this Agreement. This Agreement has been duly and validly executed by such Stockholder and constitutes a valid and binding Agreement of Stockholder, enforceable against such Stockholder in accordance with its terms.</w:t>
      </w:r>
    </w:p>
    <w:p>
      <w:pPr>
        <w:spacing w:after="0" w:line="81" w:lineRule="exact"/>
        <w:rPr>
          <w:sz w:val="20"/>
          <w:szCs w:val="20"/>
          <w:color w:val="auto"/>
        </w:rPr>
      </w:pPr>
    </w:p>
    <w:p>
      <w:pPr>
        <w:ind w:left="1" w:right="2459" w:firstLine="872"/>
        <w:spacing w:after="0" w:line="253" w:lineRule="auto"/>
        <w:rPr>
          <w:sz w:val="20"/>
          <w:szCs w:val="20"/>
          <w:color w:val="auto"/>
        </w:rPr>
      </w:pPr>
      <w:r>
        <w:rPr>
          <w:rFonts w:ascii="Courier New" w:cs="Courier New" w:eastAsia="Courier New" w:hAnsi="Courier New"/>
          <w:sz w:val="16"/>
          <w:szCs w:val="16"/>
          <w:color w:val="auto"/>
        </w:rPr>
        <w:t>SECTION 2.2 Non-Contravention. The execution, delivery, and performance by Stockholder of this Agreement and the consummation of the transactions contemplated hereby do not and will not (i) violate the certificate of incorporation or bylaws (or other similar organizational or governing documents) of any such Stockholder that is a corporation or other entity, (ii) violate any Law, judgment, injunction, order, or decree applicable to such Stockholder,</w:t>
      </w:r>
    </w:p>
    <w:p>
      <w:pPr>
        <w:spacing w:after="0" w:line="2" w:lineRule="exact"/>
        <w:rPr>
          <w:sz w:val="20"/>
          <w:szCs w:val="20"/>
          <w:color w:val="auto"/>
        </w:rPr>
      </w:pPr>
    </w:p>
    <w:p>
      <w:pPr>
        <w:ind w:left="1" w:right="2559" w:hanging="1"/>
        <w:spacing w:after="0" w:line="246" w:lineRule="auto"/>
        <w:tabs>
          <w:tab w:leader="none" w:pos="582"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 any consent or other action by any Person under, constitute a default under, or give rise to any right of termination, cancellation, or acceleration or to a loss of any benefit to which Stockholder is entitled under any provision of any agreement or other instrument binding on Stockholder, or</w:t>
      </w:r>
    </w:p>
    <w:p>
      <w:pPr>
        <w:spacing w:after="0" w:line="2"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result in the imposition of any Lien on any asset of Stockholder.</w:t>
      </w:r>
    </w:p>
    <w:p>
      <w:pPr>
        <w:spacing w:after="0" w:line="161" w:lineRule="exact"/>
        <w:rPr>
          <w:sz w:val="20"/>
          <w:szCs w:val="20"/>
          <w:color w:val="auto"/>
        </w:rPr>
      </w:pPr>
    </w:p>
    <w:p>
      <w:pPr>
        <w:ind w:left="1" w:right="2459" w:firstLine="872"/>
        <w:spacing w:after="0" w:line="276" w:lineRule="auto"/>
        <w:rPr>
          <w:sz w:val="20"/>
          <w:szCs w:val="20"/>
          <w:color w:val="auto"/>
        </w:rPr>
      </w:pPr>
      <w:r>
        <w:rPr>
          <w:rFonts w:ascii="Courier New" w:cs="Courier New" w:eastAsia="Courier New" w:hAnsi="Courier New"/>
          <w:sz w:val="16"/>
          <w:szCs w:val="16"/>
          <w:color w:val="auto"/>
        </w:rPr>
        <w:t>SECTION 2.3 Ownership of Shares. Stockholder is the beneficial owner of the Shares, free and clear of any Lien and any other limitation or restriction (including, any restriction on the right to vote or otherwise dispose of the Shares). None of the Shares is subject to any voting trust or other agreement or arrangement in respect of the voting of such Shares.</w:t>
      </w:r>
    </w:p>
    <w:p>
      <w:pPr>
        <w:spacing w:after="0" w:line="76" w:lineRule="exact"/>
        <w:rPr>
          <w:sz w:val="20"/>
          <w:szCs w:val="20"/>
          <w:color w:val="auto"/>
        </w:rPr>
      </w:pPr>
    </w:p>
    <w:p>
      <w:pPr>
        <w:ind w:left="1" w:right="2559" w:firstLine="872"/>
        <w:spacing w:after="0" w:line="266" w:lineRule="auto"/>
        <w:rPr>
          <w:sz w:val="20"/>
          <w:szCs w:val="20"/>
          <w:color w:val="auto"/>
        </w:rPr>
      </w:pPr>
      <w:r>
        <w:rPr>
          <w:rFonts w:ascii="Courier New" w:cs="Courier New" w:eastAsia="Courier New" w:hAnsi="Courier New"/>
          <w:sz w:val="16"/>
          <w:szCs w:val="16"/>
          <w:color w:val="auto"/>
        </w:rPr>
        <w:t>SECTION 2.4 Total Shares. Except for the Shares set forth on the signature page hereto, Stockholder does not beneficially own any (i) shares of capital stock or voting securities of the Company, (ii) securities of the Company convertible into or exchangeable for shares of capital stock or voting securities of the Company, or (iii) options or other rights to acquire from the Company any capital stock, voting securities, or securities convertible into or exchangeable for capital stock or voting securities of the Company.</w:t>
      </w:r>
    </w:p>
    <w:p>
      <w:pPr>
        <w:spacing w:after="0" w:line="27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0"/>
          </w:cols>
          <w:pgMar w:left="239" w:top="273" w:right="1440" w:bottom="1440" w:gutter="0" w:footer="0" w:header="0"/>
        </w:sectPr>
      </w:pPr>
    </w:p>
    <w:bookmarkStart w:id="143" w:name="page144"/>
    <w:bookmarkEnd w:id="143"/>
    <w:p>
      <w:pPr>
        <w:ind w:left="300"/>
        <w:spacing w:after="0"/>
        <w:rPr>
          <w:sz w:val="20"/>
          <w:szCs w:val="20"/>
          <w:color w:val="auto"/>
        </w:rPr>
      </w:pPr>
      <w:r>
        <w:rPr>
          <w:rFonts w:ascii="Courier New" w:cs="Courier New" w:eastAsia="Courier New" w:hAnsi="Courier New"/>
          <w:sz w:val="16"/>
          <w:szCs w:val="16"/>
          <w:color w:val="auto"/>
        </w:rPr>
        <w:t>3</w:t>
      </w:r>
    </w:p>
    <w:p>
      <w:pPr>
        <w:spacing w:after="0" w:line="378"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III</w:t>
      </w:r>
    </w:p>
    <w:p>
      <w:pPr>
        <w:spacing w:after="0" w:line="35"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REPRESENTATIONS AND WARRANTIES OF BUYER</w:t>
      </w:r>
    </w:p>
    <w:p>
      <w:pPr>
        <w:spacing w:after="0" w:line="16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Buyer represents and warrants to each Stockholder:</w:t>
      </w:r>
    </w:p>
    <w:p>
      <w:pPr>
        <w:spacing w:after="0" w:line="191" w:lineRule="exact"/>
        <w:rPr>
          <w:sz w:val="20"/>
          <w:szCs w:val="20"/>
          <w:color w:val="auto"/>
        </w:rPr>
      </w:pPr>
    </w:p>
    <w:p>
      <w:pPr>
        <w:ind w:right="2759" w:firstLine="872"/>
        <w:spacing w:after="0" w:line="276" w:lineRule="auto"/>
        <w:rPr>
          <w:sz w:val="20"/>
          <w:szCs w:val="20"/>
          <w:color w:val="auto"/>
        </w:rPr>
      </w:pPr>
      <w:r>
        <w:rPr>
          <w:rFonts w:ascii="Courier New" w:cs="Courier New" w:eastAsia="Courier New" w:hAnsi="Courier New"/>
          <w:sz w:val="16"/>
          <w:szCs w:val="16"/>
          <w:color w:val="auto"/>
        </w:rPr>
        <w:t>SECTION 3.1 Corporate Authorization. The execution, delivery, and performance by Buyer of this Agreement and the consummation by Buyer of the transactions contemplated hereby are within the corporate powers of Buyer and have been duly authorized by all necessary corporate action. This Agreement constitutes a valid and binding Agreement of Buyer.</w:t>
      </w:r>
    </w:p>
    <w:p>
      <w:pPr>
        <w:spacing w:after="0" w:line="76"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ARTICLE IV</w:t>
      </w:r>
    </w:p>
    <w:p>
      <w:pPr>
        <w:spacing w:after="0" w:line="3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COVENANTS OF STOCKHOLDERS</w:t>
      </w:r>
    </w:p>
    <w:p>
      <w:pPr>
        <w:spacing w:after="0" w:line="16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Each Stockholder hereby covenants and agrees that:</w:t>
      </w:r>
    </w:p>
    <w:p>
      <w:pPr>
        <w:spacing w:after="0" w:line="191" w:lineRule="exact"/>
        <w:rPr>
          <w:sz w:val="20"/>
          <w:szCs w:val="20"/>
          <w:color w:val="auto"/>
        </w:rPr>
      </w:pPr>
    </w:p>
    <w:p>
      <w:pPr>
        <w:ind w:right="2459" w:firstLine="872"/>
        <w:spacing w:after="0" w:line="256" w:lineRule="auto"/>
        <w:rPr>
          <w:sz w:val="20"/>
          <w:szCs w:val="20"/>
          <w:color w:val="auto"/>
        </w:rPr>
      </w:pPr>
      <w:r>
        <w:rPr>
          <w:rFonts w:ascii="Courier New" w:cs="Courier New" w:eastAsia="Courier New" w:hAnsi="Courier New"/>
          <w:sz w:val="16"/>
          <w:szCs w:val="16"/>
          <w:color w:val="auto"/>
        </w:rPr>
        <w:t>SECTION 4.1 No Proxies for or Encumbrances on Shares. Except pursuant to the terms of this Agreement, Stockholder shall not, without the prior written consent of Buyer, directly or indirectly, (i) grant any proxies or enter into any voting trust or other agreement or arrangement in respect of the voting of any Shares in respect of the matters described in Section 1.1 or (ii) acquire, sell, assign, transfer, encumber, or otherwise dispose of, or enter into any contract, option, or other arrangement or understanding in respect of the direct or indirect acquisition or sale, assignment, transfer, encumbrance, or other disposition of, any Shares during the term of this Agreement. Stockholder shall not seek or solicit any such acquisition or sale, assignment, transfer, encumbrance, or other disposition or any such contract, option, or other arrangement or understanding and agrees to notify Buyer promptly, and to provide all details requested by Buyer, if Stockholder shall be approached or solicited, directly or indirectly, by any Person in respect of any of the foregoing.</w:t>
      </w:r>
    </w:p>
    <w:p>
      <w:pPr>
        <w:spacing w:after="0" w:line="89" w:lineRule="exact"/>
        <w:rPr>
          <w:sz w:val="20"/>
          <w:szCs w:val="20"/>
          <w:color w:val="auto"/>
        </w:rPr>
      </w:pPr>
    </w:p>
    <w:p>
      <w:pPr>
        <w:ind w:right="2559" w:firstLine="872"/>
        <w:spacing w:after="0" w:line="252" w:lineRule="auto"/>
        <w:rPr>
          <w:sz w:val="20"/>
          <w:szCs w:val="20"/>
          <w:color w:val="auto"/>
        </w:rPr>
      </w:pPr>
      <w:r>
        <w:rPr>
          <w:rFonts w:ascii="Courier New" w:cs="Courier New" w:eastAsia="Courier New" w:hAnsi="Courier New"/>
          <w:sz w:val="16"/>
          <w:szCs w:val="16"/>
          <w:color w:val="auto"/>
        </w:rPr>
        <w:t>SECTION 4.2 Other Offers. Stockholder shall not, and will use such Stockholder's reasonable best efforts to cause his or its agents not to, directly or indirectly, (i) take any action to solicit or initiate any Acquisition Proposal or (ii) engage in negotiations with, or disclose any nonpublic information relating to the Company or any of its Subsidiaries or afford access to the properties, books, or records of the Company or any of its Subsidiaries to, any Person that may be considering making, or has made, an Acquisition Proposal or has agreed to endorse an Acquisition Proposal. Stockholder will promptly notify Buyer after receipt of an Acquisition Proposal or any indication that any Person is considering making an Acquisition Proposal or any request for nonpublic information relating to the Company or any of its Subsidiaries or for access to the properties, books, or records of the Company or any of its Subsidiaries by any Person that may be considering making, or has made, an Acquisition Proposal and will keep Buyer fully informed of the status and details of any such Acquisition Proposal, indication, or request. The provisions of this Section 4.2 shall not impose any additional limitations upon the ability of a Stockholder to exercise his fiduciary duties as a director of the Company provided that such Stockholder acts in accordance with Section 7.3 of the Merger Agreement, and unless such Stockholder takes any action which results in a breach of Section 7.3 of the Merger Agreement, such Stockholder shall be deemed to have acted in compliance with this Section 4.2.</w:t>
      </w:r>
    </w:p>
    <w:p>
      <w:pPr>
        <w:spacing w:after="0" w:line="28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73" w:right="1440" w:bottom="1440" w:gutter="0" w:footer="0" w:header="0"/>
        </w:sectPr>
      </w:pPr>
    </w:p>
    <w:bookmarkStart w:id="144" w:name="page145"/>
    <w:bookmarkEnd w:id="144"/>
    <w:p>
      <w:pPr>
        <w:ind w:left="300"/>
        <w:spacing w:after="0"/>
        <w:rPr>
          <w:sz w:val="20"/>
          <w:szCs w:val="20"/>
          <w:color w:val="auto"/>
        </w:rPr>
      </w:pPr>
      <w:r>
        <w:rPr>
          <w:rFonts w:ascii="Courier New" w:cs="Courier New" w:eastAsia="Courier New" w:hAnsi="Courier New"/>
          <w:sz w:val="16"/>
          <w:szCs w:val="16"/>
          <w:color w:val="auto"/>
        </w:rPr>
        <w:t>4</w:t>
      </w:r>
    </w:p>
    <w:p>
      <w:pPr>
        <w:spacing w:after="0" w:line="378" w:lineRule="exact"/>
        <w:rPr>
          <w:sz w:val="20"/>
          <w:szCs w:val="20"/>
          <w:color w:val="auto"/>
        </w:rPr>
      </w:pPr>
    </w:p>
    <w:p>
      <w:pPr>
        <w:ind w:right="2559" w:firstLine="872"/>
        <w:spacing w:after="0" w:line="307" w:lineRule="auto"/>
        <w:rPr>
          <w:sz w:val="20"/>
          <w:szCs w:val="20"/>
          <w:color w:val="auto"/>
        </w:rPr>
      </w:pPr>
      <w:r>
        <w:rPr>
          <w:rFonts w:ascii="Courier New" w:cs="Courier New" w:eastAsia="Courier New" w:hAnsi="Courier New"/>
          <w:sz w:val="16"/>
          <w:szCs w:val="16"/>
          <w:color w:val="auto"/>
        </w:rPr>
        <w:t>SECTION 4.3 Appraisal Rights. Stockholder agrees not to exercise any rights (including, without limitation, under Section 262 of the DGCL) to demand appraisal of any Shares which may arise in respect of the Merger.</w:t>
      </w:r>
    </w:p>
    <w:p>
      <w:pPr>
        <w:spacing w:after="0" w:line="50"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ARTICLE V</w:t>
      </w:r>
    </w:p>
    <w:p>
      <w:pPr>
        <w:spacing w:after="0" w:line="3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MISCELLANEOUS</w:t>
      </w:r>
    </w:p>
    <w:p>
      <w:pPr>
        <w:spacing w:after="0" w:line="161" w:lineRule="exact"/>
        <w:rPr>
          <w:sz w:val="20"/>
          <w:szCs w:val="20"/>
          <w:color w:val="auto"/>
        </w:rPr>
      </w:pPr>
    </w:p>
    <w:p>
      <w:pPr>
        <w:ind w:right="2759" w:firstLine="872"/>
        <w:spacing w:after="0" w:line="270" w:lineRule="auto"/>
        <w:rPr>
          <w:sz w:val="20"/>
          <w:szCs w:val="20"/>
          <w:color w:val="auto"/>
        </w:rPr>
      </w:pPr>
      <w:r>
        <w:rPr>
          <w:rFonts w:ascii="Courier New" w:cs="Courier New" w:eastAsia="Courier New" w:hAnsi="Courier New"/>
          <w:sz w:val="16"/>
          <w:szCs w:val="16"/>
          <w:color w:val="auto"/>
        </w:rPr>
        <w:t>SECTION 5.1 Further Assurances. Buyer and Stockholders will each execute and deliver, or cause to be executed and delivered, all further documents and instruments and use their reasonable best efforts to take, or cause to be taken, all actions and to do, or cause to be done, all things necessary, proper, or advisable under applicable Laws, to consummate and make effective the transactions contemplated by this Agreement.</w:t>
      </w:r>
    </w:p>
    <w:p>
      <w:pPr>
        <w:spacing w:after="0" w:line="81" w:lineRule="exact"/>
        <w:rPr>
          <w:sz w:val="20"/>
          <w:szCs w:val="20"/>
          <w:color w:val="auto"/>
        </w:rPr>
      </w:pPr>
    </w:p>
    <w:p>
      <w:pPr>
        <w:ind w:right="2459" w:firstLine="872"/>
        <w:spacing w:after="0" w:line="252" w:lineRule="auto"/>
        <w:rPr>
          <w:sz w:val="20"/>
          <w:szCs w:val="20"/>
          <w:color w:val="auto"/>
        </w:rPr>
      </w:pPr>
      <w:r>
        <w:rPr>
          <w:rFonts w:ascii="Courier New" w:cs="Courier New" w:eastAsia="Courier New" w:hAnsi="Courier New"/>
          <w:sz w:val="16"/>
          <w:szCs w:val="16"/>
          <w:color w:val="auto"/>
        </w:rPr>
        <w:t>SECTION 5.2 Amendments; Term. Any provision of this Agreement may be amended or waived if, but only if, such amendment or waiver is in writing and is signed, in the case of an amendment, by each party to this Agreement, or, in the case of a waiver, by the party against whom the waiver is to be effective. The term of this Agreement shall begin on the date hereof and shall end on the earlier of (i) the Effective Time, (ii) the date that is 120 days after the termination of the Merger Agreement in accordance with Section 9.1(d)(i),</w:t>
      </w:r>
    </w:p>
    <w:p>
      <w:pPr>
        <w:spacing w:after="0" w:line="2" w:lineRule="exact"/>
        <w:rPr>
          <w:sz w:val="20"/>
          <w:szCs w:val="20"/>
          <w:color w:val="auto"/>
        </w:rPr>
      </w:pPr>
    </w:p>
    <w:p>
      <w:pPr>
        <w:ind w:right="2559"/>
        <w:spacing w:after="0" w:line="287" w:lineRule="auto"/>
        <w:rPr>
          <w:sz w:val="20"/>
          <w:szCs w:val="20"/>
          <w:color w:val="auto"/>
        </w:rPr>
      </w:pPr>
      <w:r>
        <w:rPr>
          <w:rFonts w:ascii="Courier New" w:cs="Courier New" w:eastAsia="Courier New" w:hAnsi="Courier New"/>
          <w:sz w:val="16"/>
          <w:szCs w:val="16"/>
          <w:color w:val="auto"/>
        </w:rPr>
        <w:t>9.1(e)(i), or 9.1(e)(iii) thereof and payment in full of all amounts (if any) payable to Parent or Buyer pursuant to Section 9.3 of the Merger Agreement, and (iii) the date of the termination of the Merger Agreement for any other reason.</w:t>
      </w:r>
    </w:p>
    <w:p>
      <w:pPr>
        <w:spacing w:after="0" w:line="65" w:lineRule="exact"/>
        <w:rPr>
          <w:sz w:val="20"/>
          <w:szCs w:val="20"/>
          <w:color w:val="auto"/>
        </w:rPr>
      </w:pPr>
    </w:p>
    <w:p>
      <w:pPr>
        <w:ind w:right="2659" w:firstLine="872"/>
        <w:spacing w:after="0" w:line="367" w:lineRule="auto"/>
        <w:rPr>
          <w:sz w:val="20"/>
          <w:szCs w:val="20"/>
          <w:color w:val="auto"/>
        </w:rPr>
      </w:pPr>
      <w:r>
        <w:rPr>
          <w:rFonts w:ascii="Courier New" w:cs="Courier New" w:eastAsia="Courier New" w:hAnsi="Courier New"/>
          <w:sz w:val="16"/>
          <w:szCs w:val="16"/>
          <w:color w:val="auto"/>
        </w:rPr>
        <w:t>SECTION 5.3 Expenses. All costs and expenses incurred in connection with this Agreement shall be paid by the party incurring such cost or expense.</w:t>
      </w:r>
    </w:p>
    <w:p>
      <w:pPr>
        <w:spacing w:after="0" w:line="5" w:lineRule="exact"/>
        <w:rPr>
          <w:sz w:val="20"/>
          <w:szCs w:val="20"/>
          <w:color w:val="auto"/>
        </w:rPr>
      </w:pPr>
    </w:p>
    <w:p>
      <w:pPr>
        <w:ind w:right="2459" w:firstLine="872"/>
        <w:spacing w:after="0" w:line="266" w:lineRule="auto"/>
        <w:rPr>
          <w:sz w:val="20"/>
          <w:szCs w:val="20"/>
          <w:color w:val="auto"/>
        </w:rPr>
      </w:pPr>
      <w:r>
        <w:rPr>
          <w:rFonts w:ascii="Courier New" w:cs="Courier New" w:eastAsia="Courier New" w:hAnsi="Courier New"/>
          <w:sz w:val="16"/>
          <w:szCs w:val="16"/>
          <w:color w:val="auto"/>
        </w:rPr>
        <w:t>SECTION 5.4 Successors and Assigns. The provisions of this Agreement shall be binding upon and inure to the benefit of the parties hereto and their respective successors and permitted assigns; provided, however, that no party may assign, delegate, or otherwise transfer any of its rights or obligations under this Agreement without the consent of the other parties hereto, except that Buyer may transfer or assign its rights and obligations to any affiliate of Buyer.</w:t>
      </w:r>
    </w:p>
    <w:p>
      <w:pPr>
        <w:spacing w:after="0" w:line="85" w:lineRule="exact"/>
        <w:rPr>
          <w:sz w:val="20"/>
          <w:szCs w:val="20"/>
          <w:color w:val="auto"/>
        </w:rPr>
      </w:pPr>
    </w:p>
    <w:p>
      <w:pPr>
        <w:ind w:right="3239" w:firstLine="872"/>
        <w:spacing w:after="0" w:line="367" w:lineRule="auto"/>
        <w:rPr>
          <w:sz w:val="20"/>
          <w:szCs w:val="20"/>
          <w:color w:val="auto"/>
        </w:rPr>
      </w:pPr>
      <w:r>
        <w:rPr>
          <w:rFonts w:ascii="Courier New" w:cs="Courier New" w:eastAsia="Courier New" w:hAnsi="Courier New"/>
          <w:sz w:val="16"/>
          <w:szCs w:val="16"/>
          <w:color w:val="auto"/>
        </w:rPr>
        <w:t>SECTION 5.5 Governing Law. This Agreement shall be construed in accordance with and governed by the laws of the State of Delaware.</w:t>
      </w:r>
    </w:p>
    <w:p>
      <w:pPr>
        <w:spacing w:after="0" w:line="5" w:lineRule="exact"/>
        <w:rPr>
          <w:sz w:val="20"/>
          <w:szCs w:val="20"/>
          <w:color w:val="auto"/>
        </w:rPr>
      </w:pPr>
    </w:p>
    <w:p>
      <w:pPr>
        <w:ind w:right="2459" w:firstLine="872"/>
        <w:spacing w:after="0" w:line="276" w:lineRule="auto"/>
        <w:rPr>
          <w:sz w:val="20"/>
          <w:szCs w:val="20"/>
          <w:color w:val="auto"/>
        </w:rPr>
      </w:pPr>
      <w:r>
        <w:rPr>
          <w:rFonts w:ascii="Courier New" w:cs="Courier New" w:eastAsia="Courier New" w:hAnsi="Courier New"/>
          <w:sz w:val="16"/>
          <w:szCs w:val="16"/>
          <w:color w:val="auto"/>
        </w:rPr>
        <w:t>SECTION 5.6 Counterparts; Effectiveness. This Agreement may be signed in any number of counterparts, each of which shall be an original, with the same effect as if the signatures thereto and hereto were upon the same instrument. This Agreement shall become effective when each party hereto shall have received counterparts hereof signed by all of the other parties hereto.</w:t>
      </w:r>
    </w:p>
    <w:p>
      <w:pPr>
        <w:spacing w:after="0" w:line="76" w:lineRule="exact"/>
        <w:rPr>
          <w:sz w:val="20"/>
          <w:szCs w:val="20"/>
          <w:color w:val="auto"/>
        </w:rPr>
      </w:pPr>
    </w:p>
    <w:p>
      <w:pPr>
        <w:ind w:right="2559" w:firstLine="872"/>
        <w:spacing w:after="0" w:line="276" w:lineRule="auto"/>
        <w:rPr>
          <w:sz w:val="20"/>
          <w:szCs w:val="20"/>
          <w:color w:val="auto"/>
        </w:rPr>
      </w:pPr>
      <w:r>
        <w:rPr>
          <w:rFonts w:ascii="Courier New" w:cs="Courier New" w:eastAsia="Courier New" w:hAnsi="Courier New"/>
          <w:sz w:val="16"/>
          <w:szCs w:val="16"/>
          <w:color w:val="auto"/>
        </w:rPr>
        <w:t>SECTION 5.7 Severability. If any term, provision, or covenant of this Agreement is held by a court of competent jurisdiction or other authority to be invalid, void, or unenforceable, the remainder of the terms, provisions, and covenants of this Agreement shall remain in full force and effect and shall in no way be affected, impaired, or invalidated.</w:t>
      </w:r>
    </w:p>
    <w:p>
      <w:pPr>
        <w:spacing w:after="0" w:line="26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73" w:right="1440" w:bottom="1440" w:gutter="0" w:footer="0" w:header="0"/>
        </w:sectPr>
      </w:pPr>
    </w:p>
    <w:bookmarkStart w:id="145" w:name="page146"/>
    <w:bookmarkEnd w:id="145"/>
    <w:p>
      <w:pPr>
        <w:ind w:left="300"/>
        <w:spacing w:after="0"/>
        <w:rPr>
          <w:sz w:val="20"/>
          <w:szCs w:val="20"/>
          <w:color w:val="auto"/>
        </w:rPr>
      </w:pPr>
      <w:r>
        <w:rPr>
          <w:rFonts w:ascii="Courier New" w:cs="Courier New" w:eastAsia="Courier New" w:hAnsi="Courier New"/>
          <w:sz w:val="16"/>
          <w:szCs w:val="16"/>
          <w:color w:val="auto"/>
        </w:rPr>
        <w:t>5</w:t>
      </w:r>
    </w:p>
    <w:p>
      <w:pPr>
        <w:spacing w:after="0" w:line="378" w:lineRule="exact"/>
        <w:rPr>
          <w:sz w:val="20"/>
          <w:szCs w:val="20"/>
          <w:color w:val="auto"/>
        </w:rPr>
      </w:pPr>
    </w:p>
    <w:p>
      <w:pPr>
        <w:ind w:right="2559" w:firstLine="872"/>
        <w:spacing w:after="0" w:line="276" w:lineRule="auto"/>
        <w:rPr>
          <w:sz w:val="20"/>
          <w:szCs w:val="20"/>
          <w:color w:val="auto"/>
        </w:rPr>
      </w:pPr>
      <w:r>
        <w:rPr>
          <w:rFonts w:ascii="Courier New" w:cs="Courier New" w:eastAsia="Courier New" w:hAnsi="Courier New"/>
          <w:sz w:val="16"/>
          <w:szCs w:val="16"/>
          <w:color w:val="auto"/>
        </w:rPr>
        <w:t>SECTION 5.8 Specific Performance. The parties hereto agree that irreparable damage would occur in the event any provision of this Agreement is not performed in accordance with the terms hereof and that the parties shall be entitled to specific performance of the terms hereof in addition to any other remedy to which they are entitled at law or in equity.</w:t>
      </w:r>
    </w:p>
    <w:p>
      <w:pPr>
        <w:spacing w:after="0" w:line="76"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[THE REMAINDER OF THIS PAGE IS INTENTIONALLY LEFT BLANK]</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73" w:right="1440" w:bottom="1440" w:gutter="0" w:footer="0" w:header="0"/>
        </w:sectPr>
      </w:pPr>
    </w:p>
    <w:bookmarkStart w:id="146" w:name="page147"/>
    <w:bookmarkEnd w:id="146"/>
    <w:p>
      <w:pPr>
        <w:ind w:left="300"/>
        <w:spacing w:after="0"/>
        <w:rPr>
          <w:sz w:val="20"/>
          <w:szCs w:val="20"/>
          <w:color w:val="auto"/>
        </w:rPr>
      </w:pPr>
      <w:r>
        <w:rPr>
          <w:rFonts w:ascii="Courier New" w:cs="Courier New" w:eastAsia="Courier New" w:hAnsi="Courier New"/>
          <w:sz w:val="16"/>
          <w:szCs w:val="16"/>
          <w:color w:val="auto"/>
        </w:rPr>
        <w:t>6</w:t>
      </w:r>
    </w:p>
    <w:p>
      <w:pPr>
        <w:spacing w:after="0" w:line="378" w:lineRule="exact"/>
        <w:rPr>
          <w:sz w:val="20"/>
          <w:szCs w:val="20"/>
          <w:color w:val="auto"/>
        </w:rPr>
      </w:pPr>
    </w:p>
    <w:p>
      <w:pPr>
        <w:ind w:right="2459" w:firstLine="872"/>
        <w:spacing w:after="0" w:line="367" w:lineRule="auto"/>
        <w:rPr>
          <w:sz w:val="20"/>
          <w:szCs w:val="20"/>
          <w:color w:val="auto"/>
        </w:rPr>
      </w:pPr>
      <w:r>
        <w:rPr>
          <w:rFonts w:ascii="Courier New" w:cs="Courier New" w:eastAsia="Courier New" w:hAnsi="Courier New"/>
          <w:sz w:val="16"/>
          <w:szCs w:val="16"/>
          <w:color w:val="auto"/>
        </w:rPr>
        <w:t>IN WITNESS WHEREOF, the parties hereto have caused this Agreement to be duly executed as of the day and year first above written.</w:t>
      </w:r>
    </w:p>
    <w:p>
      <w:pPr>
        <w:spacing w:after="0" w:line="377" w:lineRule="exact"/>
        <w:rPr>
          <w:sz w:val="20"/>
          <w:szCs w:val="20"/>
          <w:color w:val="auto"/>
        </w:rPr>
      </w:pPr>
    </w:p>
    <w:tbl>
      <w:tblPr>
        <w:tblLayout w:type="fixed"/>
        <w:tblInd w:w="4060" w:type="dxa"/>
        <w:tblCellMar>
          <w:top w:w="0" w:type="dxa"/>
          <w:left w:w="0" w:type="dxa"/>
          <w:bottom w:w="0" w:type="dxa"/>
          <w:right w:w="0" w:type="dxa"/>
        </w:tblCellMar>
      </w:tblPr>
      <w:tr>
        <w:trPr>
          <w:trHeight w:val="273"/>
        </w:trPr>
        <w:tc>
          <w:tcPr>
            <w:tcW w:w="640" w:type="dxa"/>
            <w:vAlign w:val="bottom"/>
          </w:tcPr>
          <w:p>
            <w:pPr>
              <w:spacing w:after="0"/>
              <w:rPr>
                <w:sz w:val="20"/>
                <w:szCs w:val="20"/>
                <w:color w:val="auto"/>
              </w:rPr>
            </w:pPr>
            <w:r>
              <w:rPr>
                <w:rFonts w:ascii="Courier New" w:cs="Courier New" w:eastAsia="Courier New" w:hAnsi="Courier New"/>
                <w:sz w:val="16"/>
                <w:szCs w:val="16"/>
                <w:color w:val="auto"/>
              </w:rPr>
              <w:t>SENSOR</w:t>
            </w:r>
          </w:p>
        </w:tc>
        <w:tc>
          <w:tcPr>
            <w:tcW w:w="3060" w:type="dxa"/>
            <w:vAlign w:val="bottom"/>
          </w:tcPr>
          <w:p>
            <w:pPr>
              <w:ind w:left="40"/>
              <w:spacing w:after="0"/>
              <w:rPr>
                <w:sz w:val="20"/>
                <w:szCs w:val="20"/>
                <w:color w:val="auto"/>
              </w:rPr>
            </w:pPr>
            <w:r>
              <w:rPr>
                <w:rFonts w:ascii="Courier New" w:cs="Courier New" w:eastAsia="Courier New" w:hAnsi="Courier New"/>
                <w:sz w:val="16"/>
                <w:szCs w:val="16"/>
                <w:color w:val="auto"/>
              </w:rPr>
              <w:t>ACQUISITION CORPORATION</w:t>
            </w:r>
          </w:p>
        </w:tc>
        <w:tc>
          <w:tcPr>
            <w:tcW w:w="0" w:type="dxa"/>
            <w:vAlign w:val="bottom"/>
          </w:tcPr>
          <w:p>
            <w:pPr>
              <w:spacing w:after="0"/>
              <w:rPr>
                <w:sz w:val="1"/>
                <w:szCs w:val="1"/>
                <w:color w:val="auto"/>
              </w:rPr>
            </w:pPr>
          </w:p>
        </w:tc>
      </w:tr>
      <w:tr>
        <w:trPr>
          <w:trHeight w:val="659"/>
        </w:trPr>
        <w:tc>
          <w:tcPr>
            <w:tcW w:w="64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060" w:type="dxa"/>
            <w:vAlign w:val="bottom"/>
          </w:tcPr>
          <w:p>
            <w:pPr>
              <w:ind w:left="40"/>
              <w:spacing w:after="0"/>
              <w:rPr>
                <w:sz w:val="20"/>
                <w:szCs w:val="20"/>
                <w:color w:val="auto"/>
              </w:rPr>
            </w:pPr>
            <w:r>
              <w:rPr>
                <w:rFonts w:ascii="Courier New" w:cs="Courier New" w:eastAsia="Courier New" w:hAnsi="Courier New"/>
                <w:sz w:val="16"/>
                <w:szCs w:val="16"/>
                <w:color w:val="auto"/>
              </w:rPr>
              <w:t>/s/ WILLIAM A. AYLESWORTH</w:t>
            </w:r>
          </w:p>
        </w:tc>
        <w:tc>
          <w:tcPr>
            <w:tcW w:w="0" w:type="dxa"/>
            <w:vAlign w:val="bottom"/>
          </w:tcPr>
          <w:p>
            <w:pPr>
              <w:spacing w:after="0"/>
              <w:rPr>
                <w:sz w:val="1"/>
                <w:szCs w:val="1"/>
                <w:color w:val="auto"/>
              </w:rPr>
            </w:pPr>
          </w:p>
        </w:tc>
      </w:tr>
      <w:tr>
        <w:trPr>
          <w:trHeight w:val="186"/>
        </w:trPr>
        <w:tc>
          <w:tcPr>
            <w:tcW w:w="640" w:type="dxa"/>
            <w:vAlign w:val="bottom"/>
            <w:vMerge w:val="restart"/>
          </w:tcPr>
          <w:p>
            <w:pPr>
              <w:spacing w:after="0"/>
              <w:rPr>
                <w:sz w:val="20"/>
                <w:szCs w:val="20"/>
                <w:color w:val="auto"/>
              </w:rPr>
            </w:pPr>
            <w:r>
              <w:rPr>
                <w:rFonts w:ascii="Courier New" w:cs="Courier New" w:eastAsia="Courier New" w:hAnsi="Courier New"/>
                <w:sz w:val="16"/>
                <w:szCs w:val="16"/>
                <w:color w:val="auto"/>
              </w:rPr>
              <w:t>Name:</w:t>
            </w:r>
          </w:p>
        </w:tc>
        <w:tc>
          <w:tcPr>
            <w:tcW w:w="30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640" w:type="dxa"/>
            <w:vAlign w:val="bottom"/>
            <w:vMerge w:val="continue"/>
          </w:tcPr>
          <w:p>
            <w:pPr>
              <w:spacing w:after="0"/>
              <w:rPr>
                <w:sz w:val="16"/>
                <w:szCs w:val="16"/>
                <w:color w:val="auto"/>
              </w:rPr>
            </w:pPr>
          </w:p>
        </w:tc>
        <w:tc>
          <w:tcPr>
            <w:tcW w:w="3060" w:type="dxa"/>
            <w:vAlign w:val="bottom"/>
          </w:tcPr>
          <w:p>
            <w:pPr>
              <w:ind w:left="40"/>
              <w:spacing w:after="0"/>
              <w:rPr>
                <w:sz w:val="20"/>
                <w:szCs w:val="20"/>
                <w:color w:val="auto"/>
              </w:rPr>
            </w:pPr>
            <w:r>
              <w:rPr>
                <w:rFonts w:ascii="Courier New" w:cs="Courier New" w:eastAsia="Courier New" w:hAnsi="Courier New"/>
                <w:sz w:val="16"/>
                <w:szCs w:val="16"/>
                <w:color w:val="auto"/>
              </w:rPr>
              <w:t>William A. Aylesworth</w:t>
            </w:r>
          </w:p>
        </w:tc>
        <w:tc>
          <w:tcPr>
            <w:tcW w:w="0" w:type="dxa"/>
            <w:vAlign w:val="bottom"/>
          </w:tcPr>
          <w:p>
            <w:pPr>
              <w:spacing w:after="0"/>
              <w:rPr>
                <w:sz w:val="1"/>
                <w:szCs w:val="1"/>
                <w:color w:val="auto"/>
              </w:rPr>
            </w:pPr>
          </w:p>
        </w:tc>
      </w:tr>
      <w:tr>
        <w:trPr>
          <w:trHeight w:val="273"/>
        </w:trPr>
        <w:tc>
          <w:tcPr>
            <w:tcW w:w="640" w:type="dxa"/>
            <w:vAlign w:val="bottom"/>
          </w:tcPr>
          <w:p>
            <w:pPr>
              <w:spacing w:after="0"/>
              <w:rPr>
                <w:sz w:val="20"/>
                <w:szCs w:val="20"/>
                <w:color w:val="auto"/>
              </w:rPr>
            </w:pPr>
            <w:r>
              <w:rPr>
                <w:rFonts w:ascii="Courier New" w:cs="Courier New" w:eastAsia="Courier New" w:hAnsi="Courier New"/>
                <w:sz w:val="16"/>
                <w:szCs w:val="16"/>
                <w:color w:val="auto"/>
              </w:rPr>
              <w:t>Title:</w:t>
            </w:r>
          </w:p>
        </w:tc>
        <w:tc>
          <w:tcPr>
            <w:tcW w:w="3060" w:type="dxa"/>
            <w:vAlign w:val="bottom"/>
          </w:tcPr>
          <w:p>
            <w:pPr>
              <w:ind w:left="40"/>
              <w:spacing w:after="0"/>
              <w:rPr>
                <w:sz w:val="20"/>
                <w:szCs w:val="20"/>
                <w:color w:val="auto"/>
              </w:rPr>
            </w:pPr>
            <w:r>
              <w:rPr>
                <w:rFonts w:ascii="Courier New" w:cs="Courier New" w:eastAsia="Courier New" w:hAnsi="Courier New"/>
                <w:sz w:val="16"/>
                <w:szCs w:val="16"/>
                <w:color w:val="auto"/>
              </w:rPr>
              <w:t>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STOCKHOLDERS: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00" w:type="dxa"/>
            <w:vAlign w:val="bottom"/>
          </w:tcPr>
          <w:p>
            <w:pPr>
              <w:ind w:left="4060"/>
              <w:spacing w:after="0"/>
              <w:rPr>
                <w:sz w:val="20"/>
                <w:szCs w:val="20"/>
                <w:color w:val="auto"/>
              </w:rPr>
            </w:pPr>
            <w:r>
              <w:rPr>
                <w:rFonts w:ascii="Courier New" w:cs="Courier New" w:eastAsia="Courier New" w:hAnsi="Courier New"/>
                <w:sz w:val="16"/>
                <w:szCs w:val="16"/>
                <w:color w:val="auto"/>
              </w:rPr>
              <w:t>By:</w:t>
            </w:r>
          </w:p>
        </w:tc>
        <w:tc>
          <w:tcPr>
            <w:tcW w:w="3260" w:type="dxa"/>
            <w:vAlign w:val="bottom"/>
          </w:tcPr>
          <w:p>
            <w:pPr>
              <w:ind w:left="240"/>
              <w:spacing w:after="0"/>
              <w:rPr>
                <w:sz w:val="20"/>
                <w:szCs w:val="20"/>
                <w:color w:val="auto"/>
              </w:rPr>
            </w:pPr>
            <w:r>
              <w:rPr>
                <w:rFonts w:ascii="Courier New" w:cs="Courier New" w:eastAsia="Courier New" w:hAnsi="Courier New"/>
                <w:sz w:val="16"/>
                <w:szCs w:val="16"/>
                <w:color w:val="auto"/>
              </w:rPr>
              <w:t>/s/ MANHER D. NAIK</w:t>
            </w:r>
          </w:p>
        </w:tc>
        <w:tc>
          <w:tcPr>
            <w:tcW w:w="0" w:type="dxa"/>
            <w:vAlign w:val="bottom"/>
          </w:tcPr>
          <w:p>
            <w:pPr>
              <w:spacing w:after="0"/>
              <w:rPr>
                <w:sz w:val="1"/>
                <w:szCs w:val="1"/>
                <w:color w:val="auto"/>
              </w:rPr>
            </w:pPr>
          </w:p>
        </w:tc>
      </w:tr>
      <w:tr>
        <w:trPr>
          <w:trHeight w:val="186"/>
        </w:trPr>
        <w:tc>
          <w:tcPr>
            <w:tcW w:w="4500" w:type="dxa"/>
            <w:vAlign w:val="bottom"/>
            <w:vMerge w:val="restart"/>
          </w:tcPr>
          <w:p>
            <w:pPr>
              <w:spacing w:after="0"/>
              <w:rPr>
                <w:sz w:val="20"/>
                <w:szCs w:val="20"/>
                <w:color w:val="auto"/>
              </w:rPr>
            </w:pPr>
            <w:r>
              <w:rPr>
                <w:rFonts w:ascii="Courier New" w:cs="Courier New" w:eastAsia="Courier New" w:hAnsi="Courier New"/>
                <w:sz w:val="16"/>
                <w:szCs w:val="16"/>
                <w:color w:val="auto"/>
              </w:rPr>
              <w:t>Shares Owned:</w:t>
            </w:r>
          </w:p>
        </w:tc>
        <w:tc>
          <w:tcPr>
            <w:tcW w:w="3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500" w:type="dxa"/>
            <w:vAlign w:val="bottom"/>
            <w:vMerge w:val="continue"/>
          </w:tcPr>
          <w:p>
            <w:pPr>
              <w:spacing w:after="0"/>
              <w:rPr>
                <w:sz w:val="16"/>
                <w:szCs w:val="16"/>
                <w:color w:val="auto"/>
              </w:rPr>
            </w:pPr>
          </w:p>
        </w:tc>
        <w:tc>
          <w:tcPr>
            <w:tcW w:w="3260" w:type="dxa"/>
            <w:vAlign w:val="bottom"/>
          </w:tcPr>
          <w:p>
            <w:pPr>
              <w:ind w:left="240"/>
              <w:spacing w:after="0"/>
              <w:rPr>
                <w:sz w:val="20"/>
                <w:szCs w:val="20"/>
                <w:color w:val="auto"/>
              </w:rPr>
            </w:pPr>
            <w:r>
              <w:rPr>
                <w:rFonts w:ascii="Courier New" w:cs="Courier New" w:eastAsia="Courier New" w:hAnsi="Courier New"/>
                <w:sz w:val="16"/>
                <w:szCs w:val="16"/>
                <w:color w:val="auto"/>
              </w:rPr>
              <w:t>Manher D. Naik</w:t>
            </w:r>
          </w:p>
        </w:tc>
        <w:tc>
          <w:tcPr>
            <w:tcW w:w="0" w:type="dxa"/>
            <w:vAlign w:val="bottom"/>
          </w:tcPr>
          <w:p>
            <w:pPr>
              <w:spacing w:after="0"/>
              <w:rPr>
                <w:sz w:val="1"/>
                <w:szCs w:val="1"/>
                <w:color w:val="auto"/>
              </w:rPr>
            </w:pPr>
          </w:p>
        </w:tc>
      </w:tr>
      <w:tr>
        <w:trPr>
          <w:trHeight w:val="273"/>
        </w:trPr>
        <w:tc>
          <w:tcPr>
            <w:tcW w:w="4500" w:type="dxa"/>
            <w:vAlign w:val="bottom"/>
          </w:tcPr>
          <w:p>
            <w:pPr>
              <w:spacing w:after="0"/>
              <w:rPr>
                <w:sz w:val="20"/>
                <w:szCs w:val="20"/>
                <w:color w:val="auto"/>
              </w:rPr>
            </w:pPr>
            <w:r>
              <w:rPr>
                <w:rFonts w:ascii="Courier New" w:cs="Courier New" w:eastAsia="Courier New" w:hAnsi="Courier New"/>
                <w:sz w:val="16"/>
                <w:szCs w:val="16"/>
                <w:color w:val="auto"/>
              </w:rPr>
              <w:t>303,007</w:t>
            </w:r>
          </w:p>
        </w:tc>
        <w:tc>
          <w:tcPr>
            <w:tcW w:w="3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9"/>
        </w:trPr>
        <w:tc>
          <w:tcPr>
            <w:tcW w:w="4500" w:type="dxa"/>
            <w:vAlign w:val="bottom"/>
          </w:tcPr>
          <w:p>
            <w:pPr>
              <w:ind w:left="4060"/>
              <w:spacing w:after="0"/>
              <w:rPr>
                <w:sz w:val="20"/>
                <w:szCs w:val="20"/>
                <w:color w:val="auto"/>
              </w:rPr>
            </w:pPr>
            <w:r>
              <w:rPr>
                <w:rFonts w:ascii="Courier New" w:cs="Courier New" w:eastAsia="Courier New" w:hAnsi="Courier New"/>
                <w:sz w:val="16"/>
                <w:szCs w:val="16"/>
                <w:color w:val="auto"/>
              </w:rPr>
              <w:t>By:</w:t>
            </w:r>
          </w:p>
        </w:tc>
        <w:tc>
          <w:tcPr>
            <w:tcW w:w="3260" w:type="dxa"/>
            <w:vAlign w:val="bottom"/>
          </w:tcPr>
          <w:p>
            <w:pPr>
              <w:ind w:left="240"/>
              <w:spacing w:after="0"/>
              <w:rPr>
                <w:sz w:val="20"/>
                <w:szCs w:val="20"/>
                <w:color w:val="auto"/>
              </w:rPr>
            </w:pPr>
            <w:r>
              <w:rPr>
                <w:rFonts w:ascii="Courier New" w:cs="Courier New" w:eastAsia="Courier New" w:hAnsi="Courier New"/>
                <w:sz w:val="16"/>
                <w:szCs w:val="16"/>
                <w:color w:val="auto"/>
              </w:rPr>
              <w:t>/s/ DONALD PAULUS</w:t>
            </w:r>
          </w:p>
        </w:tc>
        <w:tc>
          <w:tcPr>
            <w:tcW w:w="0" w:type="dxa"/>
            <w:vAlign w:val="bottom"/>
          </w:tcPr>
          <w:p>
            <w:pPr>
              <w:spacing w:after="0"/>
              <w:rPr>
                <w:sz w:val="1"/>
                <w:szCs w:val="1"/>
                <w:color w:val="auto"/>
              </w:rPr>
            </w:pPr>
          </w:p>
        </w:tc>
      </w:tr>
      <w:tr>
        <w:trPr>
          <w:trHeight w:val="186"/>
        </w:trPr>
        <w:tc>
          <w:tcPr>
            <w:tcW w:w="4500" w:type="dxa"/>
            <w:vAlign w:val="bottom"/>
            <w:vMerge w:val="restart"/>
          </w:tcPr>
          <w:p>
            <w:pPr>
              <w:spacing w:after="0"/>
              <w:rPr>
                <w:sz w:val="20"/>
                <w:szCs w:val="20"/>
                <w:color w:val="auto"/>
              </w:rPr>
            </w:pPr>
            <w:r>
              <w:rPr>
                <w:rFonts w:ascii="Courier New" w:cs="Courier New" w:eastAsia="Courier New" w:hAnsi="Courier New"/>
                <w:sz w:val="16"/>
                <w:szCs w:val="16"/>
                <w:color w:val="auto"/>
              </w:rPr>
              <w:t>Shares Owned:</w:t>
            </w:r>
          </w:p>
        </w:tc>
        <w:tc>
          <w:tcPr>
            <w:tcW w:w="3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500" w:type="dxa"/>
            <w:vAlign w:val="bottom"/>
            <w:vMerge w:val="continue"/>
          </w:tcPr>
          <w:p>
            <w:pPr>
              <w:spacing w:after="0"/>
              <w:rPr>
                <w:sz w:val="16"/>
                <w:szCs w:val="16"/>
                <w:color w:val="auto"/>
              </w:rPr>
            </w:pPr>
          </w:p>
        </w:tc>
        <w:tc>
          <w:tcPr>
            <w:tcW w:w="3260" w:type="dxa"/>
            <w:vAlign w:val="bottom"/>
          </w:tcPr>
          <w:p>
            <w:pPr>
              <w:ind w:left="240"/>
              <w:spacing w:after="0"/>
              <w:rPr>
                <w:sz w:val="20"/>
                <w:szCs w:val="20"/>
                <w:color w:val="auto"/>
              </w:rPr>
            </w:pPr>
            <w:r>
              <w:rPr>
                <w:rFonts w:ascii="Courier New" w:cs="Courier New" w:eastAsia="Courier New" w:hAnsi="Courier New"/>
                <w:sz w:val="16"/>
                <w:szCs w:val="16"/>
                <w:color w:val="auto"/>
              </w:rPr>
              <w:t>Donald Paulus</w:t>
            </w:r>
          </w:p>
        </w:tc>
        <w:tc>
          <w:tcPr>
            <w:tcW w:w="0" w:type="dxa"/>
            <w:vAlign w:val="bottom"/>
          </w:tcPr>
          <w:p>
            <w:pPr>
              <w:spacing w:after="0"/>
              <w:rPr>
                <w:sz w:val="1"/>
                <w:szCs w:val="1"/>
                <w:color w:val="auto"/>
              </w:rPr>
            </w:pPr>
          </w:p>
        </w:tc>
      </w:tr>
      <w:tr>
        <w:trPr>
          <w:trHeight w:val="273"/>
        </w:trPr>
        <w:tc>
          <w:tcPr>
            <w:tcW w:w="4500" w:type="dxa"/>
            <w:vAlign w:val="bottom"/>
          </w:tcPr>
          <w:p>
            <w:pPr>
              <w:spacing w:after="0"/>
              <w:rPr>
                <w:sz w:val="20"/>
                <w:szCs w:val="20"/>
                <w:color w:val="auto"/>
              </w:rPr>
            </w:pPr>
            <w:r>
              <w:rPr>
                <w:rFonts w:ascii="Courier New" w:cs="Courier New" w:eastAsia="Courier New" w:hAnsi="Courier New"/>
                <w:sz w:val="16"/>
                <w:szCs w:val="16"/>
                <w:color w:val="auto"/>
              </w:rPr>
              <w:t>141,345</w:t>
            </w:r>
          </w:p>
        </w:tc>
        <w:tc>
          <w:tcPr>
            <w:tcW w:w="3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9"/>
        </w:trPr>
        <w:tc>
          <w:tcPr>
            <w:tcW w:w="4500" w:type="dxa"/>
            <w:vAlign w:val="bottom"/>
          </w:tcPr>
          <w:p>
            <w:pPr>
              <w:ind w:left="4060"/>
              <w:spacing w:after="0"/>
              <w:rPr>
                <w:sz w:val="20"/>
                <w:szCs w:val="20"/>
                <w:color w:val="auto"/>
              </w:rPr>
            </w:pPr>
            <w:r>
              <w:rPr>
                <w:rFonts w:ascii="Courier New" w:cs="Courier New" w:eastAsia="Courier New" w:hAnsi="Courier New"/>
                <w:sz w:val="16"/>
                <w:szCs w:val="16"/>
                <w:color w:val="auto"/>
              </w:rPr>
              <w:t>By:</w:t>
            </w:r>
          </w:p>
        </w:tc>
        <w:tc>
          <w:tcPr>
            <w:tcW w:w="3260" w:type="dxa"/>
            <w:vAlign w:val="bottom"/>
          </w:tcPr>
          <w:p>
            <w:pPr>
              <w:ind w:left="160"/>
              <w:spacing w:after="0"/>
              <w:rPr>
                <w:sz w:val="20"/>
                <w:szCs w:val="20"/>
                <w:color w:val="auto"/>
              </w:rPr>
            </w:pPr>
            <w:r>
              <w:rPr>
                <w:rFonts w:ascii="Courier New" w:cs="Courier New" w:eastAsia="Courier New" w:hAnsi="Courier New"/>
                <w:sz w:val="16"/>
                <w:szCs w:val="16"/>
                <w:color w:val="auto"/>
              </w:rPr>
              <w:t>/s/ RAMESH SIRSI</w:t>
            </w:r>
          </w:p>
        </w:tc>
        <w:tc>
          <w:tcPr>
            <w:tcW w:w="0" w:type="dxa"/>
            <w:vAlign w:val="bottom"/>
          </w:tcPr>
          <w:p>
            <w:pPr>
              <w:spacing w:after="0"/>
              <w:rPr>
                <w:sz w:val="1"/>
                <w:szCs w:val="1"/>
                <w:color w:val="auto"/>
              </w:rPr>
            </w:pPr>
          </w:p>
        </w:tc>
      </w:tr>
      <w:tr>
        <w:trPr>
          <w:trHeight w:val="186"/>
        </w:trPr>
        <w:tc>
          <w:tcPr>
            <w:tcW w:w="4500" w:type="dxa"/>
            <w:vAlign w:val="bottom"/>
            <w:vMerge w:val="restart"/>
          </w:tcPr>
          <w:p>
            <w:pPr>
              <w:spacing w:after="0"/>
              <w:rPr>
                <w:sz w:val="20"/>
                <w:szCs w:val="20"/>
                <w:color w:val="auto"/>
              </w:rPr>
            </w:pPr>
            <w:r>
              <w:rPr>
                <w:rFonts w:ascii="Courier New" w:cs="Courier New" w:eastAsia="Courier New" w:hAnsi="Courier New"/>
                <w:sz w:val="16"/>
                <w:szCs w:val="16"/>
                <w:color w:val="auto"/>
              </w:rPr>
              <w:t>Shares Owned:</w:t>
            </w:r>
          </w:p>
        </w:tc>
        <w:tc>
          <w:tcPr>
            <w:tcW w:w="3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500" w:type="dxa"/>
            <w:vAlign w:val="bottom"/>
            <w:vMerge w:val="continue"/>
          </w:tcPr>
          <w:p>
            <w:pPr>
              <w:spacing w:after="0"/>
              <w:rPr>
                <w:sz w:val="16"/>
                <w:szCs w:val="16"/>
                <w:color w:val="auto"/>
              </w:rPr>
            </w:pPr>
          </w:p>
        </w:tc>
        <w:tc>
          <w:tcPr>
            <w:tcW w:w="3260" w:type="dxa"/>
            <w:vAlign w:val="bottom"/>
          </w:tcPr>
          <w:p>
            <w:pPr>
              <w:ind w:left="160"/>
              <w:spacing w:after="0"/>
              <w:rPr>
                <w:sz w:val="20"/>
                <w:szCs w:val="20"/>
                <w:color w:val="auto"/>
              </w:rPr>
            </w:pPr>
            <w:r>
              <w:rPr>
                <w:rFonts w:ascii="Courier New" w:cs="Courier New" w:eastAsia="Courier New" w:hAnsi="Courier New"/>
                <w:sz w:val="16"/>
                <w:szCs w:val="16"/>
                <w:color w:val="auto"/>
              </w:rPr>
              <w:t>Ramesh Sirsi</w:t>
            </w:r>
          </w:p>
        </w:tc>
        <w:tc>
          <w:tcPr>
            <w:tcW w:w="0" w:type="dxa"/>
            <w:vAlign w:val="bottom"/>
          </w:tcPr>
          <w:p>
            <w:pPr>
              <w:spacing w:after="0"/>
              <w:rPr>
                <w:sz w:val="1"/>
                <w:szCs w:val="1"/>
                <w:color w:val="auto"/>
              </w:rPr>
            </w:pPr>
          </w:p>
        </w:tc>
      </w:tr>
      <w:tr>
        <w:trPr>
          <w:trHeight w:val="273"/>
        </w:trPr>
        <w:tc>
          <w:tcPr>
            <w:tcW w:w="4500" w:type="dxa"/>
            <w:vAlign w:val="bottom"/>
          </w:tcPr>
          <w:p>
            <w:pPr>
              <w:spacing w:after="0"/>
              <w:rPr>
                <w:sz w:val="20"/>
                <w:szCs w:val="20"/>
                <w:color w:val="auto"/>
              </w:rPr>
            </w:pPr>
            <w:r>
              <w:rPr>
                <w:rFonts w:ascii="Courier New" w:cs="Courier New" w:eastAsia="Courier New" w:hAnsi="Courier New"/>
                <w:sz w:val="16"/>
                <w:szCs w:val="16"/>
                <w:color w:val="auto"/>
              </w:rPr>
              <w:t>25,889</w:t>
            </w:r>
          </w:p>
        </w:tc>
        <w:tc>
          <w:tcPr>
            <w:tcW w:w="3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9"/>
        </w:trPr>
        <w:tc>
          <w:tcPr>
            <w:tcW w:w="4500" w:type="dxa"/>
            <w:vAlign w:val="bottom"/>
          </w:tcPr>
          <w:p>
            <w:pPr>
              <w:ind w:left="4060"/>
              <w:spacing w:after="0"/>
              <w:rPr>
                <w:sz w:val="20"/>
                <w:szCs w:val="20"/>
                <w:color w:val="auto"/>
              </w:rPr>
            </w:pPr>
            <w:r>
              <w:rPr>
                <w:rFonts w:ascii="Courier New" w:cs="Courier New" w:eastAsia="Courier New" w:hAnsi="Courier New"/>
                <w:sz w:val="16"/>
                <w:szCs w:val="16"/>
                <w:color w:val="auto"/>
              </w:rPr>
              <w:t>By:</w:t>
            </w:r>
          </w:p>
        </w:tc>
        <w:tc>
          <w:tcPr>
            <w:tcW w:w="3260" w:type="dxa"/>
            <w:vAlign w:val="bottom"/>
          </w:tcPr>
          <w:p>
            <w:pPr>
              <w:ind w:left="160"/>
              <w:spacing w:after="0"/>
              <w:rPr>
                <w:sz w:val="20"/>
                <w:szCs w:val="20"/>
                <w:color w:val="auto"/>
              </w:rPr>
            </w:pPr>
            <w:r>
              <w:rPr>
                <w:rFonts w:ascii="Courier New" w:cs="Courier New" w:eastAsia="Courier New" w:hAnsi="Courier New"/>
                <w:sz w:val="16"/>
                <w:szCs w:val="16"/>
                <w:color w:val="auto"/>
              </w:rPr>
              <w:t>/s/ DAVID SATTERFIELD</w:t>
            </w:r>
          </w:p>
        </w:tc>
        <w:tc>
          <w:tcPr>
            <w:tcW w:w="0" w:type="dxa"/>
            <w:vAlign w:val="bottom"/>
          </w:tcPr>
          <w:p>
            <w:pPr>
              <w:spacing w:after="0"/>
              <w:rPr>
                <w:sz w:val="1"/>
                <w:szCs w:val="1"/>
                <w:color w:val="auto"/>
              </w:rPr>
            </w:pPr>
          </w:p>
        </w:tc>
      </w:tr>
      <w:tr>
        <w:trPr>
          <w:trHeight w:val="186"/>
        </w:trPr>
        <w:tc>
          <w:tcPr>
            <w:tcW w:w="4500" w:type="dxa"/>
            <w:vAlign w:val="bottom"/>
            <w:vMerge w:val="restart"/>
          </w:tcPr>
          <w:p>
            <w:pPr>
              <w:spacing w:after="0"/>
              <w:rPr>
                <w:sz w:val="20"/>
                <w:szCs w:val="20"/>
                <w:color w:val="auto"/>
              </w:rPr>
            </w:pPr>
            <w:r>
              <w:rPr>
                <w:rFonts w:ascii="Courier New" w:cs="Courier New" w:eastAsia="Courier New" w:hAnsi="Courier New"/>
                <w:sz w:val="16"/>
                <w:szCs w:val="16"/>
                <w:color w:val="auto"/>
              </w:rPr>
              <w:t>Shares Owned:</w:t>
            </w:r>
          </w:p>
        </w:tc>
        <w:tc>
          <w:tcPr>
            <w:tcW w:w="3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500" w:type="dxa"/>
            <w:vAlign w:val="bottom"/>
            <w:vMerge w:val="continue"/>
          </w:tcPr>
          <w:p>
            <w:pPr>
              <w:spacing w:after="0"/>
              <w:rPr>
                <w:sz w:val="16"/>
                <w:szCs w:val="16"/>
                <w:color w:val="auto"/>
              </w:rPr>
            </w:pPr>
          </w:p>
        </w:tc>
        <w:tc>
          <w:tcPr>
            <w:tcW w:w="3260" w:type="dxa"/>
            <w:vAlign w:val="bottom"/>
          </w:tcPr>
          <w:p>
            <w:pPr>
              <w:ind w:left="160"/>
              <w:spacing w:after="0"/>
              <w:rPr>
                <w:sz w:val="20"/>
                <w:szCs w:val="20"/>
                <w:color w:val="auto"/>
              </w:rPr>
            </w:pPr>
            <w:r>
              <w:rPr>
                <w:rFonts w:ascii="Courier New" w:cs="Courier New" w:eastAsia="Courier New" w:hAnsi="Courier New"/>
                <w:sz w:val="16"/>
                <w:szCs w:val="16"/>
                <w:color w:val="auto"/>
              </w:rPr>
              <w:t>David Satterfield</w:t>
            </w:r>
          </w:p>
        </w:tc>
        <w:tc>
          <w:tcPr>
            <w:tcW w:w="0" w:type="dxa"/>
            <w:vAlign w:val="bottom"/>
          </w:tcPr>
          <w:p>
            <w:pPr>
              <w:spacing w:after="0"/>
              <w:rPr>
                <w:sz w:val="1"/>
                <w:szCs w:val="1"/>
                <w:color w:val="auto"/>
              </w:rPr>
            </w:pPr>
          </w:p>
        </w:tc>
      </w:tr>
      <w:tr>
        <w:trPr>
          <w:trHeight w:val="273"/>
        </w:trPr>
        <w:tc>
          <w:tcPr>
            <w:tcW w:w="4500" w:type="dxa"/>
            <w:vAlign w:val="bottom"/>
          </w:tcPr>
          <w:p>
            <w:pPr>
              <w:spacing w:after="0"/>
              <w:rPr>
                <w:sz w:val="20"/>
                <w:szCs w:val="20"/>
                <w:color w:val="auto"/>
              </w:rPr>
            </w:pPr>
            <w:r>
              <w:rPr>
                <w:rFonts w:ascii="Courier New" w:cs="Courier New" w:eastAsia="Courier New" w:hAnsi="Courier New"/>
                <w:sz w:val="16"/>
                <w:szCs w:val="16"/>
                <w:color w:val="auto"/>
              </w:rPr>
              <w:t>30,000</w:t>
            </w:r>
          </w:p>
        </w:tc>
        <w:tc>
          <w:tcPr>
            <w:tcW w:w="3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9"/>
        </w:trPr>
        <w:tc>
          <w:tcPr>
            <w:tcW w:w="4500" w:type="dxa"/>
            <w:vAlign w:val="bottom"/>
          </w:tcPr>
          <w:p>
            <w:pPr>
              <w:ind w:left="3780"/>
              <w:spacing w:after="0"/>
              <w:rPr>
                <w:sz w:val="20"/>
                <w:szCs w:val="20"/>
                <w:color w:val="auto"/>
              </w:rPr>
            </w:pPr>
            <w:r>
              <w:rPr>
                <w:rFonts w:ascii="Courier New" w:cs="Courier New" w:eastAsia="Courier New" w:hAnsi="Courier New"/>
                <w:sz w:val="16"/>
                <w:szCs w:val="16"/>
                <w:color w:val="auto"/>
              </w:rPr>
              <w:t>6</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73" w:right="1440" w:bottom="1440" w:gutter="0" w:footer="0" w:header="0"/>
        </w:sectPr>
      </w:pPr>
    </w:p>
    <w:bookmarkStart w:id="147" w:name="page148"/>
    <w:bookmarkEnd w:id="147"/>
    <w:p>
      <w:pPr>
        <w:ind w:left="300"/>
        <w:spacing w:after="0"/>
        <w:rPr>
          <w:sz w:val="20"/>
          <w:szCs w:val="20"/>
          <w:color w:val="auto"/>
        </w:rPr>
      </w:pPr>
      <w:r>
        <w:rPr>
          <w:rFonts w:ascii="Courier New" w:cs="Courier New" w:eastAsia="Courier New" w:hAnsi="Courier New"/>
          <w:sz w:val="16"/>
          <w:szCs w:val="16"/>
          <w:color w:val="auto"/>
        </w:rPr>
        <w:t>7</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2520" w:type="dxa"/>
            <w:vAlign w:val="bottom"/>
          </w:tcPr>
          <w:p>
            <w:pPr>
              <w:spacing w:after="0"/>
              <w:rPr>
                <w:sz w:val="23"/>
                <w:szCs w:val="23"/>
                <w:color w:val="auto"/>
              </w:rPr>
            </w:pPr>
          </w:p>
        </w:tc>
        <w:tc>
          <w:tcPr>
            <w:tcW w:w="3300" w:type="dxa"/>
            <w:vAlign w:val="bottom"/>
            <w:gridSpan w:val="2"/>
          </w:tcPr>
          <w:p>
            <w:pPr>
              <w:ind w:left="1540"/>
              <w:spacing w:after="0"/>
              <w:rPr>
                <w:sz w:val="20"/>
                <w:szCs w:val="20"/>
                <w:color w:val="auto"/>
              </w:rPr>
            </w:pPr>
            <w:r>
              <w:rPr>
                <w:rFonts w:ascii="Courier New" w:cs="Courier New" w:eastAsia="Courier New" w:hAnsi="Courier New"/>
                <w:sz w:val="16"/>
                <w:szCs w:val="16"/>
                <w:color w:val="auto"/>
              </w:rPr>
              <w:t>NAGANO KEIKI CO.,</w:t>
            </w:r>
          </w:p>
        </w:tc>
        <w:tc>
          <w:tcPr>
            <w:tcW w:w="1940" w:type="dxa"/>
            <w:vAlign w:val="bottom"/>
          </w:tcPr>
          <w:p>
            <w:pPr>
              <w:spacing w:after="0"/>
              <w:rPr>
                <w:sz w:val="20"/>
                <w:szCs w:val="20"/>
                <w:color w:val="auto"/>
              </w:rPr>
            </w:pPr>
            <w:r>
              <w:rPr>
                <w:rFonts w:ascii="Courier New" w:cs="Courier New" w:eastAsia="Courier New" w:hAnsi="Courier New"/>
                <w:sz w:val="16"/>
                <w:szCs w:val="16"/>
                <w:color w:val="auto"/>
              </w:rPr>
              <w:t>LTD.</w:t>
            </w:r>
          </w:p>
        </w:tc>
        <w:tc>
          <w:tcPr>
            <w:tcW w:w="0" w:type="dxa"/>
            <w:vAlign w:val="bottom"/>
          </w:tcPr>
          <w:p>
            <w:pPr>
              <w:spacing w:after="0"/>
              <w:rPr>
                <w:sz w:val="1"/>
                <w:szCs w:val="1"/>
                <w:color w:val="auto"/>
              </w:rPr>
            </w:pPr>
          </w:p>
        </w:tc>
      </w:tr>
      <w:tr>
        <w:trPr>
          <w:trHeight w:val="659"/>
        </w:trPr>
        <w:tc>
          <w:tcPr>
            <w:tcW w:w="2520" w:type="dxa"/>
            <w:vAlign w:val="bottom"/>
          </w:tcPr>
          <w:p>
            <w:pPr>
              <w:spacing w:after="0"/>
              <w:rPr>
                <w:sz w:val="24"/>
                <w:szCs w:val="24"/>
                <w:color w:val="auto"/>
              </w:rPr>
            </w:pPr>
          </w:p>
        </w:tc>
        <w:tc>
          <w:tcPr>
            <w:tcW w:w="2140" w:type="dxa"/>
            <w:vAlign w:val="bottom"/>
          </w:tcPr>
          <w:p>
            <w:pPr>
              <w:ind w:left="1540"/>
              <w:spacing w:after="0"/>
              <w:rPr>
                <w:sz w:val="20"/>
                <w:szCs w:val="20"/>
                <w:color w:val="auto"/>
              </w:rPr>
            </w:pPr>
            <w:r>
              <w:rPr>
                <w:rFonts w:ascii="Courier New" w:cs="Courier New" w:eastAsia="Courier New" w:hAnsi="Courier New"/>
                <w:sz w:val="16"/>
                <w:szCs w:val="16"/>
                <w:color w:val="auto"/>
              </w:rPr>
              <w:t>By:</w:t>
            </w:r>
          </w:p>
        </w:tc>
        <w:tc>
          <w:tcPr>
            <w:tcW w:w="1160" w:type="dxa"/>
            <w:vAlign w:val="bottom"/>
          </w:tcPr>
          <w:p>
            <w:pPr>
              <w:spacing w:after="0"/>
              <w:rPr>
                <w:sz w:val="20"/>
                <w:szCs w:val="20"/>
                <w:color w:val="auto"/>
              </w:rPr>
            </w:pPr>
            <w:r>
              <w:rPr>
                <w:rFonts w:ascii="Courier New" w:cs="Courier New" w:eastAsia="Courier New" w:hAnsi="Courier New"/>
                <w:sz w:val="16"/>
                <w:szCs w:val="16"/>
                <w:color w:val="auto"/>
              </w:rPr>
              <w:t>/s/ SHIGERU</w:t>
            </w:r>
          </w:p>
        </w:tc>
        <w:tc>
          <w:tcPr>
            <w:tcW w:w="1940" w:type="dxa"/>
            <w:vAlign w:val="bottom"/>
          </w:tcPr>
          <w:p>
            <w:pPr>
              <w:spacing w:after="0"/>
              <w:rPr>
                <w:sz w:val="20"/>
                <w:szCs w:val="20"/>
                <w:color w:val="auto"/>
              </w:rPr>
            </w:pPr>
            <w:r>
              <w:rPr>
                <w:rFonts w:ascii="Courier New" w:cs="Courier New" w:eastAsia="Courier New" w:hAnsi="Courier New"/>
                <w:sz w:val="16"/>
                <w:szCs w:val="16"/>
                <w:color w:val="auto"/>
              </w:rPr>
              <w:t>MIYASHITA</w:t>
            </w:r>
          </w:p>
        </w:tc>
        <w:tc>
          <w:tcPr>
            <w:tcW w:w="0" w:type="dxa"/>
            <w:vAlign w:val="bottom"/>
          </w:tcPr>
          <w:p>
            <w:pPr>
              <w:spacing w:after="0"/>
              <w:rPr>
                <w:sz w:val="1"/>
                <w:szCs w:val="1"/>
                <w:color w:val="auto"/>
              </w:rPr>
            </w:pPr>
          </w:p>
        </w:tc>
      </w:tr>
      <w:tr>
        <w:trPr>
          <w:trHeight w:val="186"/>
        </w:trPr>
        <w:tc>
          <w:tcPr>
            <w:tcW w:w="2520" w:type="dxa"/>
            <w:vAlign w:val="bottom"/>
            <w:vMerge w:val="restart"/>
          </w:tcPr>
          <w:p>
            <w:pPr>
              <w:spacing w:after="0"/>
              <w:rPr>
                <w:sz w:val="20"/>
                <w:szCs w:val="20"/>
                <w:color w:val="auto"/>
              </w:rPr>
            </w:pPr>
            <w:r>
              <w:rPr>
                <w:rFonts w:ascii="Courier New" w:cs="Courier New" w:eastAsia="Courier New" w:hAnsi="Courier New"/>
                <w:sz w:val="16"/>
                <w:szCs w:val="16"/>
                <w:color w:val="auto"/>
              </w:rPr>
              <w:t>Shares Owned:</w:t>
            </w:r>
          </w:p>
        </w:tc>
        <w:tc>
          <w:tcPr>
            <w:tcW w:w="2140" w:type="dxa"/>
            <w:vAlign w:val="bottom"/>
            <w:vMerge w:val="restart"/>
          </w:tcPr>
          <w:p>
            <w:pPr>
              <w:ind w:left="1540"/>
              <w:spacing w:after="0"/>
              <w:rPr>
                <w:sz w:val="20"/>
                <w:szCs w:val="20"/>
                <w:color w:val="auto"/>
              </w:rPr>
            </w:pPr>
            <w:r>
              <w:rPr>
                <w:rFonts w:ascii="Courier New" w:cs="Courier New" w:eastAsia="Courier New" w:hAnsi="Courier New"/>
                <w:sz w:val="16"/>
                <w:szCs w:val="16"/>
                <w:color w:val="auto"/>
              </w:rPr>
              <w:t>Name:</w:t>
            </w:r>
          </w:p>
        </w:tc>
        <w:tc>
          <w:tcPr>
            <w:tcW w:w="310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2520" w:type="dxa"/>
            <w:vAlign w:val="bottom"/>
            <w:vMerge w:val="continue"/>
          </w:tcPr>
          <w:p>
            <w:pPr>
              <w:spacing w:after="0"/>
              <w:rPr>
                <w:sz w:val="16"/>
                <w:szCs w:val="16"/>
                <w:color w:val="auto"/>
              </w:rPr>
            </w:pPr>
          </w:p>
        </w:tc>
        <w:tc>
          <w:tcPr>
            <w:tcW w:w="2140" w:type="dxa"/>
            <w:vAlign w:val="bottom"/>
            <w:vMerge w:val="continue"/>
          </w:tcPr>
          <w:p>
            <w:pPr>
              <w:spacing w:after="0"/>
              <w:rPr>
                <w:sz w:val="16"/>
                <w:szCs w:val="16"/>
                <w:color w:val="auto"/>
              </w:rPr>
            </w:pPr>
          </w:p>
        </w:tc>
        <w:tc>
          <w:tcPr>
            <w:tcW w:w="1160" w:type="dxa"/>
            <w:vAlign w:val="bottom"/>
          </w:tcPr>
          <w:p>
            <w:pPr>
              <w:ind w:left="380"/>
              <w:spacing w:after="0"/>
              <w:rPr>
                <w:sz w:val="20"/>
                <w:szCs w:val="20"/>
                <w:color w:val="auto"/>
              </w:rPr>
            </w:pPr>
            <w:r>
              <w:rPr>
                <w:rFonts w:ascii="Courier New" w:cs="Courier New" w:eastAsia="Courier New" w:hAnsi="Courier New"/>
                <w:sz w:val="16"/>
                <w:szCs w:val="16"/>
                <w:color w:val="auto"/>
              </w:rPr>
              <w:t>Shigeru</w:t>
            </w:r>
          </w:p>
        </w:tc>
        <w:tc>
          <w:tcPr>
            <w:tcW w:w="1940" w:type="dxa"/>
            <w:vAlign w:val="bottom"/>
          </w:tcPr>
          <w:p>
            <w:pPr>
              <w:spacing w:after="0"/>
              <w:rPr>
                <w:sz w:val="20"/>
                <w:szCs w:val="20"/>
                <w:color w:val="auto"/>
              </w:rPr>
            </w:pPr>
            <w:r>
              <w:rPr>
                <w:rFonts w:ascii="Courier New" w:cs="Courier New" w:eastAsia="Courier New" w:hAnsi="Courier New"/>
                <w:sz w:val="16"/>
                <w:szCs w:val="16"/>
                <w:color w:val="auto"/>
              </w:rPr>
              <w:t>Miyashita</w:t>
            </w:r>
          </w:p>
        </w:tc>
        <w:tc>
          <w:tcPr>
            <w:tcW w:w="0" w:type="dxa"/>
            <w:vAlign w:val="bottom"/>
          </w:tcPr>
          <w:p>
            <w:pPr>
              <w:spacing w:after="0"/>
              <w:rPr>
                <w:sz w:val="1"/>
                <w:szCs w:val="1"/>
                <w:color w:val="auto"/>
              </w:rPr>
            </w:pPr>
          </w:p>
        </w:tc>
      </w:tr>
      <w:tr>
        <w:trPr>
          <w:trHeight w:val="273"/>
        </w:trPr>
        <w:tc>
          <w:tcPr>
            <w:tcW w:w="2520" w:type="dxa"/>
            <w:vAlign w:val="bottom"/>
          </w:tcPr>
          <w:p>
            <w:pPr>
              <w:spacing w:after="0"/>
              <w:rPr>
                <w:sz w:val="20"/>
                <w:szCs w:val="20"/>
                <w:color w:val="auto"/>
              </w:rPr>
            </w:pPr>
            <w:r>
              <w:rPr>
                <w:rFonts w:ascii="Courier New" w:cs="Courier New" w:eastAsia="Courier New" w:hAnsi="Courier New"/>
                <w:sz w:val="16"/>
                <w:szCs w:val="16"/>
                <w:color w:val="auto"/>
              </w:rPr>
              <w:t>291,007</w:t>
            </w:r>
          </w:p>
        </w:tc>
        <w:tc>
          <w:tcPr>
            <w:tcW w:w="2140" w:type="dxa"/>
            <w:vAlign w:val="bottom"/>
            <w:vMerge w:val="restart"/>
          </w:tcPr>
          <w:p>
            <w:pPr>
              <w:ind w:left="1540"/>
              <w:spacing w:after="0"/>
              <w:rPr>
                <w:sz w:val="20"/>
                <w:szCs w:val="20"/>
                <w:color w:val="auto"/>
              </w:rPr>
            </w:pPr>
            <w:r>
              <w:rPr>
                <w:rFonts w:ascii="Courier New" w:cs="Courier New" w:eastAsia="Courier New" w:hAnsi="Courier New"/>
                <w:sz w:val="16"/>
                <w:szCs w:val="16"/>
                <w:color w:val="auto"/>
              </w:rPr>
              <w:t>Title:</w:t>
            </w:r>
          </w:p>
        </w:tc>
        <w:tc>
          <w:tcPr>
            <w:tcW w:w="310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w w:val="72"/>
              </w:rPr>
              <w:t>--------------------------------</w:t>
            </w:r>
            <w:r>
              <w:rPr>
                <w:rFonts w:ascii="Courier New" w:cs="Courier New" w:eastAsia="Courier New" w:hAnsi="Courier New"/>
                <w:sz w:val="32"/>
                <w:szCs w:val="32"/>
                <w:color w:val="auto"/>
                <w:w w:val="72"/>
                <w:vertAlign w:val="subscript"/>
              </w:rPr>
              <w:t>President</w:t>
            </w:r>
          </w:p>
        </w:tc>
        <w:tc>
          <w:tcPr>
            <w:tcW w:w="0" w:type="dxa"/>
            <w:vAlign w:val="bottom"/>
          </w:tcPr>
          <w:p>
            <w:pPr>
              <w:spacing w:after="0"/>
              <w:rPr>
                <w:sz w:val="1"/>
                <w:szCs w:val="1"/>
                <w:color w:val="auto"/>
              </w:rPr>
            </w:pPr>
          </w:p>
        </w:tc>
      </w:tr>
      <w:tr>
        <w:trPr>
          <w:trHeight w:val="100"/>
        </w:trPr>
        <w:tc>
          <w:tcPr>
            <w:tcW w:w="2520" w:type="dxa"/>
            <w:vAlign w:val="bottom"/>
          </w:tcPr>
          <w:p>
            <w:pPr>
              <w:spacing w:after="0"/>
              <w:rPr>
                <w:sz w:val="8"/>
                <w:szCs w:val="8"/>
                <w:color w:val="auto"/>
              </w:rPr>
            </w:pPr>
          </w:p>
        </w:tc>
        <w:tc>
          <w:tcPr>
            <w:tcW w:w="2140" w:type="dxa"/>
            <w:vAlign w:val="bottom"/>
            <w:vMerge w:val="continue"/>
          </w:tcPr>
          <w:p>
            <w:pPr>
              <w:spacing w:after="0"/>
              <w:rPr>
                <w:sz w:val="8"/>
                <w:szCs w:val="8"/>
                <w:color w:val="auto"/>
              </w:rPr>
            </w:pPr>
          </w:p>
        </w:tc>
        <w:tc>
          <w:tcPr>
            <w:tcW w:w="31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3"/>
        </w:trPr>
        <w:tc>
          <w:tcPr>
            <w:tcW w:w="252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310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559"/>
        </w:trPr>
        <w:tc>
          <w:tcPr>
            <w:tcW w:w="2520" w:type="dxa"/>
            <w:vAlign w:val="bottom"/>
          </w:tcPr>
          <w:p>
            <w:pPr>
              <w:spacing w:after="0"/>
              <w:rPr>
                <w:sz w:val="24"/>
                <w:szCs w:val="24"/>
                <w:color w:val="auto"/>
              </w:rPr>
            </w:pPr>
          </w:p>
        </w:tc>
        <w:tc>
          <w:tcPr>
            <w:tcW w:w="2140" w:type="dxa"/>
            <w:vAlign w:val="bottom"/>
          </w:tcPr>
          <w:p>
            <w:pPr>
              <w:ind w:left="1260"/>
              <w:spacing w:after="0"/>
              <w:rPr>
                <w:sz w:val="20"/>
                <w:szCs w:val="20"/>
                <w:color w:val="auto"/>
              </w:rPr>
            </w:pPr>
            <w:r>
              <w:rPr>
                <w:rFonts w:ascii="Courier New" w:cs="Courier New" w:eastAsia="Courier New" w:hAnsi="Courier New"/>
                <w:sz w:val="16"/>
                <w:szCs w:val="16"/>
                <w:color w:val="auto"/>
              </w:rPr>
              <w:t>7</w:t>
            </w:r>
          </w:p>
        </w:tc>
        <w:tc>
          <w:tcPr>
            <w:tcW w:w="1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73" w:right="1440" w:bottom="1440" w:gutter="0" w:footer="0" w:header="0"/>
        </w:sectPr>
      </w:pPr>
    </w:p>
    <w:bookmarkStart w:id="148" w:name="page149"/>
    <w:bookmarkEnd w:id="1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2520" w:type="dxa"/>
            <w:vAlign w:val="bottom"/>
          </w:tcPr>
          <w:p>
            <w:pPr>
              <w:jc w:val="right"/>
              <w:ind w:right="2059"/>
              <w:spacing w:after="0"/>
              <w:rPr>
                <w:sz w:val="20"/>
                <w:szCs w:val="20"/>
                <w:color w:val="auto"/>
              </w:rPr>
            </w:pPr>
            <w:r>
              <w:rPr>
                <w:rFonts w:ascii="Courier New" w:cs="Courier New" w:eastAsia="Courier New" w:hAnsi="Courier New"/>
                <w:sz w:val="16"/>
                <w:szCs w:val="16"/>
                <w:color w:val="auto"/>
              </w:rPr>
              <w:t>8</w:t>
            </w:r>
          </w:p>
        </w:tc>
        <w:tc>
          <w:tcPr>
            <w:tcW w:w="208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3"/>
        </w:trPr>
        <w:tc>
          <w:tcPr>
            <w:tcW w:w="2520" w:type="dxa"/>
            <w:vAlign w:val="bottom"/>
          </w:tcPr>
          <w:p>
            <w:pPr>
              <w:spacing w:after="0"/>
              <w:rPr>
                <w:sz w:val="24"/>
                <w:szCs w:val="24"/>
                <w:color w:val="auto"/>
              </w:rPr>
            </w:pPr>
          </w:p>
        </w:tc>
        <w:tc>
          <w:tcPr>
            <w:tcW w:w="2080" w:type="dxa"/>
            <w:vAlign w:val="bottom"/>
          </w:tcPr>
          <w:p>
            <w:pPr>
              <w:ind w:left="1540"/>
              <w:spacing w:after="0"/>
              <w:rPr>
                <w:sz w:val="20"/>
                <w:szCs w:val="20"/>
                <w:color w:val="auto"/>
              </w:rPr>
            </w:pPr>
            <w:r>
              <w:rPr>
                <w:rFonts w:ascii="Courier New" w:cs="Courier New" w:eastAsia="Courier New" w:hAnsi="Courier New"/>
                <w:sz w:val="16"/>
                <w:szCs w:val="16"/>
                <w:color w:val="auto"/>
              </w:rPr>
              <w:t>BREED</w:t>
            </w:r>
          </w:p>
        </w:tc>
        <w:tc>
          <w:tcPr>
            <w:tcW w:w="3160" w:type="dxa"/>
            <w:vAlign w:val="bottom"/>
          </w:tcPr>
          <w:p>
            <w:pPr>
              <w:ind w:left="60"/>
              <w:spacing w:after="0"/>
              <w:rPr>
                <w:sz w:val="20"/>
                <w:szCs w:val="20"/>
                <w:color w:val="auto"/>
              </w:rPr>
            </w:pPr>
            <w:r>
              <w:rPr>
                <w:rFonts w:ascii="Courier New" w:cs="Courier New" w:eastAsia="Courier New" w:hAnsi="Courier New"/>
                <w:sz w:val="16"/>
                <w:szCs w:val="16"/>
                <w:color w:val="auto"/>
              </w:rPr>
              <w:t>TECHNOLOGIES, INC.</w:t>
            </w:r>
          </w:p>
        </w:tc>
        <w:tc>
          <w:tcPr>
            <w:tcW w:w="0" w:type="dxa"/>
            <w:vAlign w:val="bottom"/>
          </w:tcPr>
          <w:p>
            <w:pPr>
              <w:spacing w:after="0"/>
              <w:rPr>
                <w:sz w:val="1"/>
                <w:szCs w:val="1"/>
                <w:color w:val="auto"/>
              </w:rPr>
            </w:pPr>
          </w:p>
        </w:tc>
      </w:tr>
      <w:tr>
        <w:trPr>
          <w:trHeight w:val="287"/>
        </w:trPr>
        <w:tc>
          <w:tcPr>
            <w:tcW w:w="2520" w:type="dxa"/>
            <w:vAlign w:val="bottom"/>
          </w:tcPr>
          <w:p>
            <w:pPr>
              <w:spacing w:after="0"/>
              <w:rPr>
                <w:sz w:val="24"/>
                <w:szCs w:val="24"/>
                <w:color w:val="auto"/>
              </w:rPr>
            </w:pPr>
          </w:p>
        </w:tc>
        <w:tc>
          <w:tcPr>
            <w:tcW w:w="2080" w:type="dxa"/>
            <w:vAlign w:val="bottom"/>
          </w:tcPr>
          <w:p>
            <w:pPr>
              <w:ind w:left="1540"/>
              <w:spacing w:after="0"/>
              <w:rPr>
                <w:sz w:val="20"/>
                <w:szCs w:val="20"/>
                <w:color w:val="auto"/>
              </w:rPr>
            </w:pPr>
            <w:r>
              <w:rPr>
                <w:rFonts w:ascii="Courier New" w:cs="Courier New" w:eastAsia="Courier New" w:hAnsi="Courier New"/>
                <w:sz w:val="16"/>
                <w:szCs w:val="16"/>
                <w:color w:val="auto"/>
              </w:rPr>
              <w:t>By:</w:t>
            </w:r>
          </w:p>
        </w:tc>
        <w:tc>
          <w:tcPr>
            <w:tcW w:w="3160" w:type="dxa"/>
            <w:vAlign w:val="bottom"/>
          </w:tcPr>
          <w:p>
            <w:pPr>
              <w:ind w:left="60"/>
              <w:spacing w:after="0"/>
              <w:rPr>
                <w:sz w:val="20"/>
                <w:szCs w:val="20"/>
                <w:color w:val="auto"/>
              </w:rPr>
            </w:pPr>
            <w:r>
              <w:rPr>
                <w:rFonts w:ascii="Courier New" w:cs="Courier New" w:eastAsia="Courier New" w:hAnsi="Courier New"/>
                <w:sz w:val="16"/>
                <w:szCs w:val="16"/>
                <w:color w:val="auto"/>
              </w:rPr>
              <w:t>/s/ JOHNNIE C. BREED</w:t>
            </w:r>
          </w:p>
        </w:tc>
        <w:tc>
          <w:tcPr>
            <w:tcW w:w="0" w:type="dxa"/>
            <w:vAlign w:val="bottom"/>
          </w:tcPr>
          <w:p>
            <w:pPr>
              <w:spacing w:after="0"/>
              <w:rPr>
                <w:sz w:val="1"/>
                <w:szCs w:val="1"/>
                <w:color w:val="auto"/>
              </w:rPr>
            </w:pPr>
          </w:p>
        </w:tc>
      </w:tr>
      <w:tr>
        <w:trPr>
          <w:trHeight w:val="186"/>
        </w:trPr>
        <w:tc>
          <w:tcPr>
            <w:tcW w:w="2520" w:type="dxa"/>
            <w:vAlign w:val="bottom"/>
            <w:vMerge w:val="restart"/>
          </w:tcPr>
          <w:p>
            <w:pPr>
              <w:spacing w:after="0"/>
              <w:rPr>
                <w:sz w:val="20"/>
                <w:szCs w:val="20"/>
                <w:color w:val="auto"/>
              </w:rPr>
            </w:pPr>
            <w:r>
              <w:rPr>
                <w:rFonts w:ascii="Courier New" w:cs="Courier New" w:eastAsia="Courier New" w:hAnsi="Courier New"/>
                <w:sz w:val="16"/>
                <w:szCs w:val="16"/>
                <w:color w:val="auto"/>
              </w:rPr>
              <w:t>Shares Owned:</w:t>
            </w:r>
          </w:p>
        </w:tc>
        <w:tc>
          <w:tcPr>
            <w:tcW w:w="2080" w:type="dxa"/>
            <w:vAlign w:val="bottom"/>
          </w:tcPr>
          <w:p>
            <w:pPr>
              <w:spacing w:after="0"/>
              <w:rPr>
                <w:sz w:val="16"/>
                <w:szCs w:val="16"/>
                <w:color w:val="auto"/>
              </w:rPr>
            </w:pPr>
          </w:p>
        </w:tc>
        <w:tc>
          <w:tcPr>
            <w:tcW w:w="316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2520" w:type="dxa"/>
            <w:vAlign w:val="bottom"/>
            <w:vMerge w:val="continue"/>
          </w:tcPr>
          <w:p>
            <w:pPr>
              <w:spacing w:after="0"/>
              <w:rPr>
                <w:sz w:val="16"/>
                <w:szCs w:val="16"/>
                <w:color w:val="auto"/>
              </w:rPr>
            </w:pPr>
          </w:p>
        </w:tc>
        <w:tc>
          <w:tcPr>
            <w:tcW w:w="5240" w:type="dxa"/>
            <w:vAlign w:val="bottom"/>
            <w:gridSpan w:val="2"/>
          </w:tcPr>
          <w:p>
            <w:pPr>
              <w:ind w:left="1540"/>
              <w:spacing w:after="0"/>
              <w:rPr>
                <w:sz w:val="20"/>
                <w:szCs w:val="20"/>
                <w:color w:val="auto"/>
              </w:rPr>
            </w:pPr>
            <w:r>
              <w:rPr>
                <w:rFonts w:ascii="Courier New" w:cs="Courier New" w:eastAsia="Courier New" w:hAnsi="Courier New"/>
                <w:sz w:val="16"/>
                <w:szCs w:val="16"/>
                <w:color w:val="auto"/>
              </w:rPr>
              <w:t>Name: Johnnie C. Breed</w:t>
            </w:r>
          </w:p>
        </w:tc>
        <w:tc>
          <w:tcPr>
            <w:tcW w:w="0" w:type="dxa"/>
            <w:vAlign w:val="bottom"/>
          </w:tcPr>
          <w:p>
            <w:pPr>
              <w:spacing w:after="0"/>
              <w:rPr>
                <w:sz w:val="1"/>
                <w:szCs w:val="1"/>
                <w:color w:val="auto"/>
              </w:rPr>
            </w:pPr>
          </w:p>
        </w:tc>
      </w:tr>
      <w:tr>
        <w:trPr>
          <w:trHeight w:val="273"/>
        </w:trPr>
        <w:tc>
          <w:tcPr>
            <w:tcW w:w="2520" w:type="dxa"/>
            <w:vAlign w:val="bottom"/>
          </w:tcPr>
          <w:p>
            <w:pPr>
              <w:jc w:val="right"/>
              <w:ind w:right="1759"/>
              <w:spacing w:after="0"/>
              <w:rPr>
                <w:sz w:val="20"/>
                <w:szCs w:val="20"/>
                <w:color w:val="auto"/>
              </w:rPr>
            </w:pPr>
            <w:r>
              <w:rPr>
                <w:rFonts w:ascii="Courier New" w:cs="Courier New" w:eastAsia="Courier New" w:hAnsi="Courier New"/>
                <w:sz w:val="16"/>
                <w:szCs w:val="16"/>
                <w:color w:val="auto"/>
                <w:w w:val="98"/>
              </w:rPr>
              <w:t>530,038</w:t>
            </w:r>
          </w:p>
        </w:tc>
        <w:tc>
          <w:tcPr>
            <w:tcW w:w="5240" w:type="dxa"/>
            <w:vAlign w:val="bottom"/>
            <w:gridSpan w:val="2"/>
            <w:vMerge w:val="restart"/>
          </w:tcPr>
          <w:p>
            <w:pPr>
              <w:ind w:left="1540"/>
              <w:spacing w:after="0"/>
              <w:rPr>
                <w:sz w:val="20"/>
                <w:szCs w:val="20"/>
                <w:color w:val="auto"/>
              </w:rPr>
            </w:pPr>
            <w:r>
              <w:rPr>
                <w:rFonts w:ascii="Courier New" w:cs="Courier New" w:eastAsia="Courier New" w:hAnsi="Courier New"/>
                <w:sz w:val="30"/>
                <w:szCs w:val="30"/>
                <w:color w:val="auto"/>
                <w:w w:val="73"/>
                <w:vertAlign w:val="subscript"/>
              </w:rPr>
              <w:t>Title:</w:t>
            </w:r>
            <w:r>
              <w:rPr>
                <w:rFonts w:ascii="Courier New" w:cs="Courier New" w:eastAsia="Courier New" w:hAnsi="Courier New"/>
                <w:sz w:val="15"/>
                <w:szCs w:val="15"/>
                <w:color w:val="auto"/>
                <w:w w:val="73"/>
              </w:rPr>
              <w:t>--------------------------------</w:t>
            </w:r>
            <w:r>
              <w:rPr>
                <w:rFonts w:ascii="Courier New" w:cs="Courier New" w:eastAsia="Courier New" w:hAnsi="Courier New"/>
                <w:sz w:val="30"/>
                <w:szCs w:val="30"/>
                <w:color w:val="auto"/>
                <w:w w:val="73"/>
                <w:vertAlign w:val="subscript"/>
              </w:rPr>
              <w:t>Chairman&amp;CEO</w:t>
            </w:r>
          </w:p>
        </w:tc>
        <w:tc>
          <w:tcPr>
            <w:tcW w:w="0" w:type="dxa"/>
            <w:vAlign w:val="bottom"/>
          </w:tcPr>
          <w:p>
            <w:pPr>
              <w:spacing w:after="0"/>
              <w:rPr>
                <w:sz w:val="1"/>
                <w:szCs w:val="1"/>
                <w:color w:val="auto"/>
              </w:rPr>
            </w:pPr>
          </w:p>
        </w:tc>
      </w:tr>
      <w:tr>
        <w:trPr>
          <w:trHeight w:val="100"/>
        </w:trPr>
        <w:tc>
          <w:tcPr>
            <w:tcW w:w="2520" w:type="dxa"/>
            <w:vAlign w:val="bottom"/>
          </w:tcPr>
          <w:p>
            <w:pPr>
              <w:spacing w:after="0"/>
              <w:rPr>
                <w:sz w:val="8"/>
                <w:szCs w:val="8"/>
                <w:color w:val="auto"/>
              </w:rPr>
            </w:pPr>
          </w:p>
        </w:tc>
        <w:tc>
          <w:tcPr>
            <w:tcW w:w="52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3"/>
        </w:trPr>
        <w:tc>
          <w:tcPr>
            <w:tcW w:w="25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16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559"/>
        </w:trPr>
        <w:tc>
          <w:tcPr>
            <w:tcW w:w="2520" w:type="dxa"/>
            <w:vAlign w:val="bottom"/>
          </w:tcPr>
          <w:p>
            <w:pPr>
              <w:spacing w:after="0"/>
              <w:rPr>
                <w:sz w:val="24"/>
                <w:szCs w:val="24"/>
                <w:color w:val="auto"/>
              </w:rPr>
            </w:pPr>
          </w:p>
        </w:tc>
        <w:tc>
          <w:tcPr>
            <w:tcW w:w="2080" w:type="dxa"/>
            <w:vAlign w:val="bottom"/>
          </w:tcPr>
          <w:p>
            <w:pPr>
              <w:ind w:left="1260"/>
              <w:spacing w:after="0"/>
              <w:rPr>
                <w:sz w:val="20"/>
                <w:szCs w:val="20"/>
                <w:color w:val="auto"/>
              </w:rPr>
            </w:pPr>
            <w:r>
              <w:rPr>
                <w:rFonts w:ascii="Courier New" w:cs="Courier New" w:eastAsia="Courier New" w:hAnsi="Courier New"/>
                <w:sz w:val="16"/>
                <w:szCs w:val="16"/>
                <w:color w:val="auto"/>
              </w:rPr>
              <w:t>8</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73" w:right="1440" w:bottom="1440" w:gutter="0" w:footer="0" w:header="0"/>
        </w:sectPr>
      </w:pPr>
    </w:p>
    <w:bookmarkStart w:id="149" w:name="page150"/>
    <w:bookmarkEnd w:id="1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2520" w:type="dxa"/>
            <w:vAlign w:val="bottom"/>
          </w:tcPr>
          <w:p>
            <w:pPr>
              <w:jc w:val="center"/>
              <w:ind w:right="1759"/>
              <w:spacing w:after="0"/>
              <w:rPr>
                <w:sz w:val="20"/>
                <w:szCs w:val="20"/>
                <w:color w:val="auto"/>
              </w:rPr>
            </w:pPr>
            <w:r>
              <w:rPr>
                <w:rFonts w:ascii="Courier New" w:cs="Courier New" w:eastAsia="Courier New" w:hAnsi="Courier New"/>
                <w:sz w:val="16"/>
                <w:szCs w:val="16"/>
                <w:color w:val="auto"/>
                <w:w w:val="82"/>
              </w:rPr>
              <w:t>9</w:t>
            </w:r>
          </w:p>
        </w:tc>
        <w:tc>
          <w:tcPr>
            <w:tcW w:w="214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9"/>
        </w:trPr>
        <w:tc>
          <w:tcPr>
            <w:tcW w:w="2520" w:type="dxa"/>
            <w:vAlign w:val="bottom"/>
          </w:tcPr>
          <w:p>
            <w:pPr>
              <w:spacing w:after="0"/>
              <w:rPr>
                <w:sz w:val="24"/>
                <w:szCs w:val="24"/>
                <w:color w:val="auto"/>
              </w:rPr>
            </w:pPr>
          </w:p>
        </w:tc>
        <w:tc>
          <w:tcPr>
            <w:tcW w:w="5240" w:type="dxa"/>
            <w:vAlign w:val="bottom"/>
            <w:gridSpan w:val="2"/>
          </w:tcPr>
          <w:p>
            <w:pPr>
              <w:ind w:left="1540"/>
              <w:spacing w:after="0"/>
              <w:rPr>
                <w:sz w:val="20"/>
                <w:szCs w:val="20"/>
                <w:color w:val="auto"/>
              </w:rPr>
            </w:pPr>
            <w:r>
              <w:rPr>
                <w:rFonts w:ascii="Courier New" w:cs="Courier New" w:eastAsia="Courier New" w:hAnsi="Courier New"/>
                <w:sz w:val="16"/>
                <w:szCs w:val="16"/>
                <w:color w:val="auto"/>
              </w:rPr>
              <w:t>WK TECHNOLOGY FUNDS</w:t>
            </w:r>
          </w:p>
        </w:tc>
        <w:tc>
          <w:tcPr>
            <w:tcW w:w="0" w:type="dxa"/>
            <w:vAlign w:val="bottom"/>
          </w:tcPr>
          <w:p>
            <w:pPr>
              <w:spacing w:after="0"/>
              <w:rPr>
                <w:sz w:val="1"/>
                <w:szCs w:val="1"/>
                <w:color w:val="auto"/>
              </w:rPr>
            </w:pPr>
          </w:p>
        </w:tc>
      </w:tr>
      <w:tr>
        <w:trPr>
          <w:trHeight w:val="659"/>
        </w:trPr>
        <w:tc>
          <w:tcPr>
            <w:tcW w:w="2520" w:type="dxa"/>
            <w:vAlign w:val="bottom"/>
          </w:tcPr>
          <w:p>
            <w:pPr>
              <w:spacing w:after="0"/>
              <w:rPr>
                <w:sz w:val="24"/>
                <w:szCs w:val="24"/>
                <w:color w:val="auto"/>
              </w:rPr>
            </w:pPr>
          </w:p>
        </w:tc>
        <w:tc>
          <w:tcPr>
            <w:tcW w:w="2140" w:type="dxa"/>
            <w:vAlign w:val="bottom"/>
          </w:tcPr>
          <w:p>
            <w:pPr>
              <w:ind w:left="1540"/>
              <w:spacing w:after="0"/>
              <w:rPr>
                <w:sz w:val="20"/>
                <w:szCs w:val="20"/>
                <w:color w:val="auto"/>
              </w:rPr>
            </w:pPr>
            <w:r>
              <w:rPr>
                <w:rFonts w:ascii="Courier New" w:cs="Courier New" w:eastAsia="Courier New" w:hAnsi="Courier New"/>
                <w:sz w:val="16"/>
                <w:szCs w:val="16"/>
                <w:color w:val="auto"/>
              </w:rPr>
              <w:t>By:</w:t>
            </w:r>
          </w:p>
        </w:tc>
        <w:tc>
          <w:tcPr>
            <w:tcW w:w="3100" w:type="dxa"/>
            <w:vAlign w:val="bottom"/>
          </w:tcPr>
          <w:p>
            <w:pPr>
              <w:spacing w:after="0"/>
              <w:rPr>
                <w:sz w:val="20"/>
                <w:szCs w:val="20"/>
                <w:color w:val="auto"/>
              </w:rPr>
            </w:pPr>
            <w:r>
              <w:rPr>
                <w:rFonts w:ascii="Courier New" w:cs="Courier New" w:eastAsia="Courier New" w:hAnsi="Courier New"/>
                <w:sz w:val="16"/>
                <w:szCs w:val="16"/>
                <w:color w:val="auto"/>
              </w:rPr>
              <w:t>/s/ WEN CHANG KO</w:t>
            </w:r>
          </w:p>
        </w:tc>
        <w:tc>
          <w:tcPr>
            <w:tcW w:w="0" w:type="dxa"/>
            <w:vAlign w:val="bottom"/>
          </w:tcPr>
          <w:p>
            <w:pPr>
              <w:spacing w:after="0"/>
              <w:rPr>
                <w:sz w:val="1"/>
                <w:szCs w:val="1"/>
                <w:color w:val="auto"/>
              </w:rPr>
            </w:pPr>
          </w:p>
        </w:tc>
      </w:tr>
      <w:tr>
        <w:trPr>
          <w:trHeight w:val="186"/>
        </w:trPr>
        <w:tc>
          <w:tcPr>
            <w:tcW w:w="2520" w:type="dxa"/>
            <w:vAlign w:val="bottom"/>
            <w:vMerge w:val="restart"/>
          </w:tcPr>
          <w:p>
            <w:pPr>
              <w:spacing w:after="0"/>
              <w:rPr>
                <w:sz w:val="20"/>
                <w:szCs w:val="20"/>
                <w:color w:val="auto"/>
              </w:rPr>
            </w:pPr>
            <w:r>
              <w:rPr>
                <w:rFonts w:ascii="Courier New" w:cs="Courier New" w:eastAsia="Courier New" w:hAnsi="Courier New"/>
                <w:sz w:val="16"/>
                <w:szCs w:val="16"/>
                <w:color w:val="auto"/>
              </w:rPr>
              <w:t>Shares Owned:</w:t>
            </w:r>
          </w:p>
        </w:tc>
        <w:tc>
          <w:tcPr>
            <w:tcW w:w="2140" w:type="dxa"/>
            <w:vAlign w:val="bottom"/>
            <w:vMerge w:val="restart"/>
          </w:tcPr>
          <w:p>
            <w:pPr>
              <w:ind w:left="1540"/>
              <w:spacing w:after="0"/>
              <w:rPr>
                <w:sz w:val="20"/>
                <w:szCs w:val="20"/>
                <w:color w:val="auto"/>
              </w:rPr>
            </w:pPr>
            <w:r>
              <w:rPr>
                <w:rFonts w:ascii="Courier New" w:cs="Courier New" w:eastAsia="Courier New" w:hAnsi="Courier New"/>
                <w:sz w:val="16"/>
                <w:szCs w:val="16"/>
                <w:color w:val="auto"/>
              </w:rPr>
              <w:t>Name:</w:t>
            </w:r>
          </w:p>
        </w:tc>
        <w:tc>
          <w:tcPr>
            <w:tcW w:w="31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2520" w:type="dxa"/>
            <w:vAlign w:val="bottom"/>
            <w:vMerge w:val="continue"/>
          </w:tcPr>
          <w:p>
            <w:pPr>
              <w:spacing w:after="0"/>
              <w:rPr>
                <w:sz w:val="16"/>
                <w:szCs w:val="16"/>
                <w:color w:val="auto"/>
              </w:rPr>
            </w:pPr>
          </w:p>
        </w:tc>
        <w:tc>
          <w:tcPr>
            <w:tcW w:w="2140" w:type="dxa"/>
            <w:vAlign w:val="bottom"/>
            <w:vMerge w:val="continue"/>
          </w:tcPr>
          <w:p>
            <w:pPr>
              <w:spacing w:after="0"/>
              <w:rPr>
                <w:sz w:val="16"/>
                <w:szCs w:val="16"/>
                <w:color w:val="auto"/>
              </w:rPr>
            </w:pPr>
          </w:p>
        </w:tc>
        <w:tc>
          <w:tcPr>
            <w:tcW w:w="3100" w:type="dxa"/>
            <w:vAlign w:val="bottom"/>
          </w:tcPr>
          <w:p>
            <w:pPr>
              <w:ind w:left="380"/>
              <w:spacing w:after="0"/>
              <w:rPr>
                <w:sz w:val="20"/>
                <w:szCs w:val="20"/>
                <w:color w:val="auto"/>
              </w:rPr>
            </w:pPr>
            <w:r>
              <w:rPr>
                <w:rFonts w:ascii="Courier New" w:cs="Courier New" w:eastAsia="Courier New" w:hAnsi="Courier New"/>
                <w:sz w:val="16"/>
                <w:szCs w:val="16"/>
                <w:color w:val="auto"/>
              </w:rPr>
              <w:t>Wen Chang Ko</w:t>
            </w:r>
          </w:p>
        </w:tc>
        <w:tc>
          <w:tcPr>
            <w:tcW w:w="0" w:type="dxa"/>
            <w:vAlign w:val="bottom"/>
          </w:tcPr>
          <w:p>
            <w:pPr>
              <w:spacing w:after="0"/>
              <w:rPr>
                <w:sz w:val="1"/>
                <w:szCs w:val="1"/>
                <w:color w:val="auto"/>
              </w:rPr>
            </w:pPr>
          </w:p>
        </w:tc>
      </w:tr>
      <w:tr>
        <w:trPr>
          <w:trHeight w:val="273"/>
        </w:trPr>
        <w:tc>
          <w:tcPr>
            <w:tcW w:w="2520" w:type="dxa"/>
            <w:vAlign w:val="bottom"/>
          </w:tcPr>
          <w:p>
            <w:pPr>
              <w:jc w:val="center"/>
              <w:ind w:right="1759"/>
              <w:spacing w:after="0"/>
              <w:rPr>
                <w:sz w:val="20"/>
                <w:szCs w:val="20"/>
                <w:color w:val="auto"/>
              </w:rPr>
            </w:pPr>
            <w:r>
              <w:rPr>
                <w:rFonts w:ascii="Courier New" w:cs="Courier New" w:eastAsia="Courier New" w:hAnsi="Courier New"/>
                <w:sz w:val="16"/>
                <w:szCs w:val="16"/>
                <w:color w:val="auto"/>
              </w:rPr>
              <w:t>483,043</w:t>
            </w:r>
          </w:p>
        </w:tc>
        <w:tc>
          <w:tcPr>
            <w:tcW w:w="2140" w:type="dxa"/>
            <w:vAlign w:val="bottom"/>
            <w:vMerge w:val="restart"/>
          </w:tcPr>
          <w:p>
            <w:pPr>
              <w:ind w:left="1540"/>
              <w:spacing w:after="0"/>
              <w:rPr>
                <w:sz w:val="20"/>
                <w:szCs w:val="20"/>
                <w:color w:val="auto"/>
              </w:rPr>
            </w:pPr>
            <w:r>
              <w:rPr>
                <w:rFonts w:ascii="Courier New" w:cs="Courier New" w:eastAsia="Courier New" w:hAnsi="Courier New"/>
                <w:sz w:val="16"/>
                <w:szCs w:val="16"/>
                <w:color w:val="auto"/>
              </w:rPr>
              <w:t>Title:</w:t>
            </w:r>
          </w:p>
        </w:tc>
        <w:tc>
          <w:tcPr>
            <w:tcW w:w="3100" w:type="dxa"/>
            <w:vAlign w:val="bottom"/>
            <w:vMerge w:val="restart"/>
          </w:tcPr>
          <w:p>
            <w:pPr>
              <w:spacing w:after="0"/>
              <w:rPr>
                <w:sz w:val="20"/>
                <w:szCs w:val="20"/>
                <w:color w:val="auto"/>
              </w:rPr>
            </w:pPr>
            <w:r>
              <w:rPr>
                <w:rFonts w:ascii="Courier New" w:cs="Courier New" w:eastAsia="Courier New" w:hAnsi="Courier New"/>
                <w:sz w:val="16"/>
                <w:szCs w:val="16"/>
                <w:color w:val="auto"/>
                <w:w w:val="75"/>
              </w:rPr>
              <w:t>--------------------------------</w:t>
            </w:r>
            <w:r>
              <w:rPr>
                <w:rFonts w:ascii="Courier New" w:cs="Courier New" w:eastAsia="Courier New" w:hAnsi="Courier New"/>
                <w:sz w:val="32"/>
                <w:szCs w:val="32"/>
                <w:color w:val="auto"/>
                <w:w w:val="75"/>
                <w:vertAlign w:val="subscript"/>
              </w:rPr>
              <w:t>Chairman</w:t>
            </w:r>
          </w:p>
        </w:tc>
        <w:tc>
          <w:tcPr>
            <w:tcW w:w="0" w:type="dxa"/>
            <w:vAlign w:val="bottom"/>
          </w:tcPr>
          <w:p>
            <w:pPr>
              <w:spacing w:after="0"/>
              <w:rPr>
                <w:sz w:val="1"/>
                <w:szCs w:val="1"/>
                <w:color w:val="auto"/>
              </w:rPr>
            </w:pPr>
          </w:p>
        </w:tc>
      </w:tr>
      <w:tr>
        <w:trPr>
          <w:trHeight w:val="100"/>
        </w:trPr>
        <w:tc>
          <w:tcPr>
            <w:tcW w:w="2520" w:type="dxa"/>
            <w:vAlign w:val="bottom"/>
          </w:tcPr>
          <w:p>
            <w:pPr>
              <w:spacing w:after="0"/>
              <w:rPr>
                <w:sz w:val="8"/>
                <w:szCs w:val="8"/>
                <w:color w:val="auto"/>
              </w:rPr>
            </w:pPr>
          </w:p>
        </w:tc>
        <w:tc>
          <w:tcPr>
            <w:tcW w:w="2140" w:type="dxa"/>
            <w:vAlign w:val="bottom"/>
            <w:vMerge w:val="continue"/>
          </w:tcPr>
          <w:p>
            <w:pPr>
              <w:spacing w:after="0"/>
              <w:rPr>
                <w:sz w:val="8"/>
                <w:szCs w:val="8"/>
                <w:color w:val="auto"/>
              </w:rPr>
            </w:pPr>
          </w:p>
        </w:tc>
        <w:tc>
          <w:tcPr>
            <w:tcW w:w="3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3"/>
        </w:trPr>
        <w:tc>
          <w:tcPr>
            <w:tcW w:w="252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31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473"/>
        </w:trPr>
        <w:tc>
          <w:tcPr>
            <w:tcW w:w="2520" w:type="dxa"/>
            <w:vAlign w:val="bottom"/>
          </w:tcPr>
          <w:p>
            <w:pPr>
              <w:spacing w:after="0"/>
              <w:rPr>
                <w:sz w:val="24"/>
                <w:szCs w:val="24"/>
                <w:color w:val="auto"/>
              </w:rPr>
            </w:pPr>
          </w:p>
        </w:tc>
        <w:tc>
          <w:tcPr>
            <w:tcW w:w="2140" w:type="dxa"/>
            <w:vAlign w:val="bottom"/>
          </w:tcPr>
          <w:p>
            <w:pPr>
              <w:ind w:left="1540"/>
              <w:spacing w:after="0"/>
              <w:rPr>
                <w:sz w:val="20"/>
                <w:szCs w:val="20"/>
                <w:color w:val="auto"/>
              </w:rPr>
            </w:pPr>
            <w:r>
              <w:rPr>
                <w:rFonts w:ascii="Courier New" w:cs="Courier New" w:eastAsia="Courier New" w:hAnsi="Courier New"/>
                <w:sz w:val="16"/>
                <w:szCs w:val="16"/>
                <w:color w:val="auto"/>
              </w:rPr>
              <w:t>VINOD</w:t>
            </w:r>
          </w:p>
        </w:tc>
        <w:tc>
          <w:tcPr>
            <w:tcW w:w="3100" w:type="dxa"/>
            <w:vAlign w:val="bottom"/>
          </w:tcPr>
          <w:p>
            <w:pPr>
              <w:spacing w:after="0"/>
              <w:rPr>
                <w:sz w:val="20"/>
                <w:szCs w:val="20"/>
                <w:color w:val="auto"/>
              </w:rPr>
            </w:pPr>
            <w:r>
              <w:rPr>
                <w:rFonts w:ascii="Courier New" w:cs="Courier New" w:eastAsia="Courier New" w:hAnsi="Courier New"/>
                <w:sz w:val="16"/>
                <w:szCs w:val="16"/>
                <w:color w:val="auto"/>
              </w:rPr>
              <w:t>K. SOOD, SOOD FAMILY TRUST</w:t>
            </w:r>
          </w:p>
        </w:tc>
        <w:tc>
          <w:tcPr>
            <w:tcW w:w="0" w:type="dxa"/>
            <w:vAlign w:val="bottom"/>
          </w:tcPr>
          <w:p>
            <w:pPr>
              <w:spacing w:after="0"/>
              <w:rPr>
                <w:sz w:val="1"/>
                <w:szCs w:val="1"/>
                <w:color w:val="auto"/>
              </w:rPr>
            </w:pPr>
          </w:p>
        </w:tc>
      </w:tr>
      <w:tr>
        <w:trPr>
          <w:trHeight w:val="273"/>
        </w:trPr>
        <w:tc>
          <w:tcPr>
            <w:tcW w:w="2520" w:type="dxa"/>
            <w:vAlign w:val="bottom"/>
          </w:tcPr>
          <w:p>
            <w:pPr>
              <w:spacing w:after="0"/>
              <w:rPr>
                <w:sz w:val="23"/>
                <w:szCs w:val="23"/>
                <w:color w:val="auto"/>
              </w:rPr>
            </w:pPr>
          </w:p>
        </w:tc>
        <w:tc>
          <w:tcPr>
            <w:tcW w:w="2140" w:type="dxa"/>
            <w:vAlign w:val="bottom"/>
          </w:tcPr>
          <w:p>
            <w:pPr>
              <w:ind w:left="1540"/>
              <w:spacing w:after="0"/>
              <w:rPr>
                <w:sz w:val="20"/>
                <w:szCs w:val="20"/>
                <w:color w:val="auto"/>
              </w:rPr>
            </w:pPr>
            <w:r>
              <w:rPr>
                <w:rFonts w:ascii="Courier New" w:cs="Courier New" w:eastAsia="Courier New" w:hAnsi="Courier New"/>
                <w:sz w:val="16"/>
                <w:szCs w:val="16"/>
                <w:color w:val="auto"/>
              </w:rPr>
              <w:t>DATED</w:t>
            </w:r>
          </w:p>
        </w:tc>
        <w:tc>
          <w:tcPr>
            <w:tcW w:w="3100" w:type="dxa"/>
            <w:vAlign w:val="bottom"/>
          </w:tcPr>
          <w:p>
            <w:pPr>
              <w:spacing w:after="0"/>
              <w:rPr>
                <w:sz w:val="20"/>
                <w:szCs w:val="20"/>
                <w:color w:val="auto"/>
              </w:rPr>
            </w:pPr>
            <w:r>
              <w:rPr>
                <w:rFonts w:ascii="Courier New" w:cs="Courier New" w:eastAsia="Courier New" w:hAnsi="Courier New"/>
                <w:sz w:val="16"/>
                <w:szCs w:val="16"/>
                <w:color w:val="auto"/>
              </w:rPr>
              <w:t>5/14/90</w:t>
            </w:r>
          </w:p>
        </w:tc>
        <w:tc>
          <w:tcPr>
            <w:tcW w:w="0" w:type="dxa"/>
            <w:vAlign w:val="bottom"/>
          </w:tcPr>
          <w:p>
            <w:pPr>
              <w:spacing w:after="0"/>
              <w:rPr>
                <w:sz w:val="1"/>
                <w:szCs w:val="1"/>
                <w:color w:val="auto"/>
              </w:rPr>
            </w:pPr>
          </w:p>
        </w:tc>
      </w:tr>
      <w:tr>
        <w:trPr>
          <w:trHeight w:val="287"/>
        </w:trPr>
        <w:tc>
          <w:tcPr>
            <w:tcW w:w="2520" w:type="dxa"/>
            <w:vAlign w:val="bottom"/>
          </w:tcPr>
          <w:p>
            <w:pPr>
              <w:spacing w:after="0"/>
              <w:rPr>
                <w:sz w:val="24"/>
                <w:szCs w:val="24"/>
                <w:color w:val="auto"/>
              </w:rPr>
            </w:pPr>
          </w:p>
        </w:tc>
        <w:tc>
          <w:tcPr>
            <w:tcW w:w="2140" w:type="dxa"/>
            <w:vAlign w:val="bottom"/>
          </w:tcPr>
          <w:p>
            <w:pPr>
              <w:ind w:left="1540"/>
              <w:spacing w:after="0"/>
              <w:rPr>
                <w:sz w:val="20"/>
                <w:szCs w:val="20"/>
                <w:color w:val="auto"/>
              </w:rPr>
            </w:pPr>
            <w:r>
              <w:rPr>
                <w:rFonts w:ascii="Courier New" w:cs="Courier New" w:eastAsia="Courier New" w:hAnsi="Courier New"/>
                <w:sz w:val="16"/>
                <w:szCs w:val="16"/>
                <w:color w:val="auto"/>
              </w:rPr>
              <w:t>By:</w:t>
            </w:r>
          </w:p>
        </w:tc>
        <w:tc>
          <w:tcPr>
            <w:tcW w:w="3100" w:type="dxa"/>
            <w:vAlign w:val="bottom"/>
          </w:tcPr>
          <w:p>
            <w:pPr>
              <w:spacing w:after="0"/>
              <w:rPr>
                <w:sz w:val="20"/>
                <w:szCs w:val="20"/>
                <w:color w:val="auto"/>
              </w:rPr>
            </w:pPr>
            <w:r>
              <w:rPr>
                <w:rFonts w:ascii="Courier New" w:cs="Courier New" w:eastAsia="Courier New" w:hAnsi="Courier New"/>
                <w:sz w:val="16"/>
                <w:szCs w:val="16"/>
                <w:color w:val="auto"/>
              </w:rPr>
              <w:t>/s/ VINOD K. SOOD</w:t>
            </w:r>
          </w:p>
        </w:tc>
        <w:tc>
          <w:tcPr>
            <w:tcW w:w="0" w:type="dxa"/>
            <w:vAlign w:val="bottom"/>
          </w:tcPr>
          <w:p>
            <w:pPr>
              <w:spacing w:after="0"/>
              <w:rPr>
                <w:sz w:val="1"/>
                <w:szCs w:val="1"/>
                <w:color w:val="auto"/>
              </w:rPr>
            </w:pPr>
          </w:p>
        </w:tc>
      </w:tr>
      <w:tr>
        <w:trPr>
          <w:trHeight w:val="186"/>
        </w:trPr>
        <w:tc>
          <w:tcPr>
            <w:tcW w:w="2520" w:type="dxa"/>
            <w:vAlign w:val="bottom"/>
            <w:vMerge w:val="restart"/>
          </w:tcPr>
          <w:p>
            <w:pPr>
              <w:spacing w:after="0"/>
              <w:rPr>
                <w:sz w:val="20"/>
                <w:szCs w:val="20"/>
                <w:color w:val="auto"/>
              </w:rPr>
            </w:pPr>
            <w:r>
              <w:rPr>
                <w:rFonts w:ascii="Courier New" w:cs="Courier New" w:eastAsia="Courier New" w:hAnsi="Courier New"/>
                <w:sz w:val="16"/>
                <w:szCs w:val="16"/>
                <w:color w:val="auto"/>
              </w:rPr>
              <w:t>Shares Owned:</w:t>
            </w:r>
          </w:p>
        </w:tc>
        <w:tc>
          <w:tcPr>
            <w:tcW w:w="2140" w:type="dxa"/>
            <w:vAlign w:val="bottom"/>
          </w:tcPr>
          <w:p>
            <w:pPr>
              <w:spacing w:after="0"/>
              <w:rPr>
                <w:sz w:val="16"/>
                <w:szCs w:val="16"/>
                <w:color w:val="auto"/>
              </w:rPr>
            </w:pPr>
          </w:p>
        </w:tc>
        <w:tc>
          <w:tcPr>
            <w:tcW w:w="31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2520" w:type="dxa"/>
            <w:vAlign w:val="bottom"/>
            <w:vMerge w:val="continue"/>
          </w:tcPr>
          <w:p>
            <w:pPr>
              <w:spacing w:after="0"/>
              <w:rPr>
                <w:sz w:val="16"/>
                <w:szCs w:val="16"/>
                <w:color w:val="auto"/>
              </w:rPr>
            </w:pPr>
          </w:p>
        </w:tc>
        <w:tc>
          <w:tcPr>
            <w:tcW w:w="2140" w:type="dxa"/>
            <w:vAlign w:val="bottom"/>
          </w:tcPr>
          <w:p>
            <w:pPr>
              <w:spacing w:after="0"/>
              <w:rPr>
                <w:sz w:val="16"/>
                <w:szCs w:val="16"/>
                <w:color w:val="auto"/>
              </w:rPr>
            </w:pPr>
          </w:p>
        </w:tc>
        <w:tc>
          <w:tcPr>
            <w:tcW w:w="3100" w:type="dxa"/>
            <w:vAlign w:val="bottom"/>
          </w:tcPr>
          <w:p>
            <w:pPr>
              <w:ind w:left="380"/>
              <w:spacing w:after="0"/>
              <w:rPr>
                <w:sz w:val="20"/>
                <w:szCs w:val="20"/>
                <w:color w:val="auto"/>
              </w:rPr>
            </w:pPr>
            <w:r>
              <w:rPr>
                <w:rFonts w:ascii="Courier New" w:cs="Courier New" w:eastAsia="Courier New" w:hAnsi="Courier New"/>
                <w:sz w:val="16"/>
                <w:szCs w:val="16"/>
                <w:color w:val="auto"/>
              </w:rPr>
              <w:t>Vinod K. Sood</w:t>
            </w:r>
          </w:p>
        </w:tc>
        <w:tc>
          <w:tcPr>
            <w:tcW w:w="0" w:type="dxa"/>
            <w:vAlign w:val="bottom"/>
          </w:tcPr>
          <w:p>
            <w:pPr>
              <w:spacing w:after="0"/>
              <w:rPr>
                <w:sz w:val="1"/>
                <w:szCs w:val="1"/>
                <w:color w:val="auto"/>
              </w:rPr>
            </w:pPr>
          </w:p>
        </w:tc>
      </w:tr>
      <w:tr>
        <w:trPr>
          <w:trHeight w:val="273"/>
        </w:trPr>
        <w:tc>
          <w:tcPr>
            <w:tcW w:w="2520" w:type="dxa"/>
            <w:vAlign w:val="bottom"/>
          </w:tcPr>
          <w:p>
            <w:pPr>
              <w:jc w:val="center"/>
              <w:ind w:right="1759"/>
              <w:spacing w:after="0"/>
              <w:rPr>
                <w:sz w:val="20"/>
                <w:szCs w:val="20"/>
                <w:color w:val="auto"/>
              </w:rPr>
            </w:pPr>
            <w:r>
              <w:rPr>
                <w:rFonts w:ascii="Courier New" w:cs="Courier New" w:eastAsia="Courier New" w:hAnsi="Courier New"/>
                <w:sz w:val="16"/>
                <w:szCs w:val="16"/>
                <w:color w:val="auto"/>
              </w:rPr>
              <w:t>125,159</w:t>
            </w:r>
          </w:p>
        </w:tc>
        <w:tc>
          <w:tcPr>
            <w:tcW w:w="214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45"/>
        </w:trPr>
        <w:tc>
          <w:tcPr>
            <w:tcW w:w="2520" w:type="dxa"/>
            <w:vAlign w:val="bottom"/>
          </w:tcPr>
          <w:p>
            <w:pPr>
              <w:spacing w:after="0"/>
              <w:rPr>
                <w:sz w:val="24"/>
                <w:szCs w:val="24"/>
                <w:color w:val="auto"/>
              </w:rPr>
            </w:pPr>
          </w:p>
        </w:tc>
        <w:tc>
          <w:tcPr>
            <w:tcW w:w="2140" w:type="dxa"/>
            <w:vAlign w:val="bottom"/>
          </w:tcPr>
          <w:p>
            <w:pPr>
              <w:ind w:left="1260"/>
              <w:spacing w:after="0"/>
              <w:rPr>
                <w:sz w:val="20"/>
                <w:szCs w:val="20"/>
                <w:color w:val="auto"/>
              </w:rPr>
            </w:pPr>
            <w:r>
              <w:rPr>
                <w:rFonts w:ascii="Courier New" w:cs="Courier New" w:eastAsia="Courier New" w:hAnsi="Courier New"/>
                <w:sz w:val="16"/>
                <w:szCs w:val="16"/>
                <w:color w:val="auto"/>
              </w:rPr>
              <w:t>9</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73" w:right="1440" w:bottom="1440" w:gutter="0" w:footer="0" w:header="0"/>
        </w:sectPr>
      </w:pPr>
    </w:p>
    <w:bookmarkStart w:id="150" w:name="page151"/>
    <w:bookmarkEnd w:id="150"/>
    <w:p>
      <w:pPr>
        <w:ind w:left="300"/>
        <w:spacing w:after="0"/>
        <w:rPr>
          <w:sz w:val="20"/>
          <w:szCs w:val="20"/>
          <w:color w:val="auto"/>
        </w:rPr>
      </w:pPr>
      <w:r>
        <w:rPr>
          <w:rFonts w:ascii="Courier New" w:cs="Courier New" w:eastAsia="Courier New" w:hAnsi="Courier New"/>
          <w:sz w:val="16"/>
          <w:szCs w:val="16"/>
          <w:color w:val="auto"/>
        </w:rPr>
        <w:t>1</w:t>
      </w:r>
    </w:p>
    <w:p>
      <w:pPr>
        <w:spacing w:after="0" w:line="191" w:lineRule="exact"/>
        <w:rPr>
          <w:sz w:val="20"/>
          <w:szCs w:val="20"/>
          <w:color w:val="auto"/>
        </w:rPr>
      </w:pPr>
    </w:p>
    <w:p>
      <w:pPr>
        <w:ind w:left="6000"/>
        <w:spacing w:after="0"/>
        <w:rPr>
          <w:sz w:val="20"/>
          <w:szCs w:val="20"/>
          <w:color w:val="auto"/>
        </w:rPr>
      </w:pPr>
      <w:r>
        <w:rPr>
          <w:rFonts w:ascii="Courier New" w:cs="Courier New" w:eastAsia="Courier New" w:hAnsi="Courier New"/>
          <w:sz w:val="16"/>
          <w:szCs w:val="16"/>
          <w:color w:val="auto"/>
        </w:rPr>
        <w:t>EXHIBIT 99 (c)(3)</w:t>
      </w:r>
    </w:p>
    <w:p>
      <w:pPr>
        <w:spacing w:after="0" w:line="3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AGREEMENT</w:t>
      </w:r>
    </w:p>
    <w:p>
      <w:pPr>
        <w:spacing w:after="0" w:line="161" w:lineRule="exact"/>
        <w:rPr>
          <w:sz w:val="20"/>
          <w:szCs w:val="20"/>
          <w:color w:val="auto"/>
        </w:rPr>
      </w:pPr>
    </w:p>
    <w:p>
      <w:pPr>
        <w:ind w:right="2559" w:firstLine="484"/>
        <w:spacing w:after="0" w:line="270" w:lineRule="auto"/>
        <w:rPr>
          <w:sz w:val="20"/>
          <w:szCs w:val="20"/>
          <w:color w:val="auto"/>
        </w:rPr>
      </w:pPr>
      <w:r>
        <w:rPr>
          <w:rFonts w:ascii="Courier New" w:cs="Courier New" w:eastAsia="Courier New" w:hAnsi="Courier New"/>
          <w:sz w:val="16"/>
          <w:szCs w:val="16"/>
          <w:color w:val="auto"/>
        </w:rPr>
        <w:t>WHEREAS, INTEGRATED SENSOR SOLUTIONS, INC. (hereinafter designated as "ISS") and TEXAS INSTRUMENTS INCORPORATED (hereinafter designated as "TI") wish to hold discussions about certain strategic matters during the period of February 17, 1999 through July 16, 1999, and that either party may desire to disclose certain information deemed proprietary by the disclosing party ("Disclosing Party") to the receiving party ("Receiving Party");</w:t>
      </w:r>
    </w:p>
    <w:p>
      <w:pPr>
        <w:spacing w:after="0" w:line="81" w:lineRule="exact"/>
        <w:rPr>
          <w:sz w:val="20"/>
          <w:szCs w:val="20"/>
          <w:color w:val="auto"/>
        </w:rPr>
      </w:pPr>
    </w:p>
    <w:p>
      <w:pPr>
        <w:ind w:right="2559" w:firstLine="484"/>
        <w:spacing w:after="0" w:line="307" w:lineRule="auto"/>
        <w:rPr>
          <w:sz w:val="20"/>
          <w:szCs w:val="20"/>
          <w:color w:val="auto"/>
        </w:rPr>
      </w:pPr>
      <w:r>
        <w:rPr>
          <w:rFonts w:ascii="Courier New" w:cs="Courier New" w:eastAsia="Courier New" w:hAnsi="Courier New"/>
          <w:sz w:val="16"/>
          <w:szCs w:val="16"/>
          <w:color w:val="auto"/>
        </w:rPr>
        <w:t>WHEREAS, TI and ISS wish to receive this information, and therefore become a Receiving Party, for the purpose of evaluating a potential business relationship.</w:t>
      </w:r>
    </w:p>
    <w:p>
      <w:pPr>
        <w:spacing w:after="0" w:line="50"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NOW, THEREFORE, the parties agree as follows:</w:t>
      </w:r>
    </w:p>
    <w:p>
      <w:pPr>
        <w:spacing w:after="0" w:line="191" w:lineRule="exact"/>
        <w:rPr>
          <w:sz w:val="20"/>
          <w:szCs w:val="20"/>
          <w:color w:val="auto"/>
        </w:rPr>
      </w:pPr>
    </w:p>
    <w:p>
      <w:pPr>
        <w:ind w:right="2459" w:firstLine="484"/>
        <w:spacing w:after="0" w:line="264" w:lineRule="auto"/>
        <w:rPr>
          <w:sz w:val="20"/>
          <w:szCs w:val="20"/>
          <w:color w:val="auto"/>
        </w:rPr>
      </w:pPr>
      <w:r>
        <w:rPr>
          <w:rFonts w:ascii="Courier New" w:cs="Courier New" w:eastAsia="Courier New" w:hAnsi="Courier New"/>
          <w:sz w:val="16"/>
          <w:szCs w:val="16"/>
          <w:color w:val="auto"/>
        </w:rPr>
        <w:t>For a period of three (3) years from the effective date of this Agreement, Receiving Party shall not disclose any information it receives from Disclosing Party that is marked PROPRIETARY (or comparable legend) to any other person, firm, or corporation, except to advisors retained for purposes of the potential transactions described above, or use the information for its own benefit, except for the purpose described above. Receiving Party shall use the same degree of care to avoid disclosure or use of the information as Receiving Party employs with respect to its own proprietary information of like importance.</w:t>
      </w:r>
    </w:p>
    <w:p>
      <w:pPr>
        <w:spacing w:after="0" w:line="82" w:lineRule="exact"/>
        <w:rPr>
          <w:sz w:val="20"/>
          <w:szCs w:val="20"/>
          <w:color w:val="auto"/>
        </w:rPr>
      </w:pPr>
    </w:p>
    <w:p>
      <w:pPr>
        <w:ind w:right="2459" w:firstLine="484"/>
        <w:spacing w:after="0" w:line="367" w:lineRule="auto"/>
        <w:rPr>
          <w:sz w:val="20"/>
          <w:szCs w:val="20"/>
          <w:color w:val="auto"/>
        </w:rPr>
      </w:pPr>
      <w:r>
        <w:rPr>
          <w:rFonts w:ascii="Courier New" w:cs="Courier New" w:eastAsia="Courier New" w:hAnsi="Courier New"/>
          <w:sz w:val="16"/>
          <w:szCs w:val="16"/>
          <w:color w:val="auto"/>
        </w:rPr>
        <w:t>Information shall not be deemed proprietary, and Receiving Party shall have no obligation with respect to any such information that:</w:t>
      </w:r>
    </w:p>
    <w:p>
      <w:pPr>
        <w:spacing w:after="0" w:line="5" w:lineRule="exact"/>
        <w:rPr>
          <w:sz w:val="20"/>
          <w:szCs w:val="20"/>
          <w:color w:val="auto"/>
        </w:rPr>
      </w:pPr>
    </w:p>
    <w:p>
      <w:pPr>
        <w:ind w:left="960" w:hanging="476"/>
        <w:spacing w:after="0"/>
        <w:tabs>
          <w:tab w:leader="none" w:pos="96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already known to Receiving Party; or</w:t>
      </w:r>
    </w:p>
    <w:p>
      <w:pPr>
        <w:spacing w:after="0" w:line="191" w:lineRule="exact"/>
        <w:rPr>
          <w:rFonts w:ascii="Courier New" w:cs="Courier New" w:eastAsia="Courier New" w:hAnsi="Courier New"/>
          <w:sz w:val="16"/>
          <w:szCs w:val="16"/>
          <w:color w:val="auto"/>
        </w:rPr>
      </w:pPr>
    </w:p>
    <w:p>
      <w:pPr>
        <w:ind w:left="960" w:right="2959" w:hanging="476"/>
        <w:spacing w:after="0" w:line="367" w:lineRule="auto"/>
        <w:tabs>
          <w:tab w:leader="none" w:pos="96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or becomes publicly known through no wrongful act of Receiving Party; or</w:t>
      </w:r>
    </w:p>
    <w:p>
      <w:pPr>
        <w:spacing w:after="0" w:line="4" w:lineRule="exact"/>
        <w:rPr>
          <w:rFonts w:ascii="Courier New" w:cs="Courier New" w:eastAsia="Courier New" w:hAnsi="Courier New"/>
          <w:sz w:val="16"/>
          <w:szCs w:val="16"/>
          <w:color w:val="auto"/>
        </w:rPr>
      </w:pPr>
    </w:p>
    <w:p>
      <w:pPr>
        <w:ind w:left="960" w:right="2959" w:hanging="476"/>
        <w:spacing w:after="0" w:line="367" w:lineRule="auto"/>
        <w:tabs>
          <w:tab w:leader="none" w:pos="96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rightfully received from a third party without restriction and without breach of this Agreement; or</w:t>
      </w:r>
    </w:p>
    <w:p>
      <w:pPr>
        <w:spacing w:after="0" w:line="4"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independently developed by Receiving Party; or</w:t>
      </w:r>
    </w:p>
    <w:p>
      <w:pPr>
        <w:spacing w:after="0" w:line="191" w:lineRule="exact"/>
        <w:rPr>
          <w:rFonts w:ascii="Courier New" w:cs="Courier New" w:eastAsia="Courier New" w:hAnsi="Courier New"/>
          <w:sz w:val="16"/>
          <w:szCs w:val="16"/>
          <w:color w:val="auto"/>
        </w:rPr>
      </w:pPr>
    </w:p>
    <w:p>
      <w:pPr>
        <w:ind w:left="960" w:right="2759" w:hanging="476"/>
        <w:spacing w:after="0" w:line="367" w:lineRule="auto"/>
        <w:tabs>
          <w:tab w:leader="none" w:pos="96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furnished to a third party by Disclosing Party without a similar restriction on the third party's rights; or</w:t>
      </w:r>
    </w:p>
    <w:p>
      <w:pPr>
        <w:spacing w:after="0" w:line="200" w:lineRule="exact"/>
        <w:rPr>
          <w:sz w:val="20"/>
          <w:szCs w:val="20"/>
          <w:color w:val="auto"/>
        </w:rPr>
      </w:pPr>
    </w:p>
    <w:p>
      <w:pPr>
        <w:spacing w:after="0" w:line="36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112" w:right="1440" w:bottom="1440" w:gutter="0" w:footer="0" w:header="0"/>
        </w:sectPr>
      </w:pPr>
    </w:p>
    <w:bookmarkStart w:id="151" w:name="page152"/>
    <w:bookmarkEnd w:id="151"/>
    <w:p>
      <w:pPr>
        <w:ind w:left="300"/>
        <w:spacing w:after="0"/>
        <w:rPr>
          <w:sz w:val="20"/>
          <w:szCs w:val="20"/>
          <w:color w:val="auto"/>
        </w:rPr>
      </w:pPr>
      <w:r>
        <w:rPr>
          <w:rFonts w:ascii="Courier New" w:cs="Courier New" w:eastAsia="Courier New" w:hAnsi="Courier New"/>
          <w:sz w:val="16"/>
          <w:szCs w:val="16"/>
          <w:color w:val="auto"/>
        </w:rPr>
        <w:t>2</w:t>
      </w:r>
    </w:p>
    <w:p>
      <w:pPr>
        <w:spacing w:after="0" w:line="35" w:lineRule="exact"/>
        <w:rPr>
          <w:sz w:val="20"/>
          <w:szCs w:val="20"/>
          <w:color w:val="auto"/>
        </w:rPr>
      </w:pPr>
    </w:p>
    <w:p>
      <w:pPr>
        <w:ind w:left="880" w:right="2659" w:hanging="396"/>
        <w:spacing w:after="0" w:line="327" w:lineRule="auto"/>
        <w:tabs>
          <w:tab w:leader="none" w:pos="880"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approved for release by written authorization of Disclosing Party; or</w:t>
      </w:r>
    </w:p>
    <w:p>
      <w:pPr>
        <w:spacing w:after="0" w:line="35" w:lineRule="exact"/>
        <w:rPr>
          <w:rFonts w:ascii="Courier New" w:cs="Courier New" w:eastAsia="Courier New" w:hAnsi="Courier New"/>
          <w:sz w:val="16"/>
          <w:szCs w:val="16"/>
          <w:color w:val="auto"/>
        </w:rPr>
      </w:pPr>
    </w:p>
    <w:p>
      <w:pPr>
        <w:ind w:left="880" w:right="2759" w:hanging="396"/>
        <w:spacing w:after="0" w:line="367" w:lineRule="auto"/>
        <w:tabs>
          <w:tab w:leader="none" w:pos="880"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disclosed pursuant to the requirement of a Governmental agency or disclosure is permitted by operation of law.</w:t>
      </w:r>
    </w:p>
    <w:p>
      <w:pPr>
        <w:spacing w:after="0" w:line="5" w:lineRule="exact"/>
        <w:rPr>
          <w:sz w:val="20"/>
          <w:szCs w:val="20"/>
          <w:color w:val="auto"/>
        </w:rPr>
      </w:pPr>
    </w:p>
    <w:p>
      <w:pPr>
        <w:ind w:right="2659" w:firstLine="484"/>
        <w:spacing w:after="0" w:line="260" w:lineRule="auto"/>
        <w:rPr>
          <w:sz w:val="20"/>
          <w:szCs w:val="20"/>
          <w:color w:val="auto"/>
        </w:rPr>
      </w:pPr>
      <w:r>
        <w:rPr>
          <w:rFonts w:ascii="Courier New" w:cs="Courier New" w:eastAsia="Courier New" w:hAnsi="Courier New"/>
          <w:sz w:val="16"/>
          <w:szCs w:val="16"/>
          <w:color w:val="auto"/>
        </w:rPr>
        <w:t>Receiving Party shall not be liable for (1) inadvertent disclosure of the PROPRIETARY information provided that (a) it uses the same degree of care in safeguarding the PROPRIETARY information as it uses for its own proprietary information of like importance, and (b) upon discovery of the inadvertent disclosure or use of the PROPRIETARY information, it shall endeavor to prevent any further inadvertent disclosure or use, and (2) unauthorized disclosure or use of PROPRIETARY information by persons who are or who have been in its employ, unless it fails to safeguard the PROPRIETARY information with the same degree of care as it uses for its own proprietary information of like importance.</w:t>
      </w:r>
    </w:p>
    <w:p>
      <w:pPr>
        <w:spacing w:after="0" w:line="86" w:lineRule="exact"/>
        <w:rPr>
          <w:sz w:val="20"/>
          <w:szCs w:val="20"/>
          <w:color w:val="auto"/>
        </w:rPr>
      </w:pPr>
    </w:p>
    <w:p>
      <w:pPr>
        <w:ind w:right="2959" w:firstLine="484"/>
        <w:spacing w:after="0" w:line="276" w:lineRule="auto"/>
        <w:rPr>
          <w:sz w:val="20"/>
          <w:szCs w:val="20"/>
          <w:color w:val="auto"/>
        </w:rPr>
      </w:pPr>
      <w:r>
        <w:rPr>
          <w:rFonts w:ascii="Courier New" w:cs="Courier New" w:eastAsia="Courier New" w:hAnsi="Courier New"/>
          <w:sz w:val="16"/>
          <w:szCs w:val="16"/>
          <w:color w:val="auto"/>
        </w:rPr>
        <w:t>TI appoints the person listed below as its Data Control Coordinator to receive, on its behalf, all ISS PROPRIETARY information pursuant to this Agreement. TI may change its Data Control Coordinator by giving ISS written notice of the name and address of its newly appointed Data Control Coordinator.</w:t>
      </w:r>
    </w:p>
    <w:p>
      <w:pPr>
        <w:spacing w:after="0" w:line="76"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Jean-Louis Trochu</w:t>
      </w:r>
    </w:p>
    <w:p>
      <w:pPr>
        <w:spacing w:after="0" w:line="3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Corporate Development</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Texas Instruments Incorporated</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P.O. Box 650311 M/S 3995</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Dallas, Texas 75265</w:t>
      </w:r>
    </w:p>
    <w:p>
      <w:pPr>
        <w:spacing w:after="0" w:line="161" w:lineRule="exact"/>
        <w:rPr>
          <w:sz w:val="20"/>
          <w:szCs w:val="20"/>
          <w:color w:val="auto"/>
        </w:rPr>
      </w:pPr>
    </w:p>
    <w:p>
      <w:pPr>
        <w:ind w:right="2559" w:firstLine="484"/>
        <w:spacing w:after="0" w:line="287" w:lineRule="auto"/>
        <w:rPr>
          <w:sz w:val="20"/>
          <w:szCs w:val="20"/>
          <w:color w:val="auto"/>
        </w:rPr>
      </w:pPr>
      <w:r>
        <w:rPr>
          <w:rFonts w:ascii="Courier New" w:cs="Courier New" w:eastAsia="Courier New" w:hAnsi="Courier New"/>
          <w:sz w:val="16"/>
          <w:szCs w:val="16"/>
          <w:color w:val="auto"/>
        </w:rPr>
        <w:t>ISS appoints the person listed below as its Data Control Coordinator to receive, on its behalf, all TI PROPRIETARY information pursuant to this Agreement. ISS may change its Data Control Coordinator by giving TI written notice of the name and address of its newly appointed Data Control Coordinator.</w:t>
      </w:r>
    </w:p>
    <w:p>
      <w:pPr>
        <w:spacing w:after="0" w:line="6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David Satterfield</w:t>
      </w:r>
    </w:p>
    <w:p>
      <w:pPr>
        <w:spacing w:after="0" w:line="3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Vice President, Finance and Administration</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Integrated Sensor Solutions Inc.</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625 River Oaks Parkway</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San Jose, CA 95134</w:t>
      </w:r>
    </w:p>
    <w:p>
      <w:pPr>
        <w:spacing w:after="0" w:line="34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73" w:right="1440" w:bottom="1440" w:gutter="0" w:footer="0" w:header="0"/>
        </w:sectPr>
      </w:pPr>
    </w:p>
    <w:bookmarkStart w:id="152" w:name="page153"/>
    <w:bookmarkEnd w:id="152"/>
    <w:p>
      <w:pPr>
        <w:ind w:left="300"/>
        <w:spacing w:after="0"/>
        <w:rPr>
          <w:sz w:val="20"/>
          <w:szCs w:val="20"/>
          <w:color w:val="auto"/>
        </w:rPr>
      </w:pPr>
      <w:r>
        <w:rPr>
          <w:rFonts w:ascii="Courier New" w:cs="Courier New" w:eastAsia="Courier New" w:hAnsi="Courier New"/>
          <w:sz w:val="16"/>
          <w:szCs w:val="16"/>
          <w:color w:val="auto"/>
        </w:rPr>
        <w:t>3</w:t>
      </w:r>
    </w:p>
    <w:p>
      <w:pPr>
        <w:spacing w:after="0" w:line="35" w:lineRule="exact"/>
        <w:rPr>
          <w:sz w:val="20"/>
          <w:szCs w:val="20"/>
          <w:color w:val="auto"/>
        </w:rPr>
      </w:pPr>
    </w:p>
    <w:p>
      <w:pPr>
        <w:ind w:right="2559" w:firstLine="484"/>
        <w:spacing w:after="0" w:line="262" w:lineRule="auto"/>
        <w:rPr>
          <w:sz w:val="20"/>
          <w:szCs w:val="20"/>
          <w:color w:val="auto"/>
        </w:rPr>
      </w:pPr>
      <w:r>
        <w:rPr>
          <w:rFonts w:ascii="Courier New" w:cs="Courier New" w:eastAsia="Courier New" w:hAnsi="Courier New"/>
          <w:sz w:val="16"/>
          <w:szCs w:val="16"/>
          <w:color w:val="auto"/>
        </w:rPr>
        <w:t>In the event Disclosing Party orally discloses its PROPRIETARY information to Receiving Party, Disclosing Party shall notify the Receiving Party's Data Control Coordinator in writing of the oral disclosure within thirty (30) days following the disclosure, identifying the place and date of oral disclosure and the names of the Receiving Party employees to whom the disclosure was made, and describing the information disclosed.</w:t>
      </w:r>
    </w:p>
    <w:p>
      <w:pPr>
        <w:spacing w:after="0" w:line="87" w:lineRule="exact"/>
        <w:rPr>
          <w:sz w:val="20"/>
          <w:szCs w:val="20"/>
          <w:color w:val="auto"/>
        </w:rPr>
      </w:pPr>
    </w:p>
    <w:p>
      <w:pPr>
        <w:ind w:right="2459" w:firstLine="484"/>
        <w:spacing w:after="0" w:line="276" w:lineRule="auto"/>
        <w:rPr>
          <w:sz w:val="20"/>
          <w:szCs w:val="20"/>
          <w:color w:val="auto"/>
        </w:rPr>
      </w:pPr>
      <w:r>
        <w:rPr>
          <w:rFonts w:ascii="Courier New" w:cs="Courier New" w:eastAsia="Courier New" w:hAnsi="Courier New"/>
          <w:sz w:val="16"/>
          <w:szCs w:val="16"/>
          <w:color w:val="auto"/>
        </w:rPr>
        <w:t>All written data delivered by Disclosing Party to Receiving Party pursuant to this Agreement shall be and remain the property of Disclosing Party, and the written data, and any copies thereof, shall upon written request, be returned to Disclosing Party or destroyed at the Disclosing Party's option as promptly as possible.</w:t>
      </w:r>
    </w:p>
    <w:p>
      <w:pPr>
        <w:spacing w:after="0" w:line="76" w:lineRule="exact"/>
        <w:rPr>
          <w:sz w:val="20"/>
          <w:szCs w:val="20"/>
          <w:color w:val="auto"/>
        </w:rPr>
      </w:pPr>
    </w:p>
    <w:p>
      <w:pPr>
        <w:ind w:right="2959" w:firstLine="484"/>
        <w:spacing w:after="0" w:line="287" w:lineRule="auto"/>
        <w:rPr>
          <w:sz w:val="20"/>
          <w:szCs w:val="20"/>
          <w:color w:val="auto"/>
        </w:rPr>
      </w:pPr>
      <w:r>
        <w:rPr>
          <w:rFonts w:ascii="Courier New" w:cs="Courier New" w:eastAsia="Courier New" w:hAnsi="Courier New"/>
          <w:sz w:val="16"/>
          <w:szCs w:val="16"/>
          <w:color w:val="auto"/>
        </w:rPr>
        <w:t>Nothing contained in this Agreement shall be construed as granting or conferring any rights by license or otherwise, expressly, impliedly, or otherwise, for any invention, discovery, or improvement made, conceived, or acquired prior to or after the date of this Agreement.</w:t>
      </w:r>
    </w:p>
    <w:p>
      <w:pPr>
        <w:spacing w:after="0" w:line="65" w:lineRule="exact"/>
        <w:rPr>
          <w:sz w:val="20"/>
          <w:szCs w:val="20"/>
          <w:color w:val="auto"/>
        </w:rPr>
      </w:pPr>
    </w:p>
    <w:p>
      <w:pPr>
        <w:ind w:right="2459" w:firstLine="484"/>
        <w:spacing w:after="0" w:line="264" w:lineRule="auto"/>
        <w:rPr>
          <w:sz w:val="20"/>
          <w:szCs w:val="20"/>
          <w:color w:val="auto"/>
        </w:rPr>
      </w:pPr>
      <w:r>
        <w:rPr>
          <w:rFonts w:ascii="Courier New" w:cs="Courier New" w:eastAsia="Courier New" w:hAnsi="Courier New"/>
          <w:sz w:val="16"/>
          <w:szCs w:val="16"/>
          <w:color w:val="auto"/>
        </w:rPr>
        <w:t>The parties hereby represent each to the other that they have not retained any broker or paid or agreed to pay any brokerage fee or commission to any broker or agent on account of this Agreement or any transaction between the parties that may occur, and each agrees to indemnify the other against any claim for a brokerage fee or commission on account of this Agreement or any transaction between the parties that may occur, based upon arrangements or agreements made or claimed by third parties to have been made by or on behalf of the indemnifying party.</w:t>
      </w:r>
    </w:p>
    <w:p>
      <w:pPr>
        <w:spacing w:after="0" w:line="82" w:lineRule="exact"/>
        <w:rPr>
          <w:sz w:val="20"/>
          <w:szCs w:val="20"/>
          <w:color w:val="auto"/>
        </w:rPr>
      </w:pPr>
    </w:p>
    <w:p>
      <w:pPr>
        <w:ind w:right="2459" w:firstLine="484"/>
        <w:spacing w:after="0" w:line="266" w:lineRule="auto"/>
        <w:rPr>
          <w:sz w:val="20"/>
          <w:szCs w:val="20"/>
          <w:color w:val="auto"/>
        </w:rPr>
      </w:pPr>
      <w:r>
        <w:rPr>
          <w:rFonts w:ascii="Courier New" w:cs="Courier New" w:eastAsia="Courier New" w:hAnsi="Courier New"/>
          <w:sz w:val="16"/>
          <w:szCs w:val="16"/>
          <w:color w:val="auto"/>
        </w:rPr>
        <w:t>Disclosing Party understand that Receiving Party may currently or in the future be developing information internally, or receiving information from other parties, that may be similar to Disclosing Party's information. Accordingly, nothing in this Agreement shall be construed as a representation or inference that Receiving Party will not develop products, for itself or for others, that compete with the products or systems contemplated by Disclosing Party's information.</w:t>
      </w:r>
    </w:p>
    <w:p>
      <w:pPr>
        <w:spacing w:after="0" w:line="85" w:lineRule="exact"/>
        <w:rPr>
          <w:sz w:val="20"/>
          <w:szCs w:val="20"/>
          <w:color w:val="auto"/>
        </w:rPr>
      </w:pPr>
    </w:p>
    <w:p>
      <w:pPr>
        <w:ind w:right="2459" w:firstLine="484"/>
        <w:spacing w:after="0" w:line="266" w:lineRule="auto"/>
        <w:rPr>
          <w:sz w:val="20"/>
          <w:szCs w:val="20"/>
          <w:color w:val="auto"/>
        </w:rPr>
      </w:pPr>
      <w:r>
        <w:rPr>
          <w:rFonts w:ascii="Courier New" w:cs="Courier New" w:eastAsia="Courier New" w:hAnsi="Courier New"/>
          <w:sz w:val="16"/>
          <w:szCs w:val="16"/>
          <w:color w:val="auto"/>
        </w:rPr>
        <w:t>For a period ending January 15, 2000, or a date six months after either party notifies the other in writing that negotiations have concluded, which ever date comes sooner, neither party shall directly, or indirectly, solicit or encourage any employee of the other party to leave the employ of the other party for the benefit of the first party. This restriction shall not apply to general solicitations conducted through general circulation newspapers, the trade press or Internet.</w:t>
      </w:r>
    </w:p>
    <w:p>
      <w:pPr>
        <w:spacing w:after="0" w:line="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73" w:right="1440" w:bottom="1440" w:gutter="0" w:footer="0" w:header="0"/>
        </w:sectPr>
      </w:pPr>
    </w:p>
    <w:bookmarkStart w:id="153" w:name="page154"/>
    <w:bookmarkEnd w:id="153"/>
    <w:p>
      <w:pPr>
        <w:ind w:left="300"/>
        <w:spacing w:after="0"/>
        <w:rPr>
          <w:sz w:val="20"/>
          <w:szCs w:val="20"/>
          <w:color w:val="auto"/>
        </w:rPr>
      </w:pPr>
      <w:r>
        <w:rPr>
          <w:rFonts w:ascii="Courier New" w:cs="Courier New" w:eastAsia="Courier New" w:hAnsi="Courier New"/>
          <w:sz w:val="16"/>
          <w:szCs w:val="16"/>
          <w:color w:val="auto"/>
        </w:rPr>
        <w:t>4</w:t>
      </w:r>
    </w:p>
    <w:p>
      <w:pPr>
        <w:spacing w:after="0" w:line="35" w:lineRule="exact"/>
        <w:rPr>
          <w:sz w:val="20"/>
          <w:szCs w:val="20"/>
          <w:color w:val="auto"/>
        </w:rPr>
      </w:pPr>
    </w:p>
    <w:p>
      <w:pPr>
        <w:ind w:right="2559" w:firstLine="484"/>
        <w:spacing w:after="0" w:line="262" w:lineRule="auto"/>
        <w:rPr>
          <w:sz w:val="20"/>
          <w:szCs w:val="20"/>
          <w:color w:val="auto"/>
        </w:rPr>
      </w:pPr>
      <w:r>
        <w:rPr>
          <w:rFonts w:ascii="Courier New" w:cs="Courier New" w:eastAsia="Courier New" w:hAnsi="Courier New"/>
          <w:sz w:val="16"/>
          <w:szCs w:val="16"/>
          <w:color w:val="auto"/>
        </w:rPr>
        <w:t>Neither party shall (a) publicly announce or disclose the existence or the terms and conditions of this Agreement or the fact that discussions or negotiations are taking place concerning a possible transaction between the parties, or (b) advertise or release any publicity regarding this Agreement, without the prior written consent of the other party. This provision shall survive the expiration, termination or cancellation of this Agreement.</w:t>
      </w:r>
    </w:p>
    <w:p>
      <w:pPr>
        <w:sectPr>
          <w:pgSz w:w="11900" w:h="16838" w:orient="portrait"/>
          <w:cols w:equalWidth="0" w:num="1">
            <w:col w:w="10219"/>
          </w:cols>
          <w:pgMar w:left="240" w:top="274" w:right="1440" w:bottom="1440" w:gutter="0" w:footer="0" w:header="0"/>
        </w:sect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INCORPORATED</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INTEGRATED SENSOR SOLUTIONS, INC.</w:t>
      </w:r>
    </w:p>
    <w:p>
      <w:pPr>
        <w:spacing w:after="0" w:line="200" w:lineRule="exact"/>
        <w:rPr>
          <w:sz w:val="20"/>
          <w:szCs w:val="20"/>
          <w:color w:val="auto"/>
        </w:rPr>
      </w:pPr>
    </w:p>
    <w:p>
      <w:pPr>
        <w:sectPr>
          <w:pgSz w:w="11900" w:h="16838" w:orient="portrait"/>
          <w:cols w:equalWidth="0" w:num="2">
            <w:col w:w="3640" w:space="720"/>
            <w:col w:w="5859"/>
          </w:cols>
          <w:pgMar w:left="240" w:top="274" w:right="1440"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CHARLES D. TOBIN</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MANHER D. NAIK</w:t>
      </w:r>
    </w:p>
    <w:p>
      <w:pPr>
        <w:spacing w:after="0" w:line="3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1" w:lineRule="exact"/>
        <w:rPr>
          <w:sz w:val="20"/>
          <w:szCs w:val="20"/>
          <w:color w:val="auto"/>
        </w:rPr>
      </w:pPr>
    </w:p>
    <w:p>
      <w:pPr>
        <w:sectPr>
          <w:pgSz w:w="11900" w:h="16838" w:orient="portrait"/>
          <w:cols w:equalWidth="0" w:num="2">
            <w:col w:w="3640" w:space="720"/>
            <w:col w:w="5859"/>
          </w:cols>
          <w:pgMar w:left="240" w:top="27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Charles D. Tobin</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Manager, Corporate Development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Manher D. Naik</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&amp;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w:t>
      </w:r>
    </w:p>
    <w:p>
      <w:pPr>
        <w:spacing w:after="0" w:line="161" w:lineRule="exact"/>
        <w:rPr>
          <w:sz w:val="20"/>
          <w:szCs w:val="20"/>
          <w:color w:val="auto"/>
        </w:rPr>
      </w:pPr>
    </w:p>
    <w:p>
      <w:pPr>
        <w:sectPr>
          <w:pgSz w:w="11900" w:h="16838" w:orient="portrait"/>
          <w:cols w:equalWidth="0" w:num="2">
            <w:col w:w="3640" w:space="720"/>
            <w:col w:w="5859"/>
          </w:cols>
          <w:pgMar w:left="240" w:top="27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3/2/99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Date</w:t>
      </w:r>
    </w:p>
    <w:p>
      <w:pPr>
        <w:spacing w:after="0" w:line="102" w:lineRule="exact"/>
        <w:rPr>
          <w:sz w:val="20"/>
          <w:szCs w:val="20"/>
          <w:color w:val="auto"/>
        </w:rPr>
      </w:pPr>
    </w:p>
    <w:p>
      <w:pPr>
        <w:sectPr>
          <w:pgSz w:w="11900" w:h="16838" w:orient="portrait"/>
          <w:cols w:equalWidth="0" w:num="3">
            <w:col w:w="380" w:space="200"/>
            <w:col w:w="3060" w:space="720"/>
            <w:col w:w="5859"/>
          </w:cols>
          <w:pgMar w:left="240" w:top="274" w:right="1440" w:bottom="1440" w:gutter="0" w:footer="0" w:header="0"/>
          <w:type w:val="continuous"/>
        </w:sectPr>
      </w:pPr>
    </w:p>
    <w:p>
      <w:pPr>
        <w:ind w:left="4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120" w:space="720"/>
            <w:col w:w="5379"/>
          </w:cols>
          <w:pgMar w:left="240" w:top="274" w:right="1440" w:bottom="1440" w:gutter="0" w:footer="0" w:header="0"/>
          <w:type w:val="continuous"/>
        </w:sectPr>
      </w:pPr>
    </w:p>
    <w:p>
      <w:pPr>
        <w:spacing w:after="0" w:line="9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sectPr>
      <w:pgSz w:w="11900" w:h="16838" w:orient="portrait"/>
      <w:cols w:equalWidth="0" w:num="1">
        <w:col w:w="10219"/>
      </w:cols>
      <w:pgMar w:left="240" w:top="27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BF72B14"/>
    <w:multiLevelType w:val="hybridMultilevel"/>
    <w:lvl w:ilvl="0">
      <w:lvlJc w:val="left"/>
      <w:lvlText w:val="*"/>
      <w:numFmt w:val="bullet"/>
      <w:start w:val="1"/>
    </w:lvl>
  </w:abstractNum>
  <w:abstractNum w:abstractNumId="1">
    <w:nsid w:val="11447B73"/>
    <w:multiLevelType w:val="hybridMultilevel"/>
    <w:lvl w:ilvl="0">
      <w:lvlJc w:val="left"/>
      <w:lvlText w:val="(%1)"/>
      <w:numFmt w:val="lowerLetter"/>
      <w:start w:val="1"/>
    </w:lvl>
  </w:abstractNum>
  <w:abstractNum w:abstractNumId="2">
    <w:nsid w:val="42963E5A"/>
    <w:multiLevelType w:val="hybridMultilevel"/>
    <w:lvl w:ilvl="0">
      <w:lvlJc w:val="left"/>
      <w:lvlText w:val="(%1)"/>
      <w:numFmt w:val="lowerRoman"/>
      <w:start w:val="2"/>
    </w:lvl>
  </w:abstractNum>
  <w:abstractNum w:abstractNumId="3">
    <w:nsid w:val="A0382C5"/>
    <w:multiLevelType w:val="hybridMultilevel"/>
    <w:lvl w:ilvl="0">
      <w:lvlJc w:val="left"/>
      <w:lvlText w:val="(%1)"/>
      <w:numFmt w:val="lowerLetter"/>
      <w:start w:val="1"/>
    </w:lvl>
  </w:abstractNum>
  <w:abstractNum w:abstractNumId="4">
    <w:nsid w:val="8F2B15E"/>
    <w:multiLevelType w:val="hybridMultilevel"/>
    <w:lvl w:ilvl="0">
      <w:lvlJc w:val="left"/>
      <w:lvlText w:val="(%1)"/>
      <w:numFmt w:val="lowerLetter"/>
      <w:start w:val="1"/>
    </w:lvl>
  </w:abstractNum>
  <w:abstractNum w:abstractNumId="5">
    <w:nsid w:val="1A32234B"/>
    <w:multiLevelType w:val="hybridMultilevel"/>
    <w:lvl w:ilvl="0">
      <w:lvlJc w:val="left"/>
      <w:lvlText w:val="-"/>
      <w:numFmt w:val="bullet"/>
      <w:start w:val="1"/>
    </w:lvl>
  </w:abstractNum>
  <w:abstractNum w:abstractNumId="6">
    <w:nsid w:val="3B0FD379"/>
    <w:multiLevelType w:val="hybridMultilevel"/>
    <w:lvl w:ilvl="0">
      <w:lvlJc w:val="left"/>
      <w:lvlText w:val="(%1)"/>
      <w:numFmt w:val="lowerLetter"/>
      <w:start w:val="1"/>
    </w:lvl>
  </w:abstractNum>
  <w:abstractNum w:abstractNumId="7">
    <w:nsid w:val="68EB2F63"/>
    <w:multiLevelType w:val="hybridMultilevel"/>
    <w:lvl w:ilvl="0">
      <w:lvlJc w:val="left"/>
      <w:lvlText w:val="(%1)"/>
      <w:numFmt w:val="lowerLetter"/>
      <w:start w:val="4"/>
    </w:lvl>
  </w:abstractNum>
  <w:abstractNum w:abstractNumId="8">
    <w:nsid w:val="4962813B"/>
    <w:multiLevelType w:val="hybridMultilevel"/>
    <w:lvl w:ilvl="0">
      <w:lvlJc w:val="left"/>
      <w:lvlText w:val="(%1)"/>
      <w:numFmt w:val="lowerLetter"/>
      <w:start w:val="4"/>
    </w:lvl>
  </w:abstractNum>
  <w:abstractNum w:abstractNumId="9">
    <w:nsid w:val="60B6DF70"/>
    <w:multiLevelType w:val="hybridMultilevel"/>
    <w:lvl w:ilvl="0">
      <w:lvlJc w:val="left"/>
      <w:lvlText w:val="%1."/>
      <w:numFmt w:val="decimal"/>
      <w:start w:val="7"/>
    </w:lvl>
  </w:abstractNum>
  <w:abstractNum w:abstractNumId="10">
    <w:nsid w:val="6A5EE64"/>
    <w:multiLevelType w:val="hybridMultilevel"/>
    <w:lvl w:ilvl="0">
      <w:lvlJc w:val="left"/>
      <w:lvlText w:val="%1."/>
      <w:numFmt w:val="decimal"/>
      <w:start w:val="12"/>
    </w:lvl>
  </w:abstractNum>
  <w:abstractNum w:abstractNumId="11">
    <w:nsid w:val="14330624"/>
    <w:multiLevelType w:val="hybridMultilevel"/>
    <w:lvl w:ilvl="0">
      <w:lvlJc w:val="left"/>
      <w:lvlText w:val="(%1)"/>
      <w:numFmt w:val="lowerRoman"/>
      <w:start w:val="2"/>
    </w:lvl>
  </w:abstractNum>
  <w:abstractNum w:abstractNumId="12">
    <w:nsid w:val="7FFFCA11"/>
    <w:multiLevelType w:val="hybridMultilevel"/>
    <w:lvl w:ilvl="0">
      <w:lvlJc w:val="left"/>
      <w:lvlText w:val="(%1)"/>
      <w:numFmt w:val="lowerRoman"/>
      <w:start w:val="1"/>
    </w:lvl>
  </w:abstractNum>
  <w:abstractNum w:abstractNumId="13">
    <w:nsid w:val="1A27709E"/>
    <w:multiLevelType w:val="hybridMultilevel"/>
    <w:lvl w:ilvl="0">
      <w:lvlJc w:val="left"/>
      <w:lvlText w:val="(%1)"/>
      <w:numFmt w:val="lowerRoman"/>
      <w:start w:val="3"/>
    </w:lvl>
  </w:abstractNum>
  <w:abstractNum w:abstractNumId="14">
    <w:nsid w:val="71EA1109"/>
    <w:multiLevelType w:val="hybridMultilevel"/>
    <w:lvl w:ilvl="0">
      <w:lvlJc w:val="left"/>
      <w:lvlText w:val="%1."/>
      <w:numFmt w:val="decimal"/>
      <w:start w:val="7"/>
    </w:lvl>
  </w:abstractNum>
  <w:abstractNum w:abstractNumId="15">
    <w:nsid w:val="100F59DC"/>
    <w:multiLevelType w:val="hybridMultilevel"/>
    <w:lvl w:ilvl="0">
      <w:lvlJc w:val="left"/>
      <w:lvlText w:val="%1."/>
      <w:numFmt w:val="decimal"/>
      <w:start w:val="12"/>
    </w:lvl>
  </w:abstractNum>
  <w:abstractNum w:abstractNumId="16">
    <w:nsid w:val="7FB7E0AA"/>
    <w:multiLevelType w:val="hybridMultilevel"/>
    <w:lvl w:ilvl="0">
      <w:lvlJc w:val="left"/>
      <w:lvlText w:val="(%1)"/>
      <w:numFmt w:val="lowerRoman"/>
      <w:start w:val="2"/>
    </w:lvl>
    <w:lvl w:ilvl="1">
      <w:lvlJc w:val="left"/>
      <w:lvlText w:val="(%2)"/>
      <w:numFmt w:val="lowerRoman"/>
      <w:start w:val="1"/>
    </w:lvl>
    <w:lvl w:ilvl="2">
      <w:lvlJc w:val="left"/>
      <w:lvlText w:val="(%3)"/>
      <w:numFmt w:val="upperLetter"/>
      <w:start w:val="1"/>
    </w:lvl>
  </w:abstractNum>
  <w:abstractNum w:abstractNumId="17">
    <w:nsid w:val="6EB5BD4"/>
    <w:multiLevelType w:val="hybridMultilevel"/>
    <w:lvl w:ilvl="0">
      <w:lvlJc w:val="left"/>
      <w:lvlText w:val="(%1)"/>
      <w:numFmt w:val="upperLetter"/>
      <w:start w:val="2"/>
    </w:lvl>
  </w:abstractNum>
  <w:abstractNum w:abstractNumId="18">
    <w:nsid w:val="6F6DD9AC"/>
    <w:multiLevelType w:val="hybridMultilevel"/>
    <w:lvl w:ilvl="0">
      <w:lvlJc w:val="left"/>
      <w:lvlText w:val="(%1)"/>
      <w:numFmt w:val="lowerRoman"/>
      <w:start w:val="18"/>
    </w:lvl>
  </w:abstractNum>
  <w:abstractNum w:abstractNumId="19">
    <w:nsid w:val="94211F2"/>
    <w:multiLevelType w:val="hybridMultilevel"/>
    <w:lvl w:ilvl="0">
      <w:lvlJc w:val="left"/>
      <w:lvlText w:val="(%1)"/>
      <w:numFmt w:val="lowerLetter"/>
      <w:start w:val="14"/>
    </w:lvl>
  </w:abstractNum>
  <w:abstractNum w:abstractNumId="20">
    <w:nsid w:val="885E1B"/>
    <w:multiLevelType w:val="hybridMultilevel"/>
    <w:lvl w:ilvl="0">
      <w:lvlJc w:val="left"/>
      <w:lvlText w:val="(%1)"/>
      <w:numFmt w:val="lowerRoman"/>
      <w:start w:val="3"/>
    </w:lvl>
  </w:abstractNum>
  <w:abstractNum w:abstractNumId="21">
    <w:nsid w:val="76272110"/>
    <w:multiLevelType w:val="hybridMultilevel"/>
    <w:lvl w:ilvl="0">
      <w:lvlJc w:val="left"/>
      <w:lvlText w:val="(%1)"/>
      <w:numFmt w:val="lowerLetter"/>
      <w:start w:val="35"/>
    </w:lvl>
  </w:abstractNum>
  <w:abstractNum w:abstractNumId="22">
    <w:nsid w:val="4C04A8AF"/>
    <w:multiLevelType w:val="hybridMultilevel"/>
    <w:lvl w:ilvl="0">
      <w:lvlJc w:val="left"/>
      <w:lvlText w:val="(%1)"/>
      <w:numFmt w:val="lowerLetter"/>
      <w:start w:val="2"/>
    </w:lvl>
  </w:abstractNum>
  <w:abstractNum w:abstractNumId="23">
    <w:nsid w:val="1716703B"/>
    <w:multiLevelType w:val="hybridMultilevel"/>
    <w:lvl w:ilvl="0">
      <w:lvlJc w:val="left"/>
      <w:lvlText w:val="(%1)"/>
      <w:numFmt w:val="lowerLetter"/>
      <w:start w:val="1"/>
    </w:lvl>
  </w:abstractNum>
  <w:abstractNum w:abstractNumId="24">
    <w:nsid w:val="14E17E33"/>
    <w:multiLevelType w:val="hybridMultilevel"/>
    <w:lvl w:ilvl="0">
      <w:lvlJc w:val="left"/>
      <w:lvlText w:val="(%1)"/>
      <w:numFmt w:val="lowerLetter"/>
      <w:start w:val="25"/>
    </w:lvl>
  </w:abstractNum>
  <w:abstractNum w:abstractNumId="25">
    <w:nsid w:val="3222E7CD"/>
    <w:multiLevelType w:val="hybridMultilevel"/>
    <w:lvl w:ilvl="0">
      <w:lvlJc w:val="left"/>
      <w:lvlText w:val="(%1)"/>
      <w:numFmt w:val="lowerRoman"/>
      <w:start w:val="2"/>
    </w:lvl>
  </w:abstractNum>
  <w:abstractNum w:abstractNumId="26">
    <w:nsid w:val="74DE0EE3"/>
    <w:multiLevelType w:val="hybridMultilevel"/>
    <w:lvl w:ilvl="0">
      <w:lvlJc w:val="left"/>
      <w:lvlText w:val="(%1)"/>
      <w:numFmt w:val="lowerLetter"/>
      <w:start w:val="1"/>
    </w:lvl>
  </w:abstractNum>
  <w:abstractNum w:abstractNumId="27">
    <w:nsid w:val="68EBC550"/>
    <w:multiLevelType w:val="hybridMultilevel"/>
    <w:lvl w:ilvl="0">
      <w:lvlJc w:val="left"/>
      <w:lvlText w:val="(%1)"/>
      <w:numFmt w:val="lowerRoman"/>
      <w:start w:val="2"/>
    </w:lvl>
    <w:lvl w:ilvl="1">
      <w:lvlJc w:val="left"/>
      <w:lvlText w:val="(%2)"/>
      <w:numFmt w:val="lowerLetter"/>
      <w:start w:val="60"/>
    </w:lvl>
    <w:lvl w:ilvl="2">
      <w:lvlJc w:val="left"/>
      <w:lvlText w:val="(%3)"/>
      <w:numFmt w:val="lowerLetter"/>
      <w:start w:val="1"/>
    </w:lvl>
  </w:abstractNum>
  <w:abstractNum w:abstractNumId="28">
    <w:nsid w:val="2DF6D648"/>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2"/>
    </w:lvl>
  </w:abstractNum>
  <w:abstractNum w:abstractNumId="29">
    <w:nsid w:val="46B7D447"/>
    <w:multiLevelType w:val="hybridMultilevel"/>
    <w:lvl w:ilvl="0">
      <w:lvlJc w:val="left"/>
      <w:lvlText w:val="(%1)"/>
      <w:numFmt w:val="lowerLetter"/>
      <w:start w:val="7"/>
    </w:lvl>
  </w:abstractNum>
  <w:abstractNum w:abstractNumId="30">
    <w:nsid w:val="4A2AC315"/>
    <w:multiLevelType w:val="hybridMultilevel"/>
    <w:lvl w:ilvl="0">
      <w:lvlJc w:val="left"/>
      <w:lvlText w:val="%1."/>
      <w:numFmt w:val="decimal"/>
      <w:start w:val="1"/>
    </w:lvl>
  </w:abstractNum>
  <w:abstractNum w:abstractNumId="31">
    <w:nsid w:val="39EE015C"/>
    <w:multiLevelType w:val="hybridMultilevel"/>
    <w:lvl w:ilvl="0">
      <w:lvlJc w:val="left"/>
      <w:lvlText w:val="%1."/>
      <w:numFmt w:val="decimal"/>
      <w:start w:val="2"/>
    </w:lvl>
  </w:abstractNum>
  <w:abstractNum w:abstractNumId="32">
    <w:nsid w:val="57FC4FBB"/>
    <w:multiLevelType w:val="hybridMultilevel"/>
    <w:lvl w:ilvl="0">
      <w:lvlJc w:val="left"/>
      <w:lvlText w:val="-"/>
      <w:numFmt w:val="bullet"/>
      <w:start w:val="1"/>
    </w:lvl>
  </w:abstractNum>
  <w:abstractNum w:abstractNumId="33">
    <w:nsid w:val="CC1016F"/>
    <w:multiLevelType w:val="hybridMultilevel"/>
    <w:lvl w:ilvl="0">
      <w:lvlJc w:val="left"/>
      <w:lvlText w:val="-"/>
      <w:numFmt w:val="bullet"/>
      <w:start w:val="1"/>
    </w:lvl>
    <w:lvl w:ilvl="1">
      <w:lvlJc w:val="left"/>
      <w:lvlText w:val="**"/>
      <w:numFmt w:val="bullet"/>
      <w:start w:val="1"/>
    </w:lvl>
  </w:abstractNum>
  <w:abstractNum w:abstractNumId="34">
    <w:nsid w:val="43F18422"/>
    <w:multiLevelType w:val="hybridMultilevel"/>
    <w:lvl w:ilvl="0">
      <w:lvlJc w:val="left"/>
      <w:lvlText w:val="["/>
      <w:numFmt w:val="bullet"/>
      <w:start w:val="1"/>
    </w:lvl>
  </w:abstractNum>
  <w:abstractNum w:abstractNumId="35">
    <w:nsid w:val="60EF0119"/>
    <w:multiLevelType w:val="hybridMultilevel"/>
    <w:lvl w:ilvl="0">
      <w:lvlJc w:val="left"/>
      <w:lvlText w:val="["/>
      <w:numFmt w:val="bullet"/>
      <w:start w:val="1"/>
    </w:lvl>
  </w:abstractNum>
  <w:abstractNum w:abstractNumId="36">
    <w:nsid w:val="26F324BA"/>
    <w:multiLevelType w:val="hybridMultilevel"/>
    <w:lvl w:ilvl="0">
      <w:lvlJc w:val="left"/>
      <w:lvlText w:val="-"/>
      <w:numFmt w:val="bullet"/>
      <w:start w:val="1"/>
    </w:lvl>
  </w:abstractNum>
  <w:abstractNum w:abstractNumId="37">
    <w:nsid w:val="7F01579B"/>
    <w:multiLevelType w:val="hybridMultilevel"/>
    <w:lvl w:ilvl="0">
      <w:lvlJc w:val="left"/>
      <w:lvlText w:val="-"/>
      <w:numFmt w:val="bullet"/>
      <w:start w:val="1"/>
    </w:lvl>
  </w:abstractNum>
  <w:abstractNum w:abstractNumId="38">
    <w:nsid w:val="49DA307D"/>
    <w:multiLevelType w:val="hybridMultilevel"/>
    <w:lvl w:ilvl="0">
      <w:lvlJc w:val="left"/>
      <w:lvlText w:val="-"/>
      <w:numFmt w:val="bullet"/>
      <w:start w:val="1"/>
    </w:lvl>
  </w:abstractNum>
  <w:abstractNum w:abstractNumId="39">
    <w:nsid w:val="7055A5F5"/>
    <w:multiLevelType w:val="hybridMultilevel"/>
    <w:lvl w:ilvl="0">
      <w:lvlJc w:val="left"/>
      <w:lvlText w:val="-"/>
      <w:numFmt w:val="bullet"/>
      <w:start w:val="1"/>
    </w:lvl>
  </w:abstractNum>
  <w:abstractNum w:abstractNumId="40">
    <w:nsid w:val="5FB8370B"/>
    <w:multiLevelType w:val="hybridMultilevel"/>
    <w:lvl w:ilvl="0">
      <w:lvlJc w:val="left"/>
      <w:lvlText w:val="-"/>
      <w:numFmt w:val="bullet"/>
      <w:start w:val="1"/>
    </w:lvl>
  </w:abstractNum>
  <w:abstractNum w:abstractNumId="41">
    <w:nsid w:val="50801EE1"/>
    <w:multiLevelType w:val="hybridMultilevel"/>
    <w:lvl w:ilvl="0">
      <w:lvlJc w:val="left"/>
      <w:lvlText w:val="-"/>
      <w:numFmt w:val="bullet"/>
      <w:start w:val="1"/>
    </w:lvl>
  </w:abstractNum>
  <w:abstractNum w:abstractNumId="42">
    <w:nsid w:val="488AC1A"/>
    <w:multiLevelType w:val="hybridMultilevel"/>
    <w:lvl w:ilvl="0">
      <w:lvlJc w:val="left"/>
      <w:lvlText w:val="-"/>
      <w:numFmt w:val="bullet"/>
      <w:start w:val="1"/>
    </w:lvl>
  </w:abstractNum>
  <w:abstractNum w:abstractNumId="43">
    <w:nsid w:val="5FB8011C"/>
    <w:multiLevelType w:val="hybridMultilevel"/>
    <w:lvl w:ilvl="0">
      <w:lvlJc w:val="left"/>
      <w:lvlText w:val="-"/>
      <w:numFmt w:val="bullet"/>
      <w:start w:val="1"/>
    </w:lvl>
  </w:abstractNum>
  <w:abstractNum w:abstractNumId="44">
    <w:nsid w:val="6AA78F7F"/>
    <w:multiLevelType w:val="hybridMultilevel"/>
    <w:lvl w:ilvl="0">
      <w:lvlJc w:val="left"/>
      <w:lvlText w:val="-"/>
      <w:numFmt w:val="bullet"/>
      <w:start w:val="1"/>
    </w:lvl>
  </w:abstractNum>
  <w:abstractNum w:abstractNumId="45">
    <w:nsid w:val="7672BD23"/>
    <w:multiLevelType w:val="hybridMultilevel"/>
    <w:lvl w:ilvl="0">
      <w:lvlJc w:val="left"/>
      <w:lvlText w:val="-"/>
      <w:numFmt w:val="bullet"/>
      <w:start w:val="1"/>
    </w:lvl>
  </w:abstractNum>
  <w:abstractNum w:abstractNumId="46">
    <w:nsid w:val="6FC75AF8"/>
    <w:multiLevelType w:val="hybridMultilevel"/>
    <w:lvl w:ilvl="0">
      <w:lvlJc w:val="left"/>
      <w:lvlText w:val="%1."/>
      <w:numFmt w:val="decimal"/>
      <w:start w:val="1"/>
    </w:lvl>
  </w:abstractNum>
  <w:abstractNum w:abstractNumId="47">
    <w:nsid w:val="6A5F7029"/>
    <w:multiLevelType w:val="hybridMultilevel"/>
    <w:lvl w:ilvl="0">
      <w:lvlJc w:val="left"/>
      <w:lvlText w:val="%1."/>
      <w:numFmt w:val="decimal"/>
      <w:start w:val="3"/>
    </w:lvl>
  </w:abstractNum>
  <w:abstractNum w:abstractNumId="48">
    <w:nsid w:val="7D5E18F8"/>
    <w:multiLevelType w:val="hybridMultilevel"/>
    <w:lvl w:ilvl="0">
      <w:lvlJc w:val="left"/>
      <w:lvlText w:val="%1."/>
      <w:numFmt w:val="decimal"/>
      <w:start w:val="6"/>
    </w:lvl>
  </w:abstractNum>
  <w:abstractNum w:abstractNumId="49">
    <w:nsid w:val="5F3534A4"/>
    <w:multiLevelType w:val="hybridMultilevel"/>
    <w:lvl w:ilvl="0">
      <w:lvlJc w:val="left"/>
      <w:lvlText w:val="%1."/>
      <w:numFmt w:val="decimal"/>
      <w:start w:val="7"/>
    </w:lvl>
  </w:abstractNum>
  <w:abstractNum w:abstractNumId="50">
    <w:nsid w:val="73A1821B"/>
    <w:multiLevelType w:val="hybridMultilevel"/>
    <w:lvl w:ilvl="0">
      <w:lvlJc w:val="left"/>
      <w:lvlText w:val="%1."/>
      <w:numFmt w:val="decimal"/>
      <w:start w:val="8"/>
    </w:lvl>
  </w:abstractNum>
  <w:abstractNum w:abstractNumId="51">
    <w:nsid w:val="7DE67713"/>
    <w:multiLevelType w:val="hybridMultilevel"/>
    <w:lvl w:ilvl="0">
      <w:lvlJc w:val="left"/>
      <w:lvlText w:val="(%1)"/>
      <w:numFmt w:val="lowerRoman"/>
      <w:start w:val="3"/>
    </w:lvl>
  </w:abstractNum>
  <w:abstractNum w:abstractNumId="52">
    <w:nsid w:val="555C55B5"/>
    <w:multiLevelType w:val="hybridMultilevel"/>
    <w:lvl w:ilvl="0">
      <w:lvlJc w:val="left"/>
      <w:lvlText w:val="(%1)"/>
      <w:numFmt w:val="decimal"/>
      <w:start w:val="1"/>
    </w:lvl>
  </w:abstractNum>
  <w:abstractNum w:abstractNumId="53">
    <w:nsid w:val="3FA62ACA"/>
    <w:multiLevelType w:val="hybridMultilevel"/>
    <w:lvl w:ilvl="0">
      <w:lvlJc w:val="left"/>
      <w:lvlText w:val="["/>
      <w:numFmt w:val="bullet"/>
      <w:start w:val="1"/>
    </w:lvl>
  </w:abstractNum>
  <w:abstractNum w:abstractNumId="54">
    <w:nsid w:val="14FCE74E"/>
    <w:multiLevelType w:val="hybridMultilevel"/>
    <w:lvl w:ilvl="0">
      <w:lvlJc w:val="left"/>
      <w:lvlText w:val="-"/>
      <w:numFmt w:val="bullet"/>
      <w:start w:val="1"/>
    </w:lvl>
  </w:abstractNum>
  <w:abstractNum w:abstractNumId="55">
    <w:nsid w:val="6A3DD3E8"/>
    <w:multiLevelType w:val="hybridMultilevel"/>
    <w:lvl w:ilvl="0">
      <w:lvlJc w:val="left"/>
      <w:lvlText w:val="-"/>
      <w:numFmt w:val="bullet"/>
      <w:start w:val="1"/>
    </w:lvl>
  </w:abstractNum>
  <w:abstractNum w:abstractNumId="56">
    <w:nsid w:val="71C91298"/>
    <w:multiLevelType w:val="hybridMultilevel"/>
    <w:lvl w:ilvl="0">
      <w:lvlJc w:val="left"/>
      <w:lvlText w:val="-"/>
      <w:numFmt w:val="bullet"/>
      <w:start w:val="1"/>
    </w:lvl>
  </w:abstractNum>
  <w:abstractNum w:abstractNumId="57">
    <w:nsid w:val="9DAF632"/>
    <w:multiLevelType w:val="hybridMultilevel"/>
    <w:lvl w:ilvl="0">
      <w:lvlJc w:val="left"/>
      <w:lvlText w:val="-"/>
      <w:numFmt w:val="bullet"/>
      <w:start w:val="1"/>
    </w:lvl>
  </w:abstractNum>
  <w:abstractNum w:abstractNumId="58">
    <w:nsid w:val="53299938"/>
    <w:multiLevelType w:val="hybridMultilevel"/>
    <w:lvl w:ilvl="0">
      <w:lvlJc w:val="left"/>
      <w:lvlText w:val="-"/>
      <w:numFmt w:val="bullet"/>
      <w:start w:val="1"/>
    </w:lvl>
  </w:abstractNum>
  <w:abstractNum w:abstractNumId="59">
    <w:nsid w:val="1FBFE8E0"/>
    <w:multiLevelType w:val="hybridMultilevel"/>
    <w:lvl w:ilvl="0">
      <w:lvlJc w:val="left"/>
      <w:lvlText w:val="%1."/>
      <w:numFmt w:val="decimal"/>
      <w:start w:val="1"/>
    </w:lvl>
  </w:abstractNum>
  <w:abstractNum w:abstractNumId="60">
    <w:nsid w:val="5092CA79"/>
    <w:multiLevelType w:val="hybridMultilevel"/>
    <w:lvl w:ilvl="0">
      <w:lvlJc w:val="left"/>
      <w:lvlText w:val="%1."/>
      <w:numFmt w:val="decimal"/>
      <w:start w:val="1"/>
    </w:lvl>
  </w:abstractNum>
  <w:abstractNum w:abstractNumId="61">
    <w:nsid w:val="1D545C4D"/>
    <w:multiLevelType w:val="hybridMultilevel"/>
    <w:lvl w:ilvl="0">
      <w:lvlJc w:val="left"/>
      <w:lvlText w:val="%1."/>
      <w:numFmt w:val="decimal"/>
      <w:start w:val="4"/>
    </w:lvl>
  </w:abstractNum>
  <w:abstractNum w:abstractNumId="62">
    <w:nsid w:val="59ADEA3D"/>
    <w:multiLevelType w:val="hybridMultilevel"/>
    <w:lvl w:ilvl="0">
      <w:lvlJc w:val="left"/>
      <w:lvlText w:val="-"/>
      <w:numFmt w:val="bullet"/>
      <w:start w:val="1"/>
    </w:lvl>
  </w:abstractNum>
  <w:abstractNum w:abstractNumId="63">
    <w:nsid w:val="288F1A34"/>
    <w:multiLevelType w:val="hybridMultilevel"/>
    <w:lvl w:ilvl="0">
      <w:lvlJc w:val="left"/>
      <w:lvlText w:val="*"/>
      <w:numFmt w:val="bullet"/>
      <w:start w:val="1"/>
    </w:lvl>
  </w:abstractNum>
  <w:abstractNum w:abstractNumId="64">
    <w:nsid w:val="2A155DBC"/>
    <w:multiLevelType w:val="hybridMultilevel"/>
    <w:lvl w:ilvl="0">
      <w:lvlJc w:val="left"/>
      <w:lvlText w:val="-"/>
      <w:numFmt w:val="bullet"/>
      <w:start w:val="1"/>
    </w:lvl>
  </w:abstractNum>
  <w:abstractNum w:abstractNumId="65">
    <w:nsid w:val="1D9F6E5F"/>
    <w:multiLevelType w:val="hybridMultilevel"/>
    <w:lvl w:ilvl="0">
      <w:lvlJc w:val="left"/>
      <w:lvlText w:val="(%1)"/>
      <w:numFmt w:val="decimal"/>
      <w:start w:val="1"/>
    </w:lvl>
  </w:abstractNum>
  <w:abstractNum w:abstractNumId="66">
    <w:nsid w:val="97E1B4E"/>
    <w:multiLevelType w:val="hybridMultilevel"/>
    <w:lvl w:ilvl="0">
      <w:lvlJc w:val="left"/>
      <w:lvlText w:val="(%1)"/>
      <w:numFmt w:val="decimal"/>
      <w:start w:val="3"/>
    </w:lvl>
  </w:abstractNum>
  <w:abstractNum w:abstractNumId="67">
    <w:nsid w:val="51088277"/>
    <w:multiLevelType w:val="hybridMultilevel"/>
    <w:lvl w:ilvl="0">
      <w:lvlJc w:val="left"/>
      <w:lvlText w:val="-"/>
      <w:numFmt w:val="bullet"/>
      <w:start w:val="1"/>
    </w:lvl>
  </w:abstractNum>
  <w:abstractNum w:abstractNumId="68">
    <w:nsid w:val="1CA0C5FA"/>
    <w:multiLevelType w:val="hybridMultilevel"/>
    <w:lvl w:ilvl="0">
      <w:lvlJc w:val="left"/>
      <w:lvlText w:val="-"/>
      <w:numFmt w:val="bullet"/>
      <w:start w:val="1"/>
    </w:lvl>
  </w:abstractNum>
  <w:abstractNum w:abstractNumId="69">
    <w:nsid w:val="53584BCB"/>
    <w:multiLevelType w:val="hybridMultilevel"/>
    <w:lvl w:ilvl="0">
      <w:lvlJc w:val="left"/>
      <w:lvlText w:val="-"/>
      <w:numFmt w:val="bullet"/>
      <w:start w:val="1"/>
    </w:lvl>
  </w:abstractNum>
  <w:abstractNum w:abstractNumId="70">
    <w:nsid w:val="415E286C"/>
    <w:multiLevelType w:val="hybridMultilevel"/>
    <w:lvl w:ilvl="0">
      <w:lvlJc w:val="left"/>
      <w:lvlText w:val="-"/>
      <w:numFmt w:val="bullet"/>
      <w:start w:val="1"/>
    </w:lvl>
  </w:abstractNum>
  <w:abstractNum w:abstractNumId="71">
    <w:nsid w:val="7C58FD05"/>
    <w:multiLevelType w:val="hybridMultilevel"/>
    <w:lvl w:ilvl="0">
      <w:lvlJc w:val="left"/>
      <w:lvlText w:val="(%1)"/>
      <w:numFmt w:val="decimal"/>
      <w:start w:val="1"/>
    </w:lvl>
  </w:abstractNum>
  <w:abstractNum w:abstractNumId="72">
    <w:nsid w:val="23D86AAC"/>
    <w:multiLevelType w:val="hybridMultilevel"/>
    <w:lvl w:ilvl="0">
      <w:lvlJc w:val="left"/>
      <w:lvlText w:val="&amp;"/>
      <w:numFmt w:val="bullet"/>
      <w:start w:val="1"/>
    </w:lvl>
  </w:abstractNum>
  <w:abstractNum w:abstractNumId="73">
    <w:nsid w:val="45E6D486"/>
    <w:multiLevelType w:val="hybridMultilevel"/>
    <w:lvl w:ilvl="0">
      <w:lvlJc w:val="left"/>
      <w:lvlText w:val="(%1)"/>
      <w:numFmt w:val="lowerLetter"/>
      <w:start w:val="2"/>
    </w:lvl>
  </w:abstractNum>
  <w:abstractNum w:abstractNumId="74">
    <w:nsid w:val="5C10FE21"/>
    <w:multiLevelType w:val="hybridMultilevel"/>
    <w:lvl w:ilvl="0">
      <w:lvlJc w:val="left"/>
      <w:lvlText w:val="(%1)"/>
      <w:numFmt w:val="lowerLetter"/>
      <w:start w:val="2"/>
    </w:lvl>
  </w:abstractNum>
  <w:abstractNum w:abstractNumId="75">
    <w:nsid w:val="E7FFA2B"/>
    <w:multiLevelType w:val="hybridMultilevel"/>
    <w:lvl w:ilvl="0">
      <w:lvlJc w:val="left"/>
      <w:lvlText w:val="(%1)"/>
      <w:numFmt w:val="lowerLetter"/>
      <w:start w:val="2"/>
    </w:lvl>
  </w:abstractNum>
  <w:abstractNum w:abstractNumId="76">
    <w:nsid w:val="3C5991AA"/>
    <w:multiLevelType w:val="hybridMultilevel"/>
    <w:lvl w:ilvl="0">
      <w:lvlJc w:val="left"/>
      <w:lvlText w:val="(%1)"/>
      <w:numFmt w:val="lowerLetter"/>
      <w:start w:val="2"/>
    </w:lvl>
  </w:abstractNum>
  <w:abstractNum w:abstractNumId="77">
    <w:nsid w:val="4BD8591A"/>
    <w:multiLevelType w:val="hybridMultilevel"/>
    <w:lvl w:ilvl="0">
      <w:lvlJc w:val="left"/>
      <w:lvlText w:val="(%1)"/>
      <w:numFmt w:val="lowerLetter"/>
      <w:start w:val="2"/>
    </w:lvl>
  </w:abstractNum>
  <w:abstractNum w:abstractNumId="78">
    <w:nsid w:val="78DF6A55"/>
    <w:multiLevelType w:val="hybridMultilevel"/>
    <w:lvl w:ilvl="0">
      <w:lvlJc w:val="left"/>
      <w:lvlText w:val="(%1)"/>
      <w:numFmt w:val="lowerLetter"/>
      <w:start w:val="1"/>
    </w:lvl>
  </w:abstractNum>
  <w:abstractNum w:abstractNumId="79">
    <w:nsid w:val="39B7AAA2"/>
    <w:multiLevelType w:val="hybridMultilevel"/>
    <w:lvl w:ilvl="0">
      <w:lvlJc w:val="left"/>
      <w:lvlText w:val="(%1)"/>
      <w:numFmt w:val="lowerRoman"/>
      <w:start w:val="1"/>
    </w:lvl>
    <w:lvl w:ilvl="1">
      <w:lvlJc w:val="left"/>
      <w:lvlText w:val="(%2)"/>
      <w:numFmt w:val="upperLetter"/>
      <w:start w:val="1"/>
    </w:lvl>
  </w:abstractNum>
  <w:abstractNum w:abstractNumId="80">
    <w:nsid w:val="2B0D8DBE"/>
    <w:multiLevelType w:val="hybridMultilevel"/>
    <w:lvl w:ilvl="0">
      <w:lvlJc w:val="left"/>
      <w:lvlText w:val="%1"/>
      <w:numFmt w:val="lowerLetter"/>
      <w:start w:val="1"/>
    </w:lvl>
    <w:lvl w:ilvl="1">
      <w:lvlJc w:val="left"/>
      <w:lvlText w:val="(%2)"/>
      <w:numFmt w:val="upperLetter"/>
      <w:start w:val="2"/>
    </w:lvl>
  </w:abstractNum>
  <w:abstractNum w:abstractNumId="81">
    <w:nsid w:val="6C80EC70"/>
    <w:multiLevelType w:val="hybridMultilevel"/>
    <w:lvl w:ilvl="0">
      <w:lvlJc w:val="left"/>
      <w:lvlText w:val="(%1)"/>
      <w:numFmt w:val="lowerLetter"/>
      <w:start w:val="2"/>
    </w:lvl>
    <w:lvl w:ilvl="1">
      <w:lvlJc w:val="left"/>
      <w:lvlText w:val="%2"/>
      <w:numFmt w:val="upperLetter"/>
      <w:start w:val="1"/>
    </w:lvl>
  </w:abstractNum>
  <w:abstractNum w:abstractNumId="82">
    <w:nsid w:val="379E21B5"/>
    <w:multiLevelType w:val="hybridMultilevel"/>
    <w:lvl w:ilvl="0">
      <w:lvlJc w:val="left"/>
      <w:lvlText w:val="(%1)"/>
      <w:numFmt w:val="lowerLetter"/>
      <w:start w:val="4"/>
    </w:lvl>
  </w:abstractNum>
  <w:abstractNum w:abstractNumId="83">
    <w:nsid w:val="69E373"/>
    <w:multiLevelType w:val="hybridMultilevel"/>
    <w:lvl w:ilvl="0">
      <w:lvlJc w:val="left"/>
      <w:lvlText w:val="%1."/>
      <w:numFmt w:val="upperLetter"/>
      <w:start w:val="61"/>
    </w:lvl>
  </w:abstractNum>
  <w:abstractNum w:abstractNumId="84">
    <w:nsid w:val="2C27173B"/>
    <w:multiLevelType w:val="hybridMultilevel"/>
    <w:lvl w:ilvl="0">
      <w:lvlJc w:val="left"/>
      <w:lvlText w:val="(%1)"/>
      <w:numFmt w:val="lowerLetter"/>
      <w:start w:val="2"/>
    </w:lvl>
  </w:abstractNum>
  <w:abstractNum w:abstractNumId="85">
    <w:nsid w:val="4C9B0904"/>
    <w:multiLevelType w:val="hybridMultilevel"/>
    <w:lvl w:ilvl="0">
      <w:lvlJc w:val="left"/>
      <w:lvlText w:val="(%1)"/>
      <w:numFmt w:val="lowerLetter"/>
      <w:start w:val="9"/>
    </w:lvl>
    <w:lvl w:ilvl="1">
      <w:lvlJc w:val="left"/>
      <w:lvlText w:val="%2"/>
      <w:numFmt w:val="lowerLetter"/>
      <w:start w:val="1"/>
    </w:lvl>
  </w:abstractNum>
  <w:abstractNum w:abstractNumId="86">
    <w:nsid w:val="6AA7B75C"/>
    <w:multiLevelType w:val="hybridMultilevel"/>
    <w:lvl w:ilvl="0">
      <w:lvlJc w:val="left"/>
      <w:lvlText w:val="(%1)"/>
      <w:numFmt w:val="lowerLetter"/>
      <w:start w:val="61"/>
    </w:lvl>
    <w:lvl w:ilvl="1">
      <w:lvlJc w:val="left"/>
      <w:lvlText w:val="(%2)"/>
      <w:numFmt w:val="lowerLetter"/>
      <w:start w:val="2"/>
    </w:lvl>
  </w:abstractNum>
  <w:abstractNum w:abstractNumId="87">
    <w:nsid w:val="1DF029D3"/>
    <w:multiLevelType w:val="hybridMultilevel"/>
    <w:lvl w:ilvl="0">
      <w:lvlJc w:val="left"/>
      <w:lvlText w:val="(%1)"/>
      <w:numFmt w:val="lowerLetter"/>
      <w:start w:val="2"/>
    </w:lvl>
  </w:abstractNum>
  <w:abstractNum w:abstractNumId="88">
    <w:nsid w:val="5675FF36"/>
    <w:multiLevelType w:val="hybridMultilevel"/>
    <w:lvl w:ilvl="0">
      <w:lvlJc w:val="left"/>
      <w:lvlText w:val="(%1)"/>
      <w:numFmt w:val="lowerLetter"/>
      <w:start w:val="2"/>
    </w:lvl>
  </w:abstractNum>
  <w:abstractNum w:abstractNumId="89">
    <w:nsid w:val="3DD15094"/>
    <w:multiLevelType w:val="hybridMultilevel"/>
    <w:lvl w:ilvl="0">
      <w:lvlJc w:val="left"/>
      <w:lvlText w:val="(%1)"/>
      <w:numFmt w:val="lowerLetter"/>
      <w:start w:val="1"/>
    </w:lvl>
  </w:abstractNum>
  <w:abstractNum w:abstractNumId="90">
    <w:nsid w:val="3DB012B3"/>
    <w:multiLevelType w:val="hybridMultilevel"/>
    <w:lvl w:ilvl="0">
      <w:lvlJc w:val="left"/>
      <w:lvlText w:val="%1"/>
      <w:numFmt w:val="lowerLetter"/>
      <w:start w:val="1"/>
    </w:lvl>
    <w:lvl w:ilvl="1">
      <w:lvlJc w:val="left"/>
      <w:lvlText w:val="(%2)"/>
      <w:numFmt w:val="lowerLetter"/>
      <w:start w:val="3"/>
    </w:lvl>
  </w:abstractNum>
  <w:abstractNum w:abstractNumId="91">
    <w:nsid w:val="2708C9AF"/>
    <w:multiLevelType w:val="hybridMultilevel"/>
    <w:lvl w:ilvl="0">
      <w:lvlJc w:val="left"/>
      <w:lvlText w:val="(%1)"/>
      <w:numFmt w:val="lowerLetter"/>
      <w:start w:val="9"/>
    </w:lvl>
    <w:lvl w:ilvl="1">
      <w:lvlJc w:val="left"/>
      <w:lvlText w:val="%2"/>
      <w:numFmt w:val="lowerLetter"/>
      <w:start w:val="1"/>
    </w:lvl>
  </w:abstractNum>
  <w:abstractNum w:abstractNumId="92">
    <w:nsid w:val="5B25ACE2"/>
    <w:multiLevelType w:val="hybridMultilevel"/>
    <w:lvl w:ilvl="0">
      <w:lvlJc w:val="left"/>
      <w:lvlText w:val="(%1)"/>
      <w:numFmt w:val="lowerLetter"/>
      <w:start w:val="61"/>
    </w:lvl>
    <w:lvl w:ilvl="1">
      <w:lvlJc w:val="left"/>
      <w:lvlText w:val="(%2)"/>
      <w:numFmt w:val="lowerLetter"/>
      <w:start w:val="7"/>
    </w:lvl>
  </w:abstractNum>
  <w:abstractNum w:abstractNumId="93">
    <w:nsid w:val="175DFCF0"/>
    <w:multiLevelType w:val="hybridMultilevel"/>
    <w:lvl w:ilvl="0">
      <w:lvlJc w:val="left"/>
      <w:lvlText w:val="(%1)"/>
      <w:numFmt w:val="lowerLetter"/>
      <w:start w:val="35"/>
    </w:lvl>
    <w:lvl w:ilvl="1">
      <w:lvlJc w:val="left"/>
      <w:lvlText w:val="(%2)"/>
      <w:numFmt w:val="lowerLetter"/>
      <w:start w:val="10"/>
    </w:lvl>
  </w:abstractNum>
  <w:abstractNum w:abstractNumId="94">
    <w:nsid w:val="4F97E3E4"/>
    <w:multiLevelType w:val="hybridMultilevel"/>
    <w:lvl w:ilvl="0">
      <w:lvlJc w:val="left"/>
      <w:lvlText w:val="(%1)"/>
      <w:numFmt w:val="lowerLetter"/>
      <w:start w:val="12"/>
    </w:lvl>
  </w:abstractNum>
  <w:abstractNum w:abstractNumId="95">
    <w:nsid w:val="53B0A9E"/>
    <w:multiLevelType w:val="hybridMultilevel"/>
    <w:lvl w:ilvl="0">
      <w:lvlJc w:val="left"/>
      <w:lvlText w:val="(%1)"/>
      <w:numFmt w:val="lowerLetter"/>
      <w:start w:val="2"/>
    </w:lvl>
  </w:abstractNum>
  <w:abstractNum w:abstractNumId="96">
    <w:nsid w:val="34FD6B4F"/>
    <w:multiLevelType w:val="hybridMultilevel"/>
    <w:lvl w:ilvl="0">
      <w:lvlJc w:val="left"/>
      <w:lvlText w:val="(%1)"/>
      <w:numFmt w:val="lowerLetter"/>
      <w:start w:val="2"/>
    </w:lvl>
  </w:abstractNum>
  <w:abstractNum w:abstractNumId="97">
    <w:nsid w:val="5915FF32"/>
    <w:multiLevelType w:val="hybridMultilevel"/>
    <w:lvl w:ilvl="0">
      <w:lvlJc w:val="left"/>
      <w:lvlText w:val="(%1)"/>
      <w:numFmt w:val="lowerRoman"/>
      <w:start w:val="1"/>
    </w:lvl>
  </w:abstractNum>
  <w:abstractNum w:abstractNumId="98">
    <w:nsid w:val="56438D15"/>
    <w:multiLevelType w:val="hybridMultilevel"/>
    <w:lvl w:ilvl="0">
      <w:lvlJc w:val="left"/>
      <w:lvlText w:val="(%1)"/>
      <w:numFmt w:val="lowerLetter"/>
      <w:start w:val="2"/>
    </w:lvl>
  </w:abstractNum>
  <w:abstractNum w:abstractNumId="99">
    <w:nsid w:val="519E3149"/>
    <w:multiLevelType w:val="hybridMultilevel"/>
    <w:lvl w:ilvl="0">
      <w:lvlJc w:val="left"/>
      <w:lvlText w:val="(%1)"/>
      <w:numFmt w:val="lowerLetter"/>
      <w:start w:val="9"/>
    </w:lvl>
  </w:abstractNum>
  <w:abstractNum w:abstractNumId="100">
    <w:nsid w:val="2C6E4AFD"/>
    <w:multiLevelType w:val="hybridMultilevel"/>
    <w:lvl w:ilvl="0">
      <w:lvlJc w:val="left"/>
      <w:lvlText w:val="(%1)"/>
      <w:numFmt w:val="lowerLetter"/>
      <w:start w:val="2"/>
    </w:lvl>
  </w:abstractNum>
  <w:abstractNum w:abstractNumId="101">
    <w:nsid w:val="17A1B582"/>
    <w:multiLevelType w:val="hybridMultilevel"/>
    <w:lvl w:ilvl="0">
      <w:lvlJc w:val="left"/>
      <w:lvlText w:val="(%1)"/>
      <w:numFmt w:val="lowerLetter"/>
      <w:start w:val="5"/>
    </w:lvl>
  </w:abstractNum>
  <w:abstractNum w:abstractNumId="102">
    <w:nsid w:val="4DF72E4E"/>
    <w:multiLevelType w:val="hybridMultilevel"/>
    <w:lvl w:ilvl="0">
      <w:lvlJc w:val="left"/>
      <w:lvlText w:val="(%1)"/>
      <w:numFmt w:val="lowerRoman"/>
      <w:start w:val="1"/>
    </w:lvl>
  </w:abstractNum>
  <w:abstractNum w:abstractNumId="103">
    <w:nsid w:val="5046B5A9"/>
    <w:multiLevelType w:val="hybridMultilevel"/>
    <w:lvl w:ilvl="0">
      <w:lvlJc w:val="left"/>
      <w:lvlText w:val="(%1)"/>
      <w:numFmt w:val="lowerLetter"/>
      <w:start w:val="2"/>
    </w:lvl>
  </w:abstractNum>
  <w:abstractNum w:abstractNumId="104">
    <w:nsid w:val="5D888A08"/>
    <w:multiLevelType w:val="hybridMultilevel"/>
    <w:lvl w:ilvl="0">
      <w:lvlJc w:val="left"/>
      <w:lvlText w:val="(%1)"/>
      <w:numFmt w:val="lowerLetter"/>
      <w:start w:val="2"/>
    </w:lvl>
  </w:abstractNum>
  <w:abstractNum w:abstractNumId="105">
    <w:nsid w:val="2A082C70"/>
    <w:multiLevelType w:val="hybridMultilevel"/>
    <w:lvl w:ilvl="0">
      <w:lvlJc w:val="left"/>
      <w:lvlText w:val="%1"/>
      <w:numFmt w:val="lowerLetter"/>
      <w:start w:val="1"/>
    </w:lvl>
    <w:lvl w:ilvl="1">
      <w:lvlJc w:val="left"/>
      <w:lvlText w:val="(%2)"/>
      <w:numFmt w:val="lowerLetter"/>
      <w:start w:val="4"/>
    </w:lvl>
  </w:abstractNum>
  <w:abstractNum w:abstractNumId="106">
    <w:nsid w:val="5EC6AFD4"/>
    <w:multiLevelType w:val="hybridMultilevel"/>
    <w:lvl w:ilvl="0">
      <w:lvlJc w:val="left"/>
      <w:lvlText w:val="(%1)"/>
      <w:numFmt w:val="lowerLetter"/>
      <w:start w:val="35"/>
    </w:lvl>
    <w:lvl w:ilvl="1">
      <w:lvlJc w:val="left"/>
      <w:lvlText w:val="(%2)"/>
      <w:numFmt w:val="lowerLetter"/>
      <w:start w:val="11"/>
    </w:lvl>
  </w:abstractNum>
  <w:abstractNum w:abstractNumId="107">
    <w:nsid w:val="19E21BB2"/>
    <w:multiLevelType w:val="hybridMultilevel"/>
    <w:lvl w:ilvl="0">
      <w:lvlJc w:val="left"/>
      <w:lvlText w:val="(%1)"/>
      <w:numFmt w:val="lowerLetter"/>
      <w:start w:val="13"/>
    </w:lvl>
  </w:abstractNum>
  <w:abstractNum w:abstractNumId="108">
    <w:nsid w:val="75E0858A"/>
    <w:multiLevelType w:val="hybridMultilevel"/>
    <w:lvl w:ilvl="0">
      <w:lvlJc w:val="left"/>
      <w:lvlText w:val="(%1)"/>
      <w:numFmt w:val="lowerRoman"/>
      <w:start w:val="11"/>
    </w:lvl>
    <w:lvl w:ilvl="1">
      <w:lvlJc w:val="left"/>
      <w:lvlText w:val="(%2)"/>
      <w:numFmt w:val="lowerLetter"/>
      <w:start w:val="2"/>
    </w:lvl>
  </w:abstractNum>
  <w:abstractNum w:abstractNumId="109">
    <w:nsid w:val="57A61A29"/>
    <w:multiLevelType w:val="hybridMultilevel"/>
    <w:lvl w:ilvl="0">
      <w:lvlJc w:val="left"/>
      <w:lvlText w:val="(%1)"/>
      <w:numFmt w:val="lowerLetter"/>
      <w:start w:val="2"/>
    </w:lvl>
  </w:abstractNum>
  <w:abstractNum w:abstractNumId="110">
    <w:nsid w:val="5399C654"/>
    <w:multiLevelType w:val="hybridMultilevel"/>
    <w:lvl w:ilvl="0">
      <w:lvlJc w:val="left"/>
      <w:lvlText w:val="(%1)"/>
      <w:numFmt w:val="lowerLetter"/>
      <w:start w:val="3"/>
    </w:lvl>
    <w:lvl w:ilvl="1">
      <w:lvlJc w:val="left"/>
      <w:lvlText w:val="(%2)"/>
      <w:numFmt w:val="lowerRoman"/>
      <w:start w:val="1"/>
    </w:lvl>
  </w:abstractNum>
  <w:abstractNum w:abstractNumId="111">
    <w:nsid w:val="20EE1348"/>
    <w:multiLevelType w:val="hybridMultilevel"/>
    <w:lvl w:ilvl="0">
      <w:lvlJc w:val="left"/>
      <w:lvlText w:val="(%1)"/>
      <w:numFmt w:val="lowerLetter"/>
      <w:start w:val="2"/>
    </w:lvl>
  </w:abstractNum>
  <w:abstractNum w:abstractNumId="112">
    <w:nsid w:val="4427069A"/>
    <w:multiLevelType w:val="hybridMultilevel"/>
    <w:lvl w:ilvl="0">
      <w:lvlJc w:val="left"/>
      <w:lvlText w:val="(%1)"/>
      <w:numFmt w:val="lowerLetter"/>
      <w:start w:val="3"/>
    </w:lvl>
  </w:abstractNum>
  <w:abstractNum w:abstractNumId="113">
    <w:nsid w:val="B37E80A"/>
    <w:multiLevelType w:val="hybridMultilevel"/>
    <w:lvl w:ilvl="0">
      <w:lvlJc w:val="left"/>
      <w:lvlText w:val="(%1)"/>
      <w:numFmt w:val="lowerLetter"/>
      <w:start w:val="2"/>
    </w:lvl>
  </w:abstractNum>
  <w:abstractNum w:abstractNumId="114">
    <w:nsid w:val="2157F6BC"/>
    <w:multiLevelType w:val="hybridMultilevel"/>
    <w:lvl w:ilvl="0">
      <w:lvlJc w:val="left"/>
      <w:lvlText w:val="(%1)"/>
      <w:numFmt w:val="lowerLetter"/>
      <w:start w:val="3"/>
    </w:lvl>
  </w:abstractNum>
  <w:abstractNum w:abstractNumId="115">
    <w:nsid w:val="704E1DD5"/>
    <w:multiLevelType w:val="hybridMultilevel"/>
    <w:lvl w:ilvl="0">
      <w:lvlJc w:val="left"/>
      <w:lvlText w:val="(%1)"/>
      <w:numFmt w:val="lowerLetter"/>
      <w:start w:val="2"/>
    </w:lvl>
  </w:abstractNum>
  <w:abstractNum w:abstractNumId="116">
    <w:nsid w:val="57D2F10E"/>
    <w:multiLevelType w:val="hybridMultilevel"/>
    <w:lvl w:ilvl="0">
      <w:lvlJc w:val="left"/>
      <w:lvlText w:val="(%1)"/>
      <w:numFmt w:val="lowerLetter"/>
      <w:start w:val="2"/>
    </w:lvl>
  </w:abstractNum>
  <w:abstractNum w:abstractNumId="117">
    <w:nsid w:val="BFFAE18"/>
    <w:multiLevelType w:val="hybridMultilevel"/>
    <w:lvl w:ilvl="0">
      <w:lvlJc w:val="left"/>
      <w:lvlText w:val="(%1)"/>
      <w:numFmt w:val="lowerRoman"/>
      <w:start w:val="1"/>
    </w:lvl>
  </w:abstractNum>
  <w:abstractNum w:abstractNumId="118">
    <w:nsid w:val="E3E47A8"/>
    <w:multiLevelType w:val="hybridMultilevel"/>
    <w:lvl w:ilvl="0">
      <w:lvlJc w:val="left"/>
      <w:lvlText w:val="%1"/>
      <w:numFmt w:val="lowerLetter"/>
      <w:start w:val="1"/>
    </w:lvl>
    <w:lvl w:ilvl="1">
      <w:lvlJc w:val="left"/>
      <w:lvlText w:val="(%2)"/>
      <w:numFmt w:val="lowerLetter"/>
      <w:start w:val="1"/>
    </w:lvl>
  </w:abstractNum>
  <w:abstractNum w:abstractNumId="119">
    <w:nsid w:val="2E48F044"/>
    <w:multiLevelType w:val="hybridMultilevel"/>
    <w:lvl w:ilvl="0">
      <w:lvlJc w:val="left"/>
      <w:lvlText w:val="(%1)"/>
      <w:numFmt w:val="lowerLetter"/>
      <w:start w:val="35"/>
    </w:lvl>
    <w:lvl w:ilvl="1">
      <w:lvlJc w:val="left"/>
      <w:lvlText w:val="%2"/>
      <w:numFmt w:val="lowerLetter"/>
      <w:start w:val="1"/>
    </w:lvl>
  </w:abstractNum>
  <w:abstractNum w:abstractNumId="120">
    <w:nsid w:val="49D0FEAC"/>
    <w:multiLevelType w:val="hybridMultilevel"/>
    <w:lvl w:ilvl="0">
      <w:lvlJc w:val="left"/>
      <w:lvlText w:val="(%1)"/>
      <w:numFmt w:val="lowerLetter"/>
      <w:start w:val="4"/>
    </w:lvl>
  </w:abstractNum>
  <w:abstractNum w:abstractNumId="121">
    <w:nsid w:val="4BEE5A5B"/>
    <w:multiLevelType w:val="hybridMultilevel"/>
    <w:lvl w:ilvl="0">
      <w:lvlJc w:val="left"/>
      <w:lvlText w:val="(%1)"/>
      <w:numFmt w:val="lowerLetter"/>
      <w:start w:val="11"/>
    </w:lvl>
  </w:abstractNum>
  <w:abstractNum w:abstractNumId="122">
    <w:nsid w:val="5551B9F3"/>
    <w:multiLevelType w:val="hybridMultilevel"/>
    <w:lvl w:ilvl="0">
      <w:lvlJc w:val="left"/>
      <w:lvlText w:val="(%1)"/>
      <w:numFmt w:val="lowerLetter"/>
      <w:start w:val="20"/>
    </w:lvl>
  </w:abstractNum>
  <w:abstractNum w:abstractNumId="123">
    <w:nsid w:val="24F6AB8E"/>
    <w:multiLevelType w:val="hybridMultilevel"/>
    <w:lvl w:ilvl="0">
      <w:lvlJc w:val="left"/>
      <w:lvlText w:val="(%1)"/>
      <w:numFmt w:val="lowerLetter"/>
      <w:start w:val="2"/>
    </w:lvl>
  </w:abstractNum>
  <w:abstractNum w:abstractNumId="124">
    <w:nsid w:val="634C574C"/>
    <w:multiLevelType w:val="hybridMultilevel"/>
    <w:lvl w:ilvl="0">
      <w:lvlJc w:val="left"/>
      <w:lvlText w:val="%1"/>
      <w:numFmt w:val="lowerLetter"/>
      <w:start w:val="1"/>
    </w:lvl>
    <w:lvl w:ilvl="1">
      <w:lvlJc w:val="left"/>
      <w:lvlText w:val="(%2)"/>
      <w:numFmt w:val="lowerRoman"/>
      <w:start w:val="1"/>
    </w:lvl>
  </w:abstractNum>
  <w:abstractNum w:abstractNumId="125">
    <w:nsid w:val="24E99DD7"/>
    <w:multiLevelType w:val="hybridMultilevel"/>
    <w:lvl w:ilvl="0">
      <w:lvlJc w:val="left"/>
      <w:lvlText w:val="(%1)"/>
      <w:numFmt w:val="lowerLetter"/>
      <w:start w:val="2"/>
    </w:lvl>
    <w:lvl w:ilvl="1">
      <w:lvlJc w:val="left"/>
      <w:lvlText w:val="%2"/>
      <w:numFmt w:val="lowerRoman"/>
      <w:start w:val="1"/>
    </w:lvl>
  </w:abstractNum>
  <w:abstractNum w:abstractNumId="126">
    <w:nsid w:val="2A31B62D"/>
    <w:multiLevelType w:val="hybridMultilevel"/>
    <w:lvl w:ilvl="0">
      <w:lvlJc w:val="left"/>
      <w:lvlText w:val="(%1)"/>
      <w:numFmt w:val="lowerLetter"/>
      <w:start w:val="2"/>
    </w:lvl>
  </w:abstractNum>
  <w:abstractNum w:abstractNumId="127">
    <w:nsid w:val="1849C29B"/>
    <w:multiLevelType w:val="hybridMultilevel"/>
    <w:lvl w:ilvl="0">
      <w:lvlJc w:val="left"/>
      <w:lvlText w:val="(%1)"/>
      <w:numFmt w:val="lowerLetter"/>
      <w:start w:val="4"/>
    </w:lvl>
  </w:abstractNum>
  <w:abstractNum w:abstractNumId="128">
    <w:nsid w:val="7DFF9D09"/>
    <w:multiLevelType w:val="hybridMultilevel"/>
    <w:lvl w:ilvl="0">
      <w:lvlJc w:val="left"/>
      <w:lvlText w:val="(%1)"/>
      <w:numFmt w:val="lowerLetter"/>
      <w:start w:val="2"/>
    </w:lvl>
  </w:abstractNum>
  <w:abstractNum w:abstractNumId="129">
    <w:nsid w:val="754342"/>
    <w:multiLevelType w:val="hybridMultilevel"/>
    <w:lvl w:ilvl="0">
      <w:lvlJc w:val="left"/>
      <w:lvlText w:val="(%1)"/>
      <w:numFmt w:val="lowerLetter"/>
      <w:start w:val="2"/>
    </w:lvl>
  </w:abstractNum>
  <w:abstractNum w:abstractNumId="130">
    <w:nsid w:val="69E7F3E5"/>
    <w:multiLevelType w:val="hybridMultilevel"/>
    <w:lvl w:ilvl="0">
      <w:lvlJc w:val="left"/>
      <w:lvlText w:val="(%1)"/>
      <w:numFmt w:val="lowerLetter"/>
      <w:start w:val="3"/>
    </w:lvl>
  </w:abstractNum>
  <w:abstractNum w:abstractNumId="131">
    <w:nsid w:val="2A6DE806"/>
    <w:multiLevelType w:val="hybridMultilevel"/>
    <w:lvl w:ilvl="0">
      <w:lvlJc w:val="left"/>
      <w:lvlText w:val="(%1)"/>
      <w:numFmt w:val="lowerLetter"/>
      <w:start w:val="2"/>
    </w:lvl>
  </w:abstractNum>
  <w:abstractNum w:abstractNumId="132">
    <w:nsid w:val="1816F8C4"/>
    <w:multiLevelType w:val="hybridMultilevel"/>
    <w:lvl w:ilvl="0">
      <w:lvlJc w:val="left"/>
      <w:lvlText w:val="(%1)"/>
      <w:numFmt w:val="lowerLetter"/>
      <w:start w:val="1"/>
    </w:lvl>
  </w:abstractNum>
  <w:abstractNum w:abstractNumId="133">
    <w:nsid w:val="37DF2233"/>
    <w:multiLevelType w:val="hybridMultilevel"/>
    <w:lvl w:ilvl="0">
      <w:lvlJc w:val="left"/>
      <w:lvlText w:val="(%1)"/>
      <w:numFmt w:val="lowerLetter"/>
      <w:start w:val="4"/>
    </w:lvl>
  </w:abstractNum>
  <w:abstractNum w:abstractNumId="134">
    <w:nsid w:val="7AB49DAF"/>
    <w:multiLevelType w:val="hybridMultilevel"/>
    <w:lvl w:ilvl="0">
      <w:lvlJc w:val="left"/>
      <w:lvlText w:val="(%1)"/>
      <w:numFmt w:val="lowerLetter"/>
      <w:start w:val="1"/>
    </w:lvl>
    <w:lvl w:ilvl="1">
      <w:lvlJc w:val="left"/>
      <w:lvlText w:val="(%2)"/>
      <w:numFmt w:val="lowerLetter"/>
      <w:start w:val="9"/>
    </w:lvl>
  </w:abstractNum>
  <w:abstractNum w:abstractNumId="135">
    <w:nsid w:val="759F82CD"/>
    <w:multiLevelType w:val="hybridMultilevel"/>
    <w:lvl w:ilvl="0">
      <w:lvlJc w:val="left"/>
      <w:lvlText w:val="%1"/>
      <w:numFmt w:val="lowerLetter"/>
      <w:start w:val="1"/>
    </w:lvl>
    <w:lvl w:ilvl="1">
      <w:lvlJc w:val="left"/>
      <w:lvlText w:val="(%2)"/>
      <w:numFmt w:val="lowerRoman"/>
      <w:start w:val="2"/>
    </w:lvl>
  </w:abstractNum>
  <w:abstractNum w:abstractNumId="136">
    <w:nsid w:val="61E74EA3"/>
    <w:multiLevelType w:val="hybridMultilevel"/>
    <w:lvl w:ilvl="0">
      <w:lvlJc w:val="left"/>
      <w:lvlText w:val="(%1)"/>
      <w:numFmt w:val="lowerLetter"/>
      <w:start w:val="5"/>
    </w:lvl>
    <w:lvl w:ilvl="1">
      <w:lvlJc w:val="left"/>
      <w:lvlText w:val="(%2)"/>
      <w:numFmt w:val="lowerRoman"/>
      <w:start w:val="1"/>
    </w:lvl>
  </w:abstractNum>
  <w:abstractNum w:abstractNumId="137">
    <w:nsid w:val="597B4D84"/>
    <w:multiLevelType w:val="hybridMultilevel"/>
    <w:lvl w:ilvl="0">
      <w:lvlJc w:val="left"/>
      <w:lvlText w:val="(%1)"/>
      <w:numFmt w:val="lowerRoman"/>
      <w:start w:val="4"/>
    </w:lvl>
  </w:abstractNum>
  <w:abstractNum w:abstractNumId="138">
    <w:nsid w:val="F819E7F"/>
    <w:multiLevelType w:val="hybridMultilevel"/>
    <w:lvl w:ilvl="0">
      <w:lvlJc w:val="left"/>
      <w:lvlText w:val="(%1)"/>
      <w:numFmt w:val="lowerLetter"/>
      <w:start w:val="2"/>
    </w:lvl>
  </w:abstractNum>
  <w:abstractNum w:abstractNumId="139">
    <w:nsid w:val="57C7D42D"/>
    <w:multiLevelType w:val="hybridMultilevel"/>
    <w:lvl w:ilvl="0">
      <w:lvlJc w:val="left"/>
      <w:lvlText w:val="(%1)"/>
      <w:numFmt w:val="lowerLetter"/>
      <w:start w:val="3"/>
    </w:lvl>
  </w:abstractNum>
  <w:abstractNum w:abstractNumId="140">
    <w:nsid w:val="312167AD"/>
    <w:multiLevelType w:val="hybridMultilevel"/>
    <w:lvl w:ilvl="0">
      <w:lvlJc w:val="left"/>
      <w:lvlText w:val="(%1)"/>
      <w:numFmt w:val="lowerLetter"/>
      <w:start w:val="2"/>
    </w:lvl>
  </w:abstractNum>
  <w:abstractNum w:abstractNumId="141">
    <w:nsid w:val="631B64D4"/>
    <w:multiLevelType w:val="hybridMultilevel"/>
    <w:lvl w:ilvl="0">
      <w:lvlJc w:val="left"/>
      <w:lvlText w:val="(%1)"/>
      <w:numFmt w:val="lowerLetter"/>
      <w:start w:val="1"/>
    </w:lvl>
  </w:abstractNum>
  <w:abstractNum w:abstractNumId="142">
    <w:nsid w:val="78B5E776"/>
    <w:multiLevelType w:val="hybridMultilevel"/>
    <w:lvl w:ilvl="0">
      <w:lvlJc w:val="left"/>
      <w:lvlText w:val="%1"/>
      <w:numFmt w:val="upperLetter"/>
      <w:start w:val="1"/>
    </w:lvl>
    <w:lvl w:ilvl="1">
      <w:lvlJc w:val="left"/>
      <w:lvlText w:val="(%2)"/>
      <w:numFmt w:val="lowerLetter"/>
      <w:start w:val="1"/>
    </w:lvl>
  </w:abstractNum>
  <w:abstractNum w:abstractNumId="143">
    <w:nsid w:val="75486E47"/>
    <w:multiLevelType w:val="hybridMultilevel"/>
    <w:lvl w:ilvl="0">
      <w:lvlJc w:val="left"/>
      <w:lvlText w:val="(%1)"/>
      <w:numFmt w:val="upperLetter"/>
      <w:start w:val="2"/>
    </w:lvl>
    <w:lvl w:ilvl="1">
      <w:lvlJc w:val="left"/>
      <w:lvlText w:val="(%2)"/>
      <w:numFmt w:val="lowerLetter"/>
      <w:start w:val="4"/>
    </w:lvl>
  </w:abstractNum>
  <w:abstractNum w:abstractNumId="144">
    <w:nsid w:val="6E534CDE"/>
    <w:multiLevelType w:val="hybridMultilevel"/>
    <w:lvl w:ilvl="0">
      <w:lvlJc w:val="left"/>
      <w:lvlText w:val="(%1)"/>
      <w:numFmt w:val="lowerLetter"/>
      <w:start w:val="6"/>
    </w:lvl>
  </w:abstractNum>
  <w:abstractNum w:abstractNumId="145">
    <w:nsid w:val="1A0DDE32"/>
    <w:multiLevelType w:val="hybridMultilevel"/>
    <w:lvl w:ilvl="0">
      <w:lvlJc w:val="left"/>
      <w:lvlText w:val="%1"/>
      <w:numFmt w:val="lowerRoman"/>
      <w:start w:val="1"/>
    </w:lvl>
    <w:lvl w:ilvl="1">
      <w:lvlJc w:val="left"/>
      <w:lvlText w:val="(%2)"/>
      <w:numFmt w:val="lowerLetter"/>
      <w:start w:val="1"/>
    </w:lvl>
  </w:abstractNum>
  <w:abstractNum w:abstractNumId="146">
    <w:nsid w:val="65968C1C"/>
    <w:multiLevelType w:val="hybridMultilevel"/>
    <w:lvl w:ilvl="0">
      <w:lvlJc w:val="left"/>
      <w:lvlText w:val="(%1)"/>
      <w:numFmt w:val="lowerRoman"/>
      <w:start w:val="7"/>
    </w:lvl>
    <w:lvl w:ilvl="1">
      <w:lvlJc w:val="left"/>
      <w:lvlText w:val="%2"/>
      <w:numFmt w:val="lowerLetter"/>
      <w:start w:val="1"/>
    </w:lvl>
  </w:abstractNum>
  <w:abstractNum w:abstractNumId="147">
    <w:nsid w:val="46263DEC"/>
    <w:multiLevelType w:val="hybridMultilevel"/>
    <w:lvl w:ilvl="0">
      <w:lvlJc w:val="left"/>
      <w:lvlText w:val="%1"/>
      <w:numFmt w:val="lowerLetter"/>
      <w:start w:val="1"/>
    </w:lvl>
    <w:lvl w:ilvl="1">
      <w:lvlJc w:val="left"/>
      <w:lvlText w:val="(%2)"/>
      <w:numFmt w:val="lowerLetter"/>
      <w:start w:val="3"/>
    </w:lvl>
  </w:abstractNum>
  <w:abstractNum w:abstractNumId="148">
    <w:nsid w:val="260D8C4A"/>
    <w:multiLevelType w:val="hybridMultilevel"/>
    <w:lvl w:ilvl="0">
      <w:lvlJc w:val="left"/>
      <w:lvlText w:val="(%1)"/>
      <w:numFmt w:val="lowerLetter"/>
      <w:start w:val="35"/>
    </w:lvl>
    <w:lvl w:ilvl="1">
      <w:lvlJc w:val="left"/>
      <w:lvlText w:val="(%2)"/>
      <w:numFmt w:val="lowerLetter"/>
      <w:start w:val="7"/>
    </w:lvl>
  </w:abstractNum>
  <w:abstractNum w:abstractNumId="149">
    <w:nsid w:val="73D4D3C4"/>
    <w:multiLevelType w:val="hybridMultilevel"/>
    <w:lvl w:ilvl="0">
      <w:lvlJc w:val="left"/>
      <w:lvlText w:val="(%1)"/>
      <w:numFmt w:val="lowerRoman"/>
      <w:start w:val="3"/>
    </w:lvl>
  </w:abstractNum>
  <w:abstractNum w:abstractNumId="150">
    <w:nsid w:val="746F2E30"/>
    <w:multiLevelType w:val="hybridMultilevel"/>
    <w:lvl w:ilvl="0">
      <w:lvlJc w:val="left"/>
      <w:lvlText w:val="(%1)"/>
      <w:numFmt w:val="decimal"/>
      <w:start w:val="1"/>
    </w:lvl>
  </w:abstractNum>
  <w:abstractNum w:abstractNumId="151">
    <w:nsid w:val="6FDE8AF6"/>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2019-12-16T14:57:47Z</dcterms:created>
  <dcterms:modified xsi:type="dcterms:W3CDTF">2019-12-16T14:57:47Z</dcterms:modified>
</cp:coreProperties>
</file>