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63500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51435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1" w:lineRule="exact"/>
        <w:rPr>
          <w:sz w:val="24"/>
          <w:szCs w:val="24"/>
          <w:color w:val="auto"/>
        </w:rPr>
      </w:pPr>
    </w:p>
    <w:p>
      <w:pPr>
        <w:ind w:left="740" w:right="320" w:hanging="714"/>
        <w:spacing w:after="0" w:line="247"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40"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34925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4"/>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right="16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7"/>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0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1"/>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922,133,845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April 19, 2022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05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4,905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1,463</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3,442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Acquisition charges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2,526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2,201</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Earnings per common share (EPS):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86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86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934</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8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2,201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1,753</w:t>
            </w:r>
          </w:p>
        </w:tc>
      </w:tr>
      <w:tr>
        <w:trPr>
          <w:trHeight w:val="230"/>
        </w:trPr>
        <w:tc>
          <w:tcPr>
            <w:tcW w:w="8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8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2,192</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1,745</w:t>
            </w:r>
          </w:p>
        </w:tc>
      </w:tr>
      <w:tr>
        <w:trPr>
          <w:trHeight w:val="20"/>
        </w:trPr>
        <w:tc>
          <w:tcPr>
            <w:tcW w:w="87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2,201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($2) and ($2)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($1) and ($3)</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losses, net of tax effect of $1 and $0</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2,205</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3,505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($9) and ($8)</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1,795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1,151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2,060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14,010</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(2,797)</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718</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2,528</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1,314</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11,259</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47,053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March 31, 2022 – 819; December 31, 2021 – 817</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(37,291)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14,017</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2,201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2,144</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2,774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(1,668)</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(1,602)</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4,631</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3,505</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w:t>
      </w:r>
    </w:p>
    <w:p>
      <w:pPr>
        <w:spacing w:after="0" w:line="171" w:lineRule="exact"/>
        <w:rPr>
          <w:sz w:val="20"/>
          <w:szCs w:val="20"/>
          <w:color w:val="auto"/>
        </w:rPr>
      </w:pPr>
    </w:p>
    <w:p>
      <w:pPr>
        <w:ind w:left="620" w:right="40" w:hanging="329"/>
        <w:spacing w:after="0" w:line="25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For Three Months Ended</w:t>
            </w:r>
          </w:p>
        </w:tc>
      </w:tr>
      <w:tr>
        <w:trPr>
          <w:trHeight w:val="203"/>
        </w:trPr>
        <w:tc>
          <w:tcPr>
            <w:tcW w:w="8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6"/>
        </w:trPr>
        <w:tc>
          <w:tcPr>
            <w:tcW w:w="87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24"/>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3,816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30"/>
        </w:trPr>
        <w:tc>
          <w:tcPr>
            <w:tcW w:w="8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782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w:t>
            </w:r>
          </w:p>
        </w:tc>
      </w:tr>
      <w:tr>
        <w:trPr>
          <w:trHeight w:val="230"/>
        </w:trPr>
        <w:tc>
          <w:tcPr>
            <w:tcW w:w="87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48"/>
        </w:trPr>
        <w:tc>
          <w:tcPr>
            <w:tcW w:w="8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4,905</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4,289</w:t>
            </w:r>
          </w:p>
        </w:tc>
      </w:tr>
      <w:tr>
        <w:trPr>
          <w:trHeight w:val="20"/>
        </w:trPr>
        <w:tc>
          <w:tcPr>
            <w:tcW w:w="87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2,150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29"/>
        </w:trPr>
        <w:tc>
          <w:tcPr>
            <w:tcW w:w="8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87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8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2,563</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1,939</w:t>
            </w:r>
          </w:p>
        </w:tc>
      </w:tr>
      <w:tr>
        <w:trPr>
          <w:trHeight w:val="20"/>
        </w:trPr>
        <w:tc>
          <w:tcPr>
            <w:tcW w:w="87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geographic area information includes revenue, based on product shipment destination. The geographic revenue information does not necessarily reflect end demand by geography because our products tend to be shipped to the locations where our customers manufacture their products.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For Three Months Ended</w:t>
            </w:r>
          </w:p>
        </w:tc>
      </w:tr>
      <w:tr>
        <w:trPr>
          <w:trHeight w:val="203"/>
        </w:trPr>
        <w:tc>
          <w:tcPr>
            <w:tcW w:w="8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6"/>
        </w:trPr>
        <w:tc>
          <w:tcPr>
            <w:tcW w:w="87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r>
      <w:tr>
        <w:trPr>
          <w:trHeight w:val="211"/>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8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Asia (a)</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3,203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2,858</w:t>
            </w: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29"/>
        </w:trPr>
        <w:tc>
          <w:tcPr>
            <w:tcW w:w="8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Japan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87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48"/>
        </w:trPr>
        <w:tc>
          <w:tcPr>
            <w:tcW w:w="8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4,905</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4,289</w:t>
            </w:r>
          </w:p>
        </w:tc>
      </w:tr>
      <w:tr>
        <w:trPr>
          <w:trHeight w:val="20"/>
        </w:trPr>
        <w:tc>
          <w:tcPr>
            <w:tcW w:w="87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40" w:hanging="332"/>
        <w:spacing w:after="0" w:line="268"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was $2.5 billion and $2.3 billion in the first quarters of 2022 and 2021, respectively, which includes shipments to customers that manufacture in China and then export end products to their customers around the world, as well as distributors that transship inventory through China to service other countries.</w:t>
      </w:r>
    </w:p>
    <w:p>
      <w:pPr>
        <w:spacing w:after="0" w:line="198"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2021. The Consolidated Statements of Income, Comprehensive Income and Cash Flows for the periods ended March 31, 2022 and 2021, and the Consolidated Balance Sheet as of March 31, 2022,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2021. Certain amounts in prior periods' financial statements have been reclassified to conform to the current presentation. The results for the three-month periods are not necessarily indicative of a full year’s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Three Months Ended March 31,</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2,201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923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6"/>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2,201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Potentially dilutive securities representing 5 million and 3 million shares of common stock that were outstanding during the first quarters of 2022 and 2021, respectively, were excluded from the computation of diluted earnings per common share during these periods because their effect would have been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7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have not been material. We do not use derivatives for speculative or trading purposes.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The fair values of our derivative financial instruments were not material as of March 31, 2022.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March 31, 2022, the carrying value of long-term debt, including the current portion, was</w:t>
      </w:r>
    </w:p>
    <w:p>
      <w:pPr>
        <w:spacing w:after="0" w:line="2"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$7.74 billion, and the estimated fair value was $7.76 billion. The estimated fair value is measured using broker-dealer quotes, which are Level 2 inputs. See Note 4 for a description of fair value and the definition of Level 2 inputs.</w:t>
      </w:r>
    </w:p>
    <w:p>
      <w:pPr>
        <w:spacing w:after="0" w:line="198"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estimated annual effective tax rate is about 14%, which does not include discrete tax items. This differs from the 21% U.S. statutory corporate tax rate due to the effect of U.S. tax benefits.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Three Months Ended</w:t>
            </w:r>
          </w:p>
        </w:tc>
      </w:tr>
      <w:tr>
        <w:trPr>
          <w:trHeight w:val="203"/>
        </w:trPr>
        <w:tc>
          <w:tcPr>
            <w:tcW w:w="8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96"/>
        </w:trPr>
        <w:tc>
          <w:tcPr>
            <w:tcW w:w="844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24"/>
        </w:trPr>
        <w:tc>
          <w:tcPr>
            <w:tcW w:w="8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361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275</w:t>
            </w:r>
          </w:p>
        </w:tc>
      </w:tr>
      <w:tr>
        <w:trPr>
          <w:trHeight w:val="230"/>
        </w:trPr>
        <w:tc>
          <w:tcPr>
            <w:tcW w:w="8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(89)</w:t>
            </w:r>
          </w:p>
        </w:tc>
      </w:tr>
      <w:tr>
        <w:trPr>
          <w:trHeight w:val="248"/>
        </w:trPr>
        <w:tc>
          <w:tcPr>
            <w:tcW w:w="8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325</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186</w:t>
            </w:r>
          </w:p>
        </w:tc>
      </w:tr>
      <w:tr>
        <w:trPr>
          <w:trHeight w:val="20"/>
        </w:trPr>
        <w:tc>
          <w:tcPr>
            <w:tcW w:w="84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9"/>
        </w:trPr>
        <w:tc>
          <w:tcPr>
            <w:tcW w:w="8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10 %</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Money market funds, available-for-sale debt investments and mutual funds are stated at fair value, which is generally based on market prices or broker quotes.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from available-for-sale debt securities are recorded as an increase or decrease, net of taxes, in AOCI on our Consolidated Balance Sheets, and any credit losses on available-for-sale debt securities are recorded as an allowance for credit losses with an offset recognized in OI&amp;E in our Consolidated Statements of Income.</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Cash and Cash</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670</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1,104</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299</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2,657</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6,320</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equity investments</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3,505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6,320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of March 31, 2022, and December 31, 2021, unrealized gains and losses associated with our available-for-sale investments were not material. We did not recognize any credit losses related to available-for-sale investments for the first three months of 2022 and 2021. All of our debt securities classified as available for sale as of March 31, 2022, have maturities within one year.</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Proceeds from sales, redemptions and maturities of short-term available-for-sale investments were $2.77 billion and $2.00 billion for the first quarters of 2022 and 2021, respectively. Gross realized gains and losses from these sales were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117" w:lineRule="exact"/>
        <w:rPr>
          <w:rFonts w:ascii="Arial" w:cs="Arial" w:eastAsia="Arial" w:hAnsi="Arial"/>
          <w:sz w:val="18"/>
          <w:szCs w:val="18"/>
          <w:color w:val="auto"/>
        </w:rPr>
      </w:pPr>
    </w:p>
    <w:p>
      <w:pPr>
        <w:ind w:left="620" w:right="100" w:hanging="329"/>
        <w:spacing w:after="0" w:line="256"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March 31, 2022, and December 31, 2021, we had no Level 3 assets or liabilities.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224"/>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1,824</w:t>
            </w:r>
          </w:p>
        </w:tc>
      </w:tr>
      <w:tr>
        <w:trPr>
          <w:trHeight w:val="229"/>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24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1,774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1,774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2,130</w:t>
            </w: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5,413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5,763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30"/>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24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399</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6,467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2,523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8,990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8,950</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48"/>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19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U.S. Defined Benefit</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Retiree Health Care</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March 31,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224"/>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780" w:type="dxa"/>
            <w:vAlign w:val="bottom"/>
            <w:shd w:val="clear" w:color="auto" w:fill="DBDBDB"/>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61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78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Recognized net actuarial loss</w:t>
            </w:r>
          </w:p>
        </w:tc>
        <w:tc>
          <w:tcPr>
            <w:tcW w:w="7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periodic benefit costs</w:t>
            </w:r>
          </w:p>
        </w:tc>
        <w:tc>
          <w:tcPr>
            <w:tcW w:w="780" w:type="dxa"/>
            <w:vAlign w:val="bottom"/>
            <w:tcBorders>
              <w:top w:val="single" w:sz="8" w:color="auto"/>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Settlement losses</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1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w:t>
            </w:r>
          </w:p>
        </w:tc>
        <w:tc>
          <w:tcPr>
            <w:tcW w:w="780" w:type="dxa"/>
            <w:vAlign w:val="bottom"/>
            <w:tcBorders>
              <w:top w:val="single" w:sz="8" w:color="auto"/>
              <w:bottom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760" w:type="dxa"/>
            <w:vAlign w:val="bottom"/>
            <w:tcBorders>
              <w:top w:val="single" w:sz="8" w:color="auto"/>
              <w:bottom w:val="single" w:sz="8" w:color="auto"/>
            </w:tcBorders>
            <w:shd w:val="clear" w:color="auto" w:fill="DBDBDB"/>
          </w:tcPr>
          <w:p>
            <w:pPr>
              <w:jc w:val="right"/>
              <w:ind w:right="55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780" w:type="dxa"/>
            <w:vAlign w:val="bottom"/>
            <w:tcBorders>
              <w:top w:val="single" w:sz="8" w:color="auto"/>
              <w:bottom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820" w:type="dxa"/>
            <w:vAlign w:val="bottom"/>
            <w:tcBorders>
              <w:top w:val="single" w:sz="8" w:color="auto"/>
              <w:bottom w:val="single" w:sz="8" w:color="auto"/>
            </w:tcBorders>
            <w:shd w:val="clear" w:color="auto" w:fill="DBDBDB"/>
          </w:tcPr>
          <w:p>
            <w:pPr>
              <w:jc w:val="right"/>
              <w:ind w:right="61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10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March 31, 2022, we had a variable-rate revolving credit facility from a consortium of investment-grade banks that allows us to borrow up to $1 billion until March 2023. The interest rate on borrowings under this credit facility, if drawn, is indexed to the applicable Term Secured Overnight Financing Rate (Term SOFR). As of March 31, 2022,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April 2022, we retired $500 million of maturing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22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2022 at 1.85%</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2023 at 2.25%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2.625%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2025 at 1.375%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2026 at 1.125%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2.25%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2030 at 1.75%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2031 at 1.90%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2039 at 3.875%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2048 at 4.15%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Notes due 2051 at 2.70%</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7,800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7,800</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7,742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7,741</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8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7,242</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7,241</w:t>
            </w:r>
          </w:p>
        </w:tc>
      </w:tr>
      <w:tr>
        <w:trPr>
          <w:trHeight w:val="20"/>
        </w:trPr>
        <w:tc>
          <w:tcPr>
            <w:tcW w:w="83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Interest and debt expense was $52 million and $46 million for the first quarters of 2022 and 2021, respectively. This was net of the amortized discounts, premiums and issuance costs. Capitalized interest was not 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2021</w:t>
            </w: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2022</w:t>
            </w:r>
          </w:p>
        </w:tc>
        <w:tc>
          <w:tcPr>
            <w:tcW w:w="2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Dividends declared and paid ($1.15 per share)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repurchases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(584)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2022</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47,053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(37,291)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1"/>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2020</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42,051</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(36,578)</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($1.02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March 31, 2021</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42,860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(36,479)</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71"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3" w:lineRule="exact"/>
        <w:rPr>
          <w:sz w:val="20"/>
          <w:szCs w:val="20"/>
          <w:color w:val="auto"/>
        </w:rPr>
      </w:pPr>
    </w:p>
    <w:p>
      <w:pPr>
        <w:ind w:right="1080"/>
        <w:spacing w:after="0" w:line="287" w:lineRule="auto"/>
        <w:rPr>
          <w:sz w:val="20"/>
          <w:szCs w:val="20"/>
          <w:color w:val="auto"/>
        </w:rPr>
      </w:pPr>
      <w:r>
        <w:rPr>
          <w:rFonts w:ascii="Arial" w:cs="Arial" w:eastAsia="Arial" w:hAnsi="Arial"/>
          <w:sz w:val="18"/>
          <w:szCs w:val="18"/>
          <w:color w:val="auto"/>
        </w:rPr>
        <w:t>During the first quarter of 2022, restructuring charges/other included $66 million related to integration charges at our Lehi, Utah, manufacturing facility. These costs are included in Other for segment reporting purposes.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first quarters of 2022 and 2021. The table below details where these transactions are recorded in our Consolidated Statements of Income.</w:t>
      </w:r>
    </w:p>
    <w:p>
      <w:pPr>
        <w:spacing w:after="0" w:line="14" w:lineRule="exact"/>
        <w:rPr>
          <w:sz w:val="20"/>
          <w:szCs w:val="20"/>
          <w:color w:val="auto"/>
        </w:rPr>
      </w:pPr>
    </w:p>
    <w:tbl>
      <w:tblPr>
        <w:tblLayout w:type="fixed"/>
        <w:tblInd w:w="5920" w:type="dxa"/>
        <w:tblCellMar>
          <w:top w:w="0" w:type="dxa"/>
          <w:left w:w="0" w:type="dxa"/>
          <w:bottom w:w="0" w:type="dxa"/>
          <w:right w:w="0" w:type="dxa"/>
        </w:tblCellMar>
      </w:tblPr>
      <w:tr>
        <w:trPr>
          <w:trHeight w:val="196"/>
        </w:trPr>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Three Months Ended</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708"/>
              <w:spacing w:after="0"/>
              <w:rPr>
                <w:sz w:val="20"/>
                <w:szCs w:val="20"/>
                <w:color w:val="auto"/>
              </w:rPr>
            </w:pPr>
            <w:r>
              <w:rPr>
                <w:rFonts w:ascii="Arial" w:cs="Arial" w:eastAsia="Arial" w:hAnsi="Arial"/>
                <w:sz w:val="14"/>
                <w:szCs w:val="14"/>
                <w:b w:val="1"/>
                <w:bCs w:val="1"/>
                <w:color w:val="auto"/>
              </w:rPr>
              <w:t>March 31,</w:t>
            </w:r>
          </w:p>
        </w:tc>
        <w:tc>
          <w:tcPr>
            <w:tcW w:w="288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rPr>
              <w:t>Impact to Related Statement of Income</w:t>
            </w:r>
          </w:p>
        </w:tc>
        <w:tc>
          <w:tcPr>
            <w:tcW w:w="0" w:type="dxa"/>
            <w:vAlign w:val="bottom"/>
          </w:tcPr>
          <w:p>
            <w:pPr>
              <w:spacing w:after="0"/>
              <w:rPr>
                <w:sz w:val="1"/>
                <w:szCs w:val="1"/>
                <w:color w:val="auto"/>
              </w:rPr>
            </w:pPr>
          </w:p>
        </w:tc>
      </w:tr>
      <w:tr>
        <w:trPr>
          <w:trHeight w:val="26"/>
        </w:trPr>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5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2880" w:type="dxa"/>
            <w:vAlign w:val="bottom"/>
          </w:tcPr>
          <w:p>
            <w:pPr>
              <w:jc w:val="center"/>
              <w:ind w:left="148"/>
              <w:spacing w:after="0"/>
              <w:rPr>
                <w:sz w:val="20"/>
                <w:szCs w:val="20"/>
                <w:color w:val="auto"/>
              </w:rPr>
            </w:pPr>
            <w:r>
              <w:rPr>
                <w:rFonts w:ascii="Arial" w:cs="Arial" w:eastAsia="Arial" w:hAnsi="Arial"/>
                <w:sz w:val="14"/>
                <w:szCs w:val="14"/>
                <w:b w:val="1"/>
                <w:bCs w:val="1"/>
                <w:color w:val="auto"/>
              </w:rPr>
              <w:t>Lines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p>
      <w:pPr>
        <w:ind w:left="20"/>
        <w:spacing w:after="0"/>
        <w:rPr>
          <w:sz w:val="20"/>
          <w:szCs w:val="20"/>
          <w:color w:val="auto"/>
        </w:rPr>
      </w:pPr>
      <w:r>
        <w:rPr>
          <w:rFonts w:ascii="Arial" w:cs="Arial" w:eastAsia="Arial" w:hAnsi="Arial"/>
          <w:sz w:val="18"/>
          <w:szCs w:val="18"/>
          <w:color w:val="auto"/>
        </w:rPr>
        <w:t>Net actuarial losses of defined benefit plans:</w:t>
      </w:r>
    </w:p>
    <w:p>
      <w:pPr>
        <w:spacing w:after="0" w:line="29" w:lineRule="exact"/>
        <w:rPr>
          <w:sz w:val="20"/>
          <w:szCs w:val="20"/>
          <w:color w:val="auto"/>
        </w:rPr>
      </w:pPr>
    </w:p>
    <w:tbl>
      <w:tblPr>
        <w:tblLayout w:type="fixed"/>
        <w:tblInd w:w="140" w:type="dxa"/>
        <w:tblCellMar>
          <w:top w:w="0" w:type="dxa"/>
          <w:left w:w="0" w:type="dxa"/>
          <w:bottom w:w="0" w:type="dxa"/>
          <w:right w:w="0" w:type="dxa"/>
        </w:tblCellMar>
      </w:tblPr>
      <w:tr>
        <w:trPr>
          <w:trHeight w:val="247"/>
        </w:trPr>
        <w:tc>
          <w:tcPr>
            <w:tcW w:w="5780" w:type="dxa"/>
            <w:vAlign w:val="bottom"/>
          </w:tcPr>
          <w:p>
            <w:pPr>
              <w:spacing w:after="0"/>
              <w:rPr>
                <w:sz w:val="20"/>
                <w:szCs w:val="20"/>
                <w:color w:val="auto"/>
              </w:rPr>
            </w:pPr>
            <w:r>
              <w:rPr>
                <w:rFonts w:ascii="Arial" w:cs="Arial" w:eastAsia="Arial" w:hAnsi="Arial"/>
                <w:sz w:val="18"/>
                <w:szCs w:val="18"/>
                <w:color w:val="auto"/>
              </w:rPr>
              <w:t>Recognized net actuarial loss and settlement losses (a)</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97"/>
        </w:trPr>
        <w:tc>
          <w:tcPr>
            <w:tcW w:w="5780" w:type="dxa"/>
            <w:vAlign w:val="bottom"/>
          </w:tcPr>
          <w:p>
            <w:pPr>
              <w:spacing w:after="0"/>
              <w:rPr>
                <w:sz w:val="20"/>
                <w:szCs w:val="20"/>
                <w:color w:val="auto"/>
              </w:rPr>
            </w:pPr>
            <w:r>
              <w:rPr>
                <w:rFonts w:ascii="Arial" w:cs="Arial" w:eastAsia="Arial" w:hAnsi="Arial"/>
                <w:sz w:val="18"/>
                <w:szCs w:val="18"/>
                <w:color w:val="auto"/>
              </w:rPr>
              <w:t>Tax effect</w:t>
            </w: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Recognized within net income, net of taxes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
        </w:trPr>
        <w:tc>
          <w:tcPr>
            <w:tcW w:w="5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Decrease to OI&amp;E</w:t>
      </w:r>
    </w:p>
    <w:p>
      <w:pPr>
        <w:spacing w:after="0" w:line="3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Decrease to provision for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Decrease to net income</w:t>
      </w:r>
    </w:p>
    <w:p>
      <w:pPr>
        <w:spacing w:after="0" w:line="1160" w:lineRule="exact"/>
        <w:rPr>
          <w:sz w:val="20"/>
          <w:szCs w:val="20"/>
          <w:color w:val="auto"/>
        </w:rPr>
      </w:pPr>
    </w:p>
    <w:p>
      <w:pPr>
        <w:sectPr>
          <w:pgSz w:w="11900" w:h="16838" w:orient="portrait"/>
          <w:cols w:equalWidth="0" w:num="2">
            <w:col w:w="8260" w:space="140"/>
            <w:col w:w="2740"/>
          </w:cols>
          <w:pgMar w:left="320" w:top="122" w:right="4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2022, 1 million shares were issued from treasury related to stock compensation.</w:t>
      </w: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Technology is the foundation of our company, but ultimately, our objective and the best metric to measure progress and generate long-term value for owners is the growth of free cash flow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free cash flow per share growth has three elements:</w:t>
      </w:r>
    </w:p>
    <w:p>
      <w:pPr>
        <w:spacing w:after="0" w:line="225" w:lineRule="exact"/>
        <w:rPr>
          <w:sz w:val="20"/>
          <w:szCs w:val="20"/>
          <w:color w:val="auto"/>
        </w:rPr>
      </w:pPr>
    </w:p>
    <w:p>
      <w:pPr>
        <w:ind w:left="660" w:right="140" w:hanging="328"/>
        <w:spacing w:after="0" w:line="28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20" w:hanging="320"/>
        <w:spacing w:after="0" w:line="287" w:lineRule="auto"/>
        <w:tabs>
          <w:tab w:leader="none" w:pos="12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jc w:val="both"/>
        <w:ind w:left="1300" w:right="440" w:hanging="320"/>
        <w:spacing w:after="0" w:line="318" w:lineRule="auto"/>
        <w:tabs>
          <w:tab w:leader="none" w:pos="1294"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21" w:lineRule="exact"/>
        <w:rPr>
          <w:rFonts w:ascii="Arial" w:cs="Arial" w:eastAsia="Arial" w:hAnsi="Arial"/>
          <w:sz w:val="17"/>
          <w:szCs w:val="17"/>
          <w:color w:val="auto"/>
        </w:rPr>
      </w:pPr>
    </w:p>
    <w:p>
      <w:pPr>
        <w:ind w:left="1300" w:right="20" w:hanging="320"/>
        <w:spacing w:after="0" w:line="287" w:lineRule="auto"/>
        <w:tabs>
          <w:tab w:leader="none" w:pos="12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660" w:hanging="328"/>
        <w:spacing w:after="0" w:line="28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20" w:hanging="329"/>
        <w:spacing w:after="0" w:line="268" w:lineRule="auto"/>
        <w:tabs>
          <w:tab w:leader="none" w:pos="6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1300" w:right="740" w:hanging="320"/>
        <w:spacing w:after="0" w:line="287"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ind w:left="1300" w:right="460" w:hanging="320"/>
        <w:spacing w:after="0" w:line="262"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coronavirus (COVID-19) pandemic and its effects are impacting and will likely continue to impact market conditions and business operations across industries worldwide, including at TI. Therefore, we remain cautious about how the economy might behave for the next few years and continue to monitor potential impact on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first quarter revenue was $4.91 billion, net income was $2.20 billion and earnings per share (EPS) were $2.35.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14% from the same quarter a year ago primarily due to growth in industrial and automotive.</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cash flow from operations of $9.1 billion for the trailing 12 months again underscored the strength of our business model. Free cash flow for the same period was $6.5 billion and 34% of revenue. This reflects the quality of our product portfolio, as well as the efficiency of our manufacturing strategy, including the benefit of 300-millimeter production.</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Over the past 12 months we invested $3.2 billion in R&amp;D and SG&amp;A, invested $2.6 billion in capital expenditures and returned $5.0 billion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quarter 2022 compared with first quarter 2021</w:t>
      </w:r>
    </w:p>
    <w:p>
      <w:pPr>
        <w:spacing w:after="0" w:line="22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Revenue of $4.91 billion increased $616 million, or 14%, primarily due to higher revenue from Analog and, to a lesser extent, Embedded Processing. This increase benefited from higher prices and the mix of products shipped.</w:t>
      </w:r>
    </w:p>
    <w:p>
      <w:pPr>
        <w:spacing w:after="0" w:line="15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Gross profit of $3.44 billion was up $645 million, or 23%, primarily due to higher revenue. As a percentage of revenue, gross profit increased to 70.2% from 65.2%.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$813 million compared with $811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$66 million due to integration charges at our Lehi, Utah, manufacturing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$2.56 billion, or 52.3% of revenue, compared with $1.94 billion, or 45.2%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$15 million of income compared with $46 million of income.</w:t>
      </w:r>
    </w:p>
    <w:p>
      <w:pPr>
        <w:spacing w:after="0" w:line="225"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Our provision for income taxes was $325 million compared with $186 million. This increase was due to higher income before income taxes and lower discrete tax benefits. Our annual operating tax rate, which does not include discrete tax items, was 14% in both periods. We use “annual operating tax rate” to describe the estimated annual effective tax rate, which differs from the 21% U.S. statutory corporate tax rate due to the effect of U.S. tax benefits.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$2.20 billion compared with $1.75 billion. EPS was $2.35 compared with $1.87.</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First quarter 2022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2022</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3,816</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3,280</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2,150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56.3 %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50.2 %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Analog revenue increased in both product lines, led by Signal Chain. Operating profit increased primarily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2022</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782</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40.3 %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37.4 %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Operating profit increased primarily due to higher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2022</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307</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1,533 %</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31.9 %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acquisition charges and restructuring charges/other</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$65 million, and operating profit increased $92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At the end of the first quarter of 2022, total cash (cash and cash equivalents plus short-term investments) was $9.83 billion, an increase of $86 million from the end of 2021.</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Accounts receivable were $1.80 billion, an increase of $94 million compared with the end of 2021. Days sales outstanding for the first quarter of 2022 were 33 compared with 32 at the end of 2021.</w:t>
      </w:r>
    </w:p>
    <w:p>
      <w:pPr>
        <w:spacing w:after="0" w:line="153"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Inventory was $2.06 billion, an increase of $150 million from the end of 2021. Days of inventory for the first quarter of 2022 were 127 compared with 116 at the end of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access to debt markets. We also have a variable rate, revolving credit facility. As of March 31, 2022, our credit facility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undrawn, and we had no commercial paper outstanding. Cash flows from operating activities for the first three months of 2022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 billion, an increase of $294 million from the year-ago period due to higher net income, partially offset by higher cash used for working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ind w:right="160"/>
        <w:spacing w:after="0" w:line="259" w:lineRule="auto"/>
        <w:rPr>
          <w:sz w:val="20"/>
          <w:szCs w:val="20"/>
          <w:color w:val="auto"/>
        </w:rPr>
      </w:pPr>
      <w:r>
        <w:rPr>
          <w:rFonts w:ascii="Arial" w:cs="Arial" w:eastAsia="Arial" w:hAnsi="Arial"/>
          <w:sz w:val="18"/>
          <w:szCs w:val="18"/>
          <w:color w:val="auto"/>
        </w:rPr>
        <w:t>Investing activities for the first three months of 2022 used $1.67 billion compared with $1.11 billion in the year-ago period. Capital expenditures were $443 million compared with $308 million in the year-ago period and were primarily for semiconductor manufacturing equipment and facilities in both periods. As we continue to invest to strengthen our competitive advantage in manufacturing and technology as part of our long-term capacity planning, we expect our capital expenditures to be higher than historical levels. Short-term investments used cash of $1.21 billion compared with $782 million in the year-ago period.</w:t>
      </w:r>
    </w:p>
    <w:p>
      <w:pPr>
        <w:spacing w:after="0" w:line="17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Financing activities for the first three months of 2022 used $1.60 billion compared with $1.41 billion in the year-ago period. In the year-ago period, we retired maturing debt of $550 million. Dividends paid were $1.06 billion compared with $ 940 million in the year-ago period, reflecting an increased dividend rate. We used $589 million to repurchase 3.4 million shares of our common stock compared with</w:t>
      </w:r>
    </w:p>
    <w:p>
      <w:pPr>
        <w:spacing w:after="0" w:line="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$100 million used in the year-ago period to repurchase 0.6 million shares. Employee exercises of stock options provided cash proceeds of $57 million compared with $196 million in the year-ago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April 2022, we used cash and cash equivalents to retire $500 million of maturing debt.</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had $3.51 billion of cash and cash equivalents and $6.32 billion of short-term investments as of March 31, 2022. We believe we have the necessary financial resources and operating plans to fund our working capital needs, capital expenditures, dividend and debt-related payments, and other business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9,050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7,138</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(2,597)</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tcBorders>
          </w:tcPr>
          <w:p>
            <w:pPr>
              <w:spacing w:after="0"/>
              <w:rPr>
                <w:sz w:val="19"/>
                <w:szCs w:val="19"/>
                <w:color w:val="auto"/>
              </w:rPr>
            </w:pPr>
          </w:p>
        </w:tc>
      </w:tr>
      <w:tr>
        <w:trPr>
          <w:trHeight w:val="248"/>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6,453</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6,342</w:t>
            </w:r>
          </w:p>
        </w:tc>
        <w:tc>
          <w:tcPr>
            <w:tcW w:w="14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Borders>
              <w:bottom w:val="single" w:sz="8" w:color="DBDBDB"/>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DBDBDB"/>
            </w:tcBorders>
          </w:tcPr>
          <w:p>
            <w:pPr>
              <w:spacing w:after="0"/>
              <w:rPr>
                <w:sz w:val="14"/>
                <w:szCs w:val="14"/>
                <w:color w:val="auto"/>
              </w:rPr>
            </w:pPr>
          </w:p>
        </w:tc>
        <w:tc>
          <w:tcPr>
            <w:tcW w:w="1320" w:type="dxa"/>
            <w:vAlign w:val="bottom"/>
            <w:tcBorders>
              <w:bottom w:val="single" w:sz="8" w:color="DBDBDB"/>
            </w:tcBorders>
          </w:tcPr>
          <w:p>
            <w:pPr>
              <w:spacing w:after="0"/>
              <w:rPr>
                <w:sz w:val="14"/>
                <w:szCs w:val="14"/>
                <w:color w:val="auto"/>
              </w:rPr>
            </w:pPr>
          </w:p>
        </w:tc>
      </w:tr>
      <w:tr>
        <w:trPr>
          <w:trHeight w:val="248"/>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18,960</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15,421</w:t>
            </w:r>
          </w:p>
        </w:tc>
        <w:tc>
          <w:tcPr>
            <w:tcW w:w="1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47.7 %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34.0 %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41.1 %</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2021, and is incorporated by 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220"/>
          </w:cols>
          <w:pgMar w:left="320" w:top="890" w:right="359" w:bottom="1440" w:gutter="0" w:footer="0" w:header="0"/>
        </w:sectPr>
      </w:pP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Purchased as Part of</w:t>
            </w:r>
          </w:p>
        </w:tc>
        <w:tc>
          <w:tcPr>
            <w:tcW w:w="0" w:type="dxa"/>
            <w:vAlign w:val="bottom"/>
          </w:tcPr>
          <w:p>
            <w:pPr>
              <w:spacing w:after="0"/>
              <w:rPr>
                <w:sz w:val="1"/>
                <w:szCs w:val="1"/>
                <w:color w:val="auto"/>
              </w:rPr>
            </w:pPr>
          </w:p>
        </w:tc>
      </w:tr>
      <w:tr>
        <w:trPr>
          <w:trHeight w:val="185"/>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Total Number of 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Publicly Announced</w:t>
            </w:r>
          </w:p>
        </w:tc>
        <w:tc>
          <w:tcPr>
            <w:tcW w:w="0" w:type="dxa"/>
            <w:vAlign w:val="bottom"/>
          </w:tcPr>
          <w:p>
            <w:pPr>
              <w:spacing w:after="0"/>
              <w:rPr>
                <w:sz w:val="1"/>
                <w:szCs w:val="1"/>
                <w:color w:val="auto"/>
              </w:rPr>
            </w:pPr>
          </w:p>
        </w:tc>
      </w:tr>
      <w:tr>
        <w:trPr>
          <w:trHeight w:val="189"/>
        </w:trPr>
        <w:tc>
          <w:tcPr>
            <w:tcW w:w="2340" w:type="dxa"/>
            <w:vAlign w:val="bottom"/>
            <w:vMerge w:val="continue"/>
          </w:tcPr>
          <w:p>
            <w:pPr>
              <w:spacing w:after="0"/>
              <w:rPr>
                <w:sz w:val="16"/>
                <w:szCs w:val="16"/>
                <w:color w:val="auto"/>
              </w:rPr>
            </w:pP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Purchased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Plans or Programs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Approximate Dollar Value</w:t>
      </w:r>
    </w:p>
    <w:p>
      <w:pPr>
        <w:spacing w:after="0" w:line="2" w:lineRule="exact"/>
        <w:rPr>
          <w:sz w:val="20"/>
          <w:szCs w:val="20"/>
          <w:color w:val="auto"/>
        </w:rPr>
      </w:pPr>
    </w:p>
    <w:p>
      <w:pPr>
        <w:ind w:right="20" w:firstLine="56"/>
        <w:spacing w:after="0" w:line="211" w:lineRule="auto"/>
        <w:rPr>
          <w:sz w:val="20"/>
          <w:szCs w:val="20"/>
          <w:color w:val="auto"/>
        </w:rPr>
      </w:pPr>
      <w:r>
        <w:rPr>
          <w:rFonts w:ascii="Arial" w:cs="Arial" w:eastAsia="Arial" w:hAnsi="Arial"/>
          <w:sz w:val="14"/>
          <w:szCs w:val="14"/>
          <w:b w:val="1"/>
          <w:bCs w:val="1"/>
          <w:color w:val="auto"/>
        </w:rPr>
        <w:t>of Shares that May Yet Be Purchased Under the Plans</w:t>
      </w:r>
    </w:p>
    <w:p>
      <w:pPr>
        <w:ind w:left="400"/>
        <w:spacing w:after="0"/>
        <w:rPr>
          <w:sz w:val="20"/>
          <w:szCs w:val="20"/>
          <w:color w:val="auto"/>
        </w:rPr>
      </w:pPr>
      <w:r>
        <w:rPr>
          <w:rFonts w:ascii="Arial" w:cs="Arial" w:eastAsia="Arial" w:hAnsi="Arial"/>
          <w:sz w:val="14"/>
          <w:szCs w:val="14"/>
          <w:b w:val="1"/>
          <w:bCs w:val="1"/>
          <w:color w:val="auto"/>
        </w:rPr>
        <w:t>or Programs (a)</w:t>
      </w:r>
    </w:p>
    <w:p>
      <w:pPr>
        <w:spacing w:after="0" w:line="24" w:lineRule="exact"/>
        <w:rPr>
          <w:sz w:val="20"/>
          <w:szCs w:val="20"/>
          <w:color w:val="auto"/>
        </w:rPr>
      </w:pPr>
    </w:p>
    <w:p>
      <w:pPr>
        <w:sectPr>
          <w:pgSz w:w="11900" w:h="16838" w:orient="portrait"/>
          <w:cols w:equalWidth="0" w:num="2">
            <w:col w:w="9120" w:space="200"/>
            <w:col w:w="1900"/>
          </w:cols>
          <w:pgMar w:left="320" w:top="890" w:right="35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41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January 1, 2022 through January 31, 2022</w:t>
            </w:r>
          </w:p>
        </w:tc>
        <w:tc>
          <w:tcPr>
            <w:tcW w:w="120" w:type="dxa"/>
            <w:vAlign w:val="bottom"/>
            <w:tcBorders>
              <w:top w:val="single" w:sz="8" w:color="DBDBDB"/>
            </w:tcBorders>
            <w:shd w:val="clear" w:color="auto" w:fill="DBDBDB"/>
          </w:tcPr>
          <w:p>
            <w:pPr>
              <w:spacing w:after="0"/>
              <w:rPr>
                <w:sz w:val="19"/>
                <w:szCs w:val="19"/>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825,670</w:t>
            </w:r>
          </w:p>
        </w:tc>
        <w:tc>
          <w:tcPr>
            <w:tcW w:w="4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178.96</w:t>
            </w:r>
          </w:p>
        </w:tc>
        <w:tc>
          <w:tcPr>
            <w:tcW w:w="4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720" w:type="dxa"/>
            <w:vAlign w:val="bottom"/>
            <w:tcBorders>
              <w:top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576,617</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10.00</w:t>
            </w:r>
          </w:p>
        </w:tc>
        <w:tc>
          <w:tcPr>
            <w:tcW w:w="108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February 1, 2022 through February 28, 2022</w:t>
            </w:r>
          </w:p>
        </w:tc>
        <w:tc>
          <w:tcPr>
            <w:tcW w:w="1280" w:type="dxa"/>
            <w:vAlign w:val="bottom"/>
          </w:tcPr>
          <w:p>
            <w:pPr>
              <w:jc w:val="right"/>
              <w:spacing w:after="0"/>
              <w:rPr>
                <w:sz w:val="20"/>
                <w:szCs w:val="20"/>
                <w:color w:val="auto"/>
              </w:rPr>
            </w:pPr>
            <w:r>
              <w:rPr>
                <w:rFonts w:ascii="Arial" w:cs="Arial" w:eastAsia="Arial" w:hAnsi="Arial"/>
                <w:sz w:val="18"/>
                <w:szCs w:val="18"/>
                <w:color w:val="auto"/>
              </w:rPr>
              <w:t>1,648,091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168.70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1,648,091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w:t>
            </w:r>
          </w:p>
        </w:tc>
      </w:tr>
      <w:tr>
        <w:trPr>
          <w:trHeight w:val="229"/>
        </w:trPr>
        <w:tc>
          <w:tcPr>
            <w:tcW w:w="4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March 1, 2022 through March 31, 2022</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1,184,279</w:t>
            </w:r>
          </w:p>
        </w:tc>
        <w:tc>
          <w:tcPr>
            <w:tcW w:w="42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171.21</w:t>
            </w:r>
          </w:p>
        </w:tc>
        <w:tc>
          <w:tcPr>
            <w:tcW w:w="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1,184,279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9.52</w:t>
            </w:r>
          </w:p>
        </w:tc>
        <w:tc>
          <w:tcPr>
            <w:tcW w:w="1080" w:type="dxa"/>
            <w:vAlign w:val="bottom"/>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3,658,040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171.83</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3,408,987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9.52</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 (c)</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right="340" w:hanging="332"/>
        <w:spacing w:after="0" w:line="287" w:lineRule="auto"/>
        <w:tabs>
          <w:tab w:leader="none" w:pos="3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$12.0 billion of additional shares of TI common stock announced September 20, 2018.</w:t>
      </w:r>
    </w:p>
    <w:p>
      <w:pPr>
        <w:spacing w:after="0" w:line="179" w:lineRule="exact"/>
        <w:rPr>
          <w:rFonts w:ascii="Arial" w:cs="Arial" w:eastAsia="Arial" w:hAnsi="Arial"/>
          <w:sz w:val="18"/>
          <w:szCs w:val="18"/>
          <w:color w:val="auto"/>
        </w:rPr>
      </w:pPr>
    </w:p>
    <w:p>
      <w:pPr>
        <w:ind w:left="340" w:right="560" w:hanging="332"/>
        <w:spacing w:after="0" w:line="287" w:lineRule="auto"/>
        <w:tabs>
          <w:tab w:leader="none" w:pos="3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addition to open-market purchases, 249,053 shares of common stock were surrendered by employees to satisfy tax withholding obligations in connection with the vesting of restricted stock units.</w:t>
      </w:r>
    </w:p>
    <w:p>
      <w:pPr>
        <w:spacing w:after="0" w:line="179" w:lineRule="exact"/>
        <w:rPr>
          <w:rFonts w:ascii="Arial" w:cs="Arial" w:eastAsia="Arial" w:hAnsi="Arial"/>
          <w:sz w:val="18"/>
          <w:szCs w:val="18"/>
          <w:color w:val="auto"/>
        </w:rPr>
      </w:pPr>
    </w:p>
    <w:p>
      <w:pPr>
        <w:ind w:left="340" w:right="280" w:hanging="332"/>
        <w:spacing w:after="0" w:line="28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March 31, 2022, this amount consisted of the remaining portion of the $12.0 billion authorized in September 2018. No expiration date has been specified for this authorization.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13(r) of the Securities Exchange Act of 1934 disclosure</w:t>
      </w:r>
    </w:p>
    <w:p>
      <w:pPr>
        <w:spacing w:after="0" w:line="2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During the period covered by this report and as set forth in General License 1B from the U.S. Office of Foreign Assets Control, we periodically filed notifications with the Russian Federal Security Service (FSB) solely to permit the import, distribution and use of certain of our catalog semiconductor products in Russia. No gross revenue or net profit was directly attributable to these notifications to the FSB, and we may continue such notifications as required.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0" w:name="page21"/>
    <w:bookmarkEnd w:id="20"/>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5"/>
        </w:trPr>
        <w:tc>
          <w:tcPr>
            <w:tcW w:w="1920" w:type="dxa"/>
            <w:vAlign w:val="bottom"/>
          </w:tcPr>
          <w:p>
            <w:pPr>
              <w:jc w:val="center"/>
              <w:ind w:right="13"/>
              <w:spacing w:after="0"/>
              <w:rPr>
                <w:sz w:val="20"/>
                <w:szCs w:val="20"/>
                <w:color w:val="auto"/>
              </w:rPr>
            </w:pPr>
            <w:r>
              <w:rPr>
                <w:rFonts w:ascii="Arial" w:cs="Arial" w:eastAsia="Arial" w:hAnsi="Arial"/>
                <w:sz w:val="14"/>
                <w:szCs w:val="14"/>
                <w:b w:val="1"/>
                <w:bCs w:val="1"/>
                <w:color w:val="auto"/>
              </w:rPr>
              <w:t>Designation of Exhibits in</w:t>
            </w:r>
          </w:p>
        </w:tc>
        <w:tc>
          <w:tcPr>
            <w:tcW w:w="1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20" w:type="dxa"/>
            <w:vAlign w:val="bottom"/>
            <w:gridSpan w:val="16"/>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9320" w:type="dxa"/>
            <w:vAlign w:val="bottom"/>
            <w:gridSpan w:val="16"/>
            <w:shd w:val="clear" w:color="auto" w:fill="DBDBDB"/>
          </w:tcPr>
          <w:p>
            <w:pPr>
              <w:spacing w:after="0"/>
              <w:rPr>
                <w:rFonts w:ascii="Arial" w:cs="Arial" w:eastAsia="Arial" w:hAnsi="Arial"/>
                <w:sz w:val="18"/>
                <w:szCs w:val="18"/>
                <w:color w:val="0000FF"/>
              </w:rPr>
            </w:pPr>
            <w:hyperlink r:id="rId39">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8220" w:type="dxa"/>
            <w:vAlign w:val="bottom"/>
            <w:tcBorders>
              <w:top w:val="single" w:sz="8" w:color="0000FF"/>
            </w:tcBorders>
            <w:gridSpan w:val="10"/>
            <w:vMerge w:val="restart"/>
            <w:shd w:val="clear" w:color="auto" w:fill="DBDBDB"/>
          </w:tcPr>
          <w:p>
            <w:pPr>
              <w:spacing w:after="0" w:line="196"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5"/>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20" w:type="dxa"/>
            <w:vAlign w:val="bottom"/>
            <w:tcBorders>
              <w:bottom w:val="single" w:sz="8" w:color="DBDBDB"/>
            </w:tcBorders>
            <w:shd w:val="clear" w:color="auto" w:fill="DBDBDB"/>
          </w:tcPr>
          <w:p>
            <w:pPr>
              <w:spacing w:after="0"/>
              <w:rPr>
                <w:sz w:val="9"/>
                <w:szCs w:val="9"/>
                <w:color w:val="auto"/>
              </w:rPr>
            </w:pPr>
          </w:p>
        </w:tc>
        <w:tc>
          <w:tcPr>
            <w:tcW w:w="8220" w:type="dxa"/>
            <w:vAlign w:val="bottom"/>
            <w:tcBorders>
              <w:bottom w:val="single" w:sz="8" w:color="0000FF"/>
            </w:tcBorders>
            <w:gridSpan w:val="10"/>
            <w:vMerge w:val="continue"/>
            <w:shd w:val="clear" w:color="auto" w:fill="DBDBDB"/>
          </w:tcPr>
          <w:p>
            <w:pPr>
              <w:spacing w:after="0"/>
              <w:rPr>
                <w:sz w:val="9"/>
                <w:szCs w:val="9"/>
                <w:color w:val="auto"/>
              </w:rPr>
            </w:pPr>
          </w:p>
        </w:tc>
        <w:tc>
          <w:tcPr>
            <w:tcW w:w="1000" w:type="dxa"/>
            <w:vAlign w:val="bottom"/>
            <w:tcBorders>
              <w:bottom w:val="single" w:sz="8" w:color="DBDBDB"/>
            </w:tcBorders>
            <w:gridSpan w:val="5"/>
            <w:vMerge w:val="continue"/>
            <w:shd w:val="clear" w:color="auto" w:fill="DBDBDB"/>
          </w:tcPr>
          <w:p>
            <w:pPr>
              <w:spacing w:after="0"/>
              <w:rPr>
                <w:sz w:val="9"/>
                <w:szCs w:val="9"/>
                <w:color w:val="auto"/>
              </w:rPr>
            </w:pPr>
          </w:p>
        </w:tc>
        <w:tc>
          <w:tcPr>
            <w:tcW w:w="100" w:type="dxa"/>
            <w:vAlign w:val="bottom"/>
            <w:tcBorders>
              <w:bottom w:val="single" w:sz="8" w:color="DBDBDB"/>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8960" w:type="dxa"/>
            <w:vAlign w:val="bottom"/>
            <w:tcBorders>
              <w:bottom w:val="single" w:sz="8" w:color="0000FF"/>
            </w:tcBorders>
            <w:gridSpan w:val="13"/>
          </w:tcPr>
          <w:p>
            <w:pPr>
              <w:spacing w:after="0" w:line="202"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By-Laws of the Registrant (incorporated by reference to Exhibit 3 of the Registrant’s Current Report on Form 8-K</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20" w:type="dxa"/>
            <w:vAlign w:val="bottom"/>
            <w:vMerge w:val="continue"/>
          </w:tcPr>
          <w:p>
            <w:pPr>
              <w:spacing w:after="0"/>
              <w:rPr>
                <w:sz w:val="11"/>
                <w:szCs w:val="11"/>
                <w:color w:val="auto"/>
              </w:rPr>
            </w:pPr>
          </w:p>
        </w:tc>
        <w:tc>
          <w:tcPr>
            <w:tcW w:w="9320" w:type="dxa"/>
            <w:vAlign w:val="bottom"/>
            <w:gridSpan w:val="16"/>
            <w:vMerge w:val="restart"/>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3"/>
        </w:trPr>
        <w:tc>
          <w:tcPr>
            <w:tcW w:w="1920" w:type="dxa"/>
            <w:vAlign w:val="bottom"/>
          </w:tcPr>
          <w:p>
            <w:pPr>
              <w:spacing w:after="0"/>
              <w:rPr>
                <w:sz w:val="5"/>
                <w:szCs w:val="5"/>
                <w:color w:val="auto"/>
              </w:rPr>
            </w:pPr>
          </w:p>
        </w:tc>
        <w:tc>
          <w:tcPr>
            <w:tcW w:w="93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31(a)</w:t>
            </w:r>
          </w:p>
        </w:tc>
        <w:tc>
          <w:tcPr>
            <w:tcW w:w="836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Executive Officer of Periodic Report Pursuant to Rule 13a-14(a) or Rule 15d-14(a).†</w:t>
            </w:r>
          </w:p>
        </w:tc>
        <w:tc>
          <w:tcPr>
            <w:tcW w:w="960" w:type="dxa"/>
            <w:vAlign w:val="bottom"/>
            <w:tcBorders>
              <w:bottom w:val="single" w:sz="8" w:color="DBDBDB"/>
            </w:tcBorders>
            <w:gridSpan w:val="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31(b)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of Chief Financial Officer of Periodic Report Pursuant to Rule 13a-14(a) or Rule 15d-14(a).†</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32(a)</w:t>
            </w:r>
          </w:p>
        </w:tc>
        <w:tc>
          <w:tcPr>
            <w:tcW w:w="762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Executive Officer of Periodic Report Pursuant to 18 U.S.C. Section 1350.†</w:t>
            </w:r>
          </w:p>
        </w:tc>
        <w:tc>
          <w:tcPr>
            <w:tcW w:w="1700" w:type="dxa"/>
            <w:vAlign w:val="bottom"/>
            <w:tcBorders>
              <w:bottom w:val="single" w:sz="8" w:color="DBDBDB"/>
            </w:tcBorders>
            <w:gridSpan w:val="7"/>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32(b)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by Chief Financial Officer of Periodic Report Pursuant to 18 U.S.C. Section 1350.†</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shd w:val="clear" w:color="auto" w:fill="DBDBDB"/>
          </w:tcPr>
          <w:p>
            <w:pPr>
              <w:jc w:val="center"/>
              <w:ind w:right="13"/>
              <w:spacing w:after="0"/>
              <w:rPr>
                <w:sz w:val="20"/>
                <w:szCs w:val="20"/>
                <w:color w:val="auto"/>
              </w:rPr>
            </w:pPr>
            <w:r>
              <w:rPr>
                <w:rFonts w:ascii="Arial" w:cs="Arial" w:eastAsia="Arial" w:hAnsi="Arial"/>
                <w:sz w:val="18"/>
                <w:szCs w:val="18"/>
                <w:color w:val="auto"/>
                <w:w w:val="99"/>
              </w:rPr>
              <w:t>101.ins</w:t>
            </w:r>
          </w:p>
        </w:tc>
        <w:tc>
          <w:tcPr>
            <w:tcW w:w="9320" w:type="dxa"/>
            <w:vAlign w:val="bottom"/>
            <w:gridSpan w:val="16"/>
            <w:shd w:val="clear" w:color="auto" w:fill="DBDBDB"/>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9060" w:type="dxa"/>
            <w:vAlign w:val="bottom"/>
            <w:tcBorders>
              <w:top w:val="single" w:sz="8" w:color="auto"/>
            </w:tcBorders>
            <w:gridSpan w:val="14"/>
            <w:vMerge w:val="restart"/>
            <w:shd w:val="clear" w:color="auto" w:fill="DBDBDB"/>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tcBorders>
              <w:top w:val="single" w:sz="8" w:color="DBDBDB"/>
            </w:tcBorders>
            <w:gridSpan w:val="2"/>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920" w:type="dxa"/>
            <w:vAlign w:val="bottom"/>
            <w:shd w:val="clear" w:color="auto" w:fill="DBDBDB"/>
          </w:tcPr>
          <w:p>
            <w:pPr>
              <w:spacing w:after="0"/>
              <w:rPr>
                <w:sz w:val="5"/>
                <w:szCs w:val="5"/>
                <w:color w:val="auto"/>
              </w:rPr>
            </w:pPr>
          </w:p>
        </w:tc>
        <w:tc>
          <w:tcPr>
            <w:tcW w:w="9060" w:type="dxa"/>
            <w:vAlign w:val="bottom"/>
            <w:gridSpan w:val="14"/>
            <w:vMerge w:val="continue"/>
            <w:shd w:val="clear" w:color="auto" w:fill="DBDBDB"/>
          </w:tcPr>
          <w:p>
            <w:pPr>
              <w:spacing w:after="0"/>
              <w:rPr>
                <w:sz w:val="5"/>
                <w:szCs w:val="5"/>
                <w:color w:val="auto"/>
              </w:rPr>
            </w:pPr>
          </w:p>
        </w:tc>
        <w:tc>
          <w:tcPr>
            <w:tcW w:w="260" w:type="dxa"/>
            <w:vAlign w:val="bottom"/>
            <w:gridSpan w:val="2"/>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auto"/>
            </w:tcBorders>
            <w:shd w:val="clear" w:color="auto" w:fill="DBDBDB"/>
          </w:tcPr>
          <w:p>
            <w:pPr>
              <w:spacing w:after="0"/>
              <w:rPr>
                <w:sz w:val="4"/>
                <w:szCs w:val="4"/>
                <w:color w:val="auto"/>
              </w:rPr>
            </w:pPr>
          </w:p>
        </w:tc>
        <w:tc>
          <w:tcPr>
            <w:tcW w:w="204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101.sch</w:t>
            </w:r>
          </w:p>
        </w:tc>
        <w:tc>
          <w:tcPr>
            <w:tcW w:w="3920" w:type="dxa"/>
            <w:vAlign w:val="bottom"/>
            <w:tcBorders>
              <w:bottom w:val="single" w:sz="8" w:color="auto"/>
            </w:tcBorders>
            <w:gridSpan w:val="2"/>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Schema Document.†</w:t>
            </w:r>
          </w:p>
        </w:tc>
        <w:tc>
          <w:tcPr>
            <w:tcW w:w="5400" w:type="dxa"/>
            <w:vAlign w:val="bottom"/>
            <w:tcBorders>
              <w:bottom w:val="single" w:sz="8" w:color="DBDBDB"/>
            </w:tcBorders>
            <w:gridSpan w:val="1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101.cal</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101.lab</w:t>
            </w:r>
          </w:p>
        </w:tc>
        <w:tc>
          <w:tcPr>
            <w:tcW w:w="4480" w:type="dxa"/>
            <w:vAlign w:val="bottom"/>
            <w:tcBorders>
              <w:bottom w:val="single" w:sz="8" w:color="auto"/>
            </w:tcBorders>
            <w:gridSpan w:val="4"/>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Label Linkbase Document.†</w:t>
            </w:r>
          </w:p>
        </w:tc>
        <w:tc>
          <w:tcPr>
            <w:tcW w:w="4840" w:type="dxa"/>
            <w:vAlign w:val="bottom"/>
            <w:tcBorders>
              <w:bottom w:val="single" w:sz="8" w:color="DBDBDB"/>
            </w:tcBorders>
            <w:gridSpan w:val="12"/>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rPr>
              <w:t>101.pre</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1920" w:hanging="1158"/>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16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44" w:lineRule="exact"/>
        <w:rPr>
          <w:rFonts w:ascii="Arial" w:cs="Arial" w:eastAsia="Arial" w:hAnsi="Arial"/>
          <w:sz w:val="18"/>
          <w:szCs w:val="18"/>
          <w:color w:val="auto"/>
        </w:rPr>
      </w:pPr>
    </w:p>
    <w:p>
      <w:pPr>
        <w:ind w:left="620" w:right="34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20" w:right="42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6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w:t>
      </w:r>
    </w:p>
    <w:p>
      <w:pPr>
        <w:spacing w:after="0" w:line="44" w:lineRule="exact"/>
        <w:rPr>
          <w:rFonts w:ascii="Arial" w:cs="Arial" w:eastAsia="Arial" w:hAnsi="Arial"/>
          <w:sz w:val="18"/>
          <w:szCs w:val="18"/>
          <w:color w:val="auto"/>
        </w:rPr>
      </w:pPr>
    </w:p>
    <w:p>
      <w:pPr>
        <w:ind w:left="620" w:right="22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20" w:right="60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20" w:right="120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20" w:right="68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20" w:right="320" w:hanging="329"/>
        <w:spacing w:after="0" w:line="268"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20" w:right="66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8" w:right="51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9578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520"/>
        <w:spacing w:after="0"/>
        <w:rPr>
          <w:sz w:val="20"/>
          <w:szCs w:val="20"/>
          <w:color w:val="auto"/>
        </w:rPr>
      </w:pPr>
      <w:r>
        <w:rPr>
          <w:rFonts w:ascii="Arial" w:cs="Arial" w:eastAsia="Arial" w:hAnsi="Arial"/>
          <w:sz w:val="18"/>
          <w:szCs w:val="18"/>
          <w:color w:val="auto"/>
        </w:rPr>
        <w:t>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2022</w:t>
      </w:r>
    </w:p>
    <w:p>
      <w:pPr>
        <w:sectPr>
          <w:pgSz w:w="11900" w:h="16838" w:orient="portrait"/>
          <w:cols w:equalWidth="0" w:num="1">
            <w:col w:w="11200"/>
          </w:cols>
          <w:pgMar w:left="320" w:top="890" w:right="3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K. Templeton, certify that:</w:t>
      </w:r>
    </w:p>
    <w:p>
      <w:pPr>
        <w:spacing w:after="0" w:line="212"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Texas Instruments Incorporated;</w:t>
      </w:r>
    </w:p>
    <w:p>
      <w:pPr>
        <w:spacing w:after="0" w:line="184"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500" w:right="240" w:hanging="492"/>
        <w:spacing w:after="0" w:line="250"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right="260" w:hanging="492"/>
        <w:spacing w:after="0" w:line="237"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2022</w:t>
      </w:r>
    </w:p>
    <w:p>
      <w:pPr>
        <w:spacing w:after="0" w:line="26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Richard K. Templeton</w:t>
      </w:r>
    </w:p>
    <w:p>
      <w:pPr>
        <w:jc w:val="center"/>
        <w:ind w:left="8120"/>
        <w:spacing w:after="0" w:line="203" w:lineRule="auto"/>
        <w:rPr>
          <w:sz w:val="20"/>
          <w:szCs w:val="20"/>
          <w:color w:val="auto"/>
        </w:rPr>
      </w:pPr>
      <w:r>
        <w:rPr>
          <w:rFonts w:ascii="Times New Roman" w:cs="Times New Roman" w:eastAsia="Times New Roman" w:hAnsi="Times New Roman"/>
          <w:sz w:val="18"/>
          <w:szCs w:val="18"/>
          <w:color w:val="auto"/>
        </w:rPr>
        <w:t>Chairman, President</w:t>
      </w:r>
    </w:p>
    <w:p>
      <w:pPr>
        <w:jc w:val="center"/>
        <w:ind w:left="8120"/>
        <w:spacing w:after="0"/>
        <w:rPr>
          <w:sz w:val="20"/>
          <w:szCs w:val="20"/>
          <w:color w:val="auto"/>
        </w:rPr>
      </w:pPr>
      <w:r>
        <w:rPr>
          <w:rFonts w:ascii="Times New Roman" w:cs="Times New Roman" w:eastAsia="Times New Roman" w:hAnsi="Times New Roman"/>
          <w:sz w:val="18"/>
          <w:szCs w:val="18"/>
          <w:color w:val="auto"/>
        </w:rPr>
        <w:t>and Chief Executive Officer</w:t>
      </w:r>
    </w:p>
    <w:p>
      <w:pPr>
        <w:sectPr>
          <w:pgSz w:w="11900" w:h="16838" w:orient="portrait"/>
          <w:cols w:equalWidth="0" w:num="1">
            <w:col w:w="11240"/>
          </w:cols>
          <w:pgMar w:left="320" w:top="89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Texas Instruments Incorporated;</w:t>
      </w:r>
    </w:p>
    <w:p>
      <w:pPr>
        <w:spacing w:after="0" w:line="184"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500" w:right="240" w:hanging="492"/>
        <w:spacing w:after="0" w:line="25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right="240" w:hanging="492"/>
        <w:spacing w:after="0" w:line="237"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2022</w:t>
      </w:r>
    </w:p>
    <w:p>
      <w:pPr>
        <w:spacing w:after="0" w:line="266"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jc w:val="center"/>
        <w:ind w:left="8120"/>
        <w:spacing w:after="0" w:line="203" w:lineRule="auto"/>
        <w:rPr>
          <w:sz w:val="20"/>
          <w:szCs w:val="20"/>
          <w:color w:val="auto"/>
        </w:rPr>
      </w:pPr>
      <w:r>
        <w:rPr>
          <w:rFonts w:ascii="Times New Roman" w:cs="Times New Roman" w:eastAsia="Times New Roman" w:hAnsi="Times New Roman"/>
          <w:sz w:val="18"/>
          <w:szCs w:val="18"/>
          <w:color w:val="auto"/>
        </w:rPr>
        <w:t>Senior Vice President and</w:t>
      </w: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333" w:lineRule="exact"/>
        <w:rPr>
          <w:sz w:val="20"/>
          <w:szCs w:val="20"/>
          <w:color w:val="auto"/>
        </w:rPr>
      </w:pPr>
    </w:p>
    <w:p>
      <w:pPr>
        <w:ind w:right="600" w:firstLine="486"/>
        <w:spacing w:after="0" w:line="266"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Richard K. Templeton, the Chairman, President and Chief Executive Officer of Texas Instruments Incorporated (the “Company”), hereby certifies that, to his knowledge:</w:t>
      </w:r>
    </w:p>
    <w:p>
      <w:pPr>
        <w:spacing w:after="0" w:line="176" w:lineRule="exact"/>
        <w:rPr>
          <w:sz w:val="20"/>
          <w:szCs w:val="20"/>
          <w:color w:val="auto"/>
        </w:rPr>
      </w:pPr>
    </w:p>
    <w:p>
      <w:pPr>
        <w:ind w:right="20" w:firstLine="494"/>
        <w:spacing w:after="0" w:line="282" w:lineRule="auto"/>
        <w:tabs>
          <w:tab w:leader="none" w:pos="7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00" w:firstLine="494"/>
        <w:spacing w:after="0" w:line="532" w:lineRule="auto"/>
        <w:tabs>
          <w:tab w:leader="none" w:pos="7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April 27, 2022</w:t>
      </w:r>
    </w:p>
    <w:p>
      <w:pPr>
        <w:spacing w:after="0" w:line="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Richard K. Templeton</w:t>
      </w:r>
    </w:p>
    <w:p>
      <w:pPr>
        <w:jc w:val="center"/>
        <w:ind w:left="8120"/>
        <w:spacing w:after="0" w:line="205" w:lineRule="auto"/>
        <w:rPr>
          <w:sz w:val="20"/>
          <w:szCs w:val="20"/>
          <w:color w:val="auto"/>
        </w:rPr>
      </w:pPr>
      <w:r>
        <w:rPr>
          <w:rFonts w:ascii="Times New Roman" w:cs="Times New Roman" w:eastAsia="Times New Roman" w:hAnsi="Times New Roman"/>
          <w:sz w:val="18"/>
          <w:szCs w:val="18"/>
          <w:color w:val="auto"/>
        </w:rPr>
        <w:t>Chairman, President</w:t>
      </w:r>
    </w:p>
    <w:p>
      <w:pPr>
        <w:spacing w:after="0" w:line="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and Chief Executive Officer</w:t>
      </w:r>
    </w:p>
    <w:p>
      <w:pPr>
        <w:sectPr>
          <w:pgSz w:w="11900" w:h="16838" w:orient="portrait"/>
          <w:cols w:equalWidth="0" w:num="1">
            <w:col w:w="11240"/>
          </w:cols>
          <w:pgMar w:left="320" w:top="89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31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62" w:lineRule="exact"/>
        <w:rPr>
          <w:sz w:val="20"/>
          <w:szCs w:val="20"/>
          <w:color w:val="auto"/>
        </w:rPr>
      </w:pPr>
    </w:p>
    <w:p>
      <w:pPr>
        <w:ind w:right="20" w:firstLine="494"/>
        <w:spacing w:after="0" w:line="282" w:lineRule="auto"/>
        <w:tabs>
          <w:tab w:leader="none" w:pos="7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00" w:firstLine="494"/>
        <w:spacing w:after="0" w:line="532" w:lineRule="auto"/>
        <w:tabs>
          <w:tab w:leader="none" w:pos="7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April 27, 2022</w:t>
      </w:r>
    </w:p>
    <w:p>
      <w:pPr>
        <w:spacing w:after="0" w:line="2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jc w:val="center"/>
        <w:ind w:left="8120"/>
        <w:spacing w:after="0" w:line="205" w:lineRule="auto"/>
        <w:rPr>
          <w:sz w:val="20"/>
          <w:szCs w:val="20"/>
          <w:color w:val="auto"/>
        </w:rPr>
      </w:pPr>
      <w:r>
        <w:rPr>
          <w:rFonts w:ascii="Times New Roman" w:cs="Times New Roman" w:eastAsia="Times New Roman" w:hAnsi="Times New Roman"/>
          <w:sz w:val="18"/>
          <w:szCs w:val="18"/>
          <w:color w:val="auto"/>
        </w:rPr>
        <w:t>Senior Vice President and</w:t>
      </w:r>
    </w:p>
    <w:p>
      <w:pPr>
        <w:spacing w:after="0" w:line="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5"/>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
    </w:lvl>
    <w:lvl w:ilvl="1">
      <w:lvlJc w:val="left"/>
      <w:lvlText w:val="%2."/>
      <w:numFmt w:val="lowerRoman"/>
      <w:start w:val="1"/>
    </w:lvl>
  </w:abstractNum>
  <w:abstractNum w:abstractNumId="11">
    <w:nsid w:val="25E45D32"/>
    <w:multiLevelType w:val="hybridMultilevel"/>
    <w:lvl w:ilvl="0">
      <w:lvlJc w:val="left"/>
      <w:lvlText w:val="%1."/>
      <w:numFmt w:val="decimal"/>
      <w:start w:val="2"/>
    </w:lvl>
  </w:abstractNum>
  <w:abstractNum w:abstractNumId="12">
    <w:nsid w:val="519B500D"/>
    <w:multiLevelType w:val="hybridMultilevel"/>
    <w:lvl w:ilvl="0">
      <w:lvlJc w:val="left"/>
      <w:lvlText w:val="•"/>
      <w:numFmt w:val="bullet"/>
      <w:start w:val="1"/>
    </w:lvl>
    <w:lvl w:ilvl="1">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
      <w:numFmt w:val="bullet"/>
      <w:start w:val="1"/>
    </w:lvl>
    <w:lvl w:ilvl="1">
      <w:lvlJc w:val="left"/>
      <w:lvlText w:val="%2"/>
      <w:numFmt w:val="decimal"/>
      <w:start w:val="104"/>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39" Type="http://schemas.openxmlformats.org/officeDocument/2006/relationships/hyperlink" Target="http://www.sec.gov/Archives/edgar/data/97476/000009747615000003/txn-12312014xexhibit3a.htm" TargetMode="External"/><Relationship Id="rId40" Type="http://schemas.openxmlformats.org/officeDocument/2006/relationships/hyperlink" Target="https://www.sec.gov/Archives/edgar/data/97476/000119312522018409/d252810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2022-04-27T08:35:22Z</dcterms:created>
  <dcterms:modified xsi:type="dcterms:W3CDTF">2022-04-27T08:35:22Z</dcterms:modified>
</cp:coreProperties>
</file>