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424(b)(2)</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333-186803</w:t>
      </w:r>
    </w:p>
    <w:p>
      <w:pPr>
        <w:spacing w:after="0" w:line="141" w:lineRule="exact"/>
        <w:rPr>
          <w:sz w:val="24"/>
          <w:szCs w:val="24"/>
          <w:color w:val="auto"/>
        </w:rPr>
      </w:pPr>
    </w:p>
    <w:p>
      <w:pPr>
        <w:ind w:right="120"/>
        <w:spacing w:after="0" w:line="244" w:lineRule="auto"/>
        <w:rPr>
          <w:sz w:val="20"/>
          <w:szCs w:val="20"/>
          <w:color w:val="auto"/>
        </w:rPr>
      </w:pPr>
      <w:r>
        <w:rPr>
          <w:rFonts w:ascii="Arial" w:cs="Arial" w:eastAsia="Arial" w:hAnsi="Arial"/>
          <w:sz w:val="18"/>
          <w:szCs w:val="18"/>
          <w:b w:val="1"/>
          <w:bCs w:val="1"/>
          <w:color w:val="DE1A1E"/>
        </w:rPr>
        <w:t>The information in this preliminary prospectus supplement is not complete and may be changed. A registration statement relating to these notes has been filed with the Securities and Exchange Commission and is effective. This preliminary prospectus supplement and the accompanying prospectus is not an offer to sell these securities and it is not soliciting an offer to buy these securities in any jurisdiction where the offer or sale is not permitted.</w:t>
      </w:r>
    </w:p>
    <w:p>
      <w:pPr>
        <w:spacing w:after="0" w:line="122" w:lineRule="exact"/>
        <w:rPr>
          <w:sz w:val="24"/>
          <w:szCs w:val="24"/>
          <w:color w:val="auto"/>
        </w:rPr>
      </w:pPr>
    </w:p>
    <w:p>
      <w:pPr>
        <w:ind w:left="3540"/>
        <w:spacing w:after="0"/>
        <w:rPr>
          <w:sz w:val="20"/>
          <w:szCs w:val="20"/>
          <w:color w:val="auto"/>
        </w:rPr>
      </w:pPr>
      <w:r>
        <w:rPr>
          <w:rFonts w:ascii="Arial" w:cs="Arial" w:eastAsia="Arial" w:hAnsi="Arial"/>
          <w:sz w:val="18"/>
          <w:szCs w:val="18"/>
          <w:b w:val="1"/>
          <w:bCs w:val="1"/>
          <w:color w:val="DE1A1E"/>
        </w:rPr>
        <w:t>SUBJECT TO COMPLETION, DATED MARCH 5, 2014</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February 22, 2013)</w:t>
      </w:r>
    </w:p>
    <w:p>
      <w:pPr>
        <w:spacing w:after="0" w:line="37" w:lineRule="exact"/>
        <w:rPr>
          <w:sz w:val="24"/>
          <w:szCs w:val="24"/>
          <w:color w:val="auto"/>
        </w:rPr>
      </w:pPr>
    </w:p>
    <w:p>
      <w:pPr>
        <w:ind w:left="5140"/>
        <w:spacing w:after="0"/>
        <w:rPr>
          <w:sz w:val="20"/>
          <w:szCs w:val="20"/>
          <w:color w:val="auto"/>
        </w:rPr>
      </w:pPr>
      <w:r>
        <w:rPr>
          <w:rFonts w:ascii="Arial" w:cs="Arial" w:eastAsia="Arial" w:hAnsi="Arial"/>
          <w:sz w:val="32"/>
          <w:szCs w:val="3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127000</wp:posOffset>
            </wp:positionV>
            <wp:extent cx="2864485" cy="660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left="3540"/>
        <w:spacing w:after="0"/>
        <w:rPr>
          <w:sz w:val="20"/>
          <w:szCs w:val="20"/>
          <w:color w:val="auto"/>
        </w:rPr>
      </w:pPr>
      <w:r>
        <w:rPr>
          <w:rFonts w:ascii="Arial" w:cs="Arial" w:eastAsia="Arial" w:hAnsi="Arial"/>
          <w:sz w:val="28"/>
          <w:szCs w:val="28"/>
          <w:b w:val="1"/>
          <w:bCs w:val="1"/>
          <w:color w:val="auto"/>
        </w:rPr>
        <w:t>$</w:t>
      </w:r>
    </w:p>
    <w:p>
      <w:pPr>
        <w:spacing w:after="0" w:line="79" w:lineRule="exact"/>
        <w:rPr>
          <w:sz w:val="24"/>
          <w:szCs w:val="24"/>
          <w:color w:val="auto"/>
        </w:rPr>
      </w:pPr>
    </w:p>
    <w:p>
      <w:pPr>
        <w:ind w:left="3540"/>
        <w:spacing w:after="0"/>
        <w:rPr>
          <w:sz w:val="20"/>
          <w:szCs w:val="20"/>
          <w:color w:val="auto"/>
        </w:rPr>
      </w:pPr>
      <w:r>
        <w:rPr>
          <w:rFonts w:ascii="Arial" w:cs="Arial" w:eastAsia="Arial" w:hAnsi="Arial"/>
          <w:sz w:val="28"/>
          <w:szCs w:val="28"/>
          <w:b w:val="1"/>
          <w:bCs w:val="1"/>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29"/>
          <w:szCs w:val="29"/>
          <w:b w:val="1"/>
          <w:bCs w:val="1"/>
          <w:color w:val="auto"/>
        </w:rPr>
        <w:t>% Notes due 20</w:t>
      </w:r>
    </w:p>
    <w:p>
      <w:pPr>
        <w:spacing w:after="0" w:line="67" w:lineRule="exact"/>
        <w:rPr>
          <w:sz w:val="24"/>
          <w:szCs w:val="24"/>
          <w:color w:val="auto"/>
        </w:rPr>
      </w:pPr>
    </w:p>
    <w:p>
      <w:pPr>
        <w:spacing w:after="0"/>
        <w:rPr>
          <w:sz w:val="20"/>
          <w:szCs w:val="20"/>
          <w:color w:val="auto"/>
        </w:rPr>
      </w:pPr>
      <w:r>
        <w:rPr>
          <w:rFonts w:ascii="Arial" w:cs="Arial" w:eastAsia="Arial" w:hAnsi="Arial"/>
          <w:sz w:val="29"/>
          <w:szCs w:val="29"/>
          <w:b w:val="1"/>
          <w:bCs w:val="1"/>
          <w:color w:val="auto"/>
        </w:rPr>
        <w:t>% Notes due 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-344805</wp:posOffset>
            </wp:positionH>
            <wp:positionV relativeFrom="paragraph">
              <wp:posOffset>117475</wp:posOffset>
            </wp:positionV>
            <wp:extent cx="1089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4680" w:space="720"/>
            <w:col w:w="6020"/>
          </w:cols>
          <w:pgMar w:left="240" w:top="230" w:right="239" w:bottom="1440" w:gutter="0" w:footer="0" w:header="0"/>
          <w:type w:val="continuous"/>
        </w:sectPr>
      </w:pPr>
    </w:p>
    <w:p>
      <w:pPr>
        <w:spacing w:after="0" w:line="85" w:lineRule="exact"/>
        <w:rPr>
          <w:sz w:val="24"/>
          <w:szCs w:val="24"/>
          <w:color w:val="auto"/>
        </w:rPr>
      </w:pPr>
    </w:p>
    <w:p>
      <w:pPr>
        <w:ind w:left="460"/>
        <w:spacing w:after="0"/>
        <w:rPr>
          <w:sz w:val="20"/>
          <w:szCs w:val="20"/>
          <w:color w:val="auto"/>
        </w:rPr>
      </w:pPr>
      <w:r>
        <w:rPr>
          <w:rFonts w:ascii="Arial" w:cs="Arial" w:eastAsia="Arial" w:hAnsi="Arial"/>
          <w:sz w:val="16"/>
          <w:szCs w:val="16"/>
          <w:color w:val="auto"/>
        </w:rPr>
        <w:t>Texas Instruments Incorporated is offering the aggregate principal amount of each series of notes (collectively, the “Notes”), which will bear interest at the</w:t>
      </w:r>
    </w:p>
    <w:p>
      <w:pPr>
        <w:spacing w:after="0" w:line="38" w:lineRule="exact"/>
        <w:rPr>
          <w:sz w:val="24"/>
          <w:szCs w:val="24"/>
          <w:color w:val="auto"/>
        </w:rPr>
      </w:pPr>
    </w:p>
    <w:p>
      <w:pPr>
        <w:ind w:left="880" w:right="240" w:hanging="877"/>
        <w:spacing w:after="0" w:line="250" w:lineRule="auto"/>
        <w:rPr>
          <w:sz w:val="20"/>
          <w:szCs w:val="20"/>
          <w:color w:val="auto"/>
        </w:rPr>
      </w:pPr>
      <w:r>
        <w:rPr>
          <w:rFonts w:ascii="Arial" w:cs="Arial" w:eastAsia="Arial" w:hAnsi="Arial"/>
          <w:sz w:val="18"/>
          <w:szCs w:val="18"/>
          <w:color w:val="auto"/>
        </w:rPr>
        <w:t>rate per year, in each case as set forth above. Interest on the Notes will be payable semi-annually in arrears on</w:t>
      </w:r>
      <w:r>
        <w:rPr>
          <w:sz w:val="20"/>
          <w:szCs w:val="20"/>
          <w:color w:val="auto"/>
        </w:rPr>
        <w:t xml:space="preserve"> </w:t>
      </w:r>
      <w:r>
        <w:rPr>
          <w:rFonts w:ascii="Arial" w:cs="Arial" w:eastAsia="Arial" w:hAnsi="Arial"/>
          <w:sz w:val="18"/>
          <w:szCs w:val="18"/>
          <w:color w:val="auto"/>
        </w:rPr>
        <w:t>and of each year, beginning , 2014.</w:t>
      </w:r>
    </w:p>
    <w:p>
      <w:pPr>
        <w:spacing w:after="0" w:line="358" w:lineRule="exact"/>
        <w:rPr>
          <w:sz w:val="24"/>
          <w:szCs w:val="24"/>
          <w:color w:val="auto"/>
        </w:rPr>
      </w:pPr>
    </w:p>
    <w:p>
      <w:pPr>
        <w:ind w:left="460"/>
        <w:spacing w:after="0"/>
        <w:tabs>
          <w:tab w:leader="none" w:pos="1160" w:val="left"/>
          <w:tab w:leader="none" w:pos="3560" w:val="left"/>
          <w:tab w:leader="none" w:pos="4040" w:val="left"/>
          <w:tab w:leader="none" w:pos="4980" w:val="left"/>
          <w:tab w:leader="none" w:pos="7380" w:val="left"/>
          <w:tab w:leader="none" w:pos="7820" w:val="left"/>
        </w:tabs>
        <w:rPr>
          <w:sz w:val="20"/>
          <w:szCs w:val="20"/>
          <w:color w:val="auto"/>
        </w:rPr>
      </w:pPr>
      <w:r>
        <w:rPr>
          <w:rFonts w:ascii="Arial" w:cs="Arial" w:eastAsia="Arial" w:hAnsi="Arial"/>
          <w:sz w:val="18"/>
          <w:szCs w:val="18"/>
          <w:color w:val="auto"/>
        </w:rPr>
        <w:t>The 20</w:t>
        <w:tab/>
        <w:t>Notes will mature on</w:t>
      </w:r>
      <w:r>
        <w:rPr>
          <w:sz w:val="20"/>
          <w:szCs w:val="20"/>
          <w:color w:val="auto"/>
        </w:rPr>
        <w:tab/>
      </w:r>
      <w:r>
        <w:rPr>
          <w:rFonts w:ascii="Arial" w:cs="Arial" w:eastAsia="Arial" w:hAnsi="Arial"/>
          <w:sz w:val="18"/>
          <w:szCs w:val="18"/>
          <w:color w:val="auto"/>
        </w:rPr>
        <w:t>, 20</w:t>
        <w:tab/>
        <w:t>and the 20</w:t>
        <w:tab/>
        <w:t>Notes will mature on</w:t>
      </w:r>
      <w:r>
        <w:rPr>
          <w:sz w:val="20"/>
          <w:szCs w:val="20"/>
          <w:color w:val="auto"/>
        </w:rPr>
        <w:tab/>
      </w:r>
      <w:r>
        <w:rPr>
          <w:rFonts w:ascii="Arial" w:cs="Arial" w:eastAsia="Arial" w:hAnsi="Arial"/>
          <w:sz w:val="18"/>
          <w:szCs w:val="18"/>
          <w:color w:val="auto"/>
        </w:rPr>
        <w:t>, 20</w:t>
        <w:tab/>
        <w:t>.</w:t>
      </w:r>
    </w:p>
    <w:p>
      <w:pPr>
        <w:spacing w:after="0" w:line="158" w:lineRule="exact"/>
        <w:rPr>
          <w:sz w:val="24"/>
          <w:szCs w:val="24"/>
          <w:color w:val="auto"/>
        </w:rPr>
      </w:pPr>
    </w:p>
    <w:p>
      <w:pPr>
        <w:ind w:right="520" w:firstLine="456"/>
        <w:spacing w:after="0" w:line="268" w:lineRule="auto"/>
        <w:rPr>
          <w:sz w:val="20"/>
          <w:szCs w:val="20"/>
          <w:color w:val="auto"/>
        </w:rPr>
      </w:pPr>
      <w:r>
        <w:rPr>
          <w:rFonts w:ascii="Arial" w:cs="Arial" w:eastAsia="Arial" w:hAnsi="Arial"/>
          <w:sz w:val="18"/>
          <w:szCs w:val="18"/>
          <w:color w:val="auto"/>
        </w:rPr>
        <w:t>We may redeem some or all of the Notes at any time, each at the redemption price indicated under the caption “Description of the Notes — Optional Redemption.”</w:t>
      </w:r>
    </w:p>
    <w:p>
      <w:pPr>
        <w:spacing w:after="0" w:line="118" w:lineRule="exact"/>
        <w:rPr>
          <w:sz w:val="24"/>
          <w:szCs w:val="24"/>
          <w:color w:val="auto"/>
        </w:rPr>
      </w:pPr>
    </w:p>
    <w:p>
      <w:pPr>
        <w:ind w:right="860" w:firstLine="456"/>
        <w:spacing w:after="0" w:line="268" w:lineRule="auto"/>
        <w:rPr>
          <w:sz w:val="20"/>
          <w:szCs w:val="20"/>
          <w:color w:val="auto"/>
        </w:rPr>
      </w:pPr>
      <w:r>
        <w:rPr>
          <w:rFonts w:ascii="Arial" w:cs="Arial" w:eastAsia="Arial" w:hAnsi="Arial"/>
          <w:sz w:val="18"/>
          <w:szCs w:val="18"/>
          <w:color w:val="auto"/>
        </w:rPr>
        <w:t>The Notes will be our unsecured senior obligations and will rank equally with all of our other existing and future unsecured and unsubordinated indebtedness from time to time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71755</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74" w:lineRule="exact"/>
        <w:rPr>
          <w:sz w:val="24"/>
          <w:szCs w:val="24"/>
          <w:color w:val="auto"/>
        </w:rPr>
      </w:pPr>
    </w:p>
    <w:p>
      <w:pPr>
        <w:ind w:left="4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the Notes involves risks. See “</w:t>
      </w:r>
      <w:hyperlink w:anchor="page11">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105410</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46" w:lineRule="exact"/>
        <w:rPr>
          <w:sz w:val="24"/>
          <w:szCs w:val="24"/>
          <w:color w:val="auto"/>
        </w:rPr>
      </w:pPr>
    </w:p>
    <w:p>
      <w:pPr>
        <w:ind w:right="20" w:firstLine="456"/>
        <w:spacing w:after="0" w:line="332" w:lineRule="auto"/>
        <w:rPr>
          <w:sz w:val="20"/>
          <w:szCs w:val="20"/>
          <w:color w:val="auto"/>
        </w:rPr>
      </w:pPr>
      <w:r>
        <w:rPr>
          <w:rFonts w:ascii="Arial" w:cs="Arial" w:eastAsia="Arial" w:hAnsi="Arial"/>
          <w:sz w:val="16"/>
          <w:szCs w:val="16"/>
          <w:color w:val="auto"/>
        </w:rPr>
        <w:t>Neither the U.S.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50800</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4"/>
                <w:szCs w:val="14"/>
                <w:b w:val="1"/>
                <w:bCs w:val="1"/>
                <w:color w:val="auto"/>
              </w:rPr>
              <w:t>Per 20</w:t>
            </w:r>
          </w:p>
        </w:tc>
        <w:tc>
          <w:tcPr>
            <w:tcW w:w="840" w:type="dxa"/>
            <w:vAlign w:val="bottom"/>
            <w:gridSpan w:val="2"/>
          </w:tcPr>
          <w:p>
            <w:pPr>
              <w:jc w:val="right"/>
              <w:ind w:right="412"/>
              <w:spacing w:after="0"/>
              <w:rPr>
                <w:sz w:val="20"/>
                <w:szCs w:val="20"/>
                <w:color w:val="auto"/>
              </w:rPr>
            </w:pPr>
            <w:r>
              <w:rPr>
                <w:rFonts w:ascii="Arial" w:cs="Arial" w:eastAsia="Arial" w:hAnsi="Arial"/>
                <w:sz w:val="14"/>
                <w:szCs w:val="14"/>
                <w:b w:val="1"/>
                <w:bCs w:val="1"/>
                <w:color w:val="auto"/>
              </w:rPr>
              <w:t>Note</w:t>
            </w:r>
          </w:p>
        </w:tc>
        <w:tc>
          <w:tcPr>
            <w:tcW w:w="400" w:type="dxa"/>
            <w:vAlign w:val="bottom"/>
          </w:tcPr>
          <w:p>
            <w:pPr>
              <w:spacing w:after="0"/>
              <w:rPr>
                <w:sz w:val="14"/>
                <w:szCs w:val="14"/>
                <w:color w:val="auto"/>
              </w:rPr>
            </w:pPr>
          </w:p>
        </w:tc>
        <w:tc>
          <w:tcPr>
            <w:tcW w:w="1700" w:type="dxa"/>
            <w:vAlign w:val="bottom"/>
            <w:gridSpan w:val="2"/>
          </w:tcPr>
          <w:p>
            <w:pPr>
              <w:jc w:val="right"/>
              <w:ind w:right="792"/>
              <w:spacing w:after="0"/>
              <w:rPr>
                <w:sz w:val="20"/>
                <w:szCs w:val="20"/>
                <w:color w:val="auto"/>
              </w:rPr>
            </w:pPr>
            <w:r>
              <w:rPr>
                <w:rFonts w:ascii="Arial" w:cs="Arial" w:eastAsia="Arial" w:hAnsi="Arial"/>
                <w:sz w:val="14"/>
                <w:szCs w:val="14"/>
                <w:b w:val="1"/>
                <w:bCs w:val="1"/>
                <w:color w:val="auto"/>
                <w:w w:val="94"/>
              </w:rPr>
              <w:t>Per 20   Note</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210"/>
        </w:trPr>
        <w:tc>
          <w:tcPr>
            <w:tcW w:w="2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20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w w:val="74"/>
              </w:rPr>
              <w:t>%</w:t>
            </w:r>
          </w:p>
        </w:tc>
        <w:tc>
          <w:tcPr>
            <w:tcW w:w="4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jc w:val="right"/>
              <w:ind w:right="652"/>
              <w:spacing w:after="0"/>
              <w:rPr>
                <w:sz w:val="20"/>
                <w:szCs w:val="20"/>
                <w:color w:val="auto"/>
              </w:rPr>
            </w:pPr>
            <w:r>
              <w:rPr>
                <w:rFonts w:ascii="Arial" w:cs="Arial" w:eastAsia="Arial" w:hAnsi="Arial"/>
                <w:sz w:val="18"/>
                <w:szCs w:val="18"/>
                <w:color w:val="auto"/>
                <w:w w:val="74"/>
              </w:rPr>
              <w:t>%</w:t>
            </w:r>
          </w:p>
        </w:tc>
        <w:tc>
          <w:tcPr>
            <w:tcW w:w="620" w:type="dxa"/>
            <w:vAlign w:val="bottom"/>
            <w:tcBorders>
              <w:top w:val="single" w:sz="8" w:color="auto"/>
            </w:tcBorders>
            <w:shd w:val="clear" w:color="auto" w:fill="CCEEFF"/>
          </w:tcPr>
          <w:p>
            <w:pPr>
              <w:jc w:val="right"/>
              <w:ind w:right="437"/>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Underwriting Discount</w:t>
            </w:r>
          </w:p>
        </w:tc>
        <w:tc>
          <w:tcPr>
            <w:tcW w:w="20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2100" w:type="dxa"/>
            <w:vAlign w:val="bottom"/>
            <w:gridSpan w:val="3"/>
          </w:tcPr>
          <w:p>
            <w:pPr>
              <w:jc w:val="right"/>
              <w:ind w:right="65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437"/>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20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r>
      <w:tr>
        <w:trPr>
          <w:trHeight w:val="363"/>
        </w:trPr>
        <w:tc>
          <w:tcPr>
            <w:tcW w:w="7760" w:type="dxa"/>
            <w:vAlign w:val="bottom"/>
            <w:gridSpan w:val="5"/>
          </w:tcPr>
          <w:p>
            <w:pPr>
              <w:ind w:left="460"/>
              <w:spacing w:after="0"/>
              <w:rPr>
                <w:sz w:val="20"/>
                <w:szCs w:val="20"/>
                <w:color w:val="auto"/>
              </w:rPr>
            </w:pPr>
            <w:r>
              <w:rPr>
                <w:rFonts w:ascii="Arial" w:cs="Arial" w:eastAsia="Arial" w:hAnsi="Arial"/>
                <w:sz w:val="18"/>
                <w:szCs w:val="18"/>
                <w:color w:val="auto"/>
              </w:rPr>
              <w:t>Interest on the Notes will accrue from March   , 2014 to the date of delivery.</w:t>
            </w: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7"/>
        </w:trPr>
        <w:tc>
          <w:tcPr>
            <w:tcW w:w="4860" w:type="dxa"/>
            <w:vAlign w:val="bottom"/>
            <w:gridSpan w:val="2"/>
          </w:tcPr>
          <w:p>
            <w:pPr>
              <w:spacing w:after="0"/>
              <w:rPr>
                <w:sz w:val="11"/>
                <w:szCs w:val="11"/>
                <w:color w:val="auto"/>
              </w:rPr>
            </w:pPr>
          </w:p>
        </w:tc>
        <w:tc>
          <w:tcPr>
            <w:tcW w:w="1720" w:type="dxa"/>
            <w:vAlign w:val="bottom"/>
            <w:tcBorders>
              <w:bottom w:val="single" w:sz="8" w:color="auto"/>
            </w:tcBorders>
          </w:tcPr>
          <w:p>
            <w:pPr>
              <w:spacing w:after="0"/>
              <w:rPr>
                <w:sz w:val="11"/>
                <w:szCs w:val="11"/>
                <w:color w:val="auto"/>
              </w:rPr>
            </w:pPr>
          </w:p>
        </w:tc>
        <w:tc>
          <w:tcPr>
            <w:tcW w:w="4840" w:type="dxa"/>
            <w:vAlign w:val="bottom"/>
            <w:gridSpan w:val="9"/>
          </w:tcPr>
          <w:p>
            <w:pPr>
              <w:spacing w:after="0"/>
              <w:rPr>
                <w:sz w:val="11"/>
                <w:szCs w:val="11"/>
                <w:color w:val="auto"/>
              </w:rPr>
            </w:pPr>
          </w:p>
        </w:tc>
      </w:tr>
      <w:tr>
        <w:trPr>
          <w:trHeight w:val="296"/>
        </w:trPr>
        <w:tc>
          <w:tcPr>
            <w:tcW w:w="11420" w:type="dxa"/>
            <w:vAlign w:val="bottom"/>
            <w:gridSpan w:val="12"/>
          </w:tcPr>
          <w:p>
            <w:pPr>
              <w:ind w:left="460"/>
              <w:spacing w:after="0"/>
              <w:rPr>
                <w:sz w:val="20"/>
                <w:szCs w:val="20"/>
                <w:color w:val="auto"/>
              </w:rPr>
            </w:pPr>
            <w:r>
              <w:rPr>
                <w:rFonts w:ascii="Arial" w:cs="Arial" w:eastAsia="Arial" w:hAnsi="Arial"/>
                <w:sz w:val="18"/>
                <w:szCs w:val="18"/>
                <w:color w:val="auto"/>
                <w:w w:val="92"/>
              </w:rPr>
              <w:t>The underwriters expect to deliver the Notes to purchasers on or about March   , 2014, only in book-entry form through the facilities of The Depository</w:t>
            </w:r>
          </w:p>
        </w:tc>
      </w:tr>
      <w:tr>
        <w:trPr>
          <w:trHeight w:val="222"/>
        </w:trPr>
        <w:tc>
          <w:tcPr>
            <w:tcW w:w="2860" w:type="dxa"/>
            <w:vAlign w:val="bottom"/>
          </w:tcPr>
          <w:p>
            <w:pPr>
              <w:spacing w:after="0"/>
              <w:rPr>
                <w:sz w:val="20"/>
                <w:szCs w:val="20"/>
                <w:color w:val="auto"/>
              </w:rPr>
            </w:pPr>
            <w:r>
              <w:rPr>
                <w:rFonts w:ascii="Arial" w:cs="Arial" w:eastAsia="Arial" w:hAnsi="Arial"/>
                <w:sz w:val="18"/>
                <w:szCs w:val="18"/>
                <w:color w:val="auto"/>
              </w:rPr>
              <w:t>Trust Company.</w:t>
            </w:r>
          </w:p>
        </w:tc>
        <w:tc>
          <w:tcPr>
            <w:tcW w:w="20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51"/>
        </w:trPr>
        <w:tc>
          <w:tcPr>
            <w:tcW w:w="28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1180" w:type="dxa"/>
            <w:vAlign w:val="bottom"/>
            <w:gridSpan w:val="2"/>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63"/>
        </w:trPr>
        <w:tc>
          <w:tcPr>
            <w:tcW w:w="2860" w:type="dxa"/>
            <w:vAlign w:val="bottom"/>
          </w:tcPr>
          <w:p>
            <w:pPr>
              <w:spacing w:after="0"/>
              <w:rPr>
                <w:sz w:val="22"/>
                <w:szCs w:val="22"/>
                <w:color w:val="auto"/>
              </w:rPr>
            </w:pPr>
          </w:p>
        </w:tc>
        <w:tc>
          <w:tcPr>
            <w:tcW w:w="4900" w:type="dxa"/>
            <w:vAlign w:val="bottom"/>
            <w:gridSpan w:val="4"/>
          </w:tcPr>
          <w:p>
            <w:pPr>
              <w:ind w:left="1780"/>
              <w:spacing w:after="0"/>
              <w:rPr>
                <w:sz w:val="20"/>
                <w:szCs w:val="20"/>
                <w:color w:val="auto"/>
              </w:rPr>
            </w:pPr>
            <w:r>
              <w:rPr>
                <w:rFonts w:ascii="Arial" w:cs="Arial" w:eastAsia="Arial" w:hAnsi="Arial"/>
                <w:sz w:val="18"/>
                <w:szCs w:val="18"/>
                <w:i w:val="1"/>
                <w:iCs w:val="1"/>
                <w:color w:val="auto"/>
              </w:rPr>
              <w:t>Joint Book-Running Managers</w:t>
            </w: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21"/>
        </w:trPr>
        <w:tc>
          <w:tcPr>
            <w:tcW w:w="2860" w:type="dxa"/>
            <w:vAlign w:val="bottom"/>
          </w:tcPr>
          <w:p>
            <w:pPr>
              <w:spacing w:after="0"/>
              <w:rPr>
                <w:sz w:val="20"/>
                <w:szCs w:val="20"/>
                <w:color w:val="auto"/>
              </w:rPr>
            </w:pPr>
            <w:r>
              <w:rPr>
                <w:rFonts w:ascii="Arial" w:cs="Arial" w:eastAsia="Arial" w:hAnsi="Arial"/>
                <w:sz w:val="32"/>
                <w:szCs w:val="32"/>
                <w:b w:val="1"/>
                <w:bCs w:val="1"/>
                <w:color w:val="auto"/>
              </w:rPr>
              <w:t>Citigroup</w:t>
            </w:r>
          </w:p>
        </w:tc>
        <w:tc>
          <w:tcPr>
            <w:tcW w:w="4900" w:type="dxa"/>
            <w:vAlign w:val="bottom"/>
            <w:gridSpan w:val="4"/>
          </w:tcPr>
          <w:p>
            <w:pPr>
              <w:jc w:val="center"/>
              <w:ind w:right="132"/>
              <w:spacing w:after="0"/>
              <w:rPr>
                <w:sz w:val="20"/>
                <w:szCs w:val="20"/>
                <w:color w:val="auto"/>
              </w:rPr>
            </w:pPr>
            <w:r>
              <w:rPr>
                <w:rFonts w:ascii="Arial" w:cs="Arial" w:eastAsia="Arial" w:hAnsi="Arial"/>
                <w:sz w:val="32"/>
                <w:szCs w:val="32"/>
                <w:b w:val="1"/>
                <w:bCs w:val="1"/>
                <w:color w:val="auto"/>
                <w:w w:val="96"/>
              </w:rPr>
              <w:t>BofA Merrill Lynch</w:t>
            </w: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20" w:type="dxa"/>
            <w:vAlign w:val="bottom"/>
            <w:gridSpan w:val="5"/>
          </w:tcPr>
          <w:p>
            <w:pPr>
              <w:jc w:val="right"/>
              <w:spacing w:after="0"/>
              <w:rPr>
                <w:sz w:val="20"/>
                <w:szCs w:val="20"/>
                <w:color w:val="auto"/>
              </w:rPr>
            </w:pPr>
            <w:r>
              <w:rPr>
                <w:rFonts w:ascii="Arial" w:cs="Arial" w:eastAsia="Arial" w:hAnsi="Arial"/>
                <w:sz w:val="32"/>
                <w:szCs w:val="32"/>
                <w:b w:val="1"/>
                <w:bCs w:val="1"/>
                <w:color w:val="auto"/>
              </w:rPr>
              <w:t>Mizuho Securities</w:t>
            </w:r>
          </w:p>
        </w:tc>
      </w:tr>
      <w:tr>
        <w:trPr>
          <w:trHeight w:val="594"/>
        </w:trPr>
        <w:tc>
          <w:tcPr>
            <w:tcW w:w="2860" w:type="dxa"/>
            <w:vAlign w:val="bottom"/>
          </w:tcPr>
          <w:p>
            <w:pPr>
              <w:spacing w:after="0"/>
              <w:rPr>
                <w:sz w:val="20"/>
                <w:szCs w:val="20"/>
                <w:color w:val="auto"/>
              </w:rPr>
            </w:pPr>
            <w:r>
              <w:rPr>
                <w:rFonts w:ascii="Arial" w:cs="Arial" w:eastAsia="Arial" w:hAnsi="Arial"/>
                <w:sz w:val="32"/>
                <w:szCs w:val="32"/>
                <w:b w:val="1"/>
                <w:bCs w:val="1"/>
                <w:color w:val="auto"/>
              </w:rPr>
              <w:t>J.P. Morgan</w:t>
            </w:r>
          </w:p>
        </w:tc>
        <w:tc>
          <w:tcPr>
            <w:tcW w:w="4900" w:type="dxa"/>
            <w:vAlign w:val="bottom"/>
            <w:gridSpan w:val="4"/>
          </w:tcPr>
          <w:p>
            <w:pPr>
              <w:jc w:val="center"/>
              <w:ind w:right="132"/>
              <w:spacing w:after="0"/>
              <w:rPr>
                <w:sz w:val="20"/>
                <w:szCs w:val="20"/>
                <w:color w:val="auto"/>
              </w:rPr>
            </w:pPr>
            <w:r>
              <w:rPr>
                <w:rFonts w:ascii="Arial" w:cs="Arial" w:eastAsia="Arial" w:hAnsi="Arial"/>
                <w:sz w:val="32"/>
                <w:szCs w:val="32"/>
                <w:b w:val="1"/>
                <w:bCs w:val="1"/>
                <w:color w:val="auto"/>
                <w:w w:val="91"/>
              </w:rPr>
              <w:t>Mitsubishi UFJ Securities</w:t>
            </w: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20" w:type="dxa"/>
            <w:vAlign w:val="bottom"/>
            <w:gridSpan w:val="4"/>
          </w:tcPr>
          <w:p>
            <w:pPr>
              <w:jc w:val="right"/>
              <w:spacing w:after="0"/>
              <w:rPr>
                <w:sz w:val="20"/>
                <w:szCs w:val="20"/>
                <w:color w:val="auto"/>
              </w:rPr>
            </w:pPr>
            <w:r>
              <w:rPr>
                <w:rFonts w:ascii="Arial" w:cs="Arial" w:eastAsia="Arial" w:hAnsi="Arial"/>
                <w:sz w:val="32"/>
                <w:szCs w:val="32"/>
                <w:b w:val="1"/>
                <w:bCs w:val="1"/>
                <w:color w:val="auto"/>
              </w:rPr>
              <w:t>Morgan Stanley</w:t>
            </w:r>
          </w:p>
        </w:tc>
      </w:tr>
      <w:tr>
        <w:trPr>
          <w:trHeight w:val="280"/>
        </w:trPr>
        <w:tc>
          <w:tcPr>
            <w:tcW w:w="2860" w:type="dxa"/>
            <w:vAlign w:val="bottom"/>
          </w:tcPr>
          <w:p>
            <w:pPr>
              <w:spacing w:after="0"/>
              <w:rPr>
                <w:sz w:val="20"/>
                <w:szCs w:val="20"/>
                <w:color w:val="auto"/>
              </w:rPr>
            </w:pPr>
            <w:r>
              <w:rPr>
                <w:rFonts w:ascii="Arial" w:cs="Arial" w:eastAsia="Arial" w:hAnsi="Arial"/>
                <w:sz w:val="18"/>
                <w:szCs w:val="18"/>
                <w:color w:val="auto"/>
              </w:rPr>
              <w:t>March   , 2014</w:t>
            </w:r>
          </w:p>
        </w:tc>
        <w:tc>
          <w:tcPr>
            <w:tcW w:w="20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320" w:lineRule="auto"/>
        <w:rPr>
          <w:sz w:val="20"/>
          <w:szCs w:val="20"/>
          <w:color w:val="auto"/>
        </w:rPr>
      </w:pPr>
      <w:r>
        <w:rPr>
          <w:rFonts w:ascii="Arial" w:cs="Arial" w:eastAsia="Arial" w:hAnsi="Arial"/>
          <w:sz w:val="15"/>
          <w:szCs w:val="15"/>
          <w:b w:val="1"/>
          <w:bCs w:val="1"/>
          <w:color w:val="auto"/>
        </w:rPr>
        <w:t>We are responsible for the information contained in or incorporated by reference in this prospectus supplement and the accompanying prospectus and any free-writing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supplement or the accompanying prospectus is accurate as of any date other than its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110490</wp:posOffset>
            </wp:positionV>
            <wp:extent cx="10890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320" w:type="dxa"/>
            <w:vAlign w:val="bottom"/>
            <w:gridSpan w:val="4"/>
          </w:tcPr>
          <w:p>
            <w:pPr>
              <w:jc w:val="right"/>
              <w:ind w:right="4574"/>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232"/>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4360" w:type="dxa"/>
            <w:vAlign w:val="bottom"/>
          </w:tcPr>
          <w:p>
            <w:pPr>
              <w:spacing w:after="0"/>
              <w:rPr>
                <w:sz w:val="20"/>
                <w:szCs w:val="20"/>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323"/>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940" w:type="dxa"/>
            <w:vAlign w:val="bottom"/>
            <w:gridSpan w:val="3"/>
            <w:vMerge w:val="restart"/>
          </w:tcPr>
          <w:p>
            <w:pPr>
              <w:jc w:val="right"/>
              <w:ind w:right="4700"/>
              <w:spacing w:after="0"/>
              <w:rPr>
                <w:sz w:val="20"/>
                <w:szCs w:val="20"/>
                <w:color w:val="auto"/>
              </w:rPr>
            </w:pPr>
            <w:r>
              <w:rPr>
                <w:rFonts w:ascii="Arial" w:cs="Arial" w:eastAsia="Arial" w:hAnsi="Arial"/>
                <w:sz w:val="18"/>
                <w:szCs w:val="18"/>
                <w:b w:val="1"/>
                <w:bCs w:val="1"/>
                <w:color w:val="auto"/>
              </w:rPr>
              <w:t>Prospectus Supplement</w:t>
            </w:r>
          </w:p>
        </w:tc>
        <w:tc>
          <w:tcPr>
            <w:tcW w:w="3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500" w:type="dxa"/>
            <w:vAlign w:val="bottom"/>
            <w:gridSpan w:val="19"/>
            <w:vMerge w:val="restart"/>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Cautionary Note on Forward-Looking Statements</w:t>
              </w:r>
            </w:hyperlink>
          </w:p>
        </w:tc>
        <w:tc>
          <w:tcPr>
            <w:tcW w:w="500" w:type="dxa"/>
            <w:vAlign w:val="bottom"/>
            <w:gridSpan w:val="2"/>
            <w:vMerge w:val="restart"/>
          </w:tcPr>
          <w:p>
            <w:pPr>
              <w:spacing w:after="0"/>
              <w:rPr>
                <w:sz w:val="16"/>
                <w:szCs w:val="16"/>
                <w:color w:val="auto"/>
              </w:rPr>
            </w:pPr>
          </w:p>
        </w:tc>
        <w:tc>
          <w:tcPr>
            <w:tcW w:w="6940" w:type="dxa"/>
            <w:vAlign w:val="bottom"/>
            <w:gridSpan w:val="3"/>
            <w:vMerge w:val="continue"/>
          </w:tcPr>
          <w:p>
            <w:pPr>
              <w:spacing w:after="0"/>
              <w:rPr>
                <w:sz w:val="16"/>
                <w:szCs w:val="16"/>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291"/>
        </w:trPr>
        <w:tc>
          <w:tcPr>
            <w:tcW w:w="3500" w:type="dxa"/>
            <w:vAlign w:val="bottom"/>
            <w:tcBorders>
              <w:bottom w:val="single" w:sz="8" w:color="0000EE"/>
            </w:tcBorders>
            <w:gridSpan w:val="19"/>
            <w:vMerge w:val="continue"/>
          </w:tcPr>
          <w:p>
            <w:pPr>
              <w:spacing w:after="0"/>
              <w:rPr>
                <w:sz w:val="24"/>
                <w:szCs w:val="24"/>
                <w:color w:val="auto"/>
              </w:rPr>
            </w:pPr>
          </w:p>
        </w:tc>
        <w:tc>
          <w:tcPr>
            <w:tcW w:w="50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50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About This Prospectus Supplement</w:t>
              </w:r>
            </w:hyperlink>
          </w:p>
        </w:tc>
        <w:tc>
          <w:tcPr>
            <w:tcW w:w="1500" w:type="dxa"/>
            <w:vAlign w:val="bottom"/>
            <w:gridSpan w:val="6"/>
          </w:tcPr>
          <w:p>
            <w:pPr>
              <w:spacing w:after="0"/>
              <w:rPr>
                <w:sz w:val="17"/>
                <w:szCs w:val="17"/>
                <w:color w:val="auto"/>
              </w:rPr>
            </w:pPr>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S-iv</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Summary</w:t>
              </w:r>
            </w:hyperlink>
          </w:p>
        </w:tc>
        <w:tc>
          <w:tcPr>
            <w:tcW w:w="3300" w:type="dxa"/>
            <w:vAlign w:val="bottom"/>
            <w:gridSpan w:val="19"/>
          </w:tcPr>
          <w:p>
            <w:pPr>
              <w:spacing w:after="0"/>
              <w:rPr>
                <w:sz w:val="17"/>
                <w:szCs w:val="17"/>
                <w:color w:val="auto"/>
              </w:rPr>
            </w:pPr>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Risk Factors</w:t>
              </w:r>
            </w:hyperlink>
          </w:p>
        </w:tc>
        <w:tc>
          <w:tcPr>
            <w:tcW w:w="3100" w:type="dxa"/>
            <w:vAlign w:val="bottom"/>
            <w:gridSpan w:val="18"/>
          </w:tcPr>
          <w:p>
            <w:pPr>
              <w:spacing w:after="0"/>
              <w:rPr>
                <w:sz w:val="17"/>
                <w:szCs w:val="17"/>
                <w:color w:val="auto"/>
              </w:rPr>
            </w:pPr>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196"/>
        </w:trPr>
        <w:tc>
          <w:tcPr>
            <w:tcW w:w="4000" w:type="dxa"/>
            <w:vAlign w:val="bottom"/>
            <w:gridSpan w:val="21"/>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Use of Proceeds</w:t>
              </w:r>
            </w:hyperlink>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Capitalization</w:t>
              </w:r>
            </w:hyperlink>
          </w:p>
        </w:tc>
        <w:tc>
          <w:tcPr>
            <w:tcW w:w="140" w:type="dxa"/>
            <w:vAlign w:val="bottom"/>
            <w:tcBorders>
              <w:top w:val="single" w:sz="8" w:color="0000EE"/>
            </w:tcBorders>
          </w:tcPr>
          <w:p>
            <w:pPr>
              <w:spacing w:after="0"/>
              <w:rPr>
                <w:sz w:val="17"/>
                <w:szCs w:val="17"/>
                <w:color w:val="auto"/>
              </w:rPr>
            </w:pPr>
          </w:p>
        </w:tc>
        <w:tc>
          <w:tcPr>
            <w:tcW w:w="2860" w:type="dxa"/>
            <w:vAlign w:val="bottom"/>
            <w:gridSpan w:val="15"/>
          </w:tcPr>
          <w:p>
            <w:pPr>
              <w:spacing w:after="0"/>
              <w:rPr>
                <w:sz w:val="17"/>
                <w:szCs w:val="17"/>
                <w:color w:val="auto"/>
              </w:rPr>
            </w:pPr>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S-10</w:t>
            </w:r>
          </w:p>
        </w:tc>
        <w:tc>
          <w:tcPr>
            <w:tcW w:w="0" w:type="dxa"/>
            <w:vAlign w:val="bottom"/>
          </w:tcPr>
          <w:p>
            <w:pPr>
              <w:spacing w:after="0"/>
              <w:rPr>
                <w:sz w:val="1"/>
                <w:szCs w:val="1"/>
                <w:color w:val="auto"/>
              </w:rPr>
            </w:pPr>
          </w:p>
        </w:tc>
      </w:tr>
      <w:tr>
        <w:trPr>
          <w:trHeight w:val="196"/>
        </w:trPr>
        <w:tc>
          <w:tcPr>
            <w:tcW w:w="256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16">
              <w:r>
                <w:rPr>
                  <w:rFonts w:ascii="Arial" w:cs="Arial" w:eastAsia="Arial" w:hAnsi="Arial"/>
                  <w:sz w:val="18"/>
                  <w:szCs w:val="18"/>
                  <w:color w:val="0000EE"/>
                  <w:w w:val="87"/>
                </w:rPr>
                <w:t>Ratios of Earnings to Fixed Charges</w:t>
              </w:r>
            </w:hyperlink>
          </w:p>
        </w:tc>
        <w:tc>
          <w:tcPr>
            <w:tcW w:w="1440" w:type="dxa"/>
            <w:vAlign w:val="bottom"/>
            <w:gridSpan w:val="5"/>
          </w:tcPr>
          <w:p>
            <w:pPr>
              <w:spacing w:after="0"/>
              <w:rPr>
                <w:sz w:val="17"/>
                <w:szCs w:val="17"/>
                <w:color w:val="auto"/>
              </w:rPr>
            </w:pPr>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S-11</w:t>
            </w:r>
          </w:p>
        </w:tc>
        <w:tc>
          <w:tcPr>
            <w:tcW w:w="0" w:type="dxa"/>
            <w:vAlign w:val="bottom"/>
          </w:tcPr>
          <w:p>
            <w:pPr>
              <w:spacing w:after="0"/>
              <w:rPr>
                <w:sz w:val="1"/>
                <w:szCs w:val="1"/>
                <w:color w:val="auto"/>
              </w:rPr>
            </w:pPr>
          </w:p>
        </w:tc>
      </w:tr>
      <w:tr>
        <w:trPr>
          <w:trHeight w:val="196"/>
        </w:trPr>
        <w:tc>
          <w:tcPr>
            <w:tcW w:w="4000" w:type="dxa"/>
            <w:vAlign w:val="bottom"/>
            <w:gridSpan w:val="21"/>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Description of the Notes</w:t>
              </w:r>
            </w:hyperlink>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25">
              <w:r>
                <w:rPr>
                  <w:rFonts w:ascii="Arial" w:cs="Arial" w:eastAsia="Arial" w:hAnsi="Arial"/>
                  <w:sz w:val="18"/>
                  <w:szCs w:val="18"/>
                  <w:color w:val="0000EE"/>
                  <w:w w:val="87"/>
                </w:rPr>
                <w:t>Material U.S. Federal Income Tax Consequences</w:t>
              </w:r>
            </w:hyperlink>
          </w:p>
        </w:tc>
        <w:tc>
          <w:tcPr>
            <w:tcW w:w="540" w:type="dxa"/>
            <w:vAlign w:val="bottom"/>
            <w:gridSpan w:val="3"/>
          </w:tcPr>
          <w:p>
            <w:pPr>
              <w:spacing w:after="0"/>
              <w:rPr>
                <w:sz w:val="17"/>
                <w:szCs w:val="17"/>
                <w:color w:val="auto"/>
              </w:rPr>
            </w:pPr>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S-20</w:t>
            </w: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28">
              <w:r>
                <w:rPr>
                  <w:rFonts w:ascii="Arial" w:cs="Arial" w:eastAsia="Arial" w:hAnsi="Arial"/>
                  <w:sz w:val="18"/>
                  <w:szCs w:val="18"/>
                  <w:color w:val="0000EE"/>
                  <w:w w:val="93"/>
                </w:rPr>
                <w:t>Underwriting</w:t>
              </w:r>
            </w:hyperlink>
          </w:p>
        </w:tc>
        <w:tc>
          <w:tcPr>
            <w:tcW w:w="3040" w:type="dxa"/>
            <w:vAlign w:val="bottom"/>
            <w:gridSpan w:val="17"/>
          </w:tcPr>
          <w:p>
            <w:pPr>
              <w:spacing w:after="0"/>
              <w:rPr>
                <w:sz w:val="17"/>
                <w:szCs w:val="17"/>
                <w:color w:val="auto"/>
              </w:rPr>
            </w:pPr>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S-23</w:t>
            </w:r>
          </w:p>
        </w:tc>
        <w:tc>
          <w:tcPr>
            <w:tcW w:w="0" w:type="dxa"/>
            <w:vAlign w:val="bottom"/>
          </w:tcPr>
          <w:p>
            <w:pPr>
              <w:spacing w:after="0"/>
              <w:rPr>
                <w:sz w:val="1"/>
                <w:szCs w:val="1"/>
                <w:color w:val="auto"/>
              </w:rPr>
            </w:pPr>
          </w:p>
        </w:tc>
      </w:tr>
      <w:tr>
        <w:trPr>
          <w:trHeight w:val="196"/>
        </w:trPr>
        <w:tc>
          <w:tcPr>
            <w:tcW w:w="15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32">
              <w:r>
                <w:rPr>
                  <w:rFonts w:ascii="Arial" w:cs="Arial" w:eastAsia="Arial" w:hAnsi="Arial"/>
                  <w:sz w:val="18"/>
                  <w:szCs w:val="18"/>
                  <w:color w:val="0000EE"/>
                  <w:w w:val="91"/>
                </w:rPr>
                <w:t>Validity of Securities</w:t>
              </w:r>
            </w:hyperlink>
          </w:p>
        </w:tc>
        <w:tc>
          <w:tcPr>
            <w:tcW w:w="2500" w:type="dxa"/>
            <w:vAlign w:val="bottom"/>
            <w:gridSpan w:val="11"/>
          </w:tcPr>
          <w:p>
            <w:pPr>
              <w:spacing w:after="0"/>
              <w:rPr>
                <w:sz w:val="17"/>
                <w:szCs w:val="17"/>
                <w:color w:val="auto"/>
              </w:rPr>
            </w:pPr>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S-27</w:t>
            </w:r>
          </w:p>
        </w:tc>
        <w:tc>
          <w:tcPr>
            <w:tcW w:w="0" w:type="dxa"/>
            <w:vAlign w:val="bottom"/>
          </w:tcPr>
          <w:p>
            <w:pPr>
              <w:spacing w:after="0"/>
              <w:rPr>
                <w:sz w:val="1"/>
                <w:szCs w:val="1"/>
                <w:color w:val="auto"/>
              </w:rPr>
            </w:pPr>
          </w:p>
        </w:tc>
      </w:tr>
      <w:tr>
        <w:trPr>
          <w:trHeight w:val="196"/>
        </w:trPr>
        <w:tc>
          <w:tcPr>
            <w:tcW w:w="4000" w:type="dxa"/>
            <w:vAlign w:val="bottom"/>
            <w:gridSpan w:val="21"/>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Experts</w:t>
              </w:r>
            </w:hyperlink>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gridSpan w:val="21"/>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Where You Can Find More Information</w:t>
              </w:r>
            </w:hyperlink>
          </w:p>
        </w:tc>
        <w:tc>
          <w:tcPr>
            <w:tcW w:w="8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S-27</w:t>
            </w:r>
          </w:p>
        </w:tc>
        <w:tc>
          <w:tcPr>
            <w:tcW w:w="0" w:type="dxa"/>
            <w:vAlign w:val="bottom"/>
          </w:tcPr>
          <w:p>
            <w:pPr>
              <w:spacing w:after="0"/>
              <w:rPr>
                <w:sz w:val="1"/>
                <w:szCs w:val="1"/>
                <w:color w:val="auto"/>
              </w:rPr>
            </w:pPr>
          </w:p>
        </w:tc>
      </w:tr>
      <w:tr>
        <w:trPr>
          <w:trHeight w:val="451"/>
        </w:trPr>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60" w:type="dxa"/>
            <w:vAlign w:val="bottom"/>
            <w:gridSpan w:val="3"/>
          </w:tcPr>
          <w:p>
            <w:pPr>
              <w:jc w:val="right"/>
              <w:ind w:right="5454"/>
              <w:spacing w:after="0"/>
              <w:rPr>
                <w:sz w:val="20"/>
                <w:szCs w:val="20"/>
                <w:color w:val="auto"/>
              </w:rPr>
            </w:pPr>
            <w:r>
              <w:rPr>
                <w:rFonts w:ascii="Arial" w:cs="Arial" w:eastAsia="Arial" w:hAnsi="Arial"/>
                <w:sz w:val="18"/>
                <w:szCs w:val="18"/>
                <w:b w:val="1"/>
                <w:bCs w:val="1"/>
                <w:color w:val="auto"/>
                <w:w w:val="91"/>
              </w:rPr>
              <w:t>Prospectus</w:t>
            </w:r>
          </w:p>
        </w:tc>
        <w:tc>
          <w:tcPr>
            <w:tcW w:w="0" w:type="dxa"/>
            <w:vAlign w:val="bottom"/>
          </w:tcPr>
          <w:p>
            <w:pPr>
              <w:spacing w:after="0"/>
              <w:rPr>
                <w:sz w:val="1"/>
                <w:szCs w:val="1"/>
                <w:color w:val="auto"/>
              </w:rPr>
            </w:pPr>
          </w:p>
        </w:tc>
      </w:tr>
      <w:tr>
        <w:trPr>
          <w:trHeight w:val="286"/>
        </w:trPr>
        <w:tc>
          <w:tcPr>
            <w:tcW w:w="4000" w:type="dxa"/>
            <w:vAlign w:val="bottom"/>
            <w:gridSpan w:val="21"/>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The Company</w:t>
              </w:r>
            </w:hyperlink>
          </w:p>
        </w:tc>
        <w:tc>
          <w:tcPr>
            <w:tcW w:w="732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000" w:type="dxa"/>
            <w:vAlign w:val="bottom"/>
            <w:gridSpan w:val="5"/>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gridSpan w:val="21"/>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About this Prospectus</w:t>
              </w:r>
            </w:hyperlink>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38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gridSpan w:val="21"/>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Where You Can Find More Information</w:t>
              </w:r>
            </w:hyperlink>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38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Caution Concerning Forward-Looking Statements</w:t>
              </w:r>
            </w:hyperlink>
          </w:p>
        </w:tc>
        <w:tc>
          <w:tcPr>
            <w:tcW w:w="460" w:type="dxa"/>
            <w:vAlign w:val="bottom"/>
          </w:tcPr>
          <w:p>
            <w:pPr>
              <w:spacing w:after="0"/>
              <w:rPr>
                <w:sz w:val="17"/>
                <w:szCs w:val="17"/>
                <w:color w:val="auto"/>
              </w:rPr>
            </w:pPr>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000" w:type="dxa"/>
            <w:vAlign w:val="bottom"/>
            <w:gridSpan w:val="21"/>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Use of Proceeds</w:t>
              </w:r>
            </w:hyperlink>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4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7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6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Ratios of Earnings to Fixed Charges</w:t>
              </w:r>
            </w:hyperlink>
          </w:p>
        </w:tc>
        <w:tc>
          <w:tcPr>
            <w:tcW w:w="1440" w:type="dxa"/>
            <w:vAlign w:val="bottom"/>
            <w:gridSpan w:val="5"/>
          </w:tcPr>
          <w:p>
            <w:pPr>
              <w:spacing w:after="0"/>
              <w:rPr>
                <w:sz w:val="17"/>
                <w:szCs w:val="17"/>
                <w:color w:val="auto"/>
              </w:rPr>
            </w:pPr>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Description of Capital Stock</w:t>
              </w:r>
            </w:hyperlink>
          </w:p>
        </w:tc>
        <w:tc>
          <w:tcPr>
            <w:tcW w:w="1980" w:type="dxa"/>
            <w:vAlign w:val="bottom"/>
            <w:gridSpan w:val="8"/>
          </w:tcPr>
          <w:p>
            <w:pPr>
              <w:spacing w:after="0"/>
              <w:rPr>
                <w:sz w:val="17"/>
                <w:szCs w:val="17"/>
                <w:color w:val="auto"/>
              </w:rPr>
            </w:pPr>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Description of Debt Securities</w:t>
              </w:r>
            </w:hyperlink>
          </w:p>
        </w:tc>
        <w:tc>
          <w:tcPr>
            <w:tcW w:w="1860" w:type="dxa"/>
            <w:vAlign w:val="bottom"/>
            <w:gridSpan w:val="7"/>
          </w:tcPr>
          <w:p>
            <w:pPr>
              <w:spacing w:after="0"/>
              <w:rPr>
                <w:sz w:val="17"/>
                <w:szCs w:val="17"/>
                <w:color w:val="auto"/>
              </w:rPr>
            </w:pPr>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7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Description of Warrants</w:t>
              </w:r>
            </w:hyperlink>
          </w:p>
        </w:tc>
        <w:tc>
          <w:tcPr>
            <w:tcW w:w="2280" w:type="dxa"/>
            <w:vAlign w:val="bottom"/>
            <w:gridSpan w:val="9"/>
          </w:tcPr>
          <w:p>
            <w:pPr>
              <w:spacing w:after="0"/>
              <w:rPr>
                <w:sz w:val="17"/>
                <w:szCs w:val="17"/>
                <w:color w:val="auto"/>
              </w:rPr>
            </w:pPr>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4000" w:type="dxa"/>
            <w:vAlign w:val="bottom"/>
            <w:gridSpan w:val="21"/>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Description of Units</w:t>
              </w:r>
            </w:hyperlink>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tcBorders>
            <w:gridSpan w:val="9"/>
          </w:tcPr>
          <w:p>
            <w:pPr>
              <w:spacing w:after="0" w:line="196"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Forms of Securities</w:t>
              </w:r>
            </w:hyperlink>
          </w:p>
        </w:tc>
        <w:tc>
          <w:tcPr>
            <w:tcW w:w="2560" w:type="dxa"/>
            <w:vAlign w:val="bottom"/>
            <w:gridSpan w:val="12"/>
          </w:tcPr>
          <w:p>
            <w:pPr>
              <w:spacing w:after="0"/>
              <w:rPr>
                <w:sz w:val="17"/>
                <w:szCs w:val="17"/>
                <w:color w:val="auto"/>
              </w:rPr>
            </w:pPr>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38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gridSpan w:val="13"/>
          </w:tcPr>
          <w:p>
            <w:pPr>
              <w:spacing w:after="0" w:line="20" w:lineRule="exact"/>
              <w:rPr>
                <w:sz w:val="1"/>
                <w:szCs w:val="1"/>
                <w:color w:val="auto"/>
              </w:rPr>
            </w:pPr>
          </w:p>
        </w:tc>
        <w:tc>
          <w:tcPr>
            <w:tcW w:w="7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gridSpan w:val="21"/>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Plan of Distribution</w:t>
              </w:r>
            </w:hyperlink>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400" w:type="dxa"/>
            <w:vAlign w:val="bottom"/>
            <w:gridSpan w:val="8"/>
            <w:shd w:val="clear" w:color="auto" w:fill="0000EE"/>
          </w:tcPr>
          <w:p>
            <w:pPr>
              <w:spacing w:after="0" w:line="20" w:lineRule="exact"/>
              <w:rPr>
                <w:sz w:val="1"/>
                <w:szCs w:val="1"/>
                <w:color w:val="auto"/>
              </w:rPr>
            </w:pPr>
          </w:p>
        </w:tc>
        <w:tc>
          <w:tcPr>
            <w:tcW w:w="2600" w:type="dxa"/>
            <w:vAlign w:val="bottom"/>
            <w:gridSpan w:val="13"/>
          </w:tcPr>
          <w:p>
            <w:pPr>
              <w:spacing w:after="0" w:line="20" w:lineRule="exact"/>
              <w:rPr>
                <w:sz w:val="1"/>
                <w:szCs w:val="1"/>
                <w:color w:val="auto"/>
              </w:rPr>
            </w:pPr>
          </w:p>
        </w:tc>
        <w:tc>
          <w:tcPr>
            <w:tcW w:w="7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55">
              <w:r>
                <w:rPr>
                  <w:rFonts w:ascii="Arial" w:cs="Arial" w:eastAsia="Arial" w:hAnsi="Arial"/>
                  <w:sz w:val="18"/>
                  <w:szCs w:val="18"/>
                  <w:color w:val="0000EE"/>
                  <w:w w:val="91"/>
                </w:rPr>
                <w:t>Validity of Securities</w:t>
              </w:r>
            </w:hyperlink>
          </w:p>
        </w:tc>
        <w:tc>
          <w:tcPr>
            <w:tcW w:w="2500" w:type="dxa"/>
            <w:vAlign w:val="bottom"/>
            <w:gridSpan w:val="11"/>
          </w:tcPr>
          <w:p>
            <w:pPr>
              <w:spacing w:after="0"/>
              <w:rPr>
                <w:sz w:val="17"/>
                <w:szCs w:val="17"/>
                <w:color w:val="auto"/>
              </w:rPr>
            </w:pPr>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4000" w:type="dxa"/>
            <w:vAlign w:val="bottom"/>
            <w:gridSpan w:val="21"/>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Experts</w:t>
              </w:r>
            </w:hyperlink>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CAUTIONARY NOTE ON FORWARD-LOOKING STATEMENTS</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supplement, the accompanying prospectus and documents that are incorporated by reference in this prospectus supplement include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0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37" w:lineRule="exact"/>
        <w:rPr>
          <w:sz w:val="20"/>
          <w:szCs w:val="20"/>
          <w:color w:val="auto"/>
        </w:rPr>
      </w:pPr>
    </w:p>
    <w:p>
      <w:pPr>
        <w:ind w:left="660" w:hanging="206"/>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Market demand for semiconductors, particularly in markets such as personal electronics, especially the mobile phone sector, and industrial;</w:t>
      </w:r>
    </w:p>
    <w:p>
      <w:pPr>
        <w:spacing w:after="0" w:line="126" w:lineRule="exact"/>
        <w:rPr>
          <w:rFonts w:ascii="Arial" w:cs="Arial" w:eastAsia="Arial" w:hAnsi="Arial"/>
          <w:sz w:val="16"/>
          <w:szCs w:val="16"/>
          <w:color w:val="auto"/>
        </w:rPr>
      </w:pPr>
    </w:p>
    <w:p>
      <w:pPr>
        <w:ind w:left="660" w:right="520" w:hanging="206"/>
        <w:spacing w:after="0" w:line="26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103" w:lineRule="exact"/>
        <w:rPr>
          <w:rFonts w:ascii="Arial" w:cs="Arial" w:eastAsia="Arial" w:hAnsi="Arial"/>
          <w:sz w:val="18"/>
          <w:szCs w:val="18"/>
          <w:color w:val="auto"/>
        </w:rPr>
      </w:pPr>
    </w:p>
    <w:p>
      <w:pPr>
        <w:ind w:left="660" w:right="200" w:hanging="206"/>
        <w:spacing w:after="0" w:line="306"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Violations of or changes in the complex laws, regulations and policies to which our global operations are subject, and 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12" w:lineRule="exact"/>
        <w:rPr>
          <w:rFonts w:ascii="Arial" w:cs="Arial" w:eastAsia="Arial" w:hAnsi="Arial"/>
          <w:sz w:val="16"/>
          <w:szCs w:val="16"/>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26" w:lineRule="exact"/>
        <w:rPr>
          <w:rFonts w:ascii="Arial" w:cs="Arial" w:eastAsia="Arial" w:hAnsi="Arial"/>
          <w:sz w:val="16"/>
          <w:szCs w:val="16"/>
          <w:color w:val="auto"/>
        </w:rPr>
      </w:pPr>
    </w:p>
    <w:p>
      <w:pPr>
        <w:ind w:left="660" w:right="40" w:hanging="206"/>
        <w:spacing w:after="0" w:line="26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37" w:lineRule="exact"/>
        <w:rPr>
          <w:rFonts w:ascii="Arial" w:cs="Arial" w:eastAsia="Arial" w:hAnsi="Arial"/>
          <w:sz w:val="18"/>
          <w:szCs w:val="18"/>
          <w:color w:val="auto"/>
        </w:rPr>
      </w:pPr>
    </w:p>
    <w:p>
      <w:pPr>
        <w:ind w:left="660" w:right="80" w:hanging="206"/>
        <w:spacing w:after="0" w:line="325"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660" w:hanging="206"/>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TI’s detriment;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loss suffered by a customer or distributor of TI with respect to TI-consigned inventory;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260"/>
          </w:cols>
          <w:pgMar w:left="240" w:top="459" w:right="3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Product liability or warranty claims, claims based on epidemic or delivery failure or recalls by TI customers for a product containing a TI part;</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103" w:lineRule="exact"/>
        <w:rPr>
          <w:rFonts w:ascii="Arial" w:cs="Arial" w:eastAsia="Arial" w:hAnsi="Arial"/>
          <w:sz w:val="18"/>
          <w:szCs w:val="18"/>
          <w:color w:val="auto"/>
        </w:rPr>
      </w:pPr>
    </w:p>
    <w:p>
      <w:pPr>
        <w:ind w:left="660" w:right="60" w:hanging="206"/>
        <w:spacing w:after="0" w:line="26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103"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successfully integrate and realize opportunities for growth from acquisitions, and our ability to realize our expectations regarding the amount and timing of restructuring charges and associated cost savings; and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Breaches of our information technology systems.</w:t>
      </w:r>
    </w:p>
    <w:p>
      <w:pPr>
        <w:spacing w:after="0" w:line="1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undertake no obligation to publicly update or revise any forward-looking statements, whether as a result of new information, future events or risks, except to the extent required by applicable securities laws. If we do update one or more forward-looking statements, no inference should be drawn that we will make additional updates with respect to those or other forward-looking statements. New information, future events or risks could cause the forward-looking events we discuss in this prospectus supplement, the accompanying prospectus or the documents incorporated herein by reference not to occur. Additional information concerning these and other risks and uncertainties is contained in our periodic filings with the Securities and Exchange Commission.</w:t>
      </w:r>
    </w:p>
    <w:p>
      <w:pPr>
        <w:spacing w:after="0" w:line="10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160"/>
          </w:cols>
          <w:pgMar w:left="24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ABOUT THIS PROSPECTUS SUPPLEMENT</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document is in two parts. The first is this prospectus supplement, which describes the specific terms of this offering. This prospectus supplement also incorporates by reference the information described under “Where You Can Find More Information.” The second part is the accompanying prospectus dated February 22, 2013. The accompanying prospectus contains a description of our debt securities and gives more general information, some of which may not apply to this offering.</w:t>
      </w:r>
    </w:p>
    <w:p>
      <w:pPr>
        <w:spacing w:after="0" w:line="13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the description of this offering varies between this prospectus supplement and the accompanying prospectus, you should rely on the information in this prospectus supplement.</w:t>
      </w:r>
    </w:p>
    <w:p>
      <w:pPr>
        <w:spacing w:after="0" w:line="112"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Unless we have indicated otherwise, references in this prospectus supplement to “TI,” “we,” “us” and “our” or similar terms are to Texas Instruments Incorporated and its consolidated subsidiaries; references in this prospectus supplement to “Texas Instruments Incorporated” excludes its consolidated subsidiaries.</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340"/>
          </w:cols>
          <w:pgMar w:left="240" w:top="459" w:right="3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w:t>
      </w:r>
    </w:p>
    <w:p>
      <w:pPr>
        <w:spacing w:after="0" w:line="16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i w:val="1"/>
          <w:iCs w:val="1"/>
          <w:color w:val="auto"/>
        </w:rPr>
        <w:t>The following summary highlights information contained in or incorporated by reference in this prospectus supplement and the accompanying prospectus. It may not contain all of the information that you should consider before investing in the Notes. You should carefully read this entire prospectus supplement, as well as the accompanying prospectus and the documents incorporated by reference herein that are described under “Where You Can Find More Information.”</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Texas Instruments Incorporated</w:t>
      </w:r>
    </w:p>
    <w:p>
      <w:pPr>
        <w:spacing w:after="0" w:line="16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At TI, we design and make semiconductors that we sell to electronics designers and manufacturers all over the world. We began operations in 1930. We are incorporated in Delaware, headquartered in Dallas, Texas, and have design, manufacturing or sales operations in 35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102235</wp:posOffset>
            </wp:positionV>
            <wp:extent cx="10890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2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principal executive offices are located at 12500 TI Boulevard, Dallas, Texas 75266-0199, and our telephone number is (214) 479-3773. We maintain a website at www.ti.com where general information about us is available. Again, we are not incorporating the contents of the website into this prospectus supplement or the accompanying prospectus.</w:t>
      </w:r>
    </w:p>
    <w:p>
      <w:pPr>
        <w:spacing w:after="0" w:line="12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Securities and Exchange Commission incorporated by reference in this prospectus supplement. For instructions on how to find copies of these and our other filings incorporated by reference in this prospectus supplement, see “Where You Can Find More Information.”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Offering</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summary below describes the principal terms of the Notes. Certain of the terms and conditions described below are subject to important limitations and exceptions. The “Description of the Notes” section of this prospectus supplement and the “Description of Debt Securities” section of the accompanying prospectus contain a more detailed description of the terms and conditions of the Notes.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980" w:type="dxa"/>
            <w:vAlign w:val="bottom"/>
          </w:tcPr>
          <w:p>
            <w:pPr>
              <w:spacing w:after="0"/>
              <w:rPr>
                <w:sz w:val="20"/>
                <w:szCs w:val="20"/>
                <w:color w:val="auto"/>
              </w:rPr>
            </w:pPr>
            <w:r>
              <w:rPr>
                <w:rFonts w:ascii="Arial" w:cs="Arial" w:eastAsia="Arial" w:hAnsi="Arial"/>
                <w:sz w:val="18"/>
                <w:szCs w:val="18"/>
                <w:color w:val="auto"/>
              </w:rPr>
              <w:t>Issuer</w:t>
            </w:r>
          </w:p>
        </w:tc>
        <w:tc>
          <w:tcPr>
            <w:tcW w:w="3500" w:type="dxa"/>
            <w:vAlign w:val="bottom"/>
            <w:gridSpan w:val="3"/>
          </w:tcPr>
          <w:p>
            <w:pPr>
              <w:ind w:left="1260"/>
              <w:spacing w:after="0"/>
              <w:rPr>
                <w:sz w:val="20"/>
                <w:szCs w:val="20"/>
                <w:color w:val="auto"/>
              </w:rPr>
            </w:pPr>
            <w:r>
              <w:rPr>
                <w:rFonts w:ascii="Arial" w:cs="Arial" w:eastAsia="Arial" w:hAnsi="Arial"/>
                <w:sz w:val="18"/>
                <w:szCs w:val="18"/>
                <w:color w:val="auto"/>
                <w:w w:val="87"/>
              </w:rPr>
              <w:t>Texas Instruments Incorporated</w:t>
            </w:r>
          </w:p>
        </w:tc>
        <w:tc>
          <w:tcPr>
            <w:tcW w:w="640" w:type="dxa"/>
            <w:vAlign w:val="bottom"/>
          </w:tcPr>
          <w:p>
            <w:pPr>
              <w:spacing w:after="0"/>
              <w:rPr>
                <w:sz w:val="19"/>
                <w:szCs w:val="19"/>
                <w:color w:val="auto"/>
              </w:rPr>
            </w:pPr>
          </w:p>
        </w:tc>
        <w:tc>
          <w:tcPr>
            <w:tcW w:w="4280" w:type="dxa"/>
            <w:vAlign w:val="bottom"/>
          </w:tcPr>
          <w:p>
            <w:pPr>
              <w:spacing w:after="0"/>
              <w:rPr>
                <w:sz w:val="19"/>
                <w:szCs w:val="19"/>
                <w:color w:val="auto"/>
              </w:rPr>
            </w:pPr>
          </w:p>
        </w:tc>
      </w:tr>
      <w:tr>
        <w:trPr>
          <w:trHeight w:val="426"/>
        </w:trPr>
        <w:tc>
          <w:tcPr>
            <w:tcW w:w="2980" w:type="dxa"/>
            <w:vAlign w:val="bottom"/>
          </w:tcPr>
          <w:p>
            <w:pPr>
              <w:spacing w:after="0"/>
              <w:rPr>
                <w:sz w:val="20"/>
                <w:szCs w:val="20"/>
                <w:color w:val="auto"/>
              </w:rPr>
            </w:pPr>
            <w:r>
              <w:rPr>
                <w:rFonts w:ascii="Arial" w:cs="Arial" w:eastAsia="Arial" w:hAnsi="Arial"/>
                <w:sz w:val="18"/>
                <w:szCs w:val="18"/>
                <w:color w:val="auto"/>
              </w:rPr>
              <w:t>Securities Offered</w:t>
            </w:r>
          </w:p>
        </w:tc>
        <w:tc>
          <w:tcPr>
            <w:tcW w:w="1720" w:type="dxa"/>
            <w:vAlign w:val="bottom"/>
          </w:tcPr>
          <w:p>
            <w:pPr>
              <w:ind w:left="1260"/>
              <w:spacing w:after="0"/>
              <w:rPr>
                <w:sz w:val="20"/>
                <w:szCs w:val="20"/>
                <w:color w:val="auto"/>
              </w:rPr>
            </w:pPr>
            <w:r>
              <w:rPr>
                <w:rFonts w:ascii="Arial" w:cs="Arial" w:eastAsia="Arial" w:hAnsi="Arial"/>
                <w:sz w:val="18"/>
                <w:szCs w:val="18"/>
                <w:color w:val="auto"/>
              </w:rPr>
              <w:t>$</w:t>
            </w:r>
          </w:p>
        </w:tc>
        <w:tc>
          <w:tcPr>
            <w:tcW w:w="2420" w:type="dxa"/>
            <w:vAlign w:val="bottom"/>
            <w:gridSpan w:val="3"/>
          </w:tcPr>
          <w:p>
            <w:pPr>
              <w:ind w:left="20"/>
              <w:spacing w:after="0"/>
              <w:rPr>
                <w:sz w:val="20"/>
                <w:szCs w:val="20"/>
                <w:color w:val="auto"/>
              </w:rPr>
            </w:pPr>
            <w:r>
              <w:rPr>
                <w:rFonts w:ascii="Arial" w:cs="Arial" w:eastAsia="Arial" w:hAnsi="Arial"/>
                <w:sz w:val="18"/>
                <w:szCs w:val="18"/>
                <w:color w:val="auto"/>
                <w:w w:val="99"/>
              </w:rPr>
              <w:t>aggregate principal amount of</w:t>
            </w:r>
          </w:p>
        </w:tc>
        <w:tc>
          <w:tcPr>
            <w:tcW w:w="4280" w:type="dxa"/>
            <w:vAlign w:val="bottom"/>
          </w:tcPr>
          <w:p>
            <w:pPr>
              <w:ind w:left="100"/>
              <w:spacing w:after="0"/>
              <w:rPr>
                <w:sz w:val="20"/>
                <w:szCs w:val="20"/>
                <w:color w:val="auto"/>
              </w:rPr>
            </w:pPr>
            <w:r>
              <w:rPr>
                <w:rFonts w:ascii="Arial" w:cs="Arial" w:eastAsia="Arial" w:hAnsi="Arial"/>
                <w:sz w:val="18"/>
                <w:szCs w:val="18"/>
                <w:color w:val="auto"/>
              </w:rPr>
              <w:t>% Notes due 20</w:t>
            </w:r>
          </w:p>
        </w:tc>
      </w:tr>
      <w:tr>
        <w:trPr>
          <w:trHeight w:val="222"/>
        </w:trPr>
        <w:tc>
          <w:tcPr>
            <w:tcW w:w="2980" w:type="dxa"/>
            <w:vAlign w:val="bottom"/>
          </w:tcPr>
          <w:p>
            <w:pPr>
              <w:spacing w:after="0"/>
              <w:rPr>
                <w:sz w:val="19"/>
                <w:szCs w:val="19"/>
                <w:color w:val="auto"/>
              </w:rPr>
            </w:pPr>
          </w:p>
        </w:tc>
        <w:tc>
          <w:tcPr>
            <w:tcW w:w="1720" w:type="dxa"/>
            <w:vAlign w:val="bottom"/>
          </w:tcPr>
          <w:p>
            <w:pPr>
              <w:ind w:left="1260"/>
              <w:spacing w:after="0"/>
              <w:rPr>
                <w:sz w:val="20"/>
                <w:szCs w:val="20"/>
                <w:color w:val="auto"/>
              </w:rPr>
            </w:pPr>
            <w:r>
              <w:rPr>
                <w:rFonts w:ascii="Arial" w:cs="Arial" w:eastAsia="Arial" w:hAnsi="Arial"/>
                <w:sz w:val="18"/>
                <w:szCs w:val="18"/>
                <w:color w:val="auto"/>
              </w:rPr>
              <w:t>$</w:t>
            </w:r>
          </w:p>
        </w:tc>
        <w:tc>
          <w:tcPr>
            <w:tcW w:w="2420" w:type="dxa"/>
            <w:vAlign w:val="bottom"/>
            <w:gridSpan w:val="3"/>
          </w:tcPr>
          <w:p>
            <w:pPr>
              <w:ind w:left="20"/>
              <w:spacing w:after="0"/>
              <w:rPr>
                <w:sz w:val="20"/>
                <w:szCs w:val="20"/>
                <w:color w:val="auto"/>
              </w:rPr>
            </w:pPr>
            <w:r>
              <w:rPr>
                <w:rFonts w:ascii="Arial" w:cs="Arial" w:eastAsia="Arial" w:hAnsi="Arial"/>
                <w:sz w:val="18"/>
                <w:szCs w:val="18"/>
                <w:color w:val="auto"/>
                <w:w w:val="99"/>
              </w:rPr>
              <w:t>aggregate principal amount of</w:t>
            </w:r>
          </w:p>
        </w:tc>
        <w:tc>
          <w:tcPr>
            <w:tcW w:w="4280" w:type="dxa"/>
            <w:vAlign w:val="bottom"/>
          </w:tcPr>
          <w:p>
            <w:pPr>
              <w:ind w:left="100"/>
              <w:spacing w:after="0"/>
              <w:rPr>
                <w:sz w:val="20"/>
                <w:szCs w:val="20"/>
                <w:color w:val="auto"/>
              </w:rPr>
            </w:pPr>
            <w:r>
              <w:rPr>
                <w:rFonts w:ascii="Arial" w:cs="Arial" w:eastAsia="Arial" w:hAnsi="Arial"/>
                <w:sz w:val="18"/>
                <w:szCs w:val="18"/>
                <w:color w:val="auto"/>
              </w:rPr>
              <w:t>% Notes due 20</w:t>
            </w:r>
          </w:p>
        </w:tc>
      </w:tr>
      <w:tr>
        <w:trPr>
          <w:trHeight w:val="439"/>
        </w:trPr>
        <w:tc>
          <w:tcPr>
            <w:tcW w:w="2980" w:type="dxa"/>
            <w:vAlign w:val="bottom"/>
          </w:tcPr>
          <w:p>
            <w:pPr>
              <w:spacing w:after="0"/>
              <w:rPr>
                <w:sz w:val="20"/>
                <w:szCs w:val="20"/>
                <w:color w:val="auto"/>
              </w:rPr>
            </w:pPr>
            <w:r>
              <w:rPr>
                <w:rFonts w:ascii="Arial" w:cs="Arial" w:eastAsia="Arial" w:hAnsi="Arial"/>
                <w:sz w:val="18"/>
                <w:szCs w:val="18"/>
                <w:color w:val="auto"/>
              </w:rPr>
              <w:t>Maturity Dates</w:t>
            </w:r>
          </w:p>
        </w:tc>
        <w:tc>
          <w:tcPr>
            <w:tcW w:w="17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 20</w:t>
            </w:r>
          </w:p>
        </w:tc>
        <w:tc>
          <w:tcPr>
            <w:tcW w:w="1020" w:type="dxa"/>
            <w:vAlign w:val="bottom"/>
          </w:tcPr>
          <w:p>
            <w:pPr>
              <w:ind w:left="140"/>
              <w:spacing w:after="0"/>
              <w:rPr>
                <w:sz w:val="20"/>
                <w:szCs w:val="20"/>
                <w:color w:val="auto"/>
              </w:rPr>
            </w:pPr>
            <w:r>
              <w:rPr>
                <w:rFonts w:ascii="Arial" w:cs="Arial" w:eastAsia="Arial" w:hAnsi="Arial"/>
                <w:sz w:val="18"/>
                <w:szCs w:val="18"/>
                <w:color w:val="auto"/>
              </w:rPr>
              <w:t>for the 20</w:t>
            </w:r>
          </w:p>
        </w:tc>
        <w:tc>
          <w:tcPr>
            <w:tcW w:w="640" w:type="dxa"/>
            <w:vAlign w:val="bottom"/>
          </w:tcPr>
          <w:p>
            <w:pPr>
              <w:ind w:left="20"/>
              <w:spacing w:after="0"/>
              <w:rPr>
                <w:sz w:val="20"/>
                <w:szCs w:val="20"/>
                <w:color w:val="auto"/>
              </w:rPr>
            </w:pPr>
            <w:r>
              <w:rPr>
                <w:rFonts w:ascii="Arial" w:cs="Arial" w:eastAsia="Arial" w:hAnsi="Arial"/>
                <w:sz w:val="18"/>
                <w:szCs w:val="18"/>
                <w:color w:val="auto"/>
              </w:rPr>
              <w:t>Notes</w:t>
            </w:r>
          </w:p>
        </w:tc>
        <w:tc>
          <w:tcPr>
            <w:tcW w:w="4280" w:type="dxa"/>
            <w:vAlign w:val="bottom"/>
          </w:tcPr>
          <w:p>
            <w:pPr>
              <w:spacing w:after="0"/>
              <w:rPr>
                <w:sz w:val="24"/>
                <w:szCs w:val="24"/>
                <w:color w:val="auto"/>
              </w:rPr>
            </w:pPr>
          </w:p>
        </w:tc>
      </w:tr>
      <w:tr>
        <w:trPr>
          <w:trHeight w:val="222"/>
        </w:trPr>
        <w:tc>
          <w:tcPr>
            <w:tcW w:w="29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 20</w:t>
            </w:r>
          </w:p>
        </w:tc>
        <w:tc>
          <w:tcPr>
            <w:tcW w:w="1020" w:type="dxa"/>
            <w:vAlign w:val="bottom"/>
          </w:tcPr>
          <w:p>
            <w:pPr>
              <w:ind w:left="140"/>
              <w:spacing w:after="0"/>
              <w:rPr>
                <w:sz w:val="20"/>
                <w:szCs w:val="20"/>
                <w:color w:val="auto"/>
              </w:rPr>
            </w:pPr>
            <w:r>
              <w:rPr>
                <w:rFonts w:ascii="Arial" w:cs="Arial" w:eastAsia="Arial" w:hAnsi="Arial"/>
                <w:sz w:val="18"/>
                <w:szCs w:val="18"/>
                <w:color w:val="auto"/>
              </w:rPr>
              <w:t>for the 20</w:t>
            </w:r>
          </w:p>
        </w:tc>
        <w:tc>
          <w:tcPr>
            <w:tcW w:w="640" w:type="dxa"/>
            <w:vAlign w:val="bottom"/>
          </w:tcPr>
          <w:p>
            <w:pPr>
              <w:ind w:left="20"/>
              <w:spacing w:after="0"/>
              <w:rPr>
                <w:sz w:val="20"/>
                <w:szCs w:val="20"/>
                <w:color w:val="auto"/>
              </w:rPr>
            </w:pPr>
            <w:r>
              <w:rPr>
                <w:rFonts w:ascii="Arial" w:cs="Arial" w:eastAsia="Arial" w:hAnsi="Arial"/>
                <w:sz w:val="18"/>
                <w:szCs w:val="18"/>
                <w:color w:val="auto"/>
              </w:rPr>
              <w:t>Notes</w:t>
            </w:r>
          </w:p>
        </w:tc>
        <w:tc>
          <w:tcPr>
            <w:tcW w:w="4280" w:type="dxa"/>
            <w:vAlign w:val="bottom"/>
          </w:tcPr>
          <w:p>
            <w:pPr>
              <w:spacing w:after="0"/>
              <w:rPr>
                <w:sz w:val="19"/>
                <w:szCs w:val="19"/>
                <w:color w:val="auto"/>
              </w:rPr>
            </w:pPr>
          </w:p>
        </w:tc>
      </w:tr>
      <w:tr>
        <w:trPr>
          <w:trHeight w:val="311"/>
        </w:trPr>
        <w:tc>
          <w:tcPr>
            <w:tcW w:w="2980" w:type="dxa"/>
            <w:vAlign w:val="bottom"/>
          </w:tcPr>
          <w:p>
            <w:pPr>
              <w:spacing w:after="0"/>
              <w:rPr>
                <w:sz w:val="20"/>
                <w:szCs w:val="20"/>
                <w:color w:val="auto"/>
              </w:rPr>
            </w:pPr>
            <w:r>
              <w:rPr>
                <w:rFonts w:ascii="Arial" w:cs="Arial" w:eastAsia="Arial" w:hAnsi="Arial"/>
                <w:sz w:val="18"/>
                <w:szCs w:val="18"/>
                <w:color w:val="auto"/>
              </w:rPr>
              <w:t>Original Issue Date</w:t>
            </w:r>
          </w:p>
        </w:tc>
        <w:tc>
          <w:tcPr>
            <w:tcW w:w="1720" w:type="dxa"/>
            <w:vAlign w:val="bottom"/>
          </w:tcPr>
          <w:p>
            <w:pPr>
              <w:ind w:left="1260"/>
              <w:spacing w:after="0"/>
              <w:rPr>
                <w:sz w:val="20"/>
                <w:szCs w:val="20"/>
                <w:color w:val="auto"/>
              </w:rPr>
            </w:pPr>
            <w:r>
              <w:rPr>
                <w:rFonts w:ascii="Arial" w:cs="Arial" w:eastAsia="Arial" w:hAnsi="Arial"/>
                <w:sz w:val="18"/>
                <w:szCs w:val="18"/>
                <w:color w:val="auto"/>
                <w:w w:val="87"/>
              </w:rPr>
              <w:t>March</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 2014</w:t>
            </w: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426"/>
        </w:trPr>
        <w:tc>
          <w:tcPr>
            <w:tcW w:w="2980" w:type="dxa"/>
            <w:vAlign w:val="bottom"/>
          </w:tcPr>
          <w:p>
            <w:pPr>
              <w:spacing w:after="0"/>
              <w:rPr>
                <w:sz w:val="20"/>
                <w:szCs w:val="20"/>
                <w:color w:val="auto"/>
              </w:rPr>
            </w:pPr>
            <w:r>
              <w:rPr>
                <w:rFonts w:ascii="Arial" w:cs="Arial" w:eastAsia="Arial" w:hAnsi="Arial"/>
                <w:sz w:val="18"/>
                <w:szCs w:val="18"/>
                <w:color w:val="auto"/>
              </w:rPr>
              <w:t>Interest Rates</w:t>
            </w:r>
          </w:p>
        </w:tc>
        <w:tc>
          <w:tcPr>
            <w:tcW w:w="2480" w:type="dxa"/>
            <w:vAlign w:val="bottom"/>
            <w:gridSpan w:val="2"/>
          </w:tcPr>
          <w:p>
            <w:pPr>
              <w:ind w:left="1260"/>
              <w:spacing w:after="0"/>
              <w:rPr>
                <w:sz w:val="20"/>
                <w:szCs w:val="20"/>
                <w:color w:val="auto"/>
              </w:rPr>
            </w:pPr>
            <w:r>
              <w:rPr>
                <w:rFonts w:ascii="Arial" w:cs="Arial" w:eastAsia="Arial" w:hAnsi="Arial"/>
                <w:sz w:val="18"/>
                <w:szCs w:val="18"/>
                <w:color w:val="auto"/>
              </w:rPr>
              <w:t>Fixed rate of</w:t>
            </w:r>
          </w:p>
        </w:tc>
        <w:tc>
          <w:tcPr>
            <w:tcW w:w="1020" w:type="dxa"/>
            <w:vAlign w:val="bottom"/>
          </w:tcPr>
          <w:p>
            <w:pPr>
              <w:ind w:left="60"/>
              <w:spacing w:after="0"/>
              <w:rPr>
                <w:sz w:val="20"/>
                <w:szCs w:val="20"/>
                <w:color w:val="auto"/>
              </w:rPr>
            </w:pPr>
            <w:r>
              <w:rPr>
                <w:rFonts w:ascii="Arial" w:cs="Arial" w:eastAsia="Arial" w:hAnsi="Arial"/>
                <w:sz w:val="18"/>
                <w:szCs w:val="18"/>
                <w:color w:val="auto"/>
                <w:w w:val="96"/>
              </w:rPr>
              <w:t>% for the 20</w:t>
            </w:r>
          </w:p>
        </w:tc>
        <w:tc>
          <w:tcPr>
            <w:tcW w:w="640" w:type="dxa"/>
            <w:vAlign w:val="bottom"/>
          </w:tcPr>
          <w:p>
            <w:pPr>
              <w:ind w:left="140"/>
              <w:spacing w:after="0"/>
              <w:rPr>
                <w:sz w:val="20"/>
                <w:szCs w:val="20"/>
                <w:color w:val="auto"/>
              </w:rPr>
            </w:pPr>
            <w:r>
              <w:rPr>
                <w:rFonts w:ascii="Arial" w:cs="Arial" w:eastAsia="Arial" w:hAnsi="Arial"/>
                <w:sz w:val="18"/>
                <w:szCs w:val="18"/>
                <w:color w:val="auto"/>
              </w:rPr>
              <w:t>Notes</w:t>
            </w:r>
          </w:p>
        </w:tc>
        <w:tc>
          <w:tcPr>
            <w:tcW w:w="4280" w:type="dxa"/>
            <w:vAlign w:val="bottom"/>
          </w:tcPr>
          <w:p>
            <w:pPr>
              <w:spacing w:after="0"/>
              <w:rPr>
                <w:sz w:val="24"/>
                <w:szCs w:val="24"/>
                <w:color w:val="auto"/>
              </w:rPr>
            </w:pPr>
          </w:p>
        </w:tc>
      </w:tr>
      <w:tr>
        <w:trPr>
          <w:trHeight w:val="222"/>
        </w:trPr>
        <w:tc>
          <w:tcPr>
            <w:tcW w:w="2980" w:type="dxa"/>
            <w:vAlign w:val="bottom"/>
          </w:tcPr>
          <w:p>
            <w:pPr>
              <w:spacing w:after="0"/>
              <w:rPr>
                <w:sz w:val="19"/>
                <w:szCs w:val="19"/>
                <w:color w:val="auto"/>
              </w:rPr>
            </w:pPr>
          </w:p>
        </w:tc>
        <w:tc>
          <w:tcPr>
            <w:tcW w:w="2480" w:type="dxa"/>
            <w:vAlign w:val="bottom"/>
            <w:gridSpan w:val="2"/>
          </w:tcPr>
          <w:p>
            <w:pPr>
              <w:ind w:left="1260"/>
              <w:spacing w:after="0"/>
              <w:rPr>
                <w:sz w:val="20"/>
                <w:szCs w:val="20"/>
                <w:color w:val="auto"/>
              </w:rPr>
            </w:pPr>
            <w:r>
              <w:rPr>
                <w:rFonts w:ascii="Arial" w:cs="Arial" w:eastAsia="Arial" w:hAnsi="Arial"/>
                <w:sz w:val="18"/>
                <w:szCs w:val="18"/>
                <w:color w:val="auto"/>
              </w:rPr>
              <w:t>Fixed rate of</w:t>
            </w:r>
          </w:p>
        </w:tc>
        <w:tc>
          <w:tcPr>
            <w:tcW w:w="1020" w:type="dxa"/>
            <w:vAlign w:val="bottom"/>
          </w:tcPr>
          <w:p>
            <w:pPr>
              <w:ind w:left="60"/>
              <w:spacing w:after="0"/>
              <w:rPr>
                <w:sz w:val="20"/>
                <w:szCs w:val="20"/>
                <w:color w:val="auto"/>
              </w:rPr>
            </w:pPr>
            <w:r>
              <w:rPr>
                <w:rFonts w:ascii="Arial" w:cs="Arial" w:eastAsia="Arial" w:hAnsi="Arial"/>
                <w:sz w:val="18"/>
                <w:szCs w:val="18"/>
                <w:color w:val="auto"/>
                <w:w w:val="96"/>
              </w:rPr>
              <w:t>% for the 20</w:t>
            </w:r>
          </w:p>
        </w:tc>
        <w:tc>
          <w:tcPr>
            <w:tcW w:w="640" w:type="dxa"/>
            <w:vAlign w:val="bottom"/>
          </w:tcPr>
          <w:p>
            <w:pPr>
              <w:ind w:left="140"/>
              <w:spacing w:after="0"/>
              <w:rPr>
                <w:sz w:val="20"/>
                <w:szCs w:val="20"/>
                <w:color w:val="auto"/>
              </w:rPr>
            </w:pPr>
            <w:r>
              <w:rPr>
                <w:rFonts w:ascii="Arial" w:cs="Arial" w:eastAsia="Arial" w:hAnsi="Arial"/>
                <w:sz w:val="18"/>
                <w:szCs w:val="18"/>
                <w:color w:val="auto"/>
              </w:rPr>
              <w:t>Notes</w:t>
            </w:r>
          </w:p>
        </w:tc>
        <w:tc>
          <w:tcPr>
            <w:tcW w:w="4280" w:type="dxa"/>
            <w:vAlign w:val="bottom"/>
          </w:tcPr>
          <w:p>
            <w:pPr>
              <w:spacing w:after="0"/>
              <w:rPr>
                <w:sz w:val="19"/>
                <w:szCs w:val="19"/>
                <w:color w:val="auto"/>
              </w:rPr>
            </w:pPr>
          </w:p>
        </w:tc>
      </w:tr>
      <w:tr>
        <w:trPr>
          <w:trHeight w:val="439"/>
        </w:trPr>
        <w:tc>
          <w:tcPr>
            <w:tcW w:w="2980" w:type="dxa"/>
            <w:vAlign w:val="bottom"/>
          </w:tcPr>
          <w:p>
            <w:pPr>
              <w:spacing w:after="0"/>
              <w:rPr>
                <w:sz w:val="20"/>
                <w:szCs w:val="20"/>
                <w:color w:val="auto"/>
              </w:rPr>
            </w:pPr>
            <w:r>
              <w:rPr>
                <w:rFonts w:ascii="Arial" w:cs="Arial" w:eastAsia="Arial" w:hAnsi="Arial"/>
                <w:sz w:val="18"/>
                <w:szCs w:val="18"/>
                <w:color w:val="auto"/>
              </w:rPr>
              <w:t>Interest Payment Dates</w:t>
            </w:r>
          </w:p>
        </w:tc>
        <w:tc>
          <w:tcPr>
            <w:tcW w:w="1720" w:type="dxa"/>
            <w:vAlign w:val="bottom"/>
          </w:tcPr>
          <w:p>
            <w:pPr>
              <w:ind w:left="1260"/>
              <w:spacing w:after="0"/>
              <w:rPr>
                <w:sz w:val="20"/>
                <w:szCs w:val="20"/>
                <w:color w:val="auto"/>
              </w:rPr>
            </w:pPr>
            <w:r>
              <w:rPr>
                <w:rFonts w:ascii="Arial" w:cs="Arial" w:eastAsia="Arial" w:hAnsi="Arial"/>
                <w:sz w:val="18"/>
                <w:szCs w:val="18"/>
                <w:color w:val="auto"/>
              </w:rPr>
              <w:t>Each</w:t>
            </w:r>
          </w:p>
        </w:tc>
        <w:tc>
          <w:tcPr>
            <w:tcW w:w="760" w:type="dxa"/>
            <w:vAlign w:val="bottom"/>
          </w:tcPr>
          <w:p>
            <w:pPr>
              <w:jc w:val="center"/>
              <w:ind w:left="52"/>
              <w:spacing w:after="0"/>
              <w:rPr>
                <w:sz w:val="20"/>
                <w:szCs w:val="20"/>
                <w:color w:val="auto"/>
              </w:rPr>
            </w:pPr>
            <w:r>
              <w:rPr>
                <w:rFonts w:ascii="Arial" w:cs="Arial" w:eastAsia="Arial" w:hAnsi="Arial"/>
                <w:sz w:val="18"/>
                <w:szCs w:val="18"/>
                <w:color w:val="auto"/>
                <w:w w:val="86"/>
              </w:rPr>
              <w:t>and</w:t>
            </w:r>
          </w:p>
        </w:tc>
        <w:tc>
          <w:tcPr>
            <w:tcW w:w="1660" w:type="dxa"/>
            <w:vAlign w:val="bottom"/>
            <w:gridSpan w:val="2"/>
          </w:tcPr>
          <w:p>
            <w:pPr>
              <w:ind w:left="600"/>
              <w:spacing w:after="0"/>
              <w:rPr>
                <w:sz w:val="20"/>
                <w:szCs w:val="20"/>
                <w:color w:val="auto"/>
              </w:rPr>
            </w:pPr>
            <w:r>
              <w:rPr>
                <w:rFonts w:ascii="Arial" w:cs="Arial" w:eastAsia="Arial" w:hAnsi="Arial"/>
                <w:sz w:val="18"/>
                <w:szCs w:val="18"/>
                <w:color w:val="auto"/>
              </w:rPr>
              <w:t>beginning on</w:t>
            </w:r>
          </w:p>
        </w:tc>
        <w:tc>
          <w:tcPr>
            <w:tcW w:w="4280" w:type="dxa"/>
            <w:vAlign w:val="bottom"/>
          </w:tcPr>
          <w:p>
            <w:pPr>
              <w:ind w:left="800"/>
              <w:spacing w:after="0"/>
              <w:rPr>
                <w:sz w:val="20"/>
                <w:szCs w:val="20"/>
                <w:color w:val="auto"/>
              </w:rPr>
            </w:pPr>
            <w:r>
              <w:rPr>
                <w:rFonts w:ascii="Arial" w:cs="Arial" w:eastAsia="Arial" w:hAnsi="Arial"/>
                <w:sz w:val="18"/>
                <w:szCs w:val="18"/>
                <w:color w:val="auto"/>
                <w:w w:val="87"/>
              </w:rPr>
              <w:t>, 2014, and on the maturity date for each series of</w:t>
            </w:r>
          </w:p>
        </w:tc>
      </w:tr>
      <w:tr>
        <w:trPr>
          <w:trHeight w:val="222"/>
        </w:trPr>
        <w:tc>
          <w:tcPr>
            <w:tcW w:w="2980" w:type="dxa"/>
            <w:vAlign w:val="bottom"/>
          </w:tcPr>
          <w:p>
            <w:pPr>
              <w:spacing w:after="0"/>
              <w:rPr>
                <w:sz w:val="19"/>
                <w:szCs w:val="19"/>
                <w:color w:val="auto"/>
              </w:rPr>
            </w:pPr>
          </w:p>
        </w:tc>
        <w:tc>
          <w:tcPr>
            <w:tcW w:w="1720" w:type="dxa"/>
            <w:vAlign w:val="bottom"/>
          </w:tcPr>
          <w:p>
            <w:pPr>
              <w:ind w:left="1260"/>
              <w:spacing w:after="0"/>
              <w:rPr>
                <w:sz w:val="20"/>
                <w:szCs w:val="20"/>
                <w:color w:val="auto"/>
              </w:rPr>
            </w:pPr>
            <w:r>
              <w:rPr>
                <w:rFonts w:ascii="Arial" w:cs="Arial" w:eastAsia="Arial" w:hAnsi="Arial"/>
                <w:sz w:val="18"/>
                <w:szCs w:val="18"/>
                <w:color w:val="auto"/>
                <w:w w:val="84"/>
              </w:rPr>
              <w:t>Notes.</w:t>
            </w: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80" w:type="dxa"/>
            <w:vAlign w:val="bottom"/>
          </w:tcPr>
          <w:p>
            <w:pPr>
              <w:spacing w:after="0"/>
              <w:rPr>
                <w:sz w:val="19"/>
                <w:szCs w:val="19"/>
                <w:color w:val="auto"/>
              </w:rPr>
            </w:pPr>
          </w:p>
        </w:tc>
      </w:tr>
      <w:tr>
        <w:trPr>
          <w:trHeight w:val="426"/>
        </w:trPr>
        <w:tc>
          <w:tcPr>
            <w:tcW w:w="2980" w:type="dxa"/>
            <w:vAlign w:val="bottom"/>
          </w:tcPr>
          <w:p>
            <w:pPr>
              <w:spacing w:after="0"/>
              <w:rPr>
                <w:sz w:val="20"/>
                <w:szCs w:val="20"/>
                <w:color w:val="auto"/>
              </w:rPr>
            </w:pPr>
            <w:r>
              <w:rPr>
                <w:rFonts w:ascii="Arial" w:cs="Arial" w:eastAsia="Arial" w:hAnsi="Arial"/>
                <w:sz w:val="18"/>
                <w:szCs w:val="18"/>
                <w:color w:val="auto"/>
              </w:rPr>
              <w:t>Ranking</w:t>
            </w:r>
          </w:p>
        </w:tc>
        <w:tc>
          <w:tcPr>
            <w:tcW w:w="8420" w:type="dxa"/>
            <w:vAlign w:val="bottom"/>
            <w:gridSpan w:val="5"/>
          </w:tcPr>
          <w:p>
            <w:pPr>
              <w:ind w:left="1260"/>
              <w:spacing w:after="0"/>
              <w:rPr>
                <w:sz w:val="20"/>
                <w:szCs w:val="20"/>
                <w:color w:val="auto"/>
              </w:rPr>
            </w:pPr>
            <w:r>
              <w:rPr>
                <w:rFonts w:ascii="Arial" w:cs="Arial" w:eastAsia="Arial" w:hAnsi="Arial"/>
                <w:sz w:val="18"/>
                <w:szCs w:val="18"/>
                <w:color w:val="auto"/>
                <w:w w:val="90"/>
              </w:rPr>
              <w:t>The Notes will be the senior unsecured obligations of Texas Instruments Incorporated and will rank</w:t>
            </w:r>
          </w:p>
        </w:tc>
      </w:tr>
      <w:tr>
        <w:trPr>
          <w:trHeight w:val="216"/>
        </w:trPr>
        <w:tc>
          <w:tcPr>
            <w:tcW w:w="2980" w:type="dxa"/>
            <w:vAlign w:val="bottom"/>
          </w:tcPr>
          <w:p>
            <w:pPr>
              <w:spacing w:after="0"/>
              <w:rPr>
                <w:sz w:val="18"/>
                <w:szCs w:val="18"/>
                <w:color w:val="auto"/>
              </w:rPr>
            </w:pPr>
          </w:p>
        </w:tc>
        <w:tc>
          <w:tcPr>
            <w:tcW w:w="8420" w:type="dxa"/>
            <w:vAlign w:val="bottom"/>
            <w:gridSpan w:val="5"/>
          </w:tcPr>
          <w:p>
            <w:pPr>
              <w:ind w:left="1260"/>
              <w:spacing w:after="0"/>
              <w:rPr>
                <w:sz w:val="20"/>
                <w:szCs w:val="20"/>
                <w:color w:val="auto"/>
              </w:rPr>
            </w:pPr>
            <w:r>
              <w:rPr>
                <w:rFonts w:ascii="Arial" w:cs="Arial" w:eastAsia="Arial" w:hAnsi="Arial"/>
                <w:sz w:val="18"/>
                <w:szCs w:val="18"/>
                <w:color w:val="auto"/>
                <w:w w:val="95"/>
              </w:rPr>
              <w:t>equally with all of its existing and future senior indebtedness from time to time outstanding. All</w:t>
            </w:r>
          </w:p>
        </w:tc>
      </w:tr>
      <w:tr>
        <w:trPr>
          <w:trHeight w:val="216"/>
        </w:trPr>
        <w:tc>
          <w:tcPr>
            <w:tcW w:w="2980" w:type="dxa"/>
            <w:vAlign w:val="bottom"/>
          </w:tcPr>
          <w:p>
            <w:pPr>
              <w:spacing w:after="0"/>
              <w:rPr>
                <w:sz w:val="18"/>
                <w:szCs w:val="18"/>
                <w:color w:val="auto"/>
              </w:rPr>
            </w:pPr>
          </w:p>
        </w:tc>
        <w:tc>
          <w:tcPr>
            <w:tcW w:w="8420" w:type="dxa"/>
            <w:vAlign w:val="bottom"/>
            <w:gridSpan w:val="5"/>
          </w:tcPr>
          <w:p>
            <w:pPr>
              <w:ind w:left="1260"/>
              <w:spacing w:after="0"/>
              <w:rPr>
                <w:sz w:val="20"/>
                <w:szCs w:val="20"/>
                <w:color w:val="auto"/>
              </w:rPr>
            </w:pPr>
            <w:r>
              <w:rPr>
                <w:rFonts w:ascii="Arial" w:cs="Arial" w:eastAsia="Arial" w:hAnsi="Arial"/>
                <w:sz w:val="18"/>
                <w:szCs w:val="18"/>
                <w:color w:val="auto"/>
                <w:w w:val="94"/>
              </w:rPr>
              <w:t>existing and future liabilities of subsidiaries of Texas Instruments Incorporated will be effectively</w:t>
            </w:r>
          </w:p>
        </w:tc>
      </w:tr>
      <w:tr>
        <w:trPr>
          <w:trHeight w:val="222"/>
        </w:trPr>
        <w:tc>
          <w:tcPr>
            <w:tcW w:w="2980" w:type="dxa"/>
            <w:vAlign w:val="bottom"/>
          </w:tcPr>
          <w:p>
            <w:pPr>
              <w:spacing w:after="0"/>
              <w:rPr>
                <w:sz w:val="19"/>
                <w:szCs w:val="19"/>
                <w:color w:val="auto"/>
              </w:rPr>
            </w:pPr>
          </w:p>
        </w:tc>
        <w:tc>
          <w:tcPr>
            <w:tcW w:w="3500" w:type="dxa"/>
            <w:vAlign w:val="bottom"/>
            <w:gridSpan w:val="3"/>
          </w:tcPr>
          <w:p>
            <w:pPr>
              <w:ind w:left="1260"/>
              <w:spacing w:after="0"/>
              <w:rPr>
                <w:sz w:val="20"/>
                <w:szCs w:val="20"/>
                <w:color w:val="auto"/>
              </w:rPr>
            </w:pPr>
            <w:r>
              <w:rPr>
                <w:rFonts w:ascii="Arial" w:cs="Arial" w:eastAsia="Arial" w:hAnsi="Arial"/>
                <w:sz w:val="18"/>
                <w:szCs w:val="18"/>
                <w:color w:val="auto"/>
              </w:rPr>
              <w:t>senior to the Notes.</w:t>
            </w:r>
          </w:p>
        </w:tc>
        <w:tc>
          <w:tcPr>
            <w:tcW w:w="640" w:type="dxa"/>
            <w:vAlign w:val="bottom"/>
          </w:tcPr>
          <w:p>
            <w:pPr>
              <w:spacing w:after="0"/>
              <w:rPr>
                <w:sz w:val="19"/>
                <w:szCs w:val="19"/>
                <w:color w:val="auto"/>
              </w:rPr>
            </w:pPr>
          </w:p>
        </w:tc>
        <w:tc>
          <w:tcPr>
            <w:tcW w:w="4280" w:type="dxa"/>
            <w:vAlign w:val="bottom"/>
          </w:tcPr>
          <w:p>
            <w:pPr>
              <w:spacing w:after="0"/>
              <w:rPr>
                <w:sz w:val="19"/>
                <w:szCs w:val="19"/>
                <w:color w:val="auto"/>
              </w:rPr>
            </w:pPr>
          </w:p>
        </w:tc>
      </w:tr>
      <w:tr>
        <w:trPr>
          <w:trHeight w:val="277"/>
        </w:trPr>
        <w:tc>
          <w:tcPr>
            <w:tcW w:w="2980" w:type="dxa"/>
            <w:vAlign w:val="bottom"/>
          </w:tcPr>
          <w:p>
            <w:pPr>
              <w:spacing w:after="0"/>
              <w:rPr>
                <w:sz w:val="24"/>
                <w:szCs w:val="24"/>
                <w:color w:val="auto"/>
              </w:rPr>
            </w:pPr>
          </w:p>
        </w:tc>
        <w:tc>
          <w:tcPr>
            <w:tcW w:w="8420" w:type="dxa"/>
            <w:vAlign w:val="bottom"/>
            <w:gridSpan w:val="5"/>
          </w:tcPr>
          <w:p>
            <w:pPr>
              <w:ind w:left="1260"/>
              <w:spacing w:after="0"/>
              <w:rPr>
                <w:sz w:val="20"/>
                <w:szCs w:val="20"/>
                <w:color w:val="auto"/>
              </w:rPr>
            </w:pPr>
            <w:r>
              <w:rPr>
                <w:rFonts w:ascii="Arial" w:cs="Arial" w:eastAsia="Arial" w:hAnsi="Arial"/>
                <w:sz w:val="18"/>
                <w:szCs w:val="18"/>
                <w:color w:val="auto"/>
                <w:w w:val="97"/>
              </w:rPr>
              <w:t>As of December 31, 2013, Texas Instruments Incorporated had approximately $5.2 billion of</w:t>
            </w:r>
          </w:p>
        </w:tc>
      </w:tr>
      <w:tr>
        <w:trPr>
          <w:trHeight w:val="216"/>
        </w:trPr>
        <w:tc>
          <w:tcPr>
            <w:tcW w:w="2980" w:type="dxa"/>
            <w:vAlign w:val="bottom"/>
          </w:tcPr>
          <w:p>
            <w:pPr>
              <w:spacing w:after="0"/>
              <w:rPr>
                <w:sz w:val="18"/>
                <w:szCs w:val="18"/>
                <w:color w:val="auto"/>
              </w:rPr>
            </w:pPr>
          </w:p>
        </w:tc>
        <w:tc>
          <w:tcPr>
            <w:tcW w:w="8420" w:type="dxa"/>
            <w:vAlign w:val="bottom"/>
            <w:gridSpan w:val="5"/>
          </w:tcPr>
          <w:p>
            <w:pPr>
              <w:ind w:left="1260"/>
              <w:spacing w:after="0"/>
              <w:rPr>
                <w:sz w:val="20"/>
                <w:szCs w:val="20"/>
                <w:color w:val="auto"/>
              </w:rPr>
            </w:pPr>
            <w:r>
              <w:rPr>
                <w:rFonts w:ascii="Arial" w:cs="Arial" w:eastAsia="Arial" w:hAnsi="Arial"/>
                <w:sz w:val="18"/>
                <w:szCs w:val="18"/>
                <w:color w:val="auto"/>
                <w:w w:val="94"/>
              </w:rPr>
              <w:t>outstanding indebtedness. As of December 31, 2013, we had approximately $8.1 billion of total</w:t>
            </w:r>
          </w:p>
        </w:tc>
      </w:tr>
      <w:tr>
        <w:trPr>
          <w:trHeight w:val="216"/>
        </w:trPr>
        <w:tc>
          <w:tcPr>
            <w:tcW w:w="2980" w:type="dxa"/>
            <w:vAlign w:val="bottom"/>
          </w:tcPr>
          <w:p>
            <w:pPr>
              <w:spacing w:after="0"/>
              <w:rPr>
                <w:sz w:val="18"/>
                <w:szCs w:val="18"/>
                <w:color w:val="auto"/>
              </w:rPr>
            </w:pPr>
          </w:p>
        </w:tc>
        <w:tc>
          <w:tcPr>
            <w:tcW w:w="8420" w:type="dxa"/>
            <w:vAlign w:val="bottom"/>
            <w:gridSpan w:val="5"/>
          </w:tcPr>
          <w:p>
            <w:pPr>
              <w:ind w:left="1260"/>
              <w:spacing w:after="0"/>
              <w:rPr>
                <w:sz w:val="20"/>
                <w:szCs w:val="20"/>
                <w:color w:val="auto"/>
              </w:rPr>
            </w:pPr>
            <w:r>
              <w:rPr>
                <w:rFonts w:ascii="Arial" w:cs="Arial" w:eastAsia="Arial" w:hAnsi="Arial"/>
                <w:sz w:val="18"/>
                <w:szCs w:val="18"/>
                <w:color w:val="auto"/>
                <w:w w:val="88"/>
              </w:rPr>
              <w:t>liabilities on a consolidated basis. Of this amount, subsidiaries of Texas Instruments Incorporated had</w:t>
            </w:r>
          </w:p>
        </w:tc>
      </w:tr>
      <w:tr>
        <w:trPr>
          <w:trHeight w:val="216"/>
        </w:trPr>
        <w:tc>
          <w:tcPr>
            <w:tcW w:w="2980" w:type="dxa"/>
            <w:vAlign w:val="bottom"/>
          </w:tcPr>
          <w:p>
            <w:pPr>
              <w:spacing w:after="0"/>
              <w:rPr>
                <w:sz w:val="18"/>
                <w:szCs w:val="18"/>
                <w:color w:val="auto"/>
              </w:rPr>
            </w:pPr>
          </w:p>
        </w:tc>
        <w:tc>
          <w:tcPr>
            <w:tcW w:w="8420" w:type="dxa"/>
            <w:vAlign w:val="bottom"/>
            <w:gridSpan w:val="5"/>
          </w:tcPr>
          <w:p>
            <w:pPr>
              <w:ind w:left="1260"/>
              <w:spacing w:after="0"/>
              <w:rPr>
                <w:sz w:val="20"/>
                <w:szCs w:val="20"/>
                <w:color w:val="auto"/>
              </w:rPr>
            </w:pPr>
            <w:r>
              <w:rPr>
                <w:rFonts w:ascii="Arial" w:cs="Arial" w:eastAsia="Arial" w:hAnsi="Arial"/>
                <w:sz w:val="18"/>
                <w:szCs w:val="18"/>
                <w:color w:val="auto"/>
                <w:w w:val="91"/>
              </w:rPr>
              <w:t>approximately $1.8 billion of liabilities (including trade payables and excluding intercompany debt)</w:t>
            </w:r>
          </w:p>
        </w:tc>
      </w:tr>
      <w:tr>
        <w:trPr>
          <w:trHeight w:val="222"/>
        </w:trPr>
        <w:tc>
          <w:tcPr>
            <w:tcW w:w="2980" w:type="dxa"/>
            <w:vAlign w:val="bottom"/>
          </w:tcPr>
          <w:p>
            <w:pPr>
              <w:spacing w:after="0"/>
              <w:rPr>
                <w:sz w:val="19"/>
                <w:szCs w:val="19"/>
                <w:color w:val="auto"/>
              </w:rPr>
            </w:pPr>
          </w:p>
        </w:tc>
        <w:tc>
          <w:tcPr>
            <w:tcW w:w="8420" w:type="dxa"/>
            <w:vAlign w:val="bottom"/>
            <w:gridSpan w:val="5"/>
          </w:tcPr>
          <w:p>
            <w:pPr>
              <w:ind w:left="1260"/>
              <w:spacing w:after="0"/>
              <w:rPr>
                <w:sz w:val="20"/>
                <w:szCs w:val="20"/>
                <w:color w:val="auto"/>
              </w:rPr>
            </w:pPr>
            <w:r>
              <w:rPr>
                <w:rFonts w:ascii="Arial" w:cs="Arial" w:eastAsia="Arial" w:hAnsi="Arial"/>
                <w:sz w:val="18"/>
                <w:szCs w:val="18"/>
                <w:color w:val="auto"/>
              </w:rPr>
              <w:t>to which the Notes will be effectively subordinated.</w:t>
            </w:r>
          </w:p>
        </w:tc>
      </w:tr>
      <w:tr>
        <w:trPr>
          <w:trHeight w:val="439"/>
        </w:trPr>
        <w:tc>
          <w:tcPr>
            <w:tcW w:w="2980" w:type="dxa"/>
            <w:vAlign w:val="bottom"/>
          </w:tcPr>
          <w:p>
            <w:pPr>
              <w:spacing w:after="0"/>
              <w:rPr>
                <w:sz w:val="20"/>
                <w:szCs w:val="20"/>
                <w:color w:val="auto"/>
              </w:rPr>
            </w:pPr>
            <w:r>
              <w:rPr>
                <w:rFonts w:ascii="Arial" w:cs="Arial" w:eastAsia="Arial" w:hAnsi="Arial"/>
                <w:sz w:val="18"/>
                <w:szCs w:val="18"/>
                <w:color w:val="auto"/>
              </w:rPr>
              <w:t>Form and Denomination</w:t>
            </w:r>
          </w:p>
        </w:tc>
        <w:tc>
          <w:tcPr>
            <w:tcW w:w="8420" w:type="dxa"/>
            <w:vAlign w:val="bottom"/>
            <w:gridSpan w:val="5"/>
          </w:tcPr>
          <w:p>
            <w:pPr>
              <w:ind w:left="1260"/>
              <w:spacing w:after="0"/>
              <w:rPr>
                <w:sz w:val="20"/>
                <w:szCs w:val="20"/>
                <w:color w:val="auto"/>
              </w:rPr>
            </w:pPr>
            <w:r>
              <w:rPr>
                <w:rFonts w:ascii="Arial" w:cs="Arial" w:eastAsia="Arial" w:hAnsi="Arial"/>
                <w:sz w:val="18"/>
                <w:szCs w:val="18"/>
                <w:color w:val="auto"/>
                <w:w w:val="97"/>
              </w:rPr>
              <w:t>The Notes will be issued in the form of one or more fully registered global securities, without</w:t>
            </w:r>
          </w:p>
        </w:tc>
      </w:tr>
      <w:tr>
        <w:trPr>
          <w:trHeight w:val="216"/>
        </w:trPr>
        <w:tc>
          <w:tcPr>
            <w:tcW w:w="2980" w:type="dxa"/>
            <w:vAlign w:val="bottom"/>
          </w:tcPr>
          <w:p>
            <w:pPr>
              <w:spacing w:after="0"/>
              <w:rPr>
                <w:sz w:val="18"/>
                <w:szCs w:val="18"/>
                <w:color w:val="auto"/>
              </w:rPr>
            </w:pPr>
          </w:p>
        </w:tc>
        <w:tc>
          <w:tcPr>
            <w:tcW w:w="8420" w:type="dxa"/>
            <w:vAlign w:val="bottom"/>
            <w:gridSpan w:val="5"/>
          </w:tcPr>
          <w:p>
            <w:pPr>
              <w:ind w:left="1260"/>
              <w:spacing w:after="0"/>
              <w:rPr>
                <w:sz w:val="20"/>
                <w:szCs w:val="20"/>
                <w:color w:val="auto"/>
              </w:rPr>
            </w:pPr>
            <w:r>
              <w:rPr>
                <w:rFonts w:ascii="Arial" w:cs="Arial" w:eastAsia="Arial" w:hAnsi="Arial"/>
                <w:sz w:val="18"/>
                <w:szCs w:val="18"/>
                <w:color w:val="auto"/>
                <w:w w:val="90"/>
              </w:rPr>
              <w:t>coupons, in denominations of $2,000 in principal amount and integral multiples of $1,000 in excess</w:t>
            </w:r>
          </w:p>
        </w:tc>
      </w:tr>
      <w:tr>
        <w:trPr>
          <w:trHeight w:val="216"/>
        </w:trPr>
        <w:tc>
          <w:tcPr>
            <w:tcW w:w="2980" w:type="dxa"/>
            <w:vAlign w:val="bottom"/>
          </w:tcPr>
          <w:p>
            <w:pPr>
              <w:spacing w:after="0"/>
              <w:rPr>
                <w:sz w:val="18"/>
                <w:szCs w:val="18"/>
                <w:color w:val="auto"/>
              </w:rPr>
            </w:pPr>
          </w:p>
        </w:tc>
        <w:tc>
          <w:tcPr>
            <w:tcW w:w="8420" w:type="dxa"/>
            <w:vAlign w:val="bottom"/>
            <w:gridSpan w:val="5"/>
          </w:tcPr>
          <w:p>
            <w:pPr>
              <w:ind w:left="1260"/>
              <w:spacing w:after="0"/>
              <w:rPr>
                <w:sz w:val="20"/>
                <w:szCs w:val="20"/>
                <w:color w:val="auto"/>
              </w:rPr>
            </w:pPr>
            <w:r>
              <w:rPr>
                <w:rFonts w:ascii="Arial" w:cs="Arial" w:eastAsia="Arial" w:hAnsi="Arial"/>
                <w:sz w:val="18"/>
                <w:szCs w:val="18"/>
                <w:color w:val="auto"/>
                <w:w w:val="90"/>
              </w:rPr>
              <w:t>thereof. These global notes will be deposited with the trustee as custodian for, and registered in the</w:t>
            </w:r>
          </w:p>
        </w:tc>
      </w:tr>
      <w:tr>
        <w:trPr>
          <w:trHeight w:val="216"/>
        </w:trPr>
        <w:tc>
          <w:tcPr>
            <w:tcW w:w="2980" w:type="dxa"/>
            <w:vAlign w:val="bottom"/>
          </w:tcPr>
          <w:p>
            <w:pPr>
              <w:spacing w:after="0"/>
              <w:rPr>
                <w:sz w:val="18"/>
                <w:szCs w:val="18"/>
                <w:color w:val="auto"/>
              </w:rPr>
            </w:pPr>
          </w:p>
        </w:tc>
        <w:tc>
          <w:tcPr>
            <w:tcW w:w="8420" w:type="dxa"/>
            <w:vAlign w:val="bottom"/>
            <w:gridSpan w:val="5"/>
          </w:tcPr>
          <w:p>
            <w:pPr>
              <w:ind w:left="1260"/>
              <w:spacing w:after="0"/>
              <w:rPr>
                <w:sz w:val="20"/>
                <w:szCs w:val="20"/>
                <w:color w:val="auto"/>
              </w:rPr>
            </w:pPr>
            <w:r>
              <w:rPr>
                <w:rFonts w:ascii="Arial" w:cs="Arial" w:eastAsia="Arial" w:hAnsi="Arial"/>
                <w:sz w:val="18"/>
                <w:szCs w:val="18"/>
                <w:color w:val="auto"/>
                <w:w w:val="90"/>
              </w:rPr>
              <w:t>name of, a nominee of The Depository Trust Company, or DTC. Except in the limited circumstances</w:t>
            </w:r>
          </w:p>
        </w:tc>
      </w:tr>
      <w:tr>
        <w:trPr>
          <w:trHeight w:val="216"/>
        </w:trPr>
        <w:tc>
          <w:tcPr>
            <w:tcW w:w="2980" w:type="dxa"/>
            <w:vAlign w:val="bottom"/>
          </w:tcPr>
          <w:p>
            <w:pPr>
              <w:spacing w:after="0"/>
              <w:rPr>
                <w:sz w:val="18"/>
                <w:szCs w:val="18"/>
                <w:color w:val="auto"/>
              </w:rPr>
            </w:pPr>
          </w:p>
        </w:tc>
        <w:tc>
          <w:tcPr>
            <w:tcW w:w="8420" w:type="dxa"/>
            <w:vAlign w:val="bottom"/>
            <w:gridSpan w:val="5"/>
          </w:tcPr>
          <w:p>
            <w:pPr>
              <w:ind w:left="1260"/>
              <w:spacing w:after="0"/>
              <w:rPr>
                <w:sz w:val="20"/>
                <w:szCs w:val="20"/>
                <w:color w:val="auto"/>
              </w:rPr>
            </w:pPr>
            <w:r>
              <w:rPr>
                <w:rFonts w:ascii="Arial" w:cs="Arial" w:eastAsia="Arial" w:hAnsi="Arial"/>
                <w:sz w:val="18"/>
                <w:szCs w:val="18"/>
                <w:color w:val="auto"/>
                <w:w w:val="91"/>
              </w:rPr>
              <w:t>described under “Description of the Notes—Book-Entry; Delivery and Form; Global Note,” Notes in</w:t>
            </w:r>
          </w:p>
        </w:tc>
      </w:tr>
      <w:tr>
        <w:trPr>
          <w:trHeight w:val="222"/>
        </w:trPr>
        <w:tc>
          <w:tcPr>
            <w:tcW w:w="2980" w:type="dxa"/>
            <w:vAlign w:val="bottom"/>
          </w:tcPr>
          <w:p>
            <w:pPr>
              <w:spacing w:after="0"/>
              <w:rPr>
                <w:sz w:val="19"/>
                <w:szCs w:val="19"/>
                <w:color w:val="auto"/>
              </w:rPr>
            </w:pPr>
          </w:p>
        </w:tc>
        <w:tc>
          <w:tcPr>
            <w:tcW w:w="8420" w:type="dxa"/>
            <w:vAlign w:val="bottom"/>
            <w:gridSpan w:val="5"/>
          </w:tcPr>
          <w:p>
            <w:pPr>
              <w:ind w:left="1260"/>
              <w:spacing w:after="0"/>
              <w:rPr>
                <w:sz w:val="20"/>
                <w:szCs w:val="20"/>
                <w:color w:val="auto"/>
              </w:rPr>
            </w:pPr>
            <w:r>
              <w:rPr>
                <w:rFonts w:ascii="Arial" w:cs="Arial" w:eastAsia="Arial" w:hAnsi="Arial"/>
                <w:sz w:val="18"/>
                <w:szCs w:val="18"/>
                <w:color w:val="auto"/>
              </w:rPr>
              <w:t>certificated form will not be issued or exchanged for interests in global securities.</w:t>
            </w:r>
          </w:p>
        </w:tc>
      </w:tr>
      <w:tr>
        <w:trPr>
          <w:trHeight w:val="432"/>
        </w:trPr>
        <w:tc>
          <w:tcPr>
            <w:tcW w:w="2980" w:type="dxa"/>
            <w:vAlign w:val="bottom"/>
          </w:tcPr>
          <w:p>
            <w:pPr>
              <w:spacing w:after="0"/>
              <w:rPr>
                <w:sz w:val="20"/>
                <w:szCs w:val="20"/>
                <w:color w:val="auto"/>
              </w:rPr>
            </w:pPr>
            <w:r>
              <w:rPr>
                <w:rFonts w:ascii="Arial" w:cs="Arial" w:eastAsia="Arial" w:hAnsi="Arial"/>
                <w:sz w:val="18"/>
                <w:szCs w:val="18"/>
                <w:color w:val="auto"/>
              </w:rPr>
              <w:t>Governing Law</w:t>
            </w:r>
          </w:p>
        </w:tc>
        <w:tc>
          <w:tcPr>
            <w:tcW w:w="8420" w:type="dxa"/>
            <w:vAlign w:val="bottom"/>
            <w:gridSpan w:val="5"/>
          </w:tcPr>
          <w:p>
            <w:pPr>
              <w:ind w:left="1260"/>
              <w:spacing w:after="0"/>
              <w:rPr>
                <w:sz w:val="20"/>
                <w:szCs w:val="20"/>
                <w:color w:val="auto"/>
              </w:rPr>
            </w:pPr>
            <w:r>
              <w:rPr>
                <w:rFonts w:ascii="Arial" w:cs="Arial" w:eastAsia="Arial" w:hAnsi="Arial"/>
                <w:sz w:val="18"/>
                <w:szCs w:val="18"/>
                <w:color w:val="auto"/>
              </w:rPr>
              <w:t>The internal laws of the State of New York.</w:t>
            </w:r>
          </w:p>
        </w:tc>
      </w:tr>
      <w:tr>
        <w:trPr>
          <w:trHeight w:val="365"/>
        </w:trPr>
        <w:tc>
          <w:tcPr>
            <w:tcW w:w="2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ind w:left="140"/>
              <w:spacing w:after="0"/>
              <w:rPr>
                <w:sz w:val="20"/>
                <w:szCs w:val="20"/>
                <w:color w:val="auto"/>
              </w:rPr>
            </w:pPr>
            <w:r>
              <w:rPr>
                <w:rFonts w:ascii="Arial" w:cs="Arial" w:eastAsia="Arial" w:hAnsi="Arial"/>
                <w:sz w:val="18"/>
                <w:szCs w:val="18"/>
                <w:color w:val="auto"/>
              </w:rPr>
              <w:t>S-2</w:t>
            </w:r>
          </w:p>
        </w:tc>
        <w:tc>
          <w:tcPr>
            <w:tcW w:w="640" w:type="dxa"/>
            <w:vAlign w:val="bottom"/>
          </w:tcPr>
          <w:p>
            <w:pPr>
              <w:spacing w:after="0"/>
              <w:rPr>
                <w:sz w:val="24"/>
                <w:szCs w:val="24"/>
                <w:color w:val="auto"/>
              </w:rPr>
            </w:pPr>
          </w:p>
        </w:tc>
        <w:tc>
          <w:tcPr>
            <w:tcW w:w="42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expect to use the net proceeds of this offering for repayment of a portion of the notes due May 15, 2014 bearing interest at a fixed rate of 1.375%. See “Use of Proceeds.” In connection with the issuance of the Notes, we may enter into interest rate swap agreements with financial institutions, which may include one or more of the underwriters or their affiliates.</w:t>
      </w:r>
    </w:p>
    <w:p>
      <w:pPr>
        <w:spacing w:after="0" w:line="167" w:lineRule="exact"/>
        <w:rPr>
          <w:sz w:val="20"/>
          <w:szCs w:val="20"/>
          <w:color w:val="auto"/>
        </w:rPr>
      </w:pPr>
    </w:p>
    <w:p>
      <w:pPr>
        <w:sectPr>
          <w:pgSz w:w="11900" w:h="16838" w:orient="portrait"/>
          <w:cols w:equalWidth="0" w:num="2">
            <w:col w:w="3520" w:space="720"/>
            <w:col w:w="7140"/>
          </w:cols>
          <w:pgMar w:left="240" w:top="459" w:right="279" w:bottom="1440" w:gutter="0" w:footer="0" w:header="0"/>
          <w:type w:val="continuous"/>
        </w:sectPr>
      </w:pPr>
    </w:p>
    <w:p>
      <w:pPr>
        <w:spacing w:after="0"/>
        <w:rPr>
          <w:sz w:val="20"/>
          <w:szCs w:val="20"/>
          <w:color w:val="auto"/>
        </w:rPr>
      </w:pPr>
      <w:r>
        <w:rPr>
          <w:rFonts w:ascii="Arial" w:cs="Arial" w:eastAsia="Arial" w:hAnsi="Arial"/>
          <w:sz w:val="15"/>
          <w:szCs w:val="15"/>
          <w:color w:val="auto"/>
        </w:rPr>
        <w:t>Further Issuances</w:t>
      </w:r>
    </w:p>
    <w:p>
      <w:pPr>
        <w:spacing w:after="0" w:line="20" w:lineRule="exact"/>
        <w:rPr>
          <w:sz w:val="20"/>
          <w:szCs w:val="20"/>
          <w:color w:val="auto"/>
        </w:rPr>
      </w:pPr>
      <w:r>
        <w:rPr>
          <w:sz w:val="20"/>
          <w:szCs w:val="20"/>
          <w:color w:val="auto"/>
        </w:rPr>
        <w:br w:type="column"/>
      </w:r>
    </w:p>
    <w:p>
      <w:pPr>
        <w:ind w:right="40"/>
        <w:spacing w:after="0" w:line="298" w:lineRule="auto"/>
        <w:rPr>
          <w:sz w:val="20"/>
          <w:szCs w:val="20"/>
          <w:color w:val="auto"/>
        </w:rPr>
      </w:pPr>
      <w:r>
        <w:rPr>
          <w:rFonts w:ascii="Arial" w:cs="Arial" w:eastAsia="Arial" w:hAnsi="Arial"/>
          <w:sz w:val="16"/>
          <w:szCs w:val="16"/>
          <w:color w:val="auto"/>
        </w:rPr>
        <w:t>Texas Instruments Incorporated may create and issue further notes of a series ranking equally and ratably with the applicable series of Notes offered by this prospectus supplement in all respects, so that such further notes of each series will be consolidated and form a single series with the applicable series of Notes offered by this prospectus supplement.</w:t>
      </w:r>
    </w:p>
    <w:p>
      <w:pPr>
        <w:spacing w:after="0" w:line="167" w:lineRule="exact"/>
        <w:rPr>
          <w:sz w:val="20"/>
          <w:szCs w:val="20"/>
          <w:color w:val="auto"/>
        </w:rPr>
      </w:pPr>
    </w:p>
    <w:p>
      <w:pPr>
        <w:sectPr>
          <w:pgSz w:w="11900" w:h="16838" w:orient="portrait"/>
          <w:cols w:equalWidth="0" w:num="2">
            <w:col w:w="3520" w:space="720"/>
            <w:col w:w="7140"/>
          </w:cols>
          <w:pgMar w:left="240" w:top="459" w:right="279" w:bottom="1440" w:gutter="0" w:footer="0" w:header="0"/>
          <w:type w:val="continuous"/>
        </w:sectPr>
      </w:pPr>
    </w:p>
    <w:p>
      <w:pPr>
        <w:spacing w:after="0"/>
        <w:rPr>
          <w:sz w:val="20"/>
          <w:szCs w:val="20"/>
          <w:color w:val="auto"/>
        </w:rPr>
      </w:pPr>
      <w:r>
        <w:rPr>
          <w:rFonts w:ascii="Arial" w:cs="Arial" w:eastAsia="Arial" w:hAnsi="Arial"/>
          <w:sz w:val="16"/>
          <w:szCs w:val="16"/>
          <w:color w:val="auto"/>
        </w:rPr>
        <w:t>Sinking Fund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None</w:t>
      </w:r>
    </w:p>
    <w:p>
      <w:pPr>
        <w:spacing w:after="0" w:line="211" w:lineRule="exact"/>
        <w:rPr>
          <w:sz w:val="20"/>
          <w:szCs w:val="20"/>
          <w:color w:val="auto"/>
        </w:rPr>
      </w:pPr>
    </w:p>
    <w:p>
      <w:pPr>
        <w:sectPr>
          <w:pgSz w:w="11900" w:h="16838" w:orient="portrait"/>
          <w:cols w:equalWidth="0" w:num="2">
            <w:col w:w="3520" w:space="720"/>
            <w:col w:w="7140"/>
          </w:cols>
          <w:pgMar w:left="240" w:top="459" w:right="27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200"/>
        <w:spacing w:after="0" w:line="370" w:lineRule="auto"/>
        <w:rPr>
          <w:sz w:val="20"/>
          <w:szCs w:val="20"/>
          <w:color w:val="auto"/>
        </w:rPr>
      </w:pPr>
      <w:r>
        <w:rPr>
          <w:rFonts w:ascii="Arial" w:cs="Arial" w:eastAsia="Arial" w:hAnsi="Arial"/>
          <w:sz w:val="15"/>
          <w:szCs w:val="15"/>
          <w:color w:val="auto"/>
        </w:rPr>
        <w:t>Texas Instruments Incorporated may redeem some or all of the Notes at any time at the redemption prices indicated under the heading “Description of the Notes — Optional Redemption.”</w:t>
      </w:r>
    </w:p>
    <w:p>
      <w:pPr>
        <w:spacing w:after="0" w:line="116" w:lineRule="exact"/>
        <w:rPr>
          <w:sz w:val="20"/>
          <w:szCs w:val="20"/>
          <w:color w:val="auto"/>
        </w:rPr>
      </w:pPr>
    </w:p>
    <w:p>
      <w:pPr>
        <w:sectPr>
          <w:pgSz w:w="11900" w:h="16838" w:orient="portrait"/>
          <w:cols w:equalWidth="0" w:num="2">
            <w:col w:w="3520" w:space="720"/>
            <w:col w:w="7140"/>
          </w:cols>
          <w:pgMar w:left="240" w:top="459" w:right="279" w:bottom="1440" w:gutter="0" w:footer="0" w:header="0"/>
          <w:type w:val="continuous"/>
        </w:sectPr>
      </w:pPr>
    </w:p>
    <w:p>
      <w:pPr>
        <w:spacing w:after="0"/>
        <w:rPr>
          <w:sz w:val="20"/>
          <w:szCs w:val="20"/>
          <w:color w:val="auto"/>
        </w:rPr>
      </w:pPr>
      <w:r>
        <w:rPr>
          <w:rFonts w:ascii="Arial" w:cs="Arial" w:eastAsia="Arial" w:hAnsi="Arial"/>
          <w:sz w:val="16"/>
          <w:szCs w:val="16"/>
          <w:color w:val="auto"/>
        </w:rPr>
        <w:t>Trading</w:t>
      </w:r>
    </w:p>
    <w:p>
      <w:pPr>
        <w:spacing w:after="0" w:line="20" w:lineRule="exact"/>
        <w:rPr>
          <w:sz w:val="20"/>
          <w:szCs w:val="20"/>
          <w:color w:val="auto"/>
        </w:rPr>
      </w:pPr>
      <w:r>
        <w:rPr>
          <w:sz w:val="20"/>
          <w:szCs w:val="20"/>
          <w:color w:val="auto"/>
        </w:rPr>
        <w:br w:type="column"/>
      </w:r>
    </w:p>
    <w:p>
      <w:pPr>
        <w:ind w:right="40"/>
        <w:spacing w:after="0" w:line="294" w:lineRule="auto"/>
        <w:rPr>
          <w:sz w:val="20"/>
          <w:szCs w:val="20"/>
          <w:color w:val="auto"/>
        </w:rPr>
      </w:pPr>
      <w:r>
        <w:rPr>
          <w:rFonts w:ascii="Arial" w:cs="Arial" w:eastAsia="Arial" w:hAnsi="Arial"/>
          <w:sz w:val="16"/>
          <w:szCs w:val="16"/>
          <w:color w:val="auto"/>
        </w:rPr>
        <w:t>The Notes are new issues of securities with no established trading market. We do not intend to apply for listing of the Notes on any securities exchange. The underwriters have advised us that they intend to make a market in each series of the Notes, but they are not obligated to do so and may discontinue market-making at any time without notice. See “Underwriting” in this prospectus supplement for more information about possible market-making by the underwriters.</w:t>
      </w:r>
    </w:p>
    <w:p>
      <w:pPr>
        <w:spacing w:after="0" w:line="170" w:lineRule="exact"/>
        <w:rPr>
          <w:sz w:val="20"/>
          <w:szCs w:val="20"/>
          <w:color w:val="auto"/>
        </w:rPr>
      </w:pPr>
    </w:p>
    <w:p>
      <w:pPr>
        <w:sectPr>
          <w:pgSz w:w="11900" w:h="16838" w:orient="portrait"/>
          <w:cols w:equalWidth="0" w:num="2">
            <w:col w:w="3520" w:space="720"/>
            <w:col w:w="7140"/>
          </w:cols>
          <w:pgMar w:left="240" w:top="459" w:right="279" w:bottom="1440" w:gutter="0" w:footer="0" w:header="0"/>
          <w:type w:val="continuous"/>
        </w:sectPr>
      </w:pPr>
    </w:p>
    <w:p>
      <w:pPr>
        <w:spacing w:after="0"/>
        <w:rPr>
          <w:sz w:val="20"/>
          <w:szCs w:val="20"/>
          <w:color w:val="auto"/>
        </w:rPr>
      </w:pPr>
      <w:r>
        <w:rPr>
          <w:rFonts w:ascii="Arial" w:cs="Arial" w:eastAsia="Arial" w:hAnsi="Arial"/>
          <w:sz w:val="15"/>
          <w:szCs w:val="15"/>
          <w:color w:val="auto"/>
        </w:rPr>
        <w:t>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 Bank National Association</w:t>
      </w:r>
    </w:p>
    <w:p>
      <w:pPr>
        <w:spacing w:after="0" w:line="200" w:lineRule="exact"/>
        <w:rPr>
          <w:sz w:val="20"/>
          <w:szCs w:val="20"/>
          <w:color w:val="auto"/>
        </w:rPr>
      </w:pPr>
    </w:p>
    <w:p>
      <w:pPr>
        <w:sectPr>
          <w:pgSz w:w="11900" w:h="16838" w:orient="portrait"/>
          <w:cols w:equalWidth="0" w:num="2">
            <w:col w:w="3520" w:space="720"/>
            <w:col w:w="7140"/>
          </w:cols>
          <w:pgMar w:left="240" w:top="459" w:right="27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You should carefully consider all of the information in this prospectus supplement and the accompanying prospectus and the documents incorporated herein by reference. In particular, you should evaluate the information set forth under “Cautionary Note on Forward-Looking Statements” and “Risk Factors” before deciding whether to invest in the Notes.</w:t>
      </w:r>
    </w:p>
    <w:p>
      <w:pPr>
        <w:spacing w:after="0" w:line="99" w:lineRule="exact"/>
        <w:rPr>
          <w:sz w:val="20"/>
          <w:szCs w:val="20"/>
          <w:color w:val="auto"/>
        </w:rPr>
      </w:pPr>
    </w:p>
    <w:p>
      <w:pPr>
        <w:sectPr>
          <w:pgSz w:w="11900" w:h="16838" w:orient="portrait"/>
          <w:cols w:equalWidth="0" w:num="2">
            <w:col w:w="3520" w:space="720"/>
            <w:col w:w="7140"/>
          </w:cols>
          <w:pgMar w:left="240" w:top="459" w:right="279" w:bottom="1440" w:gutter="0" w:footer="0" w:header="0"/>
          <w:type w:val="continuous"/>
        </w:sectPr>
      </w:pPr>
    </w:p>
    <w:p>
      <w:pPr>
        <w:jc w:val="center"/>
        <w:ind w:right="-59"/>
        <w:spacing w:after="0"/>
        <w:rPr>
          <w:sz w:val="20"/>
          <w:szCs w:val="20"/>
          <w:color w:val="auto"/>
        </w:rPr>
      </w:pPr>
      <w:r>
        <w:rPr>
          <w:rFonts w:ascii="Arial" w:cs="Arial" w:eastAsia="Arial" w:hAnsi="Arial"/>
          <w:sz w:val="15"/>
          <w:szCs w:val="15"/>
          <w:color w:val="auto"/>
        </w:rPr>
        <w:t>S-3</w:t>
      </w:r>
    </w:p>
    <w:p>
      <w:pPr>
        <w:sectPr>
          <w:pgSz w:w="11900" w:h="16838" w:orient="portrait"/>
          <w:cols w:equalWidth="0" w:num="1">
            <w:col w:w="11380"/>
          </w:cols>
          <w:pgMar w:left="240" w:top="459" w:right="27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Historical Financial Information</w:t>
      </w:r>
    </w:p>
    <w:p>
      <w:pPr>
        <w:spacing w:after="0" w:line="164"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following table sets forth our summary historical financial information. The summary historical financial information for the years ended December 31, 2013, 2012 and 2011 and as of December 31, 2013 and 2012 has been derived from our audited consolidated financial statements included or incorporated by reference in this prospectus supplement and the accompanying prospectus.</w:t>
      </w:r>
    </w:p>
    <w:p>
      <w:pPr>
        <w:spacing w:after="0" w:line="12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Various factors will have an effect on our financial condition and results of operations. You should read the summary historical financial information in conjunction with the information under “Risk Factors,” “Capitalization,” “Management’s Discussion and Analysis of Financial Condition and Results of Operations,” our consolidated financial statements and the related notes, all included elsewhere or incorporated by reference in this prospectus supplement and the accompanying prospectus.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(Millions of dollars, except share and per-share amounts)</w:t>
            </w:r>
          </w:p>
        </w:tc>
        <w:tc>
          <w:tcPr>
            <w:tcW w:w="4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40" w:type="dxa"/>
            <w:vAlign w:val="bottom"/>
            <w:gridSpan w:val="2"/>
            <w:vMerge w:val="continue"/>
          </w:tcPr>
          <w:p>
            <w:pPr>
              <w:spacing w:after="0"/>
              <w:rPr>
                <w:sz w:val="12"/>
                <w:szCs w:val="12"/>
                <w:color w:val="auto"/>
              </w:rPr>
            </w:pPr>
          </w:p>
        </w:tc>
        <w:tc>
          <w:tcPr>
            <w:tcW w:w="4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4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12,205</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12,825</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13,735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Cost of revenue</w:t>
            </w: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5,841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6,457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6,364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1,522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1,877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1,858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Acquisition charges</w:t>
            </w: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341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charges/other</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Operating profit</w:t>
            </w:r>
          </w:p>
        </w:tc>
        <w:tc>
          <w:tcPr>
            <w:tcW w:w="4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40" w:type="dxa"/>
            <w:vAlign w:val="bottom"/>
            <w:gridSpan w:val="2"/>
            <w:vMerge w:val="continue"/>
          </w:tcPr>
          <w:p>
            <w:pPr>
              <w:spacing w:after="0"/>
              <w:rPr>
                <w:sz w:val="19"/>
                <w:szCs w:val="19"/>
                <w:color w:val="auto"/>
              </w:rPr>
            </w:pPr>
          </w:p>
        </w:tc>
        <w:tc>
          <w:tcPr>
            <w:tcW w:w="4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2,832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1,973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Interest and debt expense</w:t>
            </w: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2,754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592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176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2,162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w:t>
            </w:r>
          </w:p>
        </w:tc>
        <w:tc>
          <w:tcPr>
            <w:tcW w:w="4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40" w:type="dxa"/>
            <w:vAlign w:val="bottom"/>
            <w:gridSpan w:val="2"/>
            <w:vMerge w:val="continue"/>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4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420" w:type="dxa"/>
            <w:vAlign w:val="bottom"/>
            <w:vMerge w:val="continue"/>
          </w:tcPr>
          <w:p>
            <w:pPr>
              <w:spacing w:after="0"/>
              <w:rPr>
                <w:sz w:val="18"/>
                <w:szCs w:val="18"/>
                <w:color w:val="auto"/>
              </w:rPr>
            </w:pP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1.91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1.51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Basic</w:t>
            </w: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1,098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1,132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360" w:type="dxa"/>
            <w:vAlign w:val="bottom"/>
            <w:gridSpan w:val="2"/>
          </w:tcPr>
          <w:p>
            <w:pPr>
              <w:jc w:val="right"/>
              <w:ind w:right="2872"/>
              <w:spacing w:after="0"/>
              <w:rPr>
                <w:sz w:val="20"/>
                <w:szCs w:val="20"/>
                <w:color w:val="auto"/>
              </w:rPr>
            </w:pPr>
            <w:r>
              <w:rPr>
                <w:rFonts w:ascii="Arial" w:cs="Arial" w:eastAsia="Arial" w:hAnsi="Arial"/>
                <w:sz w:val="18"/>
                <w:szCs w:val="18"/>
                <w:color w:val="auto"/>
              </w:rPr>
              <w:t>S-4</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vMerge w:val="restart"/>
          </w:tcPr>
          <w:p>
            <w:pPr>
              <w:spacing w:after="0"/>
              <w:rPr>
                <w:sz w:val="20"/>
                <w:szCs w:val="20"/>
                <w:color w:val="auto"/>
              </w:rPr>
            </w:pPr>
            <w:r>
              <w:rPr>
                <w:rFonts w:ascii="Arial" w:cs="Arial" w:eastAsia="Arial" w:hAnsi="Arial"/>
                <w:sz w:val="14"/>
                <w:szCs w:val="14"/>
                <w:b w:val="1"/>
                <w:bCs w:val="1"/>
                <w:color w:val="auto"/>
              </w:rPr>
              <w:t>(Millions of dollars, except share and per-share amounts)</w:t>
            </w:r>
          </w:p>
        </w:tc>
        <w:tc>
          <w:tcPr>
            <w:tcW w:w="5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ind w:left="3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580" w:type="dxa"/>
            <w:vAlign w:val="bottom"/>
            <w:tcBorders>
              <w:bottom w:val="single" w:sz="8" w:color="CCEEFF"/>
            </w:tcBorders>
            <w:vMerge w:val="continue"/>
          </w:tcPr>
          <w:p>
            <w:pPr>
              <w:spacing w:after="0"/>
              <w:rPr>
                <w:sz w:val="12"/>
                <w:szCs w:val="12"/>
                <w:color w:val="auto"/>
              </w:rPr>
            </w:pPr>
          </w:p>
        </w:tc>
        <w:tc>
          <w:tcPr>
            <w:tcW w:w="5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5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5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3,829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3,965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 of allowances</w:t>
            </w: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Inventories</w:t>
            </w:r>
          </w:p>
        </w:tc>
        <w:tc>
          <w:tcPr>
            <w:tcW w:w="5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1,731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8,019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5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5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3,399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3,912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4,362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Acquisition-related intangibles, net</w:t>
            </w:r>
          </w:p>
        </w:tc>
        <w:tc>
          <w:tcPr>
            <w:tcW w:w="5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2,223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18,938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20,021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5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5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Long-term debt</w:t>
            </w:r>
          </w:p>
        </w:tc>
        <w:tc>
          <w:tcPr>
            <w:tcW w:w="5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4,158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8,131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5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10,807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10,961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18,938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20,021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4580" w:type="dxa"/>
            <w:vAlign w:val="bottom"/>
          </w:tcPr>
          <w:p>
            <w:pPr>
              <w:spacing w:after="0"/>
              <w:rPr>
                <w:sz w:val="24"/>
                <w:szCs w:val="24"/>
                <w:color w:val="auto"/>
              </w:rPr>
            </w:pPr>
          </w:p>
        </w:tc>
        <w:tc>
          <w:tcPr>
            <w:tcW w:w="5240" w:type="dxa"/>
            <w:vAlign w:val="bottom"/>
            <w:gridSpan w:val="2"/>
          </w:tcPr>
          <w:p>
            <w:pPr>
              <w:jc w:val="right"/>
              <w:ind w:right="3980"/>
              <w:spacing w:after="0"/>
              <w:rPr>
                <w:sz w:val="20"/>
                <w:szCs w:val="20"/>
                <w:color w:val="auto"/>
              </w:rPr>
            </w:pPr>
            <w:r>
              <w:rPr>
                <w:rFonts w:ascii="Arial" w:cs="Arial" w:eastAsia="Arial" w:hAnsi="Arial"/>
                <w:sz w:val="18"/>
                <w:szCs w:val="18"/>
                <w:color w:val="auto"/>
              </w:rPr>
              <w:t>S-5</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i w:val="1"/>
          <w:iCs w:val="1"/>
          <w:color w:val="auto"/>
        </w:rPr>
        <w:t>In considering whether to purchase the Notes, you should carefully consider all the information contained or incorporated by reference in this prospectus supplement and the accompanying prospectus. In addition, you should carefully consider the risk factors described below, which are not exhaustive.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hereby incorporate by reference risk factors in Item 1A of our Annual Report on Form 10-K for the year ended December 31, 2013.</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Offering</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 active trading market for the Notes may not develop.</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There is currently no public market for the Notes, and we do not currently plan to list the Notes on any national securities exchange. In addition, the liquidity of any trading market in the Notes, and the market price quoted for the Notes, may be adversely affected by changes in the overall market for these Notes, prevailing interest rates, ratings assigned to the Notes, time remaining to the maturity of the Notes, outstanding amount of the Notes, the market for similar securities, prospects for other companies in our industry and changes in our consolidated financial condition, results of operations or prospects. A liquid trading market in the Notes may not develop, which could decrease the amounts you would otherwise receive upon a sale or disposition of the Notes.</w:t>
      </w:r>
    </w:p>
    <w:p>
      <w:pPr>
        <w:spacing w:after="0" w:line="102" w:lineRule="exact"/>
        <w:rPr>
          <w:sz w:val="20"/>
          <w:szCs w:val="20"/>
          <w:color w:val="auto"/>
        </w:rPr>
      </w:pPr>
    </w:p>
    <w:p>
      <w:pPr>
        <w:ind w:left="240" w:right="140"/>
        <w:spacing w:after="0" w:line="259" w:lineRule="auto"/>
        <w:rPr>
          <w:sz w:val="20"/>
          <w:szCs w:val="20"/>
          <w:color w:val="auto"/>
        </w:rPr>
      </w:pPr>
      <w:r>
        <w:rPr>
          <w:rFonts w:ascii="Arial" w:cs="Arial" w:eastAsia="Arial" w:hAnsi="Arial"/>
          <w:sz w:val="18"/>
          <w:szCs w:val="18"/>
          <w:b w:val="1"/>
          <w:bCs w:val="1"/>
          <w:i w:val="1"/>
          <w:iCs w:val="1"/>
          <w:color w:val="auto"/>
        </w:rPr>
        <w:t>The Notes are the unsecured obligations of Texas Instruments Incorporated and not obligations of its subsidiaries and will be effectively subordinated to the claims of its subsidiaries’ creditors. Structural subordination increases the risk that Texas Instruments Incorporated will be unable to meet its obligations on the Notes when they mature.</w:t>
      </w:r>
    </w:p>
    <w:p>
      <w:pPr>
        <w:spacing w:after="0" w:line="4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Notes are exclusively the obligations of Texas Instruments Incorporated and are not obligations of its subsidiaries. A substantial portion of Texas Instruments Incorporated operations are conducted through its subsidiaries. As a result, Texas Instruments Incorporated’s cash flow and ability to service its debt, including the Notes, depend upon the earnings of its subsidiaries and the distribution to it of earnings, loans or other payments by its subsidiaries.</w:t>
      </w:r>
    </w:p>
    <w:p>
      <w:pPr>
        <w:spacing w:after="0" w:line="93"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Texas Instruments Incorporated’s subsidiaries are separate and distinct legal entities. Its subsidiaries will not guarantee the Notes and are under no obligation to pay any amounts due on the Notes or to provide Texas Instruments Incorporated with funds for its payment obligations, whether by dividends, distributions, loans or other payments. Payments to Texas Instruments Incorporated by its subsidiaries will also be contingent upon such subsidiaries’ earnings and business considerations and may be subject to legal and contractual restrictions. As of December 31, 2013, we had approximately $8.1 billion of total liabilities on a consolidated basis. Of this amount, subsidiaries of Texas Instruments Incorporated had approximately $1.8 billion of liabilities (including trade payables and excluding intercompany debt) to which the Notes will be effectively subordinated.</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Texas Instruments Incorporated’s right to receive any assets of any of its subsidiaries upon their liquidation or reorganization, and therefore the right of the holders of the Notes to participate in those assets, will be effectively subordinated to the claims of that subsidiary’s creditors, including senior and subordinated debt holders and bank and trade creditors. The indenture governing the Notes does not limit the amount of additional indebtedness that Texas Instruments Incorporated’s subsidiaries may incur and permits these subsidiaries to incur secured debt without restriction. In addition, even if Texas Instruments Incorporated were a creditor of any of its subsidiaries, its rights as a creditor would be subordinate to any security interest in the assets of its subsidiaries and any indebtedness of its subsidiaries senior to that held by Texas Instruments Incorporated.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Notes will be subject to the prior claims of any future secured creditors.</w:t>
      </w:r>
    </w:p>
    <w:p>
      <w:pPr>
        <w:spacing w:after="0" w:line="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Notes are unsecured obligations, ranking effectively junior to any secured indebtedness Texas Instruments Incorporated may incur in the future. The indenture governing the Notes does not limit the amount of additional debt that Texas Instruments Incorporated may incur and permits Texas Instruments Incorporated to incur secured debt under specified circumstances. If Texas Instruments Incorporated incurs secured indebtedness, its assets securing any such indebtedness will be subject to prior claims by its secured creditors. In the event of Texas Instruments Incorporated’s bankruptcy, insolvency, liquidation, reorganization, dissolution or other winding up, or upon any acceleration of the Notes, Texas Instruments Incorporated’s assets that secure other indebtedness will be available to pay obligations on the Notes only after all other such debt secured by those assets has been repaid in full. Any remaining assets will be available to you ratably with all of Texas Instruments Incorporated’s other unsecured and unsubordinated creditors, including trade creditors. If there are not sufficient assets remaining to pay all these creditors, then all or a portion of the Notes then outstanding would remain unpaid.</w:t>
      </w:r>
    </w:p>
    <w:p>
      <w:pPr>
        <w:spacing w:after="0" w:line="105" w:lineRule="exact"/>
        <w:rPr>
          <w:sz w:val="20"/>
          <w:szCs w:val="20"/>
          <w:color w:val="auto"/>
        </w:rPr>
      </w:pPr>
    </w:p>
    <w:p>
      <w:pPr>
        <w:ind w:left="240"/>
        <w:spacing w:after="0" w:line="256" w:lineRule="auto"/>
        <w:rPr>
          <w:sz w:val="20"/>
          <w:szCs w:val="20"/>
          <w:color w:val="auto"/>
        </w:rPr>
      </w:pPr>
      <w:r>
        <w:rPr>
          <w:rFonts w:ascii="Arial" w:cs="Arial" w:eastAsia="Arial" w:hAnsi="Arial"/>
          <w:sz w:val="18"/>
          <w:szCs w:val="18"/>
          <w:b w:val="1"/>
          <w:bCs w:val="1"/>
          <w:i w:val="1"/>
          <w:iCs w:val="1"/>
          <w:color w:val="auto"/>
        </w:rPr>
        <w:t>The indenture governing the Notes contains negative covenants. The limitation on liens and sale/leaseback covenants do not apply to Texas Instruments Incorporated’s subsidiaries and contain exceptions that would allow Texas Instruments Incorporated and its subsidiaries to grant liens or security interests with respect to their assets, rendering the holders of the Notes structurally or contractually subordinated to new lenders. The indenture governing the Notes does not contain any financial covenants.</w:t>
      </w:r>
    </w:p>
    <w:p>
      <w:pPr>
        <w:spacing w:after="0" w:line="130"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The indenture governing the Notes contains negative covenants. The limitation on liens and limitation on sale/leaseback covenants apply to Texas Instruments Incorporated, but not to its subsidiaries. As a result, such subsidiaries will not be restricted under the indenture from granting liens or security interests with respect to all or any of their assets without having to provide similar liens or security to the holders of the Notes, or from entering into sale/leaseback transactions. Exceptions within the limitation on liens covenant would allow Texas Instruments Incorporated to borrow substantial additional amounts, and to grant liens or security interests in connection with those borrowings. The indenture governing the Notes does not contain any financial covenants.</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Increased leverage may harm our financial condition and results of operations.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an as adjusted basis after giving effect to this offering and the application of the net proceeds thereof, as more fully described in “Use of Proceeds” in</w:t>
      </w:r>
    </w:p>
    <w:p>
      <w:pPr>
        <w:spacing w:after="0" w:line="38" w:lineRule="exact"/>
        <w:rPr>
          <w:sz w:val="20"/>
          <w:szCs w:val="20"/>
          <w:color w:val="auto"/>
        </w:rPr>
      </w:pPr>
    </w:p>
    <w:p>
      <w:pPr>
        <w:ind w:right="880"/>
        <w:spacing w:after="0" w:line="261" w:lineRule="auto"/>
        <w:rPr>
          <w:sz w:val="20"/>
          <w:szCs w:val="20"/>
          <w:color w:val="auto"/>
        </w:rPr>
      </w:pPr>
      <w:r>
        <w:rPr>
          <w:rFonts w:ascii="Arial" w:cs="Arial" w:eastAsia="Arial" w:hAnsi="Arial"/>
          <w:sz w:val="18"/>
          <w:szCs w:val="18"/>
          <w:color w:val="auto"/>
        </w:rPr>
        <w:t>this prospectus supplement, as of December 31, 2013, Texas Instruments Incorporated would have had approximately $ billion of total long-term indebtedness (including the Notes), all of which would have been unsecured and unsubordinated.</w:t>
      </w:r>
    </w:p>
    <w:p>
      <w:pPr>
        <w:spacing w:after="0" w:line="124"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Texas Instruments Incorporated and its subsidiaries may incur additional indebtedness in the future and the Notes do not restrict future incurrence of indebtedness. Any increase in its level of indebtedness will have several important effects on Texas Instruments Incorporated’s future operations, including, without limitation:</w:t>
      </w:r>
    </w:p>
    <w:p>
      <w:pPr>
        <w:spacing w:after="0" w:line="46" w:lineRule="exact"/>
        <w:rPr>
          <w:sz w:val="20"/>
          <w:szCs w:val="20"/>
          <w:color w:val="auto"/>
        </w:rPr>
      </w:pPr>
    </w:p>
    <w:p>
      <w:pPr>
        <w:ind w:left="660" w:hanging="206"/>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Texas Instruments Incorporated will have additional cash requirements in order to support the payment of interest on its outstanding indebtedness;</w:t>
      </w:r>
    </w:p>
    <w:p>
      <w:pPr>
        <w:spacing w:after="0" w:line="126" w:lineRule="exact"/>
        <w:rPr>
          <w:rFonts w:ascii="Arial" w:cs="Arial" w:eastAsia="Arial" w:hAnsi="Arial"/>
          <w:sz w:val="16"/>
          <w:szCs w:val="16"/>
          <w:color w:val="auto"/>
        </w:rPr>
      </w:pPr>
    </w:p>
    <w:p>
      <w:pPr>
        <w:ind w:left="660" w:right="12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its outstanding indebtedness and leverage will increase its vulnerability to adverse changes in general economic and industry conditions, as well as to competitive pressure; and</w:t>
      </w:r>
    </w:p>
    <w:p>
      <w:pPr>
        <w:spacing w:after="0" w:line="37"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depending on the levels of its outstanding debt, its ability to obtain additional financing for working capital, capital expenditures, general corporate and other purposes may be limited.</w:t>
      </w:r>
    </w:p>
    <w:p>
      <w:pPr>
        <w:spacing w:after="0" w:line="118"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Texas Instruments Incorporated’s ability to make payments of principal and interest on its indebtedness depends upon its future performance, which will be subject to general economic conditions, industry cycles and financial, business and other factors affecting its consolidated operations, many of which are beyond its control. If Texas Instruments Incorporated is unable to generate sufficient cash flow from operations in the future to service its debt, it may be required, among other things:</w:t>
      </w:r>
    </w:p>
    <w:p>
      <w:pPr>
        <w:spacing w:after="0" w:line="49" w:lineRule="exact"/>
        <w:rPr>
          <w:sz w:val="20"/>
          <w:szCs w:val="20"/>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seek additional financing in the debt or equity markets;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refinance or restructure all or a portion of its indebtedness, including the Notes;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sell selected assets;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reduce or delay planned capital expenditures;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reduce or delay planned operating and investment expenditures.</w:t>
      </w:r>
    </w:p>
    <w:p>
      <w:pPr>
        <w:spacing w:after="0" w:line="1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Such measures might not be sufficient to enable Texas Instruments Incorporated to service its debt. In addition, any such financing, refinancing or sale of assets might not be available on economically favorable terms.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terms of the Notes will not protect you in the event of highly leveraged transactions or a change of control.</w:t>
      </w:r>
    </w:p>
    <w:p>
      <w:pPr>
        <w:spacing w:after="0" w:line="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terms of the Notes will not afford you protection in the event of certain highly leveraged transactions or a change of control that may adversely affect you. As a result, Texas Instruments Incorporated could enter into any such transaction even though the transaction could increase the total amount of its outstanding indebtedness, adversely affect its capital structure or credit rating or otherwise adversely affect the holders of the Notes. If any such transaction were to occur, the value of your Notes could decline.</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ratings of the Notes may change and affect the market price and marketability of the Notes.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Credit ratings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is no assurance that such credit ratings will remain in effect for any given period of time or that such ratings will not be lowered, suspended or withdrawn entirely by the rating agencies, if, in each rating agency’s judgment, circumstances so warrant. It is also possible that such ratings may be lowered in connection with future events. Holders of Notes will have no recourse against Texas Instruments Incorporated or any other parties in the event of a change in or suspension or withdrawal of such ratings. Any lowering, suspension or withdrawal of such ratings may have an adverse effect on the market price or marketability of the Notes. In addition, any decline in the ratings of the Notes may make it more difficult for us to raise capital on acceptable terms.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left="460"/>
        <w:spacing w:after="0"/>
        <w:tabs>
          <w:tab w:leader="none" w:pos="5520" w:val="left"/>
        </w:tabs>
        <w:rPr>
          <w:sz w:val="20"/>
          <w:szCs w:val="20"/>
          <w:color w:val="auto"/>
        </w:rPr>
      </w:pPr>
      <w:r>
        <w:rPr>
          <w:rFonts w:ascii="Arial" w:cs="Arial" w:eastAsia="Arial" w:hAnsi="Arial"/>
          <w:sz w:val="18"/>
          <w:szCs w:val="18"/>
          <w:color w:val="auto"/>
        </w:rPr>
        <w:t>We anticipate that we will receive net proceeds of approximately $</w:t>
      </w:r>
      <w:r>
        <w:rPr>
          <w:sz w:val="20"/>
          <w:szCs w:val="20"/>
          <w:color w:val="auto"/>
        </w:rPr>
        <w:tab/>
      </w:r>
      <w:r>
        <w:rPr>
          <w:rFonts w:ascii="Arial" w:cs="Arial" w:eastAsia="Arial" w:hAnsi="Arial"/>
          <w:sz w:val="16"/>
          <w:szCs w:val="16"/>
          <w:color w:val="auto"/>
        </w:rPr>
        <w:t>million from this offering after underwriting discounts and other estimated</w:t>
      </w:r>
    </w:p>
    <w:p>
      <w:pPr>
        <w:spacing w:after="0" w:line="15"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expenses. We expect to use the net proceeds of this offering for repayment of a portion of the notes due May 15, 2014 bearing interest at a fixed rate of 1.375%. Initially we intend to invest the proceeds from this offering in certificates of deposit, United States government securities and certain other interest-bearing securities. Certain of the underwriters and/or their affiliates may be holders of our notes due May 15, 2014 and, accordingly, may receive a portion of the net proceeds of this offering in connection with the repayment of those notes. See “Underwriting.”</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6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following table sets forth a summary of our consolidated cash, cash equivalents and short-term investments and our capitalization on an actual and as adjusted basis as of December 31, 2013. Our consolidated capitalization, as adjusted, gives effect to the issuance of the Notes offered by this prospectus supplement and the application of the estimated net proceeds as described in “Use of Proceeds” as if the offering had occurred on December 31, 2013. This table should be read in conjunction with our consolidated financial statements and the related notes incorporated by reference in this prospectus supplement and the accompanying prospectus.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(Millions of dollars, except share and per share amounts)</w:t>
            </w:r>
          </w:p>
        </w:tc>
        <w:tc>
          <w:tcPr>
            <w:tcW w:w="100" w:type="dxa"/>
            <w:vAlign w:val="bottom"/>
          </w:tcPr>
          <w:p>
            <w:pPr>
              <w:spacing w:after="0"/>
              <w:rPr>
                <w:sz w:val="14"/>
                <w:szCs w:val="14"/>
                <w:color w:val="auto"/>
              </w:rPr>
            </w:pPr>
          </w:p>
        </w:tc>
        <w:tc>
          <w:tcPr>
            <w:tcW w:w="266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As of December 31, 2013</w:t>
            </w:r>
          </w:p>
        </w:tc>
        <w:tc>
          <w:tcPr>
            <w:tcW w:w="0" w:type="dxa"/>
            <w:vAlign w:val="bottom"/>
          </w:tcPr>
          <w:p>
            <w:pPr>
              <w:spacing w:after="0"/>
              <w:rPr>
                <w:sz w:val="1"/>
                <w:szCs w:val="1"/>
                <w:color w:val="auto"/>
              </w:rPr>
            </w:pPr>
          </w:p>
        </w:tc>
      </w:tr>
      <w:tr>
        <w:trPr>
          <w:trHeight w:val="142"/>
        </w:trPr>
        <w:tc>
          <w:tcPr>
            <w:tcW w:w="866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2"/>
          </w:tcPr>
          <w:p>
            <w:pPr>
              <w:jc w:val="right"/>
              <w:ind w:right="980"/>
              <w:spacing w:after="0" w:line="142" w:lineRule="exact"/>
              <w:rPr>
                <w:sz w:val="20"/>
                <w:szCs w:val="20"/>
                <w:color w:val="auto"/>
              </w:rPr>
            </w:pPr>
            <w:r>
              <w:rPr>
                <w:rFonts w:ascii="Arial" w:cs="Arial" w:eastAsia="Arial" w:hAnsi="Arial"/>
                <w:sz w:val="14"/>
                <w:szCs w:val="14"/>
                <w:b w:val="1"/>
                <w:bCs w:val="1"/>
                <w:color w:val="auto"/>
                <w:w w:val="90"/>
              </w:rPr>
              <w:t>Historical</w:t>
            </w:r>
          </w:p>
        </w:tc>
        <w:tc>
          <w:tcPr>
            <w:tcW w:w="98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As Adjusted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66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short-term investments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3,829</w:t>
            </w:r>
          </w:p>
        </w:tc>
        <w:tc>
          <w:tcPr>
            <w:tcW w:w="8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81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60" w:type="dxa"/>
            <w:vAlign w:val="bottom"/>
            <w:gridSpan w:val="3"/>
            <w:vMerge w:val="restart"/>
          </w:tcPr>
          <w:p>
            <w:pPr>
              <w:spacing w:after="0"/>
              <w:rPr>
                <w:sz w:val="20"/>
                <w:szCs w:val="20"/>
                <w:color w:val="auto"/>
              </w:rPr>
            </w:pPr>
            <w:r>
              <w:rPr>
                <w:rFonts w:ascii="Arial" w:cs="Arial" w:eastAsia="Arial" w:hAnsi="Arial"/>
                <w:sz w:val="18"/>
                <w:szCs w:val="18"/>
                <w:color w:val="auto"/>
              </w:rPr>
              <w:t>Long-term debt:</w:t>
            </w: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w:t>
            </w:r>
          </w:p>
        </w:tc>
        <w:tc>
          <w:tcPr>
            <w:tcW w:w="7940" w:type="dxa"/>
            <w:vAlign w:val="bottom"/>
            <w:gridSpan w:val="2"/>
            <w:shd w:val="clear" w:color="auto" w:fill="CCEEFF"/>
          </w:tcPr>
          <w:p>
            <w:pPr>
              <w:jc w:val="right"/>
              <w:ind w:right="6340"/>
              <w:spacing w:after="0"/>
              <w:rPr>
                <w:sz w:val="20"/>
                <w:szCs w:val="20"/>
                <w:color w:val="auto"/>
              </w:rPr>
            </w:pPr>
            <w:r>
              <w:rPr>
                <w:rFonts w:ascii="Arial" w:cs="Arial" w:eastAsia="Arial" w:hAnsi="Arial"/>
                <w:sz w:val="18"/>
                <w:szCs w:val="18"/>
                <w:color w:val="auto"/>
                <w:w w:val="93"/>
              </w:rPr>
              <w:t>Notes offered hereby</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817"/>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color w:val="auto"/>
              </w:rPr>
              <w:t>20</w:t>
            </w:r>
          </w:p>
        </w:tc>
        <w:tc>
          <w:tcPr>
            <w:tcW w:w="7940" w:type="dxa"/>
            <w:vAlign w:val="bottom"/>
            <w:gridSpan w:val="2"/>
          </w:tcPr>
          <w:p>
            <w:pPr>
              <w:jc w:val="right"/>
              <w:ind w:right="6340"/>
              <w:spacing w:after="0"/>
              <w:rPr>
                <w:sz w:val="20"/>
                <w:szCs w:val="20"/>
                <w:color w:val="auto"/>
              </w:rPr>
            </w:pPr>
            <w:r>
              <w:rPr>
                <w:rFonts w:ascii="Arial" w:cs="Arial" w:eastAsia="Arial" w:hAnsi="Arial"/>
                <w:sz w:val="18"/>
                <w:szCs w:val="18"/>
                <w:color w:val="auto"/>
                <w:w w:val="93"/>
              </w:rPr>
              <w:t>Notes offered hereby</w:t>
            </w:r>
          </w:p>
        </w:tc>
        <w:tc>
          <w:tcPr>
            <w:tcW w:w="100" w:type="dxa"/>
            <w:vAlign w:val="bottom"/>
          </w:tcPr>
          <w:p>
            <w:pPr>
              <w:spacing w:after="0"/>
              <w:rPr>
                <w:sz w:val="18"/>
                <w:szCs w:val="18"/>
                <w:color w:val="auto"/>
              </w:rPr>
            </w:pPr>
          </w:p>
        </w:tc>
        <w:tc>
          <w:tcPr>
            <w:tcW w:w="158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Other long-term debt (1)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w:t>
            </w:r>
          </w:p>
        </w:tc>
        <w:tc>
          <w:tcPr>
            <w:tcW w:w="8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4,158</w:t>
            </w:r>
          </w:p>
        </w:tc>
        <w:tc>
          <w:tcPr>
            <w:tcW w:w="0" w:type="dxa"/>
            <w:vAlign w:val="bottom"/>
          </w:tcPr>
          <w:p>
            <w:pPr>
              <w:spacing w:after="0"/>
              <w:rPr>
                <w:sz w:val="1"/>
                <w:szCs w:val="1"/>
                <w:color w:val="auto"/>
              </w:rPr>
            </w:pPr>
          </w:p>
        </w:tc>
      </w:tr>
      <w:tr>
        <w:trPr>
          <w:trHeight w:val="221"/>
        </w:trPr>
        <w:tc>
          <w:tcPr>
            <w:tcW w:w="720" w:type="dxa"/>
            <w:vAlign w:val="bottom"/>
          </w:tcPr>
          <w:p>
            <w:pPr>
              <w:spacing w:after="0"/>
              <w:rPr>
                <w:sz w:val="19"/>
                <w:szCs w:val="19"/>
                <w:color w:val="auto"/>
              </w:rPr>
            </w:pPr>
          </w:p>
        </w:tc>
        <w:tc>
          <w:tcPr>
            <w:tcW w:w="7940" w:type="dxa"/>
            <w:vAlign w:val="bottom"/>
            <w:gridSpan w:val="2"/>
          </w:tcPr>
          <w:p>
            <w:pPr>
              <w:jc w:val="right"/>
              <w:ind w:right="6340"/>
              <w:spacing w:after="0"/>
              <w:rPr>
                <w:sz w:val="20"/>
                <w:szCs w:val="20"/>
                <w:color w:val="auto"/>
              </w:rPr>
            </w:pPr>
            <w:r>
              <w:rPr>
                <w:rFonts w:ascii="Arial" w:cs="Arial" w:eastAsia="Arial" w:hAnsi="Arial"/>
                <w:sz w:val="18"/>
                <w:szCs w:val="18"/>
                <w:color w:val="auto"/>
                <w:w w:val="98"/>
              </w:rPr>
              <w:t>Total long-term debt</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4,158</w:t>
            </w:r>
          </w:p>
        </w:tc>
        <w:tc>
          <w:tcPr>
            <w:tcW w:w="84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3"/>
          </w:tcPr>
          <w:p>
            <w:pPr>
              <w:spacing w:after="0"/>
              <w:rPr>
                <w:sz w:val="20"/>
                <w:szCs w:val="20"/>
                <w:color w:val="auto"/>
              </w:rPr>
            </w:pPr>
            <w:r>
              <w:rPr>
                <w:rFonts w:ascii="Arial" w:cs="Arial" w:eastAsia="Arial" w:hAnsi="Arial"/>
                <w:sz w:val="18"/>
                <w:szCs w:val="18"/>
                <w:color w:val="auto"/>
              </w:rPr>
              <w:t>Preferred stock, $25 par value</w:t>
            </w:r>
          </w:p>
        </w:tc>
        <w:tc>
          <w:tcPr>
            <w:tcW w:w="100" w:type="dxa"/>
            <w:vAlign w:val="bottom"/>
          </w:tcPr>
          <w:p>
            <w:pPr>
              <w:spacing w:after="0"/>
              <w:rPr>
                <w:sz w:val="18"/>
                <w:szCs w:val="18"/>
                <w:color w:val="auto"/>
              </w:rPr>
            </w:pPr>
          </w:p>
        </w:tc>
        <w:tc>
          <w:tcPr>
            <w:tcW w:w="158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Authorized – 10,000,000 shares. Participating cumulative preferred. None issued</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3"/>
          </w:tcPr>
          <w:p>
            <w:pPr>
              <w:spacing w:after="0"/>
              <w:rPr>
                <w:sz w:val="20"/>
                <w:szCs w:val="20"/>
                <w:color w:val="auto"/>
              </w:rPr>
            </w:pPr>
            <w:r>
              <w:rPr>
                <w:rFonts w:ascii="Arial" w:cs="Arial" w:eastAsia="Arial" w:hAnsi="Arial"/>
                <w:sz w:val="18"/>
                <w:szCs w:val="18"/>
                <w:color w:val="auto"/>
              </w:rPr>
              <w:t>Common stock, $1 par value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1,741</w:t>
            </w:r>
          </w:p>
        </w:tc>
        <w:tc>
          <w:tcPr>
            <w:tcW w:w="8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6"/>
        </w:trPr>
        <w:tc>
          <w:tcPr>
            <w:tcW w:w="86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Authorized – 2,400,000,000 shares. Shares issued: 1,740,815,939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3"/>
          </w:tcPr>
          <w:p>
            <w:pPr>
              <w:spacing w:after="0"/>
              <w:rPr>
                <w:sz w:val="20"/>
                <w:szCs w:val="20"/>
                <w:color w:val="auto"/>
              </w:rPr>
            </w:pPr>
            <w:r>
              <w:rPr>
                <w:rFonts w:ascii="Arial" w:cs="Arial" w:eastAsia="Arial" w:hAnsi="Arial"/>
                <w:sz w:val="18"/>
                <w:szCs w:val="18"/>
                <w:color w:val="auto"/>
              </w:rPr>
              <w:t>Paid-in-capital</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1,211</w:t>
            </w:r>
          </w:p>
        </w:tc>
        <w:tc>
          <w:tcPr>
            <w:tcW w:w="8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16"/>
        </w:trPr>
        <w:tc>
          <w:tcPr>
            <w:tcW w:w="8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28,173</w:t>
            </w:r>
          </w:p>
        </w:tc>
        <w:tc>
          <w:tcPr>
            <w:tcW w:w="8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28,173</w:t>
            </w:r>
          </w:p>
        </w:tc>
        <w:tc>
          <w:tcPr>
            <w:tcW w:w="0" w:type="dxa"/>
            <w:vAlign w:val="bottom"/>
          </w:tcPr>
          <w:p>
            <w:pPr>
              <w:spacing w:after="0"/>
              <w:rPr>
                <w:sz w:val="1"/>
                <w:szCs w:val="1"/>
                <w:color w:val="auto"/>
              </w:rPr>
            </w:pPr>
          </w:p>
        </w:tc>
      </w:tr>
      <w:tr>
        <w:trPr>
          <w:trHeight w:val="216"/>
        </w:trPr>
        <w:tc>
          <w:tcPr>
            <w:tcW w:w="8660" w:type="dxa"/>
            <w:vAlign w:val="bottom"/>
            <w:gridSpan w:val="3"/>
          </w:tcPr>
          <w:p>
            <w:pPr>
              <w:spacing w:after="0"/>
              <w:rPr>
                <w:sz w:val="20"/>
                <w:szCs w:val="20"/>
                <w:color w:val="auto"/>
              </w:rPr>
            </w:pPr>
            <w:r>
              <w:rPr>
                <w:rFonts w:ascii="Arial" w:cs="Arial" w:eastAsia="Arial" w:hAnsi="Arial"/>
                <w:sz w:val="18"/>
                <w:szCs w:val="18"/>
                <w:color w:val="auto"/>
              </w:rPr>
              <w:t>Less treasury common stock at cost (658,012,970 shares)</w:t>
            </w:r>
          </w:p>
        </w:tc>
        <w:tc>
          <w:tcPr>
            <w:tcW w:w="100" w:type="dxa"/>
            <w:vAlign w:val="bottom"/>
          </w:tcPr>
          <w:p>
            <w:pPr>
              <w:spacing w:after="0"/>
              <w:rPr>
                <w:sz w:val="18"/>
                <w:szCs w:val="18"/>
                <w:color w:val="auto"/>
              </w:rPr>
            </w:pPr>
          </w:p>
        </w:tc>
        <w:tc>
          <w:tcPr>
            <w:tcW w:w="1580" w:type="dxa"/>
            <w:vAlign w:val="bottom"/>
            <w:gridSpan w:val="2"/>
          </w:tcPr>
          <w:p>
            <w:pPr>
              <w:jc w:val="right"/>
              <w:ind w:right="780"/>
              <w:spacing w:after="0"/>
              <w:rPr>
                <w:sz w:val="20"/>
                <w:szCs w:val="20"/>
                <w:color w:val="auto"/>
              </w:rPr>
            </w:pPr>
            <w:r>
              <w:rPr>
                <w:rFonts w:ascii="Arial" w:cs="Arial" w:eastAsia="Arial" w:hAnsi="Arial"/>
                <w:sz w:val="18"/>
                <w:szCs w:val="18"/>
                <w:color w:val="auto"/>
              </w:rPr>
              <w:t>(19,790)</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(19,790)</w:t>
            </w:r>
          </w:p>
        </w:tc>
        <w:tc>
          <w:tcPr>
            <w:tcW w:w="0" w:type="dxa"/>
            <w:vAlign w:val="bottom"/>
          </w:tcPr>
          <w:p>
            <w:pPr>
              <w:spacing w:after="0"/>
              <w:rPr>
                <w:sz w:val="1"/>
                <w:szCs w:val="1"/>
                <w:color w:val="auto"/>
              </w:rPr>
            </w:pPr>
          </w:p>
        </w:tc>
      </w:tr>
      <w:tr>
        <w:trPr>
          <w:trHeight w:val="216"/>
        </w:trPr>
        <w:tc>
          <w:tcPr>
            <w:tcW w:w="8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(528)</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30"/>
        </w:trPr>
        <w:tc>
          <w:tcPr>
            <w:tcW w:w="8660" w:type="dxa"/>
            <w:vAlign w:val="bottom"/>
            <w:gridSpan w:val="3"/>
          </w:tcPr>
          <w:p>
            <w:pPr>
              <w:ind w:left="44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10,807</w:t>
            </w:r>
          </w:p>
        </w:tc>
        <w:tc>
          <w:tcPr>
            <w:tcW w:w="84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Total capitalization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14,965</w:t>
            </w:r>
          </w:p>
        </w:tc>
        <w:tc>
          <w:tcPr>
            <w:tcW w:w="84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17"/>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7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40" w:hanging="452"/>
        <w:spacing w:after="0" w:line="306"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Consists of $5.1 billion of our existing outstanding notes plus net unamortized premium of $33 million, which was assumed with our acquisition of National Semiconductor Corporation, less $1.0 billion representing the current portion of long-term debt. The proceeds from this offering will be used to repay a portion of the notes due May 15, 2014 bearing interest at a fixed rate of 1.375%, which are recorded as a current liability.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left="460" w:right="3820"/>
        <w:spacing w:after="0" w:line="423" w:lineRule="auto"/>
        <w:rPr>
          <w:sz w:val="20"/>
          <w:szCs w:val="20"/>
          <w:color w:val="auto"/>
        </w:rPr>
      </w:pPr>
      <w:r>
        <w:rPr>
          <w:rFonts w:ascii="Arial" w:cs="Arial" w:eastAsia="Arial" w:hAnsi="Arial"/>
          <w:sz w:val="18"/>
          <w:szCs w:val="18"/>
          <w:b w:val="1"/>
          <w:bCs w:val="1"/>
          <w:color w:val="auto"/>
        </w:rPr>
        <w:t xml:space="preserve">RATIOS OF EARNINGS TO FIXED CHARGES </w:t>
      </w:r>
      <w:r>
        <w:rPr>
          <w:rFonts w:ascii="Arial" w:cs="Arial" w:eastAsia="Arial" w:hAnsi="Arial"/>
          <w:sz w:val="18"/>
          <w:szCs w:val="18"/>
          <w:color w:val="auto"/>
        </w:rPr>
        <w:t>The following table sets forth our ratios of earnings to fixed charges for each of the periods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88"/>
              </w:rPr>
              <w:t>Year Ended December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660" w:type="dxa"/>
            <w:vAlign w:val="bottom"/>
          </w:tcPr>
          <w:p>
            <w:pPr>
              <w:spacing w:after="0"/>
              <w:rPr>
                <w:sz w:val="12"/>
                <w:szCs w:val="12"/>
                <w:color w:val="auto"/>
              </w:rPr>
            </w:pPr>
          </w:p>
        </w:tc>
        <w:tc>
          <w:tcPr>
            <w:tcW w:w="54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2013</w:t>
            </w:r>
          </w:p>
        </w:tc>
        <w:tc>
          <w:tcPr>
            <w:tcW w:w="1060" w:type="dxa"/>
            <w:vAlign w:val="bottom"/>
            <w:gridSpan w:val="2"/>
          </w:tcPr>
          <w:p>
            <w:pPr>
              <w:ind w:left="660"/>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Pr>
          <w:p>
            <w:pPr>
              <w:spacing w:after="0"/>
              <w:rPr>
                <w:sz w:val="12"/>
                <w:szCs w:val="12"/>
                <w:color w:val="auto"/>
              </w:rPr>
            </w:pPr>
          </w:p>
        </w:tc>
        <w:tc>
          <w:tcPr>
            <w:tcW w:w="54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8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w:t>
            </w:r>
          </w:p>
        </w:tc>
        <w:tc>
          <w:tcPr>
            <w:tcW w:w="5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6"/>
              </w:rPr>
              <w:t>27.3x</w:t>
            </w:r>
          </w:p>
        </w:tc>
        <w:tc>
          <w:tcPr>
            <w:tcW w:w="5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6"/>
              </w:rPr>
              <w:t>20.6x</w:t>
            </w:r>
          </w:p>
        </w:tc>
        <w:tc>
          <w:tcPr>
            <w:tcW w:w="5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1"/>
              </w:rPr>
              <w:t>55.9x</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86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Earnings consist of earnings from continuing operations, fixed charges, and other income or loss (including interest income, distributions from equity investments, and other miscellaneous non-operational items such as currency exchange gains or losses). Fixed charges consist of total interest on loans, interest attributable to rental and lease expense, and capitalized interest.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NOTES</w:t>
      </w:r>
    </w:p>
    <w:p>
      <w:pPr>
        <w:spacing w:after="0" w:line="16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The summary herein of certain provisions of the indenture does not purport to be complete and is subject to, and is qualified in its entirety by reference to, all the provisions of the indenture, which has been filed as an exhibit to the current report on Form 8-K filed by TI on May 23, 2011. The following description of the particular terms of the Notes supplements the description of the general terms and provisions of the debt securities set forth under “Description of Debt Securities” beginning on page 8 of the accompanying prospectus.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left="460"/>
        <w:spacing w:after="0"/>
        <w:tabs>
          <w:tab w:leader="none" w:pos="1160" w:val="left"/>
          <w:tab w:leader="none" w:pos="3340" w:val="left"/>
          <w:tab w:leader="none" w:pos="3820" w:val="left"/>
          <w:tab w:leader="none" w:pos="4780" w:val="left"/>
          <w:tab w:leader="none" w:pos="6940" w:val="left"/>
          <w:tab w:leader="none" w:pos="7380" w:val="left"/>
        </w:tabs>
        <w:rPr>
          <w:sz w:val="20"/>
          <w:szCs w:val="20"/>
          <w:color w:val="auto"/>
        </w:rPr>
      </w:pPr>
      <w:r>
        <w:rPr>
          <w:rFonts w:ascii="Arial" w:cs="Arial" w:eastAsia="Arial" w:hAnsi="Arial"/>
          <w:sz w:val="18"/>
          <w:szCs w:val="18"/>
          <w:color w:val="auto"/>
        </w:rPr>
        <w:t>The 20</w:t>
        <w:tab/>
        <w:t>Notes will mature on</w:t>
      </w:r>
      <w:r>
        <w:rPr>
          <w:sz w:val="20"/>
          <w:szCs w:val="20"/>
          <w:color w:val="auto"/>
        </w:rPr>
        <w:tab/>
      </w:r>
      <w:r>
        <w:rPr>
          <w:rFonts w:ascii="Arial" w:cs="Arial" w:eastAsia="Arial" w:hAnsi="Arial"/>
          <w:sz w:val="18"/>
          <w:szCs w:val="18"/>
          <w:color w:val="auto"/>
        </w:rPr>
        <w:t>, 20</w:t>
        <w:tab/>
        <w:t>and the 20</w:t>
        <w:tab/>
        <w:t>Notes will mature on</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 The Notes will be issued in book-entry form only, in</w:t>
      </w:r>
    </w:p>
    <w:p>
      <w:pPr>
        <w:spacing w:after="0" w:line="15" w:lineRule="exact"/>
        <w:rPr>
          <w:sz w:val="20"/>
          <w:szCs w:val="20"/>
          <w:color w:val="auto"/>
        </w:rPr>
      </w:pPr>
    </w:p>
    <w:p>
      <w:pPr>
        <w:spacing w:after="0"/>
        <w:tabs>
          <w:tab w:leader="none" w:pos="7620" w:val="left"/>
        </w:tabs>
        <w:rPr>
          <w:sz w:val="20"/>
          <w:szCs w:val="20"/>
          <w:color w:val="auto"/>
        </w:rPr>
      </w:pPr>
      <w:r>
        <w:rPr>
          <w:rFonts w:ascii="Arial" w:cs="Arial" w:eastAsia="Arial" w:hAnsi="Arial"/>
          <w:sz w:val="18"/>
          <w:szCs w:val="18"/>
          <w:color w:val="auto"/>
        </w:rPr>
        <w:t>denominations of $2,000 and multiples of $1,000 thereafter. Interest on the Notes will accrue from March</w:t>
      </w:r>
      <w:r>
        <w:rPr>
          <w:sz w:val="20"/>
          <w:szCs w:val="20"/>
          <w:color w:val="auto"/>
        </w:rPr>
        <w:tab/>
      </w:r>
      <w:r>
        <w:rPr>
          <w:rFonts w:ascii="Arial" w:cs="Arial" w:eastAsia="Arial" w:hAnsi="Arial"/>
          <w:sz w:val="15"/>
          <w:szCs w:val="15"/>
          <w:color w:val="auto"/>
        </w:rPr>
        <w:t>, 2014 at the respective rates per annum shown on the</w:t>
      </w:r>
    </w:p>
    <w:p>
      <w:pPr>
        <w:spacing w:after="0" w:line="382" w:lineRule="exact"/>
        <w:rPr>
          <w:sz w:val="20"/>
          <w:szCs w:val="20"/>
          <w:color w:val="auto"/>
        </w:rPr>
      </w:pPr>
    </w:p>
    <w:p>
      <w:pPr>
        <w:jc w:val="both"/>
        <w:ind w:right="160"/>
        <w:spacing w:after="0" w:line="286" w:lineRule="auto"/>
        <w:rPr>
          <w:sz w:val="20"/>
          <w:szCs w:val="20"/>
          <w:color w:val="auto"/>
        </w:rPr>
      </w:pPr>
      <w:r>
        <w:rPr>
          <w:rFonts w:ascii="Arial" w:cs="Arial" w:eastAsia="Arial" w:hAnsi="Arial"/>
          <w:sz w:val="16"/>
          <w:szCs w:val="16"/>
          <w:color w:val="auto"/>
        </w:rPr>
        <w:t>cover of this prospectus supplement. The Notes will be payable semi-annually on and , commencing on , 2014 to the persons in whose names the Notes are registered at the close of business on the preceding or , as the case may be. Interest on the Notes will be paid to but excluding the</w:t>
      </w:r>
    </w:p>
    <w:p>
      <w:pPr>
        <w:spacing w:after="0"/>
        <w:rPr>
          <w:sz w:val="20"/>
          <w:szCs w:val="20"/>
          <w:color w:val="auto"/>
        </w:rPr>
      </w:pPr>
      <w:r>
        <w:rPr>
          <w:rFonts w:ascii="Arial" w:cs="Arial" w:eastAsia="Arial" w:hAnsi="Arial"/>
          <w:sz w:val="18"/>
          <w:szCs w:val="18"/>
          <w:color w:val="auto"/>
        </w:rPr>
        <w:t>relevant interest payment date. Interest on the Notes will be calculated on the basis of a 360-day year comprised of twelve 30-day months.</w:t>
      </w:r>
    </w:p>
    <w:p>
      <w:pPr>
        <w:spacing w:after="0" w:line="151"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Notes will be issued under the indenture dated May 23, 2011 by and between Texas Instruments Incorporated and U.S. Bank National Association, as may be further supplemented from time to time. U.S. Bank National Association is the trustee for any and all securities issued under the indenture, as amended, including the Notes, and is referred to herein as the “trustee.” Texas Instruments Incorporated will be the sole obligor on the Notes.</w:t>
      </w:r>
    </w:p>
    <w:p>
      <w:pPr>
        <w:spacing w:after="0" w:line="9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indenture does not limit the ability of Texas Instruments Incorporated or its subsidiaries to incur additional unsecured indebtedness. The Notes will be the unsecured and unsubordinated obligations of Texas Instruments Incorporated and will rank pari passu with its other unsecured and unsubordinated indebtedness. The Notes will be effectively subordinated to all indebtedness and liabilities (including trade payables and preferred stock obligations) of Texas Instruments Incorporated’s subsidiaries and will be effectively subordinated to its secured indebtedness, if any, and that of its subsidiaries, if any. As of December 31, 2013, Texas Instruments Incorporated had approximately $5.2 billion of outstanding indebtedness. As of December 31, 2013, we had approximately $8.1 billion of total liabilities on a consolidated basis. Of this amount, subsidiaries of Texas Instruments Incorporated had approximately $1.8 billion of liabilities (including trade payables and excluding intercompany debt) to which the Notes will be effectively subordinated.</w:t>
      </w:r>
    </w:p>
    <w:p>
      <w:pPr>
        <w:spacing w:after="0" w:line="10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On an as adjusted basis after giving effect to this offering and the application of the net proceeds thereof, as more fully described in “Use of Proceeds” in this prospectus supplement, as of December 31, 2013:</w:t>
      </w:r>
    </w:p>
    <w:p>
      <w:pPr>
        <w:spacing w:after="0" w:line="37" w:lineRule="exact"/>
        <w:rPr>
          <w:sz w:val="20"/>
          <w:szCs w:val="20"/>
          <w:color w:val="auto"/>
        </w:rPr>
      </w:pPr>
    </w:p>
    <w:p>
      <w:pPr>
        <w:ind w:left="660" w:right="320" w:hanging="206"/>
        <w:spacing w:after="0" w:line="26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Texas Instruments Incorporated would have had approximately $ billion of total long-term indebtedness (including the Notes), all of which would constitute senior and unsubordinated indebtedness;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would have had approximately $   billion of total liabilities on a consolidated basis;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Texas Instruments Incorporated would not have had any secured indebtedness to which the Notes would have been effectively subordinated; and</w:t>
      </w:r>
    </w:p>
    <w:p>
      <w:pPr>
        <w:spacing w:after="0" w:line="127" w:lineRule="exact"/>
        <w:rPr>
          <w:sz w:val="20"/>
          <w:szCs w:val="20"/>
          <w:color w:val="auto"/>
        </w:rPr>
      </w:pPr>
    </w:p>
    <w:p>
      <w:pPr>
        <w:ind w:left="660" w:right="800" w:hanging="199"/>
        <w:spacing w:after="0" w:line="268" w:lineRule="auto"/>
        <w:tabs>
          <w:tab w:leader="none" w:pos="640" w:val="left"/>
        </w:tabs>
        <w:rPr>
          <w:sz w:val="20"/>
          <w:szCs w:val="20"/>
          <w:color w:val="auto"/>
        </w:rPr>
      </w:pPr>
      <w:r>
        <w:rPr>
          <w:rFonts w:ascii="Arial" w:cs="Arial" w:eastAsia="Arial" w:hAnsi="Arial"/>
          <w:sz w:val="18"/>
          <w:szCs w:val="18"/>
          <w:color w:val="auto"/>
        </w:rPr>
        <w:t>•</w:t>
        <w:tab/>
        <w:t>Texas Instruments Incorporated’s subsidiaries would have had approximately $ billion of liabilities (including trade payables but excluding intercompany debt) to which the Notes would have been structurally subordinated.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Notes</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Texas Instruments Incorporated may, without the consent of the holders, increase the principal amount of any series of Notes by issuing additional Notes of such series in the future on the same terms and conditions,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except for any differences in the issue price and interest accrued prior to the issue date of the additional Notes. The additional Notes of a series will have the same CUSIP number as the applicable series of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additional Notes that are not fungible with the applicable series of Notes for U.S. federal income tax purposes will be issued under a separate CUSIP number.</w:t>
      </w:r>
    </w:p>
    <w:p>
      <w:pPr>
        <w:spacing w:after="0" w:line="1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Texas Instruments Incorporated also may, without the consent of the holders, issue other series of debt securities under the indenture in the future on terms and conditions different from the series of Notes offered hereby.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83" w:lineRule="exact"/>
        <w:rPr>
          <w:sz w:val="20"/>
          <w:szCs w:val="20"/>
          <w:color w:val="auto"/>
        </w:rPr>
      </w:pPr>
    </w:p>
    <w:p>
      <w:pPr>
        <w:ind w:left="460"/>
        <w:spacing w:after="0"/>
        <w:tabs>
          <w:tab w:leader="none" w:pos="3720" w:val="left"/>
          <w:tab w:leader="none" w:pos="5740" w:val="left"/>
          <w:tab w:leader="none" w:pos="6220" w:val="left"/>
          <w:tab w:leader="none" w:pos="7840" w:val="left"/>
          <w:tab w:leader="none" w:pos="9700" w:val="left"/>
        </w:tabs>
        <w:rPr>
          <w:sz w:val="20"/>
          <w:szCs w:val="20"/>
          <w:color w:val="auto"/>
        </w:rPr>
      </w:pPr>
      <w:r>
        <w:rPr>
          <w:rFonts w:ascii="Arial" w:cs="Arial" w:eastAsia="Arial" w:hAnsi="Arial"/>
          <w:sz w:val="18"/>
          <w:szCs w:val="18"/>
          <w:color w:val="auto"/>
        </w:rPr>
        <w:t>Until the maturity date in the case of the 20</w:t>
        <w:tab/>
        <w:t>Notes and prior to</w:t>
      </w:r>
      <w:r>
        <w:rPr>
          <w:sz w:val="20"/>
          <w:szCs w:val="20"/>
          <w:color w:val="auto"/>
        </w:rPr>
        <w:tab/>
      </w:r>
      <w:r>
        <w:rPr>
          <w:rFonts w:ascii="Arial" w:cs="Arial" w:eastAsia="Arial" w:hAnsi="Arial"/>
          <w:sz w:val="18"/>
          <w:szCs w:val="18"/>
          <w:color w:val="auto"/>
        </w:rPr>
        <w:t>, 20</w:t>
        <w:tab/>
        <w:t>in the case of the 20</w:t>
        <w:tab/>
        <w:t>Notes (the date</w:t>
      </w:r>
      <w:r>
        <w:rPr>
          <w:sz w:val="20"/>
          <w:szCs w:val="20"/>
          <w:color w:val="auto"/>
        </w:rPr>
        <w:tab/>
      </w:r>
      <w:r>
        <w:rPr>
          <w:rFonts w:ascii="Arial" w:cs="Arial" w:eastAsia="Arial" w:hAnsi="Arial"/>
          <w:sz w:val="16"/>
          <w:szCs w:val="16"/>
          <w:color w:val="auto"/>
        </w:rPr>
        <w:t>prior to the maturity</w:t>
      </w:r>
    </w:p>
    <w:p>
      <w:pPr>
        <w:spacing w:after="0" w:line="1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date of the 20 Notes), the Notes will be redeemable, in whole or in part at any time, or from time to time, at Texas Instruments Incorporated’s option, each at a “make-whole premium” redemption price calculated by Texas Instruments Incorporated equal to the greater of:</w:t>
      </w:r>
    </w:p>
    <w:p>
      <w:pPr>
        <w:spacing w:after="0" w:line="124" w:lineRule="exact"/>
        <w:rPr>
          <w:sz w:val="20"/>
          <w:szCs w:val="20"/>
          <w:color w:val="auto"/>
        </w:rPr>
      </w:pPr>
    </w:p>
    <w:p>
      <w:pPr>
        <w:ind w:left="680" w:hanging="216"/>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157" w:lineRule="exact"/>
        <w:rPr>
          <w:rFonts w:ascii="Arial" w:cs="Arial" w:eastAsia="Arial" w:hAnsi="Arial"/>
          <w:sz w:val="18"/>
          <w:szCs w:val="18"/>
          <w:color w:val="auto"/>
        </w:rPr>
      </w:pPr>
    </w:p>
    <w:p>
      <w:pPr>
        <w:ind w:right="60" w:firstLine="464"/>
        <w:spacing w:after="0" w:line="305" w:lineRule="auto"/>
        <w:tabs>
          <w:tab w:leader="none" w:pos="715"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sum of the present values of the remaining scheduled payments of principal and interest thereon (not including any portion of such payments of interest accrued as of the date of redemption), discounted to the date of redemption on a semi-annual basis (assuming a 360-day year consisting of twelve 30-day</w:t>
      </w:r>
    </w:p>
    <w:p>
      <w:pPr>
        <w:ind w:right="720"/>
        <w:spacing w:after="0" w:line="419" w:lineRule="auto"/>
        <w:rPr>
          <w:sz w:val="20"/>
          <w:szCs w:val="20"/>
          <w:color w:val="auto"/>
        </w:rPr>
      </w:pPr>
      <w:r>
        <w:rPr>
          <w:rFonts w:ascii="Arial" w:cs="Arial" w:eastAsia="Arial" w:hAnsi="Arial"/>
          <w:sz w:val="18"/>
          <w:szCs w:val="18"/>
          <w:color w:val="auto"/>
        </w:rPr>
        <w:t>months) at the Treasury Rate (as defined below), plus basis points with respect to the 20 Notes and basis points with respect to the 20 Notes; plus, in each case, accrued interest thereon to the date of redemption.</w:t>
      </w:r>
    </w:p>
    <w:p>
      <w:pPr>
        <w:ind w:right="20" w:firstLine="456"/>
        <w:spacing w:after="0" w:line="259" w:lineRule="auto"/>
        <w:rPr>
          <w:sz w:val="20"/>
          <w:szCs w:val="20"/>
          <w:color w:val="auto"/>
        </w:rPr>
      </w:pPr>
      <w:r>
        <w:rPr>
          <w:rFonts w:ascii="Arial" w:cs="Arial" w:eastAsia="Arial" w:hAnsi="Arial"/>
          <w:sz w:val="18"/>
          <w:szCs w:val="18"/>
          <w:color w:val="auto"/>
        </w:rPr>
        <w:t>At any time on or after , 20 in the case of the 20 Notes (the date prior to the maturity date of the 20 Notes), the 20 Notes will be redeemable, in whole or in part at any time and from time to time, at Texas Instruments Incorporated’s option at a redemption price equal to 100% of the principal amount of the 20 Notes to be redeemed plus accrued interest thereon to the date of redemption.</w:t>
      </w:r>
    </w:p>
    <w:p>
      <w:pPr>
        <w:spacing w:after="0" w:line="12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as set forth in the Notes and the indenture.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foregoing discussion of an Optional Redemption, the following definitions are applicable:</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“Comparable Treasury Issue”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127"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“Comparable Treasury Price” means, with respect to any redemption date, (i) the average of three Reference Treasury Dealer Quotations for such redemption date, after excluding the highest and lowest such Reference Treasury Dealer Quotations, or (ii) if the Quotation Agent obtains fewer than three such Reference Treasury Dealer Quotations, the average of all such quotations, or (iii) if only one Reference Treasury Dealer Quotation is received, such quotation.</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“Quotation Agent” means the Reference Treasury Dealer appointed by Texas Instruments Incorporated.</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“Reference Treasury Dealer” means (i) Citigroup Global Markets Inc., Merrill Lynch, Pierce, Fenner &amp; Smith Incorporated and Mizuho Securities USA Inc. (or their respective affiliates that are Primary Treasury Dealers) and their respective successors; provided, however, that if any of the foregoing shall cease to be a primary U.S. Government securities dealer in New York City (a “Primary Treasury Dealer”), Texas Instruments Incorporated will substitute therefor another Primary Treasury Dealer, and (ii) any other Primary Treasury Dealer selected by Texas Instruments Incorporated.</w:t>
      </w:r>
    </w:p>
    <w:p>
      <w:pPr>
        <w:spacing w:after="0" w:line="99"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75"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2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Notice of any redemption will be mailed at least 30 days but not more than 60 days before the redemption date to each holder of the Notes to be redeemed. Unless Texas Instruments Incorporated defaults in payment of the redemption price, on and after the redemption date, interest will cease to accrue on the Notes or portions thereof called for redemption. If less than all of the Notes are to be redeemed, the Notes to be redeemed shall be selected by lot by The Depository Trust Company, in the case of Notes represented by a global note, or by the trustee by a method the trustee deems to be fair and appropriate, in the case of Notes that are not represented by a global note. No Notes of a principal amount of $2,000 or less will be redeemed in part. In addition, at any time we may repurchase Notes in the open market and may hold or surrender such Notes to the trustee for cancellation.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Sinking Fund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not be entitled to any sinking fund.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for any series of debt securities is defined under the indenture as being:</w:t>
      </w:r>
    </w:p>
    <w:p>
      <w:pPr>
        <w:spacing w:after="0" w:line="77" w:lineRule="exact"/>
        <w:rPr>
          <w:sz w:val="20"/>
          <w:szCs w:val="20"/>
          <w:color w:val="auto"/>
        </w:rPr>
      </w:pPr>
    </w:p>
    <w:p>
      <w:pPr>
        <w:ind w:left="660" w:right="240" w:hanging="206"/>
        <w:spacing w:after="0" w:line="347" w:lineRule="auto"/>
        <w:tabs>
          <w:tab w:leader="none" w:pos="66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default in the payment of principal or premium on the debt securities of such series when due and payable whether at maturity, upon acceleration, redemption, or otherwise, but, in the case of technical or administrative difficulties, only if that default continues for a period of two days;</w:t>
      </w:r>
    </w:p>
    <w:p>
      <w:pPr>
        <w:ind w:left="660" w:hanging="206"/>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default in the payment of interest on any debt securities of such series when due and payable, if that default continues for a period of 30 days;</w:t>
      </w:r>
    </w:p>
    <w:p>
      <w:pPr>
        <w:spacing w:after="0" w:line="126" w:lineRule="exact"/>
        <w:rPr>
          <w:rFonts w:ascii="Arial" w:cs="Arial" w:eastAsia="Arial" w:hAnsi="Arial"/>
          <w:sz w:val="16"/>
          <w:szCs w:val="16"/>
          <w:color w:val="auto"/>
        </w:rPr>
      </w:pPr>
    </w:p>
    <w:p>
      <w:pPr>
        <w:ind w:left="660" w:hanging="206"/>
        <w:spacing w:after="0" w:line="25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consecutive days after we receive written notice from the trustee or from the holders of 25% or more in aggregate principal amount of the debt securities of such series;</w:t>
      </w:r>
    </w:p>
    <w:p>
      <w:pPr>
        <w:spacing w:after="0" w:line="48"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occurs any other event of default provided for in such series of debt securities;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03" w:lineRule="exact"/>
        <w:rPr>
          <w:rFonts w:ascii="Arial" w:cs="Arial" w:eastAsia="Arial" w:hAnsi="Arial"/>
          <w:sz w:val="18"/>
          <w:szCs w:val="18"/>
          <w:color w:val="auto"/>
        </w:rPr>
      </w:pPr>
    </w:p>
    <w:p>
      <w:pPr>
        <w:ind w:left="900" w:hanging="217"/>
        <w:spacing w:after="0"/>
        <w:tabs>
          <w:tab w:leader="none" w:pos="900" w:val="left"/>
        </w:tabs>
        <w:numPr>
          <w:ilvl w:val="1"/>
          <w:numId w:val="9"/>
        </w:numPr>
        <w:rPr>
          <w:rFonts w:ascii="Arial" w:cs="Arial" w:eastAsia="Arial" w:hAnsi="Arial"/>
          <w:sz w:val="16"/>
          <w:szCs w:val="16"/>
          <w:color w:val="auto"/>
        </w:rPr>
      </w:pPr>
      <w:r>
        <w:rPr>
          <w:rFonts w:ascii="Arial" w:cs="Arial" w:eastAsia="Arial" w:hAnsi="Arial"/>
          <w:sz w:val="16"/>
          <w:szCs w:val="16"/>
          <w:color w:val="auto"/>
        </w:rPr>
        <w:t>relief in respect of us in an involuntary case under any applicable bankruptcy, insolvency, or other similar law now or hereafter in effect;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0" w:hanging="217"/>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us or for all or substantially all of our property and assets; or</w:t>
      </w:r>
    </w:p>
    <w:p>
      <w:pPr>
        <w:spacing w:after="0" w:line="37" w:lineRule="exact"/>
        <w:rPr>
          <w:rFonts w:ascii="Arial" w:cs="Arial" w:eastAsia="Arial" w:hAnsi="Arial"/>
          <w:sz w:val="18"/>
          <w:szCs w:val="18"/>
          <w:color w:val="auto"/>
        </w:rPr>
      </w:pPr>
    </w:p>
    <w:p>
      <w:pPr>
        <w:ind w:left="900" w:hanging="217"/>
        <w:spacing w:after="0"/>
        <w:tabs>
          <w:tab w:leader="none" w:pos="9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winding up or liquidation of our affairs and such decree or order shall remain unstayed and in effect for a period of 60 consecutive days.</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w:t>
      </w:r>
    </w:p>
    <w:p>
      <w:pPr>
        <w:spacing w:after="0" w:line="103" w:lineRule="exact"/>
        <w:rPr>
          <w:rFonts w:ascii="Arial" w:cs="Arial" w:eastAsia="Arial" w:hAnsi="Arial"/>
          <w:sz w:val="18"/>
          <w:szCs w:val="18"/>
          <w:color w:val="auto"/>
        </w:rPr>
      </w:pPr>
    </w:p>
    <w:p>
      <w:pPr>
        <w:ind w:left="900" w:right="40" w:hanging="217"/>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commence a voluntary case under any applicable bankruptcy, insolvency, or other similar law now or hereafter in effect, or consent to the entry of an order for relief in an involuntary case under any such law;</w:t>
      </w:r>
    </w:p>
    <w:p>
      <w:pPr>
        <w:spacing w:after="0" w:line="37" w:lineRule="exact"/>
        <w:rPr>
          <w:rFonts w:ascii="Arial" w:cs="Arial" w:eastAsia="Arial" w:hAnsi="Arial"/>
          <w:sz w:val="18"/>
          <w:szCs w:val="18"/>
          <w:color w:val="auto"/>
        </w:rPr>
      </w:pPr>
    </w:p>
    <w:p>
      <w:pPr>
        <w:ind w:left="900" w:hanging="217"/>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consent to the appointment of or taking possession by a receiver, liquidator, assignee, custodian, trustee, sequestrator, or similar official of ours for all or substantially all of our property and assets; or</w:t>
      </w:r>
    </w:p>
    <w:p>
      <w:pPr>
        <w:spacing w:after="0" w:line="37" w:lineRule="exact"/>
        <w:rPr>
          <w:rFonts w:ascii="Arial" w:cs="Arial" w:eastAsia="Arial" w:hAnsi="Arial"/>
          <w:sz w:val="18"/>
          <w:szCs w:val="18"/>
          <w:color w:val="auto"/>
        </w:rPr>
      </w:pPr>
    </w:p>
    <w:p>
      <w:pPr>
        <w:ind w:left="900" w:hanging="217"/>
        <w:spacing w:after="0"/>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effect any general assignment for the benefit of creditors.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default by us under any other debt, including any other series of debt securities, is not a default under the indenture.</w:t>
      </w:r>
    </w:p>
    <w:p>
      <w:pPr>
        <w:spacing w:after="0" w:line="15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2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If an event of default specified in the last two bullet points above occurs with respect to us and is continuing, then the entire principal amount of the outstanding debt securities, including the Notes, will automatically become due immediately and payable without any declaration or other act on the part of the trustee or any holder.</w:t>
      </w:r>
    </w:p>
    <w:p>
      <w:pPr>
        <w:spacing w:after="0" w:line="12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 Unless otherwise specified in the prospectus supplement 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3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“Description of Debt Securities — Modification and Waiver.”</w:t>
      </w:r>
    </w:p>
    <w:p>
      <w:pPr>
        <w:spacing w:after="0" w:line="106"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 securities. However, the trustee may refuse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49" w:lineRule="exact"/>
        <w:rPr>
          <w:sz w:val="20"/>
          <w:szCs w:val="20"/>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03" w:lineRule="exact"/>
        <w:rPr>
          <w:rFonts w:ascii="Arial" w:cs="Arial" w:eastAsia="Arial" w:hAnsi="Arial"/>
          <w:sz w:val="18"/>
          <w:szCs w:val="18"/>
          <w:color w:val="auto"/>
        </w:rPr>
      </w:pPr>
    </w:p>
    <w:p>
      <w:pPr>
        <w:ind w:left="660" w:right="200" w:hanging="206"/>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debt securities make a written request to the trustee to pursue the remedy in respect of such event of default;</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03"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debt securities do not give the trustee a direction that is inconsistent with the request.</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 Global Note</w:t>
      </w:r>
    </w:p>
    <w:p>
      <w:pPr>
        <w:spacing w:after="0" w:line="8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Notes of each series sold in the United States will be issued in the form of one or more fully registered global notes without interest coupons which will be deposited with, or on behalf of, The Depository Trust Company (“DTC”), New York, New York, and registered in the name of Cede &amp; Co., as nominee of DTC, for the accounts of participants in DTC. Unless and until exchanged, in whole or in part, for Notes in definitive registered form, a global note may not be transferred except as a whole (i) by the depositary for such global note to a nominee of such depositary, (ii) by a nominee of such depositary to such depositary or another nominee of such depositary or (iii) by such depositary or any such nominee to a successor of such depositary or a nominee of such successor.</w:t>
      </w:r>
    </w:p>
    <w:p>
      <w:pPr>
        <w:spacing w:after="0" w:line="10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Ownership of beneficial interests in a registered global note will be limited to persons, called participants, that have accounts with the depositary (currently DTC) or persons that may hold interests through participants in DTC. Investors may hold their interests in a global note directly through Euroclear Bank S.A./N.V., as operator of the Euroclear System (“Euroclear”), and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(“Clearstream”), if they are participants in such systems, or indirectly through organizations that are participants in such systems. Euroclear and Clearstream will hold interests in a global note on behalf of their participants through their respective depositaries, which in turn will hold such interests in the global note in customers’ securities accounts in the depositaries’ names on the books of DTC.</w:t>
      </w:r>
    </w:p>
    <w:p>
      <w:pPr>
        <w:spacing w:after="0" w:line="13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Upon transfer of a definitive note, the definitive note will be exchanged for an interest in a global note, and the transferee will be required to hold its interest through a participant in DTC, Euroclear or Clearstream, as applicable.</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Upon the issuance of a registered global note, the depositary will credit, on its book-entry registration and transfer system, the participants’ accounts with the respective principal or face amounts of the relevant series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Notes beneficially owned by the participants. Any dealers, underwriters or agents participating in the distribution of the Notes will designate the accounts to be credited. Ownership of beneficial interests in a registered global note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3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So long as the depositary, or its nominee, is the registered owner of a registered global note, that depositary or its nominee, as the case may be, will be considered the sole owner or holder of the relevant series of Notes represented by the registered global note for all purposes under the indenture. Except as described below, owners of beneficial interests in a registered global note will not be entitled to have the Notes represented by the registered global note registered in their names, will not receive or be entitled to receive physical delivery of the Notes in definitive form and will not be considered the owners or holders of the Notes under the indenture. Accordingly, each person owning a beneficial interest in a registered global note must rely on the procedures of the depositary for that registered global note and, if that person is not a participant, on the procedures of the participant through which the person owns its interest, to exercise any rights of a holder under the indenture. The laws of some states may require that some purchasers of Notes take physical delivery of these Notes in definitive form. Such laws may impair the ability to transfer beneficial interests in a global note.</w:t>
      </w:r>
    </w:p>
    <w:p>
      <w:pPr>
        <w:spacing w:after="0" w:line="10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To facilitate subsequent transfers, all Notes deposited by participants with DTC will be registered in the name of DTC’s nominee, Cede &amp; Co. The deposit of the Notes with DTC and their registration in the name of Cede &amp; Co. effect no change in beneficial ownership. DTC will have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99"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Texas Instruments Incorporated will make payments due on the Notes to Cede &amp; Co., as nominee of DTC, in immediately available funds. DTC’s practice upon receipt of any payment of principal, premium, interest or other distribution of underlying securities or other property to holders on that registered global note, is to immediately credit participants’ accounts in amounts proportionate to their respective beneficial interests in that registered global note as shown on the records of the depositary. Payments by participants to owners of beneficial interests in a registered global note held through participants will be governed by standing customer instructions and customary practices, as is now the case with the securities held for the accounts of customers in bearer form or registered in “street name,” and will be the responsibility of those participants. Payment to Cede &amp; Co. is the responsibility of Texas Instruments Incorporated. Disbursement of such payments to direct participants is the responsibility of Cede &amp; Co. Disbursement of such payments to the beneficial owners is the responsibility of direct and indirect participants. None of Texas Instruments Incorporated, the trustee or any other agent of ours or any agent of the trustee will have any responsibility or liability for any aspect of the records relating to payments made on account of beneficial ownership interests in the registered global note or for maintaining, supervising or reviewing any records relating to those beneficial ownership interests.</w:t>
      </w:r>
    </w:p>
    <w:p>
      <w:pPr>
        <w:spacing w:after="0" w:line="10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Transfers between participants in Euroclear and Clearstream will be effected in the ordinary way in accordance with their respective rules and operating procedures. If a holder requires physical delivery of a definitive note for any reason, including to sell Notes to persons in jurisdictions that require such delivery of such Notes or to pledge such Notes, such holder must transfer its interest in the relevant global note in accordance with the normal procedures of DTC and the procedures set forth in the indenture.</w:t>
      </w:r>
    </w:p>
    <w:p>
      <w:pPr>
        <w:spacing w:after="0" w:line="13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Cross-market transfers between DTC, on the one hand, and directly or indirectly through Euroclear or Clearstream participants, on the other, will be effected by DTC in accordance with DTC rules on behalf of Euroclear or Clearstream, as the case may be, by its respective depositary; however, such cross-market transactions will require delivery of instructions to Euroclear or Clearstream, as the case may be, by the counterparty in such system in accordance with its rules and procedures and within its established deadlines (Brussels time). Euroclear or Clearstream, as the case may be, will, if the transaction meets its settlement</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requirements, deliver instructions to its respective depositary to take action to effect final settlement on its behalf by delivering or receiving interests in the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9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Because of the time zone differences, the securities account of a Euroclear or Clearstream participant purchasing an interest in the global note from a DTC participant will be credited during the securities settlement processing day (which must be a business day for Euroclear or Clearstream, as the case may be) immediately following the DTC settlement date, and such credit of any transaction’s interests in the global note settled during such processing day will be reported to the relevant Euroclear or Clearstream participant on such day. Cash received in Euroclear or Clearstream as a result of sales of interests in a global note by or through a Euroclear or Clearstream participant to a DTC participant will be received with value on the DTC settlement date, but will be available in the relevant Euroclear or Clearstream cash account only as of the business day following settlement in DTC.</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Texas Instruments Incorporated expects that DTC will take any action permitted to be taken by a holder of Notes only at the direction of one or more participants to whose account the DTC interests in a global note are credited and only in respect of such portion of the aggregate principal amount of the Notes as to which such participant or participants has or have given such direction. However, if there is an event of default under the Notes, DTC will exchange each global note for definitive notes, which it will distribute to its participants.</w:t>
      </w:r>
    </w:p>
    <w:p>
      <w:pPr>
        <w:spacing w:after="0" w:line="13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Although Texas Instruments Incorporated expects that DTC, Euroclear and Clearstream will agree to the foregoing procedures in order to facilitate transfers of interests in each global note among participants of DTC, Euroclear and Clearstream, DTC, Euroclear and Clearstream are under no obligation to perform or continue to perform such procedures, and such procedures may be discontinued at any time. Neither Texas Instruments Incorporated nor the trustee will have any responsibility for the performance by DTC, Euroclear or Clearstream or their participants or indirect participants of their respective obligations under the rules and procedures governing their operations.</w:t>
      </w:r>
    </w:p>
    <w:p>
      <w:pPr>
        <w:spacing w:after="0" w:line="10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If the depositary for any of the Notes represented by a registered global note is at any time unwilling or unable to continue as depositary or ceases to be a clearing agency registered under the Exchange Act, and a successor depositary registered as a clearing agency under the Exchange Act is not appointed by Texas Instruments Incorporated within 90 days, Texas Instruments Incorporated will issue Notes in definitive form in exchange for the registered global note that had been held by the depositary. Any Notes issued in definitive form in exchange for a registered global note will be registered in the name or names that the depositary gives to the trustee or other relevant agent of or the trustee. It is expected that the depositary’s instructions will be based upon directions received by the depositary from participants with respect to ownership of beneficial interests in the registered global note that had been held by the depositary. In addition, Texas Instruments Incorporated may at any time determine that the Notes of any series shall no longer be represented by a global note and will issue Notes in definitive form in exchange for such global note pursuant to the procedure described above.</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its participants and to facilitate the clearance and settlement of securities transactions, such as transfers and pledges, among its participants in such securities through electronic computerized book-entry changes in accounts of the participants, thereby eliminating the need for physical movement of securities certificates. DTC’s participants include securities brokers and dealers, banks, trust companies, clearing corporations and certain other organizations, some of whom own DTC. Access to DTC’s book-entry system is also available to others, such as banks, brokers, dealers and trust companies that clear through or maintain a custodial relationship with a participant, either directly or indirectly. The rules applicable to DTC and its participants are on file with the SEC.</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 and Clearstream participants are financial institutions such as underwriters, securities brokers and dealers, banks, trust companies and certain other organizations. Indirect access to Euroclear or Clearstream is also available to others such as banks, brokers, dealers and trust companies that clear through or maintain a custodial relationship with a Euroclear or Clearstream participant, either directly or indirectly.</w:t>
      </w:r>
    </w:p>
    <w:p>
      <w:pPr>
        <w:spacing w:after="0" w:line="13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information in this section concerning DTC and DTC’s book-entry system, as well as information regarding Euroclear and Clearstream, has been obtained from sources that Texas Instruments Incorporated believes to be reliable, but Texas Instruments Incorporated takes no responsibility for its accuracy or completeness. Texas Instruments Incorporated assumes no responsibility for the performance by DTC, Euroclear, Clearstream or their respective participants of their respective obligations, including obligations that they have under the rules and procedures that govern their operations.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Notices to holders of the Notes will be made by first class mail, postage prepaid, to the addresses that appear on the security register of the Notes.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Our Relationship with the Trustee</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maintain ordinary banking relationships with the trustee and its affiliates and in the future may enter into additional such relationships. The trustee is a lender under our credit facility.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64"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The following are the material U.S. federal income tax consequences of owning and disposing of Notes purchased in this offering at the “issue price,” which we assume will be the applicable public offering price indicated on the cover of this prospectus supplement, and held as capital assets for U.S. federal income tax purposes.</w:t>
      </w:r>
    </w:p>
    <w:p>
      <w:pPr>
        <w:spacing w:after="0" w:line="12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This discussion does not describe all of the tax consequences that may be relevant to you in light of your particular circumstances, including alternative minimum tax consequences and differing tax consequences applicable to you if you are, for instance:</w:t>
      </w:r>
    </w:p>
    <w:p>
      <w:pPr>
        <w:spacing w:after="0" w:line="37" w:lineRule="exact"/>
        <w:rPr>
          <w:sz w:val="20"/>
          <w:szCs w:val="20"/>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financial institution;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insurance company;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regulated investment company;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dealer or trader in securities;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person holding Notes as part of a “straddle” or integrated transaction;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U.S. Holder (as defined below) whose functional currency is not the U.S. dollar;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partnership for U.S. federal income tax purposes;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1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you are a partnership for U.S. federal income tax purposes, the U.S. federal income tax treatment of each of your partners will generally depend on the status of the partner and your activities.</w:t>
      </w:r>
    </w:p>
    <w:p>
      <w:pPr>
        <w:spacing w:after="0" w:line="118"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This summary is based on the Internal Revenue Code of 1986, as amended to the date hereof, administrative pronouncements, judicial decisions and final, temporary and proposed Treasury Regulations, changes to any of which subsequent to the date of this prospectus supplement may affect the tax consequences described herein. This summary does not discuss any aspect of state, local, or non-U.S. taxation, any federal taxes other than income taxes, or the potential application of the Medicare contribution tax. If you are considering the purchase of Notes, you should consult your tax adviser with regard to the application of the U.S. federal tax laws to your particular situation, as well as any tax consequences arising under the laws of any state, local or foreign taxing jurisdiction.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U.S.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This section applies to you if you are a U.S. Holder. You are a U.S. Holder if for U.S. federal income tax purposes you are a beneficial owner of a Note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are:</w:t>
      </w:r>
    </w:p>
    <w:p>
      <w:pPr>
        <w:spacing w:after="0" w:line="70" w:lineRule="exact"/>
        <w:rPr>
          <w:sz w:val="20"/>
          <w:szCs w:val="20"/>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03"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United States federal income taxation regardless of its source.</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of Interest</w:t>
      </w:r>
    </w:p>
    <w:p>
      <w:pPr>
        <w:spacing w:after="0" w:line="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Stated interest on a Note will be taxable to you as ordinary interest income at the time it accrues or is received, in accordance with your method of accounting for U.S. federal income tax purposes. It is expected, and this discussion assumes, that the Notes will be issued without original issue discount for U.S. federal income tax purposes. If, however, the Notes’ principal amount exceeds the issue price by at least a de minimis amount, as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determined under applicable Treasury Regulations, you will be required to include such excess in income as original issue discount, as it accrues, in accordance with a constant yield method based on a compounding of interest before the receipt of cash payments attributable to this income.</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Upon the sale or other taxable disposition of a Note, you will recognize taxable gain or loss equal to the difference between the amount realized on the sale or other taxable disposition and your adjusted tax basis in the Note. Your adjusted tax basis in a Note will equal the cost of your Note. For these purposes, the amount realized does not include any amount attributable to accrued but unpaid interest, which is treated as described under “Payments of Interest” above. Gain or loss realized on the sale or other taxable disposition of a Note will generally be capital gain or loss and will be long-term capital gain or loss if at the time of sale or other taxable disposition the Note has been held for more than one year. Long-term capital gains recognized by non-corporate U.S. Holders are subject to reduced tax rates. The deductibility of capital losses is subject to limitations.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Information returns are required to be filed with the Internal Revenue Service (“IRS”) in connection with payments on the Notes and the proceeds from a sale or other disposition of the Notes unless you are an exempt recipient. You may also be subject to backup withholding on these payments in respect of your Notes unless you provide your taxpayer identification number and otherwise comply with applicable requirements of the backup withholding rules or you provide proof of an applicable exemption. Amounts withheld under the backup withholding rules are not additional taxes and may be refunded or credited against your U.S. federal income tax liability, provided the required information is timely furnished to the IRS.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Non-U.S.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section applies to you if are a Non-U.S. Holder. You are a Non-U.S. Holder if for U.S. federal income tax purposes you are a beneficial owner of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Note and are:</w:t>
      </w:r>
    </w:p>
    <w:p>
      <w:pPr>
        <w:spacing w:after="0" w:line="70" w:lineRule="exact"/>
        <w:rPr>
          <w:sz w:val="20"/>
          <w:szCs w:val="20"/>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You are not a Non-U.S. Holder if you are a nonresident alien individual present in the United States for 183 days or more in the taxable year of disposition of a Note, or if you are a former citizen or former resident of the United States, in which case you should consult your tax adviser regarding the U.S. federal income tax consequences of owning and disposing of a Note.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on the Notes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Payments of principal and interest on the Notes to you will not be subject to U.S. federal income or withholding tax, provided that, in the case of interest,</w:t>
      </w:r>
    </w:p>
    <w:p>
      <w:pPr>
        <w:spacing w:after="0" w:line="100" w:lineRule="exact"/>
        <w:rPr>
          <w:sz w:val="20"/>
          <w:szCs w:val="20"/>
          <w:color w:val="auto"/>
        </w:rPr>
      </w:pPr>
    </w:p>
    <w:p>
      <w:pPr>
        <w:ind w:left="660" w:hanging="206"/>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you do not own, actually or constructively, ten percent or more of the total combined voting power of all classes of our stock entitled to vote;</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you are not a controlled foreign corporation related, directly or indirectly, to us through stock ownership;</w:t>
      </w:r>
    </w:p>
    <w:p>
      <w:pPr>
        <w:spacing w:after="0" w:line="103"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you certify on a properly executed IRS Form W-8BEN (or other applicable form), under penalties of perjury, that you are not a United States person or you otherwise satisfy certification requirements applicable to Notes held through certain intermediaries;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it is not effectively connected with your conduct of a trade or business in the United States as described below.</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If you cannot satisfy any of the first three requirements described above and interest on the Notes is not subject to net income tax as described below under</w:t>
      </w:r>
    </w:p>
    <w:p>
      <w:pPr>
        <w:spacing w:after="0" w:line="50"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 — Effectively Connected Income,” payments of interest on the Notes will generally be subject to withholding tax at a rate of 30%, subject to an applicable treaty providing otherwise.</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7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You generally will not be subject to U.S. federal income or withholding tax on gain realized on a sale, redemption or other taxable disposition of Notes, unless the gain is effectively connected with your conduct of a trade or business in the United States as described below, provided however that any amounts attributable to accrued interest will be treated as described above under “Payments on the Notes.”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Effectively Connected Income</w:t>
      </w:r>
    </w:p>
    <w:p>
      <w:pPr>
        <w:spacing w:after="0" w:line="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If interest or gain on a Note is effectively connected with your conduct of a trade or business in the United States (and, if required by an applicable income tax treaty, is attributable to a U.S. permanent establishment or fixed base maintained by you), you will generally be subject to net income tax on such amounts in the same manner as a U.S. Holder (see “Tax Consequences to U.S. Holders” above). In this case, you will be exempt from the withholding tax on interest discussed above, although you will be required to provide a properly executed IRS Form W-8ECI in order to claim an exemption from withholding. You are urged to consult your tax adviser with respect to other U.S. tax consequences of the ownership and disposition of Notes, including the possible imposition of a branch profits tax at a rate of 30% (or a lower treaty rate) if you are a corporation.</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Information returns are required to be filed with the IRS in connection with payments of interest on the Notes. Unless you comply with certification procedures to establish that you are not a United States person, information returns may also be filed with the IRS in connection with the proceeds from a sale or other disposition of a Note. You may be subject to backup withholding on payments on the Notes or on the proceeds from a sale or other disposition of the Notes unless you comply with certification procedures to establish that you are not a United States person or otherwise establish an exemption. Compliance with the certification procedures required to claim the exemption from withholding tax on interest described above will satisfy the certification requirements necessary to avoid backup withholding as well. The amount of any backup withholding from a payment to you will be allowed as a credit against your U.S. federal income tax liability and may entitle you to a refund, provided that the required information is timely furnished to the IRS.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6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Citigroup Global Markets Inc., Merrill Lynch, Pierce, Fenner &amp; Smith Incorporated and Mizuho Securities USA Inc. are acting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principal amount of the 20 Notes and 20 Notes set forth opposite the underwriter’s name.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42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Principal</w:t>
            </w:r>
          </w:p>
        </w:tc>
        <w:tc>
          <w:tcPr>
            <w:tcW w:w="0" w:type="dxa"/>
            <w:vAlign w:val="bottom"/>
          </w:tcPr>
          <w:p>
            <w:pPr>
              <w:spacing w:after="0"/>
              <w:rPr>
                <w:sz w:val="1"/>
                <w:szCs w:val="1"/>
                <w:color w:val="auto"/>
              </w:rPr>
            </w:pPr>
          </w:p>
        </w:tc>
      </w:tr>
      <w:tr>
        <w:trPr>
          <w:trHeight w:val="14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5200" w:type="dxa"/>
            <w:vAlign w:val="bottom"/>
            <w:vMerge w:val="restart"/>
          </w:tcPr>
          <w:p>
            <w:pPr>
              <w:spacing w:after="0"/>
              <w:rPr>
                <w:sz w:val="12"/>
                <w:szCs w:val="12"/>
                <w:color w:val="auto"/>
              </w:rPr>
            </w:pPr>
          </w:p>
        </w:tc>
        <w:tc>
          <w:tcPr>
            <w:tcW w:w="32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42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Amount of</w:t>
            </w:r>
          </w:p>
        </w:tc>
        <w:tc>
          <w:tcPr>
            <w:tcW w:w="0" w:type="dxa"/>
            <w:vAlign w:val="bottom"/>
          </w:tcPr>
          <w:p>
            <w:pPr>
              <w:spacing w:after="0"/>
              <w:rPr>
                <w:sz w:val="1"/>
                <w:szCs w:val="1"/>
                <w:color w:val="auto"/>
              </w:rPr>
            </w:pPr>
          </w:p>
        </w:tc>
      </w:tr>
      <w:tr>
        <w:trPr>
          <w:trHeight w:val="168"/>
        </w:trPr>
        <w:tc>
          <w:tcPr>
            <w:tcW w:w="780" w:type="dxa"/>
            <w:vAlign w:val="bottom"/>
            <w:tcBorders>
              <w:bottom w:val="single" w:sz="8" w:color="auto"/>
            </w:tcBorders>
            <w:vMerge w:val="continue"/>
          </w:tcPr>
          <w:p>
            <w:pPr>
              <w:spacing w:after="0"/>
              <w:rPr>
                <w:sz w:val="14"/>
                <w:szCs w:val="14"/>
                <w:color w:val="auto"/>
              </w:rPr>
            </w:pPr>
          </w:p>
        </w:tc>
        <w:tc>
          <w:tcPr>
            <w:tcW w:w="5200" w:type="dxa"/>
            <w:vAlign w:val="bottom"/>
            <w:vMerge w:val="continue"/>
          </w:tcPr>
          <w:p>
            <w:pPr>
              <w:spacing w:after="0"/>
              <w:rPr>
                <w:sz w:val="14"/>
                <w:szCs w:val="14"/>
                <w:color w:val="auto"/>
              </w:rPr>
            </w:pPr>
          </w:p>
        </w:tc>
        <w:tc>
          <w:tcPr>
            <w:tcW w:w="3260" w:type="dxa"/>
            <w:vAlign w:val="bottom"/>
          </w:tcPr>
          <w:p>
            <w:pPr>
              <w:spacing w:after="0"/>
              <w:rPr>
                <w:sz w:val="14"/>
                <w:szCs w:val="14"/>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9"/>
              </w:rPr>
              <w:t>20   Notes</w:t>
            </w:r>
          </w:p>
        </w:tc>
        <w:tc>
          <w:tcPr>
            <w:tcW w:w="420" w:type="dxa"/>
            <w:vAlign w:val="bottom"/>
          </w:tcPr>
          <w:p>
            <w:pPr>
              <w:spacing w:after="0"/>
              <w:rPr>
                <w:sz w:val="14"/>
                <w:szCs w:val="14"/>
                <w:color w:val="auto"/>
              </w:rPr>
            </w:pPr>
          </w:p>
        </w:tc>
        <w:tc>
          <w:tcPr>
            <w:tcW w:w="94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99"/>
              </w:rPr>
              <w:t>20   Notes</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Citigroup Global Markets Inc.</w:t>
            </w:r>
          </w:p>
        </w:tc>
        <w:tc>
          <w:tcPr>
            <w:tcW w:w="32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647"/>
              <w:spacing w:after="0" w:line="203"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667"/>
              <w:spacing w:after="0" w:line="203" w:lineRule="exact"/>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980" w:type="dxa"/>
            <w:vAlign w:val="bottom"/>
            <w:gridSpan w:val="2"/>
          </w:tcPr>
          <w:p>
            <w:pPr>
              <w:spacing w:after="0"/>
              <w:rPr>
                <w:sz w:val="20"/>
                <w:szCs w:val="20"/>
                <w:color w:val="auto"/>
              </w:rPr>
            </w:pPr>
            <w:r>
              <w:rPr>
                <w:rFonts w:ascii="Arial" w:cs="Arial" w:eastAsia="Arial" w:hAnsi="Arial"/>
                <w:sz w:val="18"/>
                <w:szCs w:val="18"/>
                <w:color w:val="auto"/>
              </w:rPr>
              <w:t>Merrill Lynch, Pierce, Fenner &amp; Smith</w:t>
            </w:r>
          </w:p>
        </w:tc>
        <w:tc>
          <w:tcPr>
            <w:tcW w:w="3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0" w:type="dxa"/>
            <w:vAlign w:val="bottom"/>
          </w:tcPr>
          <w:p>
            <w:pPr>
              <w:spacing w:after="0"/>
              <w:rPr>
                <w:sz w:val="19"/>
                <w:szCs w:val="19"/>
                <w:color w:val="auto"/>
              </w:rPr>
            </w:pPr>
          </w:p>
        </w:tc>
        <w:tc>
          <w:tcPr>
            <w:tcW w:w="5200" w:type="dxa"/>
            <w:vAlign w:val="bottom"/>
          </w:tcPr>
          <w:p>
            <w:pPr>
              <w:ind w:left="200"/>
              <w:spacing w:after="0"/>
              <w:rPr>
                <w:sz w:val="20"/>
                <w:szCs w:val="20"/>
                <w:color w:val="auto"/>
              </w:rPr>
            </w:pPr>
            <w:r>
              <w:rPr>
                <w:rFonts w:ascii="Arial" w:cs="Arial" w:eastAsia="Arial" w:hAnsi="Arial"/>
                <w:sz w:val="18"/>
                <w:szCs w:val="18"/>
                <w:color w:val="auto"/>
              </w:rPr>
              <w:t>Incorporated</w:t>
            </w:r>
          </w:p>
        </w:tc>
        <w:tc>
          <w:tcPr>
            <w:tcW w:w="3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Mizuho Securities USA Inc.</w:t>
            </w:r>
          </w:p>
        </w:tc>
        <w:tc>
          <w:tcPr>
            <w:tcW w:w="3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3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Mitsubishi UFJ Securities (USA), Inc.</w:t>
            </w:r>
          </w:p>
        </w:tc>
        <w:tc>
          <w:tcPr>
            <w:tcW w:w="3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c>
          <w:tcPr>
            <w:tcW w:w="32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080" w:type="dxa"/>
            <w:vAlign w:val="bottom"/>
            <w:gridSpan w:val="2"/>
            <w:shd w:val="clear" w:color="auto" w:fill="CCEEFF"/>
          </w:tcPr>
          <w:p>
            <w:pPr>
              <w:jc w:val="right"/>
              <w:ind w:right="64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72"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Notes sold by the underwriters to the public will initially be offered at the initial public offering prices set forth on the cover of this prospectus supplement. Any Notes sold by the underwriters to securities dealers may be sold at a discount from the initial public offering prices not to exceed % per 20 Note and</w:t>
      </w:r>
    </w:p>
    <w:p>
      <w:pPr>
        <w:jc w:val="both"/>
        <w:ind w:right="160" w:firstLine="176"/>
        <w:spacing w:after="0" w:line="255" w:lineRule="auto"/>
        <w:rPr>
          <w:sz w:val="20"/>
          <w:szCs w:val="20"/>
          <w:color w:val="auto"/>
        </w:rPr>
      </w:pPr>
      <w:r>
        <w:rPr>
          <w:rFonts w:ascii="Arial" w:cs="Arial" w:eastAsia="Arial" w:hAnsi="Arial"/>
          <w:sz w:val="18"/>
          <w:szCs w:val="18"/>
          <w:color w:val="auto"/>
        </w:rPr>
        <w:t>% per 20 Note. Any such securities dealers may resell any Notes purchased from the underwriters to certain other brokers or dealers at a discount from the initial public offering prices not to exceed % per 20 Note and % per 20 Note. If all the Notes are not sold at the initial offering prices, the underwriters may change the offering price and the other selling terms.</w:t>
      </w:r>
    </w:p>
    <w:p>
      <w:pPr>
        <w:spacing w:after="0" w:line="131" w:lineRule="exact"/>
        <w:rPr>
          <w:sz w:val="20"/>
          <w:szCs w:val="20"/>
          <w:color w:val="auto"/>
        </w:rPr>
      </w:pPr>
    </w:p>
    <w:p>
      <w:pPr>
        <w:jc w:val="both"/>
        <w:ind w:right="160" w:firstLine="456"/>
        <w:spacing w:after="0" w:line="268" w:lineRule="auto"/>
        <w:rPr>
          <w:sz w:val="20"/>
          <w:szCs w:val="20"/>
          <w:color w:val="auto"/>
        </w:rPr>
      </w:pPr>
      <w:r>
        <w:rPr>
          <w:rFonts w:ascii="Arial" w:cs="Arial" w:eastAsia="Arial" w:hAnsi="Arial"/>
          <w:sz w:val="18"/>
          <w:szCs w:val="18"/>
          <w:color w:val="auto"/>
        </w:rPr>
        <w:t>The following table shows the underwriting discounts that we are to pay to the underwriters in connection with this offering (expressed as a percentage of the principal amount of the Notes).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00" w:type="dxa"/>
            <w:vAlign w:val="bottom"/>
            <w:gridSpan w:val="2"/>
          </w:tcPr>
          <w:p>
            <w:pPr>
              <w:jc w:val="center"/>
              <w:ind w:right="112"/>
              <w:spacing w:after="0"/>
              <w:rPr>
                <w:sz w:val="20"/>
                <w:szCs w:val="20"/>
                <w:color w:val="auto"/>
              </w:rPr>
            </w:pPr>
            <w:r>
              <w:rPr>
                <w:rFonts w:ascii="Arial" w:cs="Arial" w:eastAsia="Arial" w:hAnsi="Arial"/>
                <w:sz w:val="14"/>
                <w:szCs w:val="14"/>
                <w:b w:val="1"/>
                <w:bCs w:val="1"/>
                <w:color w:val="auto"/>
                <w:w w:val="85"/>
              </w:rPr>
              <w:t>Paid by Texas</w:t>
            </w:r>
          </w:p>
        </w:tc>
      </w:tr>
      <w:tr>
        <w:trPr>
          <w:trHeight w:val="149"/>
        </w:trPr>
        <w:tc>
          <w:tcPr>
            <w:tcW w:w="46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000" w:type="dxa"/>
            <w:vAlign w:val="bottom"/>
            <w:gridSpan w:val="2"/>
          </w:tcPr>
          <w:p>
            <w:pPr>
              <w:jc w:val="center"/>
              <w:ind w:right="112"/>
              <w:spacing w:after="0" w:line="149" w:lineRule="exact"/>
              <w:rPr>
                <w:sz w:val="20"/>
                <w:szCs w:val="20"/>
                <w:color w:val="auto"/>
              </w:rPr>
            </w:pPr>
            <w:r>
              <w:rPr>
                <w:rFonts w:ascii="Arial" w:cs="Arial" w:eastAsia="Arial" w:hAnsi="Arial"/>
                <w:sz w:val="14"/>
                <w:szCs w:val="14"/>
                <w:b w:val="1"/>
                <w:bCs w:val="1"/>
                <w:color w:val="auto"/>
                <w:w w:val="89"/>
              </w:rPr>
              <w:t>Instruments</w:t>
            </w:r>
          </w:p>
        </w:tc>
      </w:tr>
      <w:tr>
        <w:trPr>
          <w:trHeight w:val="161"/>
        </w:trPr>
        <w:tc>
          <w:tcPr>
            <w:tcW w:w="46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00" w:type="dxa"/>
            <w:vAlign w:val="bottom"/>
            <w:gridSpan w:val="2"/>
          </w:tcPr>
          <w:p>
            <w:pPr>
              <w:jc w:val="center"/>
              <w:ind w:right="112"/>
              <w:spacing w:after="0"/>
              <w:rPr>
                <w:sz w:val="20"/>
                <w:szCs w:val="20"/>
                <w:color w:val="auto"/>
              </w:rPr>
            </w:pPr>
            <w:r>
              <w:rPr>
                <w:rFonts w:ascii="Arial" w:cs="Arial" w:eastAsia="Arial" w:hAnsi="Arial"/>
                <w:sz w:val="14"/>
                <w:szCs w:val="14"/>
                <w:b w:val="1"/>
                <w:bCs w:val="1"/>
                <w:color w:val="auto"/>
                <w:w w:val="88"/>
              </w:rPr>
              <w:t>Incorporated</w:t>
            </w:r>
          </w:p>
        </w:tc>
      </w:tr>
      <w:tr>
        <w:trPr>
          <w:trHeight w:val="210"/>
        </w:trPr>
        <w:tc>
          <w:tcPr>
            <w:tcW w:w="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82"/>
              </w:rPr>
              <w:t>Per 20</w:t>
            </w:r>
          </w:p>
        </w:tc>
        <w:tc>
          <w:tcPr>
            <w:tcW w:w="5540" w:type="dxa"/>
            <w:vAlign w:val="bottom"/>
            <w:tcBorders>
              <w:top w:val="single" w:sz="8" w:color="CCEEFF"/>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Note</w:t>
            </w:r>
          </w:p>
        </w:tc>
        <w:tc>
          <w:tcPr>
            <w:tcW w:w="44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22"/>
        </w:trPr>
        <w:tc>
          <w:tcPr>
            <w:tcW w:w="460" w:type="dxa"/>
            <w:vAlign w:val="bottom"/>
          </w:tcPr>
          <w:p>
            <w:pPr>
              <w:spacing w:after="0"/>
              <w:rPr>
                <w:sz w:val="20"/>
                <w:szCs w:val="20"/>
                <w:color w:val="auto"/>
              </w:rPr>
            </w:pPr>
            <w:r>
              <w:rPr>
                <w:rFonts w:ascii="Arial" w:cs="Arial" w:eastAsia="Arial" w:hAnsi="Arial"/>
                <w:sz w:val="18"/>
                <w:szCs w:val="18"/>
                <w:color w:val="auto"/>
                <w:w w:val="82"/>
              </w:rPr>
              <w:t>Per 20</w:t>
            </w:r>
          </w:p>
        </w:tc>
        <w:tc>
          <w:tcPr>
            <w:tcW w:w="5540" w:type="dxa"/>
            <w:vAlign w:val="bottom"/>
          </w:tcPr>
          <w:p>
            <w:pPr>
              <w:ind w:left="220"/>
              <w:spacing w:after="0"/>
              <w:rPr>
                <w:sz w:val="20"/>
                <w:szCs w:val="20"/>
                <w:color w:val="auto"/>
              </w:rPr>
            </w:pPr>
            <w:r>
              <w:rPr>
                <w:rFonts w:ascii="Arial" w:cs="Arial" w:eastAsia="Arial" w:hAnsi="Arial"/>
                <w:sz w:val="18"/>
                <w:szCs w:val="18"/>
                <w:color w:val="auto"/>
              </w:rPr>
              <w:t>Note</w:t>
            </w:r>
          </w:p>
        </w:tc>
        <w:tc>
          <w:tcPr>
            <w:tcW w:w="542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356"/>
        </w:trPr>
        <w:tc>
          <w:tcPr>
            <w:tcW w:w="460" w:type="dxa"/>
            <w:vAlign w:val="bottom"/>
          </w:tcPr>
          <w:p>
            <w:pPr>
              <w:spacing w:after="0"/>
              <w:rPr>
                <w:sz w:val="24"/>
                <w:szCs w:val="24"/>
                <w:color w:val="auto"/>
              </w:rPr>
            </w:pPr>
          </w:p>
        </w:tc>
        <w:tc>
          <w:tcPr>
            <w:tcW w:w="5540" w:type="dxa"/>
            <w:vAlign w:val="bottom"/>
          </w:tcPr>
          <w:p>
            <w:pPr>
              <w:spacing w:after="0"/>
              <w:rPr>
                <w:sz w:val="20"/>
                <w:szCs w:val="20"/>
                <w:color w:val="auto"/>
              </w:rPr>
            </w:pPr>
            <w:r>
              <w:rPr>
                <w:rFonts w:ascii="Arial" w:cs="Arial" w:eastAsia="Arial" w:hAnsi="Arial"/>
                <w:sz w:val="18"/>
                <w:szCs w:val="18"/>
                <w:color w:val="auto"/>
                <w:w w:val="92"/>
              </w:rPr>
              <w:t>We estimate that our total expenses for this offering will be approximately $</w:t>
            </w:r>
          </w:p>
        </w:tc>
        <w:tc>
          <w:tcPr>
            <w:tcW w:w="5420" w:type="dxa"/>
            <w:vAlign w:val="bottom"/>
            <w:gridSpan w:val="3"/>
          </w:tcPr>
          <w:p>
            <w:pPr>
              <w:jc w:val="right"/>
              <w:ind w:right="2172"/>
              <w:spacing w:after="0"/>
              <w:rPr>
                <w:sz w:val="20"/>
                <w:szCs w:val="20"/>
                <w:color w:val="auto"/>
              </w:rPr>
            </w:pPr>
            <w:r>
              <w:rPr>
                <w:rFonts w:ascii="Arial" w:cs="Arial" w:eastAsia="Arial" w:hAnsi="Arial"/>
                <w:sz w:val="18"/>
                <w:szCs w:val="18"/>
                <w:color w:val="auto"/>
                <w:w w:val="97"/>
              </w:rPr>
              <w:t>million, including underwriting discounts.</w:t>
            </w:r>
          </w:p>
        </w:tc>
      </w:tr>
    </w:tbl>
    <w:p>
      <w:pPr>
        <w:spacing w:after="0" w:line="14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connection with the offering, the underwriters may purchase and sell the Notes in the open market. Purchases and sales in the open market may include short sales, purchases to cover short positions and stabilizing purchases.</w:t>
      </w:r>
    </w:p>
    <w:p>
      <w:pPr>
        <w:spacing w:after="0" w:line="37" w:lineRule="exact"/>
        <w:rPr>
          <w:sz w:val="20"/>
          <w:szCs w:val="20"/>
          <w:color w:val="auto"/>
        </w:rPr>
      </w:pPr>
    </w:p>
    <w:p>
      <w:pPr>
        <w:ind w:left="660" w:hanging="206"/>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Short sales involve secondary market sales by the underwriters of a greater number of the Notes than they are required to purchase in this offering.</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Covering transactions involve purchases of the Notes in the open market after the distribution has been completed in order to cover short positions.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Stabilizing transactions involve bids to purchase the Notes so long as the stabilizing bids do not exceed a specified maximum.</w:t>
      </w:r>
    </w:p>
    <w:p>
      <w:pPr>
        <w:spacing w:after="0" w:line="18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Purchases to cover short positions and stabilizing purchases, as well as other purchases by the underwriters for their own accounts, may have the effect of preventing or retarding a decline in the market price of the Notes. 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99"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expect to deliver the Notes against payment for the Notes on or about the date specified in the last paragraph of the cover page of this prospectus supplement, which will be the fifth business day following the date of the pricing of the Notes. Under Rule 15c6-1 of the Exchange Act, trades in the secondary market generally are required to settle in three business days, unless the parties to a trade expressly agree otherwise. Accordingly, purchasers who wish to trade Notes on the date of pricing or the next succeeding business day will be required, by virtue of the fact that the Notes initially will settle in T+5, to specify alternative settlement arrangements to prevent a failed settlement.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8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 and securities activities may involve our securities and instruments. In addition, affiliates of some of the underwriters are lenders, and in some cases agents or managers for the lenders, under TI’s credit facility.</w:t>
      </w:r>
    </w:p>
    <w:p>
      <w:pPr>
        <w:spacing w:after="0" w:line="109"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8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the Notes described in this prospectus supplement may not be made to the public in that relevant member state other than:</w:t>
      </w:r>
    </w:p>
    <w:p>
      <w:pPr>
        <w:spacing w:after="0" w:line="12" w:lineRule="exact"/>
        <w:rPr>
          <w:sz w:val="20"/>
          <w:szCs w:val="20"/>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03" w:lineRule="exact"/>
        <w:rPr>
          <w:rFonts w:ascii="Arial" w:cs="Arial" w:eastAsia="Arial" w:hAnsi="Arial"/>
          <w:sz w:val="18"/>
          <w:szCs w:val="18"/>
          <w:color w:val="auto"/>
        </w:rPr>
      </w:pPr>
    </w:p>
    <w:p>
      <w:pPr>
        <w:ind w:left="660" w:right="20" w:hanging="206"/>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us for any such offer; or</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provided that no such offer of securities shall require us or any underwriter to publish a prospectus pursuant to Article 3 of the Prospectus Directive.</w:t>
      </w:r>
    </w:p>
    <w:p>
      <w:pPr>
        <w:spacing w:after="0" w:line="18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For purposes of this provision, the expression an “offer of securities to the public” in any relevant member state means the communication in any form and by any means of sufficient information on the terms of the offer and the securities to be offered so as to enable an investor to decide to purchase or subscribe for the securities,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each relevant member state. The expression 2010 PD Amending Directive means Directive 2010/73/EU.</w:t>
      </w:r>
    </w:p>
    <w:p>
      <w:pPr>
        <w:spacing w:after="0" w:line="13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sellers of the Notes have not authorized and do not authorize the making of any offer of Notes through any financial intermediary on their behalf, other than offers made by the underwriters with a view to the final placement of the Notes as contemplated in this prospectus supplement. Accordingly, no purchaser of the Notes, other than the underwriters, is authorized to make any further offer of the Notes on behalf of the sellers or the underwriters.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This prospectus supplement and the accompanying prospectus are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(the “Order”) or (ii) high net worth entities, and other persons to whom it may lawfully be communicated, falling within Article 49(2)(a) to (d) of the Order (each such person being referred to as a “relevant person”). 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83"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 xml:space="preserve">Neither this prospectus supplement nor any other offering material relating to the Notes described in this prospectus supplement has been submitted to the clearance procedures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or of the competent authority of another member state of the European Economic Area and notified to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The Notes have not been offered or sold and will not be offered or sold, directly or indirectly, to the public in France. Neither this prospectus supplement nor any other offering material relating to the Notes has been or will be:</w:t>
      </w:r>
    </w:p>
    <w:p>
      <w:pPr>
        <w:spacing w:after="0" w:line="18" w:lineRule="exact"/>
        <w:rPr>
          <w:sz w:val="20"/>
          <w:szCs w:val="20"/>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Notes to the public in France.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77" w:lineRule="exact"/>
        <w:rPr>
          <w:sz w:val="20"/>
          <w:szCs w:val="20"/>
          <w:color w:val="auto"/>
        </w:rPr>
      </w:pPr>
    </w:p>
    <w:p>
      <w:pPr>
        <w:ind w:left="660" w:right="60" w:hanging="206"/>
        <w:spacing w:after="0" w:line="25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xml:space="preserve">), in each case investing for their own account, all as defined in, and in accordance with, articles L.411-2, D.411-1, D.411-2, D.734-1, D.744-1, D.754-1 and D.764-1 of the French </w:t>
      </w:r>
      <w:r>
        <w:rPr>
          <w:rFonts w:ascii="Arial" w:cs="Arial" w:eastAsia="Arial" w:hAnsi="Arial"/>
          <w:sz w:val="18"/>
          <w:szCs w:val="18"/>
          <w:i w:val="1"/>
          <w:iCs w:val="1"/>
          <w:color w:val="auto"/>
        </w:rPr>
        <w:t>Code</w:t>
      </w:r>
      <w:r>
        <w:rPr>
          <w:rFonts w:ascii="Arial" w:cs="Arial" w:eastAsia="Arial" w:hAnsi="Arial"/>
          <w:sz w:val="18"/>
          <w:szCs w:val="18"/>
          <w:color w:val="auto"/>
        </w:rPr>
        <w:t xml:space="preserve"> </w:t>
      </w:r>
      <w:r>
        <w:rPr>
          <w:rFonts w:ascii="Arial" w:cs="Arial" w:eastAsia="Arial" w:hAnsi="Arial"/>
          <w:sz w:val="18"/>
          <w:szCs w:val="18"/>
          <w:i w:val="1"/>
          <w:iCs w:val="1"/>
          <w:color w:val="auto"/>
        </w:rPr>
        <w:t>monétaire et financier</w:t>
      </w:r>
      <w:r>
        <w:rPr>
          <w:rFonts w:ascii="Arial" w:cs="Arial" w:eastAsia="Arial" w:hAnsi="Arial"/>
          <w:sz w:val="18"/>
          <w:szCs w:val="18"/>
          <w:color w:val="auto"/>
        </w:rPr>
        <w:t>;</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03" w:lineRule="exact"/>
        <w:rPr>
          <w:rFonts w:ascii="Arial" w:cs="Arial" w:eastAsia="Arial" w:hAnsi="Arial"/>
          <w:sz w:val="18"/>
          <w:szCs w:val="18"/>
          <w:color w:val="auto"/>
        </w:rPr>
      </w:pPr>
    </w:p>
    <w:p>
      <w:pPr>
        <w:ind w:left="660" w:right="360" w:hanging="206"/>
        <w:spacing w:after="0" w:line="33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in a transaction that, in accordance with article L.411-2-II-1°-or-2°-or 3° of the French </w:t>
      </w:r>
      <w:r>
        <w:rPr>
          <w:rFonts w:ascii="Arial" w:cs="Arial" w:eastAsia="Arial" w:hAnsi="Arial"/>
          <w:sz w:val="16"/>
          <w:szCs w:val="16"/>
          <w:i w:val="1"/>
          <w:iCs w:val="1"/>
          <w:color w:val="auto"/>
        </w:rPr>
        <w:t>Code monétaire et financier</w:t>
      </w:r>
      <w:r>
        <w:rPr>
          <w:rFonts w:ascii="Arial" w:cs="Arial" w:eastAsia="Arial" w:hAnsi="Arial"/>
          <w:sz w:val="16"/>
          <w:szCs w:val="16"/>
          <w:color w:val="auto"/>
        </w:rPr>
        <w:t xml:space="preserve"> and article 211-2 of the General Regulations (</w:t>
      </w:r>
      <w:r>
        <w:rPr>
          <w:rFonts w:ascii="Arial" w:cs="Arial" w:eastAsia="Arial" w:hAnsi="Arial"/>
          <w:sz w:val="16"/>
          <w:szCs w:val="16"/>
          <w:i w:val="1"/>
          <w:iCs w:val="1"/>
          <w:color w:val="auto"/>
        </w:rPr>
        <w:t>Règlement Général</w:t>
      </w:r>
      <w:r>
        <w:rPr>
          <w:rFonts w:ascii="Arial" w:cs="Arial" w:eastAsia="Arial" w:hAnsi="Arial"/>
          <w:sz w:val="16"/>
          <w:szCs w:val="16"/>
          <w:color w:val="auto"/>
        </w:rPr>
        <w:t xml:space="preserve">)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does not constitute a public offer (</w:t>
      </w:r>
      <w:r>
        <w:rPr>
          <w:rFonts w:ascii="Arial" w:cs="Arial" w:eastAsia="Arial" w:hAnsi="Arial"/>
          <w:sz w:val="16"/>
          <w:szCs w:val="16"/>
          <w:i w:val="1"/>
          <w:iCs w:val="1"/>
          <w:color w:val="auto"/>
        </w:rPr>
        <w:t>appel public à l’épargne</w:t>
      </w:r>
      <w:r>
        <w:rPr>
          <w:rFonts w:ascii="Arial" w:cs="Arial" w:eastAsia="Arial" w:hAnsi="Arial"/>
          <w:sz w:val="16"/>
          <w:szCs w:val="16"/>
          <w:color w:val="auto"/>
        </w:rPr>
        <w: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 xml:space="preserve">The Notes may be resold directly or indirectly, only in compliance with articles L.411-1, L.411-2, L.412-1 and L.621-8 through L.621-8-3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8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Notes offered in this prospectus supplement have not been registered under the Securities and Exchange Law of Japan. The Notes have not been offered or sold and will not be offered or sold, directly or indirectly, in Japan or to or for the account of any resident of Japan, except (i) pursuant to an exemption from the registration requirements of the Securities and Exchange Law and (ii) in compliance with any other applicable requirements of Japanese law.</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83" w:lineRule="exact"/>
        <w:rPr>
          <w:sz w:val="20"/>
          <w:szCs w:val="20"/>
          <w:color w:val="auto"/>
        </w:rPr>
      </w:pPr>
    </w:p>
    <w:p>
      <w:pPr>
        <w:ind w:right="100" w:firstLine="456"/>
        <w:spacing w:after="0" w:line="283"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w:t>
      </w:r>
    </w:p>
    <w:p>
      <w:pPr>
        <w:spacing w:after="0" w:line="2" w:lineRule="exact"/>
        <w:rPr>
          <w:sz w:val="20"/>
          <w:szCs w:val="20"/>
          <w:color w:val="auto"/>
        </w:rPr>
      </w:pPr>
    </w:p>
    <w:p>
      <w:pPr>
        <w:ind w:right="780" w:firstLine="8"/>
        <w:spacing w:after="0" w:line="261" w:lineRule="auto"/>
        <w:tabs>
          <w:tab w:leader="none" w:pos="307"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 in each case subject to compliance with conditions set forth in the SFA.</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77" w:lineRule="exact"/>
        <w:rPr>
          <w:sz w:val="20"/>
          <w:szCs w:val="20"/>
          <w:color w:val="auto"/>
        </w:rPr>
      </w:pPr>
    </w:p>
    <w:p>
      <w:pPr>
        <w:ind w:left="660" w:right="60" w:hanging="206"/>
        <w:spacing w:after="0" w:line="26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37"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18" w:lineRule="exact"/>
        <w:rPr>
          <w:sz w:val="20"/>
          <w:szCs w:val="20"/>
          <w:color w:val="auto"/>
        </w:rPr>
      </w:pPr>
    </w:p>
    <w:p>
      <w:pPr>
        <w:ind w:right="240"/>
        <w:spacing w:after="0" w:line="325" w:lineRule="auto"/>
        <w:rPr>
          <w:sz w:val="20"/>
          <w:szCs w:val="20"/>
          <w:color w:val="auto"/>
        </w:rPr>
      </w:pPr>
      <w:r>
        <w:rPr>
          <w:rFonts w:ascii="Arial" w:cs="Arial" w:eastAsia="Arial" w:hAnsi="Arial"/>
          <w:sz w:val="16"/>
          <w:szCs w:val="16"/>
          <w:color w:val="auto"/>
        </w:rPr>
        <w:t>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1" w:lineRule="exact"/>
        <w:rPr>
          <w:sz w:val="20"/>
          <w:szCs w:val="20"/>
          <w:color w:val="auto"/>
        </w:rPr>
      </w:pPr>
    </w:p>
    <w:p>
      <w:pPr>
        <w:ind w:left="660" w:right="200" w:hanging="206"/>
        <w:spacing w:after="0" w:line="306"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120"/>
        <w:spacing w:after="0" w:line="268" w:lineRule="auto"/>
        <w:rPr>
          <w:sz w:val="20"/>
          <w:szCs w:val="20"/>
          <w:color w:val="auto"/>
        </w:rPr>
      </w:pPr>
      <w:r>
        <w:rPr>
          <w:rFonts w:ascii="Arial" w:cs="Arial" w:eastAsia="Arial" w:hAnsi="Arial"/>
          <w:sz w:val="18"/>
          <w:szCs w:val="18"/>
          <w:color w:val="auto"/>
        </w:rPr>
        <w:t>transaction, whether such amount is to be paid for in cash or by exchange of securities or other assets, and further for corporations, in accordance with the conditions specified in Section 275 of the SFA;</w:t>
      </w:r>
    </w:p>
    <w:p>
      <w:pPr>
        <w:spacing w:after="0" w:line="37" w:lineRule="exact"/>
        <w:rPr>
          <w:sz w:val="20"/>
          <w:szCs w:val="20"/>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VALIDITY OF SECURITIES</w:t>
      </w:r>
    </w:p>
    <w:p>
      <w:pPr>
        <w:spacing w:after="0" w:line="16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legality of the Notes offered hereby will be passed upon for us by Davis Polk &amp; Wardwell LLP, Menlo Park, California. Certain legal matters will be passed upon for the underwriters by Simpson Thacher &amp; Bartlett LLP, New York, New York.</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consolidated financial statements, incorporated by reference in our Annual Report (Form 10-K) for the year ended December 31, 2013,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file annual, quarterly and current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 website at www.sec.gov, from which interested persons can electronically access our SEC filings, including the registration statement of which this prospectus forms a part and the exhibits and schedules thereto.</w:t>
      </w:r>
    </w:p>
    <w:p>
      <w:pPr>
        <w:spacing w:after="0" w:line="9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the documents listed below, and all documents subsequently filed with the SEC pursuant to Section 13(a), 13(c), 14, or 15(d) of the Securities Exchange Act of 1934, as amended (the “Exchange Act”) prior to the termination of the offering under this prospectus supplement:</w:t>
      </w:r>
    </w:p>
    <w:p>
      <w:pPr>
        <w:spacing w:after="0" w:line="129" w:lineRule="exact"/>
        <w:rPr>
          <w:sz w:val="20"/>
          <w:szCs w:val="20"/>
          <w:color w:val="auto"/>
        </w:rPr>
      </w:pPr>
    </w:p>
    <w:p>
      <w:pPr>
        <w:ind w:left="700" w:hanging="23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Current Report on Form 8-K filed on January 21, 2014, excepting any portions of such report which were furnished but not filed, and</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2013, filed on February 24, 2014.</w:t>
      </w:r>
    </w:p>
    <w:p>
      <w:pPr>
        <w:spacing w:after="0" w:line="15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may request a copy of these filings at no cost, by writing or telephoning us at: 12500 TI Boulevard, P.O. Box 660199, Dallas, Texas 75266-0199,</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Attention: Manager of Investor Relations, (214) 479-3773. Information about us, including our SEC filings, is also available at our website at www.ti.com.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However, the information on our website is not a part of this prospectus supplement or the accompanying prospectus.</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139700</wp:posOffset>
            </wp:positionV>
            <wp:extent cx="2864485" cy="660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212725</wp:posOffset>
            </wp:positionV>
            <wp:extent cx="15176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are types of securities that may be offered and sold by Texas Instruments Incorporated or by selling security holders under this prospectus from time to time:</w:t>
      </w:r>
    </w:p>
    <w:p>
      <w:pPr>
        <w:spacing w:after="0" w:line="51" w:lineRule="exact"/>
        <w:rPr>
          <w:sz w:val="20"/>
          <w:szCs w:val="20"/>
          <w:color w:val="auto"/>
        </w:rPr>
      </w:pPr>
    </w:p>
    <w:tbl>
      <w:tblPr>
        <w:tblLayout w:type="fixed"/>
        <w:tblInd w:w="120" w:type="dxa"/>
        <w:tblCellMar>
          <w:top w:w="0" w:type="dxa"/>
          <w:left w:w="0" w:type="dxa"/>
          <w:bottom w:w="0" w:type="dxa"/>
          <w:right w:w="0" w:type="dxa"/>
        </w:tblCellMar>
      </w:tblPr>
      <w:tr>
        <w:trPr>
          <w:trHeight w:val="22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540" w:type="dxa"/>
            <w:vAlign w:val="bottom"/>
          </w:tcPr>
          <w:p>
            <w:pPr>
              <w:ind w:left="60"/>
              <w:spacing w:after="0"/>
              <w:rPr>
                <w:sz w:val="20"/>
                <w:szCs w:val="20"/>
                <w:color w:val="auto"/>
              </w:rPr>
            </w:pPr>
            <w:r>
              <w:rPr>
                <w:rFonts w:ascii="Arial" w:cs="Arial" w:eastAsia="Arial" w:hAnsi="Arial"/>
                <w:sz w:val="18"/>
                <w:szCs w:val="18"/>
                <w:color w:val="auto"/>
              </w:rPr>
              <w:t>Common stock</w:t>
            </w:r>
          </w:p>
        </w:tc>
        <w:tc>
          <w:tcPr>
            <w:tcW w:w="2520" w:type="dxa"/>
            <w:vAlign w:val="bottom"/>
          </w:tcPr>
          <w:p>
            <w:pPr>
              <w:ind w:left="2380"/>
              <w:spacing w:after="0"/>
              <w:rPr>
                <w:sz w:val="20"/>
                <w:szCs w:val="20"/>
                <w:color w:val="auto"/>
              </w:rPr>
            </w:pPr>
            <w:r>
              <w:rPr>
                <w:rFonts w:ascii="Arial" w:cs="Arial" w:eastAsia="Arial" w:hAnsi="Arial"/>
                <w:sz w:val="18"/>
                <w:szCs w:val="18"/>
                <w:color w:val="auto"/>
              </w:rPr>
              <w:t>•</w:t>
            </w:r>
          </w:p>
        </w:tc>
        <w:tc>
          <w:tcPr>
            <w:tcW w:w="680" w:type="dxa"/>
            <w:vAlign w:val="bottom"/>
          </w:tcPr>
          <w:p>
            <w:pPr>
              <w:ind w:left="60"/>
              <w:spacing w:after="0"/>
              <w:rPr>
                <w:sz w:val="20"/>
                <w:szCs w:val="20"/>
                <w:color w:val="auto"/>
              </w:rPr>
            </w:pPr>
            <w:r>
              <w:rPr>
                <w:rFonts w:ascii="Arial" w:cs="Arial" w:eastAsia="Arial" w:hAnsi="Arial"/>
                <w:sz w:val="18"/>
                <w:szCs w:val="18"/>
                <w:color w:val="auto"/>
                <w:w w:val="82"/>
              </w:rPr>
              <w:t>Warrants</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540" w:type="dxa"/>
            <w:vAlign w:val="bottom"/>
          </w:tcPr>
          <w:p>
            <w:pPr>
              <w:ind w:left="60"/>
              <w:spacing w:after="0"/>
              <w:rPr>
                <w:sz w:val="20"/>
                <w:szCs w:val="20"/>
                <w:color w:val="auto"/>
              </w:rPr>
            </w:pPr>
            <w:r>
              <w:rPr>
                <w:rFonts w:ascii="Arial" w:cs="Arial" w:eastAsia="Arial" w:hAnsi="Arial"/>
                <w:sz w:val="18"/>
                <w:szCs w:val="18"/>
                <w:color w:val="auto"/>
              </w:rPr>
              <w:t>Preferred stock</w:t>
            </w:r>
          </w:p>
        </w:tc>
        <w:tc>
          <w:tcPr>
            <w:tcW w:w="2520" w:type="dxa"/>
            <w:vAlign w:val="bottom"/>
          </w:tcPr>
          <w:p>
            <w:pPr>
              <w:ind w:left="2380"/>
              <w:spacing w:after="0"/>
              <w:rPr>
                <w:sz w:val="20"/>
                <w:szCs w:val="20"/>
                <w:color w:val="auto"/>
              </w:rPr>
            </w:pPr>
            <w:r>
              <w:rPr>
                <w:rFonts w:ascii="Arial" w:cs="Arial" w:eastAsia="Arial" w:hAnsi="Arial"/>
                <w:sz w:val="18"/>
                <w:szCs w:val="18"/>
                <w:color w:val="auto"/>
              </w:rPr>
              <w:t>•</w:t>
            </w:r>
          </w:p>
        </w:tc>
        <w:tc>
          <w:tcPr>
            <w:tcW w:w="680" w:type="dxa"/>
            <w:vAlign w:val="bottom"/>
          </w:tcPr>
          <w:p>
            <w:pPr>
              <w:ind w:left="60"/>
              <w:spacing w:after="0"/>
              <w:rPr>
                <w:sz w:val="20"/>
                <w:szCs w:val="20"/>
                <w:color w:val="auto"/>
              </w:rPr>
            </w:pPr>
            <w:r>
              <w:rPr>
                <w:rFonts w:ascii="Arial" w:cs="Arial" w:eastAsia="Arial" w:hAnsi="Arial"/>
                <w:sz w:val="18"/>
                <w:szCs w:val="18"/>
                <w:color w:val="auto"/>
              </w:rPr>
              <w:t>Units</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540" w:type="dxa"/>
            <w:vAlign w:val="bottom"/>
          </w:tcPr>
          <w:p>
            <w:pPr>
              <w:ind w:left="60"/>
              <w:spacing w:after="0"/>
              <w:rPr>
                <w:sz w:val="20"/>
                <w:szCs w:val="20"/>
                <w:color w:val="auto"/>
              </w:rPr>
            </w:pPr>
            <w:r>
              <w:rPr>
                <w:rFonts w:ascii="Arial" w:cs="Arial" w:eastAsia="Arial" w:hAnsi="Arial"/>
                <w:sz w:val="18"/>
                <w:szCs w:val="18"/>
                <w:color w:val="auto"/>
              </w:rPr>
              <w:t>Debt securities</w:t>
            </w:r>
          </w:p>
        </w:tc>
        <w:tc>
          <w:tcPr>
            <w:tcW w:w="252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156"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The securities may be offered by us or by selling security holders in amounts, at prices and on terms determined at the time of the offering. The securities may be sold directly to you, through agents, or through underwriters and dealers. If agents, underwriters or dealers are used to sell the securities, we will name them and describe their compensation in a prospectus supplement. You should read this prospectus and any prospectus supplement carefully before you invest.</w:t>
      </w:r>
    </w:p>
    <w:p>
      <w:pPr>
        <w:spacing w:after="0" w:line="8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51" w:lineRule="exact"/>
        <w:rPr>
          <w:sz w:val="20"/>
          <w:szCs w:val="20"/>
          <w:color w:val="auto"/>
        </w:rPr>
      </w:pPr>
    </w:p>
    <w:tbl>
      <w:tblPr>
        <w:tblLayout w:type="fixed"/>
        <w:tblInd w:w="120" w:type="dxa"/>
        <w:tblCellMar>
          <w:top w:w="0" w:type="dxa"/>
          <w:left w:w="0" w:type="dxa"/>
          <w:bottom w:w="0" w:type="dxa"/>
          <w:right w:w="0" w:type="dxa"/>
        </w:tblCellMar>
      </w:tblPr>
      <w:tr>
        <w:trPr>
          <w:trHeight w:val="22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960" w:type="dxa"/>
            <w:vAlign w:val="bottom"/>
          </w:tcPr>
          <w:p>
            <w:pPr>
              <w:ind w:left="60"/>
              <w:spacing w:after="0"/>
              <w:rPr>
                <w:sz w:val="20"/>
                <w:szCs w:val="20"/>
                <w:color w:val="auto"/>
              </w:rPr>
            </w:pPr>
            <w:r>
              <w:rPr>
                <w:rFonts w:ascii="Arial" w:cs="Arial" w:eastAsia="Arial" w:hAnsi="Arial"/>
                <w:sz w:val="18"/>
                <w:szCs w:val="18"/>
                <w:color w:val="auto"/>
              </w:rPr>
              <w:t>Maturity</w:t>
            </w:r>
          </w:p>
        </w:tc>
        <w:tc>
          <w:tcPr>
            <w:tcW w:w="1460" w:type="dxa"/>
            <w:vAlign w:val="bottom"/>
          </w:tcPr>
          <w:p>
            <w:pPr>
              <w:ind w:left="1340"/>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Redemption terms</w:t>
            </w:r>
          </w:p>
        </w:tc>
        <w:tc>
          <w:tcPr>
            <w:tcW w:w="820" w:type="dxa"/>
            <w:vAlign w:val="bottom"/>
          </w:tcPr>
          <w:p>
            <w:pPr>
              <w:ind w:left="680"/>
              <w:spacing w:after="0"/>
              <w:rPr>
                <w:sz w:val="20"/>
                <w:szCs w:val="20"/>
                <w:color w:val="auto"/>
              </w:rPr>
            </w:pPr>
            <w:r>
              <w:rPr>
                <w:rFonts w:ascii="Arial" w:cs="Arial" w:eastAsia="Arial" w:hAnsi="Arial"/>
                <w:sz w:val="18"/>
                <w:szCs w:val="18"/>
                <w:color w:val="auto"/>
              </w:rPr>
              <w:t>•</w:t>
            </w:r>
          </w:p>
        </w:tc>
        <w:tc>
          <w:tcPr>
            <w:tcW w:w="1600" w:type="dxa"/>
            <w:vAlign w:val="bottom"/>
          </w:tcPr>
          <w:p>
            <w:pPr>
              <w:ind w:left="60"/>
              <w:spacing w:after="0"/>
              <w:rPr>
                <w:sz w:val="20"/>
                <w:szCs w:val="20"/>
                <w:color w:val="auto"/>
              </w:rPr>
            </w:pPr>
            <w:r>
              <w:rPr>
                <w:rFonts w:ascii="Arial" w:cs="Arial" w:eastAsia="Arial" w:hAnsi="Arial"/>
                <w:sz w:val="18"/>
                <w:szCs w:val="18"/>
                <w:color w:val="auto"/>
                <w:w w:val="99"/>
              </w:rPr>
              <w:t>Liquidation amount</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960" w:type="dxa"/>
            <w:vAlign w:val="bottom"/>
          </w:tcPr>
          <w:p>
            <w:pPr>
              <w:ind w:left="60"/>
              <w:spacing w:after="0"/>
              <w:rPr>
                <w:sz w:val="20"/>
                <w:szCs w:val="20"/>
                <w:color w:val="auto"/>
              </w:rPr>
            </w:pPr>
            <w:r>
              <w:rPr>
                <w:rFonts w:ascii="Arial" w:cs="Arial" w:eastAsia="Arial" w:hAnsi="Arial"/>
                <w:sz w:val="18"/>
                <w:szCs w:val="18"/>
                <w:color w:val="auto"/>
              </w:rPr>
              <w:t>Interest rate</w:t>
            </w:r>
          </w:p>
        </w:tc>
        <w:tc>
          <w:tcPr>
            <w:tcW w:w="4360" w:type="dxa"/>
            <w:vAlign w:val="bottom"/>
            <w:gridSpan w:val="2"/>
          </w:tcPr>
          <w:p>
            <w:pPr>
              <w:ind w:left="1340"/>
              <w:spacing w:after="0"/>
              <w:rPr>
                <w:sz w:val="20"/>
                <w:szCs w:val="20"/>
                <w:color w:val="auto"/>
              </w:rPr>
            </w:pPr>
            <w:r>
              <w:rPr>
                <w:rFonts w:ascii="Arial" w:cs="Arial" w:eastAsia="Arial" w:hAnsi="Arial"/>
                <w:sz w:val="18"/>
                <w:szCs w:val="18"/>
                <w:color w:val="auto"/>
              </w:rPr>
              <w:t>•  Listing on a security exchange</w:t>
            </w:r>
          </w:p>
        </w:tc>
        <w:tc>
          <w:tcPr>
            <w:tcW w:w="820" w:type="dxa"/>
            <w:vAlign w:val="bottom"/>
          </w:tcPr>
          <w:p>
            <w:pPr>
              <w:ind w:left="680"/>
              <w:spacing w:after="0"/>
              <w:rPr>
                <w:sz w:val="20"/>
                <w:szCs w:val="20"/>
                <w:color w:val="auto"/>
              </w:rPr>
            </w:pPr>
            <w:r>
              <w:rPr>
                <w:rFonts w:ascii="Arial" w:cs="Arial" w:eastAsia="Arial" w:hAnsi="Arial"/>
                <w:sz w:val="18"/>
                <w:szCs w:val="18"/>
                <w:color w:val="auto"/>
              </w:rPr>
              <w:t>•</w:t>
            </w:r>
          </w:p>
        </w:tc>
        <w:tc>
          <w:tcPr>
            <w:tcW w:w="1600" w:type="dxa"/>
            <w:vAlign w:val="bottom"/>
          </w:tcPr>
          <w:p>
            <w:pPr>
              <w:ind w:left="60"/>
              <w:spacing w:after="0"/>
              <w:rPr>
                <w:sz w:val="20"/>
                <w:szCs w:val="20"/>
                <w:color w:val="auto"/>
              </w:rPr>
            </w:pPr>
            <w:r>
              <w:rPr>
                <w:rFonts w:ascii="Arial" w:cs="Arial" w:eastAsia="Arial" w:hAnsi="Arial"/>
                <w:sz w:val="18"/>
                <w:szCs w:val="18"/>
                <w:color w:val="auto"/>
                <w:w w:val="84"/>
              </w:rPr>
              <w:t>Subsidiary guarantees</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960" w:type="dxa"/>
            <w:vAlign w:val="bottom"/>
          </w:tcPr>
          <w:p>
            <w:pPr>
              <w:ind w:left="60"/>
              <w:spacing w:after="0"/>
              <w:rPr>
                <w:sz w:val="20"/>
                <w:szCs w:val="20"/>
                <w:color w:val="auto"/>
              </w:rPr>
            </w:pPr>
            <w:r>
              <w:rPr>
                <w:rFonts w:ascii="Arial" w:cs="Arial" w:eastAsia="Arial" w:hAnsi="Arial"/>
                <w:sz w:val="18"/>
                <w:szCs w:val="18"/>
                <w:color w:val="auto"/>
              </w:rPr>
              <w:t>Currency of payments</w:t>
            </w:r>
          </w:p>
        </w:tc>
        <w:tc>
          <w:tcPr>
            <w:tcW w:w="4360" w:type="dxa"/>
            <w:vAlign w:val="bottom"/>
            <w:gridSpan w:val="2"/>
          </w:tcPr>
          <w:p>
            <w:pPr>
              <w:ind w:left="1340"/>
              <w:spacing w:after="0"/>
              <w:rPr>
                <w:sz w:val="20"/>
                <w:szCs w:val="20"/>
                <w:color w:val="auto"/>
              </w:rPr>
            </w:pPr>
            <w:r>
              <w:rPr>
                <w:rFonts w:ascii="Arial" w:cs="Arial" w:eastAsia="Arial" w:hAnsi="Arial"/>
                <w:sz w:val="18"/>
                <w:szCs w:val="18"/>
                <w:color w:val="auto"/>
              </w:rPr>
              <w:t>•  Amount payable at maturity</w:t>
            </w:r>
          </w:p>
        </w:tc>
        <w:tc>
          <w:tcPr>
            <w:tcW w:w="820" w:type="dxa"/>
            <w:vAlign w:val="bottom"/>
          </w:tcPr>
          <w:p>
            <w:pPr>
              <w:ind w:left="680"/>
              <w:spacing w:after="0"/>
              <w:rPr>
                <w:sz w:val="20"/>
                <w:szCs w:val="20"/>
                <w:color w:val="auto"/>
              </w:rPr>
            </w:pPr>
            <w:r>
              <w:rPr>
                <w:rFonts w:ascii="Arial" w:cs="Arial" w:eastAsia="Arial" w:hAnsi="Arial"/>
                <w:sz w:val="18"/>
                <w:szCs w:val="18"/>
                <w:color w:val="auto"/>
              </w:rPr>
              <w:t>•</w:t>
            </w:r>
          </w:p>
        </w:tc>
        <w:tc>
          <w:tcPr>
            <w:tcW w:w="1600" w:type="dxa"/>
            <w:vAlign w:val="bottom"/>
          </w:tcPr>
          <w:p>
            <w:pPr>
              <w:ind w:left="60"/>
              <w:spacing w:after="0"/>
              <w:rPr>
                <w:sz w:val="20"/>
                <w:szCs w:val="20"/>
                <w:color w:val="auto"/>
              </w:rPr>
            </w:pPr>
            <w:r>
              <w:rPr>
                <w:rFonts w:ascii="Arial" w:cs="Arial" w:eastAsia="Arial" w:hAnsi="Arial"/>
                <w:sz w:val="18"/>
                <w:szCs w:val="18"/>
                <w:color w:val="auto"/>
              </w:rPr>
              <w:t>Sinking fund terms</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960" w:type="dxa"/>
            <w:vAlign w:val="bottom"/>
          </w:tcPr>
          <w:p>
            <w:pPr>
              <w:ind w:left="60"/>
              <w:spacing w:after="0"/>
              <w:rPr>
                <w:sz w:val="20"/>
                <w:szCs w:val="20"/>
                <w:color w:val="auto"/>
              </w:rPr>
            </w:pPr>
            <w:r>
              <w:rPr>
                <w:rFonts w:ascii="Arial" w:cs="Arial" w:eastAsia="Arial" w:hAnsi="Arial"/>
                <w:sz w:val="18"/>
                <w:szCs w:val="18"/>
                <w:color w:val="auto"/>
              </w:rPr>
              <w:t>Dividends</w:t>
            </w:r>
          </w:p>
        </w:tc>
        <w:tc>
          <w:tcPr>
            <w:tcW w:w="1460" w:type="dxa"/>
            <w:vAlign w:val="bottom"/>
          </w:tcPr>
          <w:p>
            <w:pPr>
              <w:ind w:left="1340"/>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Conversion or exchange rights</w:t>
            </w:r>
          </w:p>
        </w:tc>
        <w:tc>
          <w:tcPr>
            <w:tcW w:w="82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line="15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Our Common Stock is quoted on The NASDAQ Stock Market under the ticker symbol TXN. On February 21, 2013, the reported last sale price on The NASDAQ Stock Market for our Common Stock was $32.48.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166370</wp:posOffset>
            </wp:positionV>
            <wp:extent cx="15176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0" w:lineRule="exact"/>
        <w:rPr>
          <w:sz w:val="20"/>
          <w:szCs w:val="20"/>
          <w:color w:val="auto"/>
        </w:rPr>
      </w:pPr>
    </w:p>
    <w:p>
      <w:pPr>
        <w:ind w:right="400" w:firstLine="456"/>
        <w:spacing w:after="0" w:line="335" w:lineRule="auto"/>
        <w:rPr>
          <w:sz w:val="20"/>
          <w:szCs w:val="20"/>
          <w:color w:val="auto"/>
        </w:rPr>
      </w:pPr>
      <w:r>
        <w:rPr>
          <w:rFonts w:ascii="Arial" w:cs="Arial" w:eastAsia="Arial" w:hAnsi="Arial"/>
          <w:sz w:val="19"/>
          <w:szCs w:val="19"/>
          <w:b w:val="1"/>
          <w:bCs w:val="1"/>
          <w:color w:val="auto"/>
        </w:rPr>
        <w:t>Investing in these securities involves certain risks. See “Item 1A–Risk Factors” beginning on page 10 of our annual report on Form 10-K for the year ended December 31, 2012,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9"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is February 22, 2013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responsible for the information contained in or incorporated by reference in this prospectus and the applicable prospectus supplement and any free 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or the applicable prospectus supplement is accurate as of any date other than its date. The terms “Texas Instruments”, “TI”, “we,” “us,” and “our” refer to Texas Instruments Incorporated and its consolidated subsidiaries except where expressly indicated or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167005</wp:posOffset>
            </wp:positionV>
            <wp:extent cx="15176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160" w:type="dxa"/>
            <w:vAlign w:val="bottom"/>
            <w:gridSpan w:val="2"/>
          </w:tcPr>
          <w:p>
            <w:pPr>
              <w:jc w:val="right"/>
              <w:ind w:right="4582"/>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4160" w:type="dxa"/>
            <w:vAlign w:val="bottom"/>
            <w:gridSpan w:val="14"/>
            <w:vMerge w:val="restart"/>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The Company</w:t>
              </w:r>
            </w:hyperlink>
          </w:p>
        </w:tc>
        <w:tc>
          <w:tcPr>
            <w:tcW w:w="6900" w:type="dxa"/>
            <w:vAlign w:val="bottom"/>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c>
          <w:tcPr>
            <w:tcW w:w="0" w:type="dxa"/>
            <w:vAlign w:val="bottom"/>
          </w:tcPr>
          <w:p>
            <w:pPr>
              <w:spacing w:after="0"/>
              <w:rPr>
                <w:sz w:val="1"/>
                <w:szCs w:val="1"/>
                <w:color w:val="auto"/>
              </w:rPr>
            </w:pPr>
          </w:p>
        </w:tc>
      </w:tr>
      <w:tr>
        <w:trPr>
          <w:trHeight w:val="169"/>
        </w:trPr>
        <w:tc>
          <w:tcPr>
            <w:tcW w:w="4160" w:type="dxa"/>
            <w:vAlign w:val="bottom"/>
            <w:gridSpan w:val="14"/>
            <w:vMerge w:val="continue"/>
          </w:tcPr>
          <w:p>
            <w:pPr>
              <w:spacing w:after="0"/>
              <w:rPr>
                <w:sz w:val="14"/>
                <w:szCs w:val="14"/>
                <w:color w:val="auto"/>
              </w:rPr>
            </w:pPr>
          </w:p>
        </w:tc>
        <w:tc>
          <w:tcPr>
            <w:tcW w:w="6900" w:type="dxa"/>
            <w:vAlign w:val="bottom"/>
          </w:tcPr>
          <w:p>
            <w:pPr>
              <w:spacing w:after="0"/>
              <w:rPr>
                <w:sz w:val="14"/>
                <w:szCs w:val="14"/>
                <w:color w:val="auto"/>
              </w:rPr>
            </w:pPr>
          </w:p>
        </w:tc>
        <w:tc>
          <w:tcPr>
            <w:tcW w:w="26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About this Prospectus</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Where You Can Find More Information</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Caution Concerning Forward-Looking Statements</w:t>
              </w:r>
            </w:hyperlink>
          </w:p>
        </w:tc>
        <w:tc>
          <w:tcPr>
            <w:tcW w:w="620" w:type="dxa"/>
            <w:vAlign w:val="bottom"/>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Use of Proceeds</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6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Ratios of Earnings to Fixed Charges</w:t>
              </w:r>
            </w:hyperlink>
          </w:p>
        </w:tc>
        <w:tc>
          <w:tcPr>
            <w:tcW w:w="1600" w:type="dxa"/>
            <w:vAlign w:val="bottom"/>
            <w:gridSpan w:val="3"/>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Description of Capital Stock</w:t>
              </w:r>
            </w:hyperlink>
          </w:p>
        </w:tc>
        <w:tc>
          <w:tcPr>
            <w:tcW w:w="2140" w:type="dxa"/>
            <w:vAlign w:val="bottom"/>
            <w:gridSpan w:val="5"/>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Description of Debt Securities</w:t>
              </w:r>
            </w:hyperlink>
          </w:p>
        </w:tc>
        <w:tc>
          <w:tcPr>
            <w:tcW w:w="2020" w:type="dxa"/>
            <w:vAlign w:val="bottom"/>
            <w:gridSpan w:val="4"/>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7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Description of Warrants</w:t>
              </w:r>
            </w:hyperlink>
          </w:p>
        </w:tc>
        <w:tc>
          <w:tcPr>
            <w:tcW w:w="2460" w:type="dxa"/>
            <w:vAlign w:val="bottom"/>
            <w:gridSpan w:val="6"/>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Description of Units</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tcBorders>
            <w:gridSpan w:val="6"/>
          </w:tcPr>
          <w:p>
            <w:pPr>
              <w:spacing w:after="0" w:line="196"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Forms of Securities</w:t>
              </w:r>
            </w:hyperlink>
          </w:p>
        </w:tc>
        <w:tc>
          <w:tcPr>
            <w:tcW w:w="2720" w:type="dxa"/>
            <w:vAlign w:val="bottom"/>
            <w:gridSpan w:val="8"/>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Plan of Distribution</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4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55">
              <w:r>
                <w:rPr>
                  <w:rFonts w:ascii="Arial" w:cs="Arial" w:eastAsia="Arial" w:hAnsi="Arial"/>
                  <w:sz w:val="18"/>
                  <w:szCs w:val="18"/>
                  <w:color w:val="0000EE"/>
                  <w:w w:val="92"/>
                </w:rPr>
                <w:t>Validity of Securities</w:t>
              </w:r>
            </w:hyperlink>
          </w:p>
        </w:tc>
        <w:tc>
          <w:tcPr>
            <w:tcW w:w="2620" w:type="dxa"/>
            <w:vAlign w:val="bottom"/>
            <w:gridSpan w:val="7"/>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Experts</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4258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6465" cy="34258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Company</w:t>
      </w:r>
    </w:p>
    <w:p>
      <w:pPr>
        <w:spacing w:after="0" w:line="177"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At Texas Instruments Incorporated (TI), we design and make semiconductors that we sell to electronics designers and manufacturers all over the world. We began operations in 1930. We are incorporated in Delaware, headquartered in Dallas, Texas, and have design, manufacturing or sales operations in more than 35 countries.</w:t>
      </w:r>
    </w:p>
    <w:p>
      <w:pPr>
        <w:spacing w:after="0" w:line="140" w:lineRule="exact"/>
        <w:rPr>
          <w:sz w:val="20"/>
          <w:szCs w:val="20"/>
          <w:color w:val="auto"/>
        </w:rPr>
      </w:pPr>
    </w:p>
    <w:p>
      <w:pPr>
        <w:ind w:left="200" w:right="400" w:firstLine="443"/>
        <w:spacing w:after="0" w:line="268" w:lineRule="auto"/>
        <w:rPr>
          <w:sz w:val="20"/>
          <w:szCs w:val="20"/>
          <w:color w:val="auto"/>
        </w:rPr>
      </w:pPr>
      <w:r>
        <w:rPr>
          <w:rFonts w:ascii="Arial" w:cs="Arial" w:eastAsia="Arial" w:hAnsi="Arial"/>
          <w:sz w:val="18"/>
          <w:szCs w:val="18"/>
          <w:color w:val="auto"/>
        </w:rPr>
        <w:t>We were the world’s fourth largest semiconductor company in 2012 as measured by revenue, according to preliminary estimates from an external source.</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Our principal executive offices are located at 12500 TI Boulevard, Dallas, Texas 75266-0199, and our telephone number is (214) 479-3773. We</w:t>
      </w:r>
    </w:p>
    <w:p>
      <w:pPr>
        <w:spacing w:after="0" w:line="3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maintain a website at www.ti.com where general information about us is available. We are not incorporating the contents of the website into this prospectus.</w:t>
      </w:r>
    </w:p>
    <w:p>
      <w:pPr>
        <w:spacing w:after="0" w:line="188"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see “Where You Can Find More Information.”</w:t>
      </w:r>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left="200" w:right="60" w:firstLine="443"/>
        <w:spacing w:after="0" w:line="254" w:lineRule="auto"/>
        <w:rPr>
          <w:sz w:val="20"/>
          <w:szCs w:val="20"/>
          <w:color w:val="auto"/>
        </w:rPr>
      </w:pPr>
      <w:r>
        <w:rPr>
          <w:rFonts w:ascii="Arial" w:cs="Arial" w:eastAsia="Arial" w:hAnsi="Arial"/>
          <w:sz w:val="18"/>
          <w:szCs w:val="18"/>
          <w:color w:val="auto"/>
        </w:rPr>
        <w:t>This prospectus is part of a registration statement that we filed with the SEC utilizing a “shelf” registration process. Under this shelf process, we or selling security holders may sell any combination of the securities described in this prospectus in one or more offerings. This prospectus provides you with a general description of the securities we or selling security holders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file annual, quarterly and current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 website at www.sec.gov, from which interested persons can electronically access our SEC filings, including the registration statement of which this prospectus forms a part and the exhibits and schedules thereto.</w:t>
      </w:r>
    </w:p>
    <w:p>
      <w:pPr>
        <w:spacing w:after="0" w:line="11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documents listed below, and all documents subsequently filed with the SEC pursuant to Section 13(a), 13(c), 14, or 15(d) of the Securities Exchange Act of 1934, as amended (the “Exchange Act”) prior to the termination of the offering under this prospectus:</w:t>
      </w:r>
    </w:p>
    <w:p>
      <w:pPr>
        <w:spacing w:after="0" w:line="62"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Current Report on Form 8-K filed on January 18, 2013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2012, filed on February 22, 2013.</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may request a copy of these filings at no cost, by writing or telephoning us at: 12500 TI Boulevard, P.O. Box 660199, Dallas, Texas 75266-0199,</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Attention: Manager of Investor Relations, (214) 479-3773. Information about us, including our SEC filings, is also available at our website at www.ti.com.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However, the information on our website is not a part of this prospectus or any prospectus supplement that we file.</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Certain matters discussed in this prospectus or incorporated by reference into this prospectus are “forward-looking statements.” The Private Securities Litigation Reform Act of 1995 has established that these statements qualify for safe harbors from liability. Forward-looking statements may include words like we “believe,” “expect,” “anticipate,” “foresee,” “forecast,”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1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51" w:lineRule="exact"/>
        <w:rPr>
          <w:sz w:val="20"/>
          <w:szCs w:val="20"/>
          <w:color w:val="auto"/>
        </w:rPr>
      </w:pPr>
    </w:p>
    <w:p>
      <w:pPr>
        <w:ind w:left="900" w:right="82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computing, industrial, consumer electronics and automotive;</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0" w:lineRule="exact"/>
        <w:rPr>
          <w:rFonts w:ascii="Arial" w:cs="Arial" w:eastAsia="Arial" w:hAnsi="Arial"/>
          <w:sz w:val="18"/>
          <w:szCs w:val="18"/>
          <w:color w:val="auto"/>
        </w:rPr>
      </w:pPr>
    </w:p>
    <w:p>
      <w:pPr>
        <w:ind w:left="900" w:right="600" w:hanging="325"/>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13"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5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Product liability or warranty claims, claims based on epidemic or delivery failure or recalls by TI customers for a product containing a TI part;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TI’s ability to successfully integrate and realize opportunities for growth from acquisitions, and our ability to realize our expectations regarding the amount and timing of restructuring charges and associated cost savings;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Breaches of our information technology systems.</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This list is not all-inclusive because it is not possible to predict all factors. All forward-looking statements are qualified by the risks described in the documents incorporated by reference into this prospectus and any supplement to this prospectus. We have no obligation to publicly update or revise any forward-looking statements, whether as a result of new information, future events or risks. New information, future events or risks may cause the forward-looking events we discuss in this prospectus not to occur.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We intend to use the net proceeds from the sale of the securities for working capital and general corporate purposes including, but not limited, to funding our operations, purchasing capital equipment, funding potential acquisitions, repaying debt, paying dividends and repurchasing shares of our common stock.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269" w:lineRule="exact"/>
        <w:rPr>
          <w:sz w:val="20"/>
          <w:szCs w:val="20"/>
          <w:color w:val="auto"/>
        </w:rPr>
      </w:pPr>
    </w:p>
    <w:p>
      <w:pPr>
        <w:ind w:left="460" w:right="3840" w:firstLine="3392"/>
        <w:spacing w:after="0" w:line="520" w:lineRule="auto"/>
        <w:rPr>
          <w:sz w:val="20"/>
          <w:szCs w:val="20"/>
          <w:color w:val="auto"/>
        </w:rPr>
      </w:pPr>
      <w:r>
        <w:rPr>
          <w:rFonts w:ascii="Arial" w:cs="Arial" w:eastAsia="Arial" w:hAnsi="Arial"/>
          <w:sz w:val="16"/>
          <w:szCs w:val="16"/>
          <w:b w:val="1"/>
          <w:bCs w:val="1"/>
          <w:color w:val="auto"/>
        </w:rPr>
        <w:t xml:space="preserve">RATIOS OF EARNINGS TO FIXED CHARGES </w:t>
      </w:r>
      <w:r>
        <w:rPr>
          <w:rFonts w:ascii="Arial" w:cs="Arial" w:eastAsia="Arial" w:hAnsi="Arial"/>
          <w:sz w:val="16"/>
          <w:szCs w:val="16"/>
          <w:color w:val="auto"/>
        </w:rPr>
        <w:t>Our ratio of earnings to fixed charges was as follows for the respective periods indicated: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Fiscal Years Ended December 31,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500" w:type="dxa"/>
            <w:vAlign w:val="bottom"/>
            <w:tcBorders>
              <w:top w:val="single" w:sz="8" w:color="auto"/>
              <w:bottom w:val="single" w:sz="8" w:color="auto"/>
            </w:tcBorders>
          </w:tcPr>
          <w:p>
            <w:pPr>
              <w:jc w:val="right"/>
              <w:ind w:right="1022"/>
              <w:spacing w:after="0" w:line="156"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tcBorders>
          </w:tcPr>
          <w:p>
            <w:pPr>
              <w:spacing w:after="0"/>
              <w:rPr>
                <w:sz w:val="13"/>
                <w:szCs w:val="13"/>
                <w:color w:val="auto"/>
              </w:rPr>
            </w:pPr>
          </w:p>
        </w:tc>
        <w:tc>
          <w:tcPr>
            <w:tcW w:w="2060" w:type="dxa"/>
            <w:vAlign w:val="bottom"/>
            <w:tcBorders>
              <w:top w:val="single" w:sz="8" w:color="auto"/>
              <w:bottom w:val="single" w:sz="8" w:color="auto"/>
            </w:tcBorders>
          </w:tcPr>
          <w:p>
            <w:pPr>
              <w:jc w:val="right"/>
              <w:ind w:right="822"/>
              <w:spacing w:after="0" w:line="156"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top w:val="single" w:sz="8" w:color="auto"/>
            </w:tcBorders>
          </w:tcPr>
          <w:p>
            <w:pPr>
              <w:spacing w:after="0"/>
              <w:rPr>
                <w:sz w:val="13"/>
                <w:szCs w:val="13"/>
                <w:color w:val="auto"/>
              </w:rPr>
            </w:pPr>
          </w:p>
        </w:tc>
        <w:tc>
          <w:tcPr>
            <w:tcW w:w="2180" w:type="dxa"/>
            <w:vAlign w:val="bottom"/>
            <w:tcBorders>
              <w:top w:val="single" w:sz="8" w:color="auto"/>
              <w:bottom w:val="single" w:sz="8" w:color="auto"/>
            </w:tcBorders>
          </w:tcPr>
          <w:p>
            <w:pPr>
              <w:jc w:val="right"/>
              <w:ind w:right="882"/>
              <w:spacing w:after="0" w:line="156"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top w:val="single" w:sz="8" w:color="auto"/>
            </w:tcBorders>
          </w:tcPr>
          <w:p>
            <w:pPr>
              <w:spacing w:after="0"/>
              <w:rPr>
                <w:sz w:val="13"/>
                <w:szCs w:val="13"/>
                <w:color w:val="auto"/>
              </w:rPr>
            </w:pPr>
          </w:p>
        </w:tc>
        <w:tc>
          <w:tcPr>
            <w:tcW w:w="2160" w:type="dxa"/>
            <w:vAlign w:val="bottom"/>
            <w:tcBorders>
              <w:top w:val="single" w:sz="8" w:color="auto"/>
              <w:bottom w:val="single" w:sz="8" w:color="auto"/>
            </w:tcBorders>
          </w:tcPr>
          <w:p>
            <w:pPr>
              <w:jc w:val="right"/>
              <w:ind w:right="862"/>
              <w:spacing w:after="0" w:line="156"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top w:val="single" w:sz="8" w:color="auto"/>
            </w:tcBorders>
          </w:tcPr>
          <w:p>
            <w:pPr>
              <w:spacing w:after="0"/>
              <w:rPr>
                <w:sz w:val="13"/>
                <w:szCs w:val="13"/>
                <w:color w:val="auto"/>
              </w:rPr>
            </w:pPr>
          </w:p>
        </w:tc>
        <w:tc>
          <w:tcPr>
            <w:tcW w:w="2060" w:type="dxa"/>
            <w:vAlign w:val="bottom"/>
            <w:tcBorders>
              <w:top w:val="single" w:sz="8" w:color="auto"/>
              <w:bottom w:val="single" w:sz="8" w:color="auto"/>
            </w:tcBorders>
          </w:tcPr>
          <w:p>
            <w:pPr>
              <w:jc w:val="right"/>
              <w:ind w:right="822"/>
              <w:spacing w:after="0" w:line="156" w:lineRule="exact"/>
              <w:rPr>
                <w:sz w:val="20"/>
                <w:szCs w:val="20"/>
                <w:color w:val="auto"/>
              </w:rPr>
            </w:pPr>
            <w:r>
              <w:rPr>
                <w:rFonts w:ascii="Arial" w:cs="Arial" w:eastAsia="Arial" w:hAnsi="Arial"/>
                <w:sz w:val="14"/>
                <w:szCs w:val="14"/>
                <w:b w:val="1"/>
                <w:bCs w:val="1"/>
                <w:color w:val="auto"/>
              </w:rPr>
              <w:t>2008</w:t>
            </w:r>
          </w:p>
        </w:tc>
      </w:tr>
      <w:tr>
        <w:trPr>
          <w:trHeight w:val="216"/>
        </w:trPr>
        <w:tc>
          <w:tcPr>
            <w:tcW w:w="2500" w:type="dxa"/>
            <w:vAlign w:val="bottom"/>
          </w:tcPr>
          <w:p>
            <w:pPr>
              <w:jc w:val="center"/>
              <w:spacing w:after="0"/>
              <w:rPr>
                <w:sz w:val="20"/>
                <w:szCs w:val="20"/>
                <w:color w:val="auto"/>
              </w:rPr>
            </w:pPr>
            <w:r>
              <w:rPr>
                <w:rFonts w:ascii="Arial" w:cs="Arial" w:eastAsia="Arial" w:hAnsi="Arial"/>
                <w:sz w:val="18"/>
                <w:szCs w:val="18"/>
                <w:color w:val="auto"/>
                <w:w w:val="90"/>
              </w:rPr>
              <w:t>20.6x</w:t>
            </w:r>
          </w:p>
        </w:tc>
        <w:tc>
          <w:tcPr>
            <w:tcW w:w="16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55.9x</w:t>
            </w:r>
          </w:p>
        </w:tc>
        <w:tc>
          <w:tcPr>
            <w:tcW w:w="10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2"/>
              </w:rPr>
              <w:t>304.8x</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127.9x</w:t>
            </w: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109.5x</w:t>
            </w:r>
          </w:p>
        </w:tc>
      </w:tr>
    </w:tbl>
    <w:p>
      <w:pPr>
        <w:spacing w:after="0" w:line="14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Earnings consist of earnings from continuing operations, fixed charges, and other income or loss (including interest income, equity investment gains or losses, and other miscellaneous non-operational items such as currency exchange gains or losses). Fixed charges consist of total interest on loans, interest attributable to rental and lease expense, and capitalized interest.</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have no preferred shares outstanding and have paid no preferred dividends to date; therefore, our ratios of earnings to combined fixed charges and preferred dividends are the same as our ratios of earnings to fixed charges.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following description of our capital stock is based upon our restated certificate of incorporation, as amended (“Restated Certificate of Incorporation”), our by-laws, as amended (“By-Laws”), and applicable provisions of law. We have summarized certain portions of the Restated Certificate of Incorporation and By-Laws below. The summary is not complete. The Restated Certificate of Incorporation and By-Laws are incorporated by reference as exhibits to the registration statement of which this prospectus forms a part. You should read the Restated Certificate of Incorporation and By-Laws for the provisions that are important to you.</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Certain provisions of the Delaware General Corporation Law (“DGCL”), the Restated Certificate of Incorporation and By-Laws summarized in the following paragraphs may have an anti-takeover effect. This may delay, defer or prevent a tender offer or takeover attempt that a stockholder might consider in its best interests, including those attempts that might result in a premium over the market price for the shares held by such stockholder.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Restated Certificate of Incorporation authorizes us to issue 2,400,000,000 shares of common stock, $1.00 par value per share, and 10,000,000 shares of preferred stock, $25.00 par value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80" w:firstLine="456"/>
        <w:spacing w:after="0" w:line="309" w:lineRule="auto"/>
        <w:rPr>
          <w:sz w:val="20"/>
          <w:szCs w:val="20"/>
          <w:color w:val="auto"/>
        </w:rPr>
      </w:pPr>
      <w:r>
        <w:rPr>
          <w:rFonts w:ascii="Arial" w:cs="Arial" w:eastAsia="Arial" w:hAnsi="Arial"/>
          <w:sz w:val="15"/>
          <w:szCs w:val="15"/>
          <w:color w:val="auto"/>
        </w:rPr>
        <w:t>As of January 31, 2013, there were 1,104,787,389 shares of common stock outstanding which were held of record by 18,036 stockholders. We are authorized to issue additional shares of common stock without further stockholder approval, except as may be required by applicable law or stock exchange regulations. The holders of shares of our common stock, subject to the preferential rights of the holders of any shares of our preferred stock, are entitled to dividends when and as declared by our board of directors. The holders of our common stock have one vote per share on all matters submitted to a vote of the stockholders, and the right to share pro rata in the net assets of TI in liquidation after payment of any amounts due to creditors and in respect of any preferred stock. Holders of shares of our common stock are not entitled as a matter of right to any preemptive or subscription rights and are not entitled to cumulative voting for directors. All outstanding shares of common stock are, and the shares of common stock issued upon any conversion or exchange of any debt securities or preferred stock providing for such conversion or exchange will be, fully paid and nonassessable. Our common stock is listed on The NASDAQ Stock Market. The transfer agent and registrar for our common stock is Computershare Trust Company, N.A., 2 North LaSalle Street, 3</w:t>
      </w:r>
      <w:r>
        <w:rPr>
          <w:rFonts w:ascii="Arial" w:cs="Arial" w:eastAsia="Arial" w:hAnsi="Arial"/>
          <w:sz w:val="10"/>
          <w:szCs w:val="10"/>
          <w:color w:val="auto"/>
        </w:rPr>
        <w:t>rd</w:t>
      </w:r>
      <w:r>
        <w:rPr>
          <w:rFonts w:ascii="Arial" w:cs="Arial" w:eastAsia="Arial" w:hAnsi="Arial"/>
          <w:sz w:val="15"/>
          <w:szCs w:val="15"/>
          <w:color w:val="auto"/>
        </w:rPr>
        <w:t xml:space="preserve"> Floor, Chicago, Illinois 60602.</w:t>
      </w:r>
    </w:p>
    <w:p>
      <w:pPr>
        <w:spacing w:after="0" w:line="10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By-Laws provide that the annual meeting of stockholders shall be held on the third Thursday in April each year or on such other date as may be fixed by the our board of directors and as stated in a written notice, which must be mailed or delivered to each stockholder at least 10 days prior to any stockholder meeting.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 of January 31, 2013, there were no shares of our preferred stock outstanding. We are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our board of directors. The 10,000,000 authorized but unissued shares of preferred stock may be issued pursuant to resolution of our board of directors without the vote of the holders of our capital stock. If preferred stock is offered pursuant to this prospectus, we will describe the restrictions, if any, on the repurchase or redemption of the preferred stock by us in a prospectus supplement.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Texas Instruments’ Certificate of Incorporation and By-Laws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Restated Certificate of Incorporation states that action may be taken by stockholders only at annual or special meetings of stockholders, and that stockholders may not act by written consent. The By-Laws vest the power to call special meetings of stockholders in our chairman of the board, our president, or a majority of our board of directors.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To be properly brought before an annual meeting of stockholders, any stockholder proposal or nomination for the board of directors must be delivered to or mailed and received at our principal executive offices not less than 90 days prior to the first anniversary of the previous year’s annual meeting; provided that in the event that the date of the annual meeting is advanced by more than 30 days, or delayed by more than 70 days, from such anniversary date, notice by the stockholder to be timely must be so delivered not later than the close of business on the later of the 90</w:t>
      </w:r>
      <w:r>
        <w:rPr>
          <w:rFonts w:ascii="Arial" w:cs="Arial" w:eastAsia="Arial" w:hAnsi="Arial"/>
          <w:sz w:val="10"/>
          <w:szCs w:val="10"/>
          <w:color w:val="auto"/>
        </w:rPr>
        <w:t>th</w:t>
      </w:r>
      <w:r>
        <w:rPr>
          <w:rFonts w:ascii="Arial" w:cs="Arial" w:eastAsia="Arial" w:hAnsi="Arial"/>
          <w:sz w:val="16"/>
          <w:szCs w:val="16"/>
          <w:color w:val="auto"/>
        </w:rPr>
        <w:t xml:space="preserve"> day prior to such annual meeting or the 10</w:t>
      </w:r>
      <w:r>
        <w:rPr>
          <w:rFonts w:ascii="Arial" w:cs="Arial" w:eastAsia="Arial" w:hAnsi="Arial"/>
          <w:sz w:val="10"/>
          <w:szCs w:val="10"/>
          <w:color w:val="auto"/>
        </w:rPr>
        <w:t>th</w:t>
      </w:r>
      <w:r>
        <w:rPr>
          <w:rFonts w:ascii="Arial" w:cs="Arial" w:eastAsia="Arial" w:hAnsi="Arial"/>
          <w:sz w:val="16"/>
          <w:szCs w:val="16"/>
          <w:color w:val="auto"/>
        </w:rPr>
        <w:t xml:space="preserve"> day following the day on which public announcement of the date of the meeting is first made.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59"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prior to the date the interested stockholder obtained such status;</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50" w:lineRule="exact"/>
        <w:rPr>
          <w:rFonts w:ascii="Arial" w:cs="Arial" w:eastAsia="Arial" w:hAnsi="Arial"/>
          <w:sz w:val="18"/>
          <w:szCs w:val="18"/>
          <w:color w:val="auto"/>
        </w:rPr>
      </w:pPr>
    </w:p>
    <w:p>
      <w:pPr>
        <w:ind w:left="900" w:right="160" w:hanging="325"/>
        <w:spacing w:after="0" w:line="33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on or subsequent to such date the business combination is approved by the board and authorized at an annual or special meeting of stockholders by the affirmative vote of at least 66 2/3% of the outstanding voting stock which is not owned by the interested stockholder.</w:t>
      </w:r>
    </w:p>
    <w:p>
      <w:pPr>
        <w:spacing w:after="0" w:line="8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Texas Instruments and, accordingly, may discourage attempts to acquire Texas Instruments even though such a transaction may offer Texas Instruments stockholders the opportunity to sell their stock at a price above the prevailing market price.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7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pursuant to an indenture entered into between us and U.S. Bank National Association, as trustee. The terms of our debt securities will include those set forth in the indenture and those made a part of the indenture by the Trust Indenture Act of 1939.</w:t>
      </w:r>
    </w:p>
    <w:p>
      <w:pPr>
        <w:spacing w:after="0" w:line="14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following is only a summary of selected provisions of the indenture and the debt securities and therefore does not contain all information that may be important to you. This summary is qualified in its entirety by reference to the base indenture and any supplemental indenture thereto or officer’s certificate or board resolution related thereto. We urge you to read the indenture because the indenture, not this description, defines the rights of the holders of the debt securities. The indenture is included as an exhibit to the registration statement of which this prospectus is a part.</w:t>
      </w:r>
    </w:p>
    <w:p>
      <w:pPr>
        <w:spacing w:after="0" w:line="11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As used in this section of the prospectus and under the captions “Description of Capital Stock,” “Description of Warrants” and “Description of Units,” the terms “we,” “us” and “our” refer only to Texas Instruments Incorporated and not to any existing or future subsidiaries of Texas Instruments Incorporated.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debt securities will constitute unsecured and unsubordinated obligations of ours and will rank pari passu with our other unsecured and unsubordinated obligations.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conduct some of our operations through subsidiaries. Consequently, our ability to pay our obligations, including our obligation to pay principal or interest on the debt securities, to pay the debt securities at maturity or upon redemption or to buy the debt securities may depend upon our subsidiaries repaying investments and advances we have made to them, and upon our subsidiaries’ earnings and their distributing those earnings to us. The debt securities will be effectively subordinated to all obligations (including trade payables and preferred stock obligations) of our subsidiaries.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The indenture will not limit our subsidiaries’ ability to enter into other agreements that prohibit or restrict dividends or other payments or advances to us.</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debt securities will be our unsecured obligations. Our secured debt and other secured obligations will be effectively senior to the debt securities to the extent of the value of the assets securing such debt or other obligations.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You should look in the prospectus supplement for any additional or different terms of the debt securities being offered, including the following terms:</w:t>
      </w:r>
    </w:p>
    <w:p>
      <w:pPr>
        <w:spacing w:after="0" w:line="113"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debt securities’ designation;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0" w:hanging="325"/>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manner of paying principal and interest and the place or places where principal and interest will be payable;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90" w:lineRule="exact"/>
        <w:rPr>
          <w:rFonts w:ascii="Arial" w:cs="Arial" w:eastAsia="Arial" w:hAnsi="Arial"/>
          <w:sz w:val="18"/>
          <w:szCs w:val="18"/>
          <w:color w:val="auto"/>
        </w:rPr>
      </w:pPr>
    </w:p>
    <w:p>
      <w:pPr>
        <w:ind w:left="900" w:right="74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at which, and the terms and conditions upon which the debt securities may be redeemed, in whole or in part, at our option or at your option;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w:t>
      </w:r>
    </w:p>
    <w:p>
      <w:pPr>
        <w:spacing w:after="0" w:line="9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exchanged for the cash value of other securities issued by us or by a third party;</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initial conversion or exchange price or rate and any adjustments thereto, the period or periods within which, and the other terms and conditions upon which conversion or exchange of the debt securities may be effected;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events of default or covenants in addition to or in lieu of those set forth in the indenture;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provisions for electronic issuance of debt securities or for debt securities in uncertificated form;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terms which may be required by or advisable under applicable laws or regulations or advisable in connection with the marketing of the debt securities.</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the payment of interest accruing prior to the issue date of such further debt securities or except for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4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0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Debt securities will bear interest at a fixed rate or a floating rate. Debt securities bearing no interest or interest at a rate that at the time of issuance is below the prevailing market rate (original issue discount securities) may be sold at a discount below their stated principal amount. Special U.S. federal income tax considerations applicable to any such discounted debt securities or to certain debt securities issued at par which are treated as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having been issued at a discount for U.S. federal income tax purposes will be described in the applicable prospectus supplement.</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Debt Securities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84" w:lineRule="exact"/>
        <w:rPr>
          <w:sz w:val="20"/>
          <w:szCs w:val="20"/>
          <w:color w:val="auto"/>
        </w:rPr>
      </w:pPr>
    </w:p>
    <w:p>
      <w:pPr>
        <w:ind w:right="200" w:firstLine="456"/>
        <w:spacing w:after="0" w:line="301" w:lineRule="auto"/>
        <w:rPr>
          <w:sz w:val="20"/>
          <w:szCs w:val="20"/>
          <w:color w:val="auto"/>
        </w:rPr>
      </w:pPr>
      <w:r>
        <w:rPr>
          <w:rFonts w:ascii="Arial" w:cs="Arial" w:eastAsia="Arial" w:hAnsi="Arial"/>
          <w:sz w:val="16"/>
          <w:szCs w:val="16"/>
          <w:i w:val="1"/>
          <w:iCs w:val="1"/>
          <w:color w:val="auto"/>
        </w:rPr>
        <w:t>Certain Definitions</w:t>
      </w:r>
      <w:r>
        <w:rPr>
          <w:rFonts w:ascii="Arial" w:cs="Arial" w:eastAsia="Arial" w:hAnsi="Arial"/>
          <w:sz w:val="16"/>
          <w:szCs w:val="16"/>
          <w:color w:val="auto"/>
        </w:rPr>
        <w:t>. The term “</w:t>
      </w:r>
      <w:r>
        <w:rPr>
          <w:rFonts w:ascii="Arial" w:cs="Arial" w:eastAsia="Arial" w:hAnsi="Arial"/>
          <w:sz w:val="16"/>
          <w:szCs w:val="16"/>
          <w:b w:val="1"/>
          <w:bCs w:val="1"/>
          <w:color w:val="auto"/>
        </w:rPr>
        <w:t>attributable debt</w:t>
      </w:r>
      <w:r>
        <w:rPr>
          <w:rFonts w:ascii="Arial" w:cs="Arial" w:eastAsia="Arial" w:hAnsi="Arial"/>
          <w:sz w:val="16"/>
          <w:szCs w:val="16"/>
          <w:color w:val="auto"/>
        </w:rPr>
        <w:t>” in respect of a sale and leaseback transaction means, at the time of determination, the lesser of (1) the</w:t>
      </w:r>
      <w:r>
        <w:rPr>
          <w:rFonts w:ascii="Arial" w:cs="Arial" w:eastAsia="Arial" w:hAnsi="Arial"/>
          <w:sz w:val="16"/>
          <w:szCs w:val="16"/>
          <w:i w:val="1"/>
          <w:iCs w:val="1"/>
          <w:color w:val="auto"/>
        </w:rPr>
        <w:t xml:space="preserve"> </w:t>
      </w:r>
      <w:r>
        <w:rPr>
          <w:rFonts w:ascii="Arial" w:cs="Arial" w:eastAsia="Arial" w:hAnsi="Arial"/>
          <w:sz w:val="16"/>
          <w:szCs w:val="16"/>
          <w:color w:val="auto"/>
        </w:rPr>
        <w:t>fair market value of the assets subject to such transaction, as determined by our board of directors, and (2) the present value (discounted at the interest rate implicit in the lease or, if it is not practicable to determine such rate, then at our incremental borrowing rate determined in accordance with generally accepted accounting principles) of the obligation of the lessee for net rental payments during the remaining term of any lease.</w:t>
      </w:r>
    </w:p>
    <w:p>
      <w:pPr>
        <w:spacing w:after="0" w:line="103" w:lineRule="exact"/>
        <w:rPr>
          <w:sz w:val="20"/>
          <w:szCs w:val="20"/>
          <w:color w:val="auto"/>
        </w:rPr>
      </w:pPr>
    </w:p>
    <w:p>
      <w:pPr>
        <w:ind w:right="400" w:firstLine="456"/>
        <w:spacing w:after="0" w:line="339"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consolidated net tangible assets</w:t>
      </w:r>
      <w:r>
        <w:rPr>
          <w:rFonts w:ascii="Arial" w:cs="Arial" w:eastAsia="Arial" w:hAnsi="Arial"/>
          <w:sz w:val="16"/>
          <w:szCs w:val="16"/>
          <w:color w:val="auto"/>
        </w:rPr>
        <w:t>” means, at any date, the total assets appearing on our most recent consolidated balance sheet, prepared in accordance with generally accepted accounting principles, less all current liabilities as shown on such balance sheet, and intangible assets.</w:t>
      </w:r>
    </w:p>
    <w:p>
      <w:pPr>
        <w:spacing w:after="0" w:line="74" w:lineRule="exact"/>
        <w:rPr>
          <w:sz w:val="20"/>
          <w:szCs w:val="20"/>
          <w:color w:val="auto"/>
        </w:rPr>
      </w:pPr>
    </w:p>
    <w:p>
      <w:pPr>
        <w:ind w:right="180" w:firstLine="456"/>
        <w:spacing w:after="0" w:line="262"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funded debt</w:t>
      </w:r>
      <w:r>
        <w:rPr>
          <w:rFonts w:ascii="Arial" w:cs="Arial" w:eastAsia="Arial" w:hAnsi="Arial"/>
          <w:sz w:val="18"/>
          <w:szCs w:val="18"/>
          <w:color w:val="auto"/>
        </w:rPr>
        <w: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w:t>
      </w:r>
    </w:p>
    <w:p>
      <w:pPr>
        <w:spacing w:after="0" w:line="132"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intangible assets</w:t>
      </w:r>
      <w:r>
        <w:rPr>
          <w:rFonts w:ascii="Arial" w:cs="Arial" w:eastAsia="Arial" w:hAnsi="Arial"/>
          <w:sz w:val="16"/>
          <w:szCs w:val="16"/>
          <w:color w:val="auto"/>
        </w:rPr>
        <w:t>” means the value (net of applicable reserves), as shown on or reflected in our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 but in no event shall the term “intangible assets” include computer programs and related products.</w:t>
      </w:r>
    </w:p>
    <w:p>
      <w:pPr>
        <w:spacing w:after="0" w:line="103" w:lineRule="exact"/>
        <w:rPr>
          <w:sz w:val="20"/>
          <w:szCs w:val="20"/>
          <w:color w:val="auto"/>
        </w:rPr>
      </w:pPr>
    </w:p>
    <w:p>
      <w:pPr>
        <w:jc w:val="both"/>
        <w:ind w:right="560" w:firstLine="456"/>
        <w:spacing w:after="0" w:line="262"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net rental payments</w:t>
      </w:r>
      <w:r>
        <w:rPr>
          <w:rFonts w:ascii="Arial" w:cs="Arial" w:eastAsia="Arial" w:hAnsi="Arial"/>
          <w:sz w:val="18"/>
          <w:szCs w:val="18"/>
          <w:color w:val="auto"/>
        </w:rPr>
        <w:t>” under any lease for any period shall mean the sum of rental and other payments required to be paid by such lessee thereunder, not including, however, amounts payable by the lessee for maintenance and repairs, insurance, taxes, assessments and similar charges and for contingent rents (such as those based on sales).</w:t>
      </w:r>
    </w:p>
    <w:p>
      <w:pPr>
        <w:spacing w:after="0" w:line="132" w:lineRule="exact"/>
        <w:rPr>
          <w:sz w:val="20"/>
          <w:szCs w:val="20"/>
          <w:color w:val="auto"/>
        </w:rPr>
      </w:pPr>
    </w:p>
    <w:p>
      <w:pPr>
        <w:ind w:right="40" w:firstLine="456"/>
        <w:spacing w:after="0" w:line="310"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principal manufacturing property</w:t>
      </w:r>
      <w:r>
        <w:rPr>
          <w:rFonts w:ascii="Arial" w:cs="Arial" w:eastAsia="Arial" w:hAnsi="Arial"/>
          <w:sz w:val="16"/>
          <w:szCs w:val="16"/>
          <w:color w:val="auto"/>
        </w:rPr>
        <w:t>” means each of our manufacturing or processing plants or facilities located in the United States of America (other than territories and possessions of the United States) or Puerto Rico, except any such manufacturing or processing plant or facility that the board of directors by resolution determines not to be of material importance to the total business conducted by us and our consolidated subsidiaries, taken as a whole.</w:t>
      </w:r>
    </w:p>
    <w:p>
      <w:pPr>
        <w:spacing w:after="0" w:line="10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i w:val="1"/>
          <w:iCs w:val="1"/>
          <w:color w:val="auto"/>
        </w:rPr>
        <w:t>Restrictions on Liens</w:t>
      </w:r>
      <w:r>
        <w:rPr>
          <w:rFonts w:ascii="Arial" w:cs="Arial" w:eastAsia="Arial" w:hAnsi="Arial"/>
          <w:sz w:val="18"/>
          <w:szCs w:val="18"/>
          <w:color w:val="auto"/>
        </w:rPr>
        <w:t>. The indenture provides that, unless as may otherwise be indicated by resolution of our board of directors, officer’s certificate, or</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supplemental indenture, we will not issue or assume any debt for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money borrowed (which, including guarantees of debt for borrowed money, we refer to as “</w:t>
      </w:r>
      <w:r>
        <w:rPr>
          <w:rFonts w:ascii="Arial" w:cs="Arial" w:eastAsia="Arial" w:hAnsi="Arial"/>
          <w:sz w:val="18"/>
          <w:szCs w:val="18"/>
          <w:b w:val="1"/>
          <w:bCs w:val="1"/>
          <w:color w:val="auto"/>
        </w:rPr>
        <w:t>debt</w:t>
      </w:r>
      <w:r>
        <w:rPr>
          <w:rFonts w:ascii="Arial" w:cs="Arial" w:eastAsia="Arial" w:hAnsi="Arial"/>
          <w:sz w:val="18"/>
          <w:szCs w:val="18"/>
          <w:color w:val="auto"/>
        </w:rPr>
        <w:t>”), if the debt is secured by a mortgage, pledge, lien or other encumbrance (which we refer to as a “</w:t>
      </w:r>
      <w:r>
        <w:rPr>
          <w:rFonts w:ascii="Arial" w:cs="Arial" w:eastAsia="Arial" w:hAnsi="Arial"/>
          <w:sz w:val="18"/>
          <w:szCs w:val="18"/>
          <w:b w:val="1"/>
          <w:bCs w:val="1"/>
          <w:color w:val="auto"/>
        </w:rPr>
        <w:t>mortgage</w:t>
      </w:r>
      <w:r>
        <w:rPr>
          <w:rFonts w:ascii="Arial" w:cs="Arial" w:eastAsia="Arial" w:hAnsi="Arial"/>
          <w:sz w:val="18"/>
          <w:szCs w:val="18"/>
          <w:color w:val="auto"/>
        </w:rPr>
        <w:t>”) upon any principal manufacturing property (whether such principal manufacturing property is now owned or subsequently acquired) without in any such case effectively providing that the debt securities (together with any other debt security ranking equally with the debt securities) shall be secured equally and ratably with the debt until such time as such debt is no longer secured by such mortgage. The foregoing restrictions shall not apply to:</w:t>
      </w:r>
    </w:p>
    <w:p>
      <w:pPr>
        <w:spacing w:after="0" w:line="64"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mortgages existing as of the closing date of the offering of the relevant series of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mortgages on property existing at the time of or within 120 days after acquisition of the property and certain purchase money mortgages;</w:t>
      </w:r>
    </w:p>
    <w:p>
      <w:pPr>
        <w:spacing w:after="0" w:line="113" w:lineRule="exact"/>
        <w:rPr>
          <w:rFonts w:ascii="Arial" w:cs="Arial" w:eastAsia="Arial" w:hAnsi="Arial"/>
          <w:sz w:val="16"/>
          <w:szCs w:val="16"/>
          <w:color w:val="auto"/>
        </w:rPr>
      </w:pPr>
    </w:p>
    <w:p>
      <w:pPr>
        <w:ind w:left="900" w:right="24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mortgages on property of an entity existing at the time that entity is merged into or consolidated with us or substantially all the assets of which are acquired by us;</w:t>
      </w:r>
    </w:p>
    <w:p>
      <w:pPr>
        <w:spacing w:after="0" w:line="50" w:lineRule="exact"/>
        <w:rPr>
          <w:rFonts w:ascii="Arial" w:cs="Arial" w:eastAsia="Arial" w:hAnsi="Arial"/>
          <w:sz w:val="18"/>
          <w:szCs w:val="18"/>
          <w:color w:val="auto"/>
        </w:rPr>
      </w:pPr>
    </w:p>
    <w:p>
      <w:pPr>
        <w:jc w:val="both"/>
        <w:ind w:left="900" w:right="220" w:hanging="325"/>
        <w:spacing w:after="0" w:line="306"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mortgages in favor of the United States or any political subdivision or any instrumentality thereof, or in favor of any other country or any political subdivision or instrumentality thereof, to secure certain payments pursuant to any contract or statute or to secure any indebtedness incurred for the purpose of financing all or any part of the purchase price or the cost of construction of the property subject to the mortgages;</w:t>
      </w:r>
    </w:p>
    <w:p>
      <w:pPr>
        <w:spacing w:after="0" w:line="25" w:lineRule="exact"/>
        <w:rPr>
          <w:rFonts w:ascii="Arial" w:cs="Arial" w:eastAsia="Arial" w:hAnsi="Arial"/>
          <w:sz w:val="16"/>
          <w:szCs w:val="16"/>
          <w:color w:val="auto"/>
        </w:rPr>
      </w:pPr>
    </w:p>
    <w:p>
      <w:pPr>
        <w:ind w:left="900" w:right="24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mortgages for taxes, assessments or other governmental charges not yet due or payable or subject to penalties for non-payment or which are being contested in good faith by appropriate proceedings;</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mortgages to secure the performance of bids, trade contracts, leases, statutory obligations, surety and appeal bonds, performance bonds and other obligations of a like nature, in each case in the ordinary course of business;</w:t>
      </w:r>
    </w:p>
    <w:p>
      <w:pPr>
        <w:spacing w:after="0" w:line="50" w:lineRule="exact"/>
        <w:rPr>
          <w:rFonts w:ascii="Arial" w:cs="Arial" w:eastAsia="Arial" w:hAnsi="Arial"/>
          <w:sz w:val="18"/>
          <w:szCs w:val="18"/>
          <w:color w:val="auto"/>
        </w:rPr>
      </w:pPr>
    </w:p>
    <w:p>
      <w:pPr>
        <w:ind w:left="900" w:hanging="325"/>
        <w:spacing w:after="0" w:line="255"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mortgages imposed by law, such as carrier’s, warehousemen’s and mechanic’s liens and other similar liens, in each case for sums not yet overdue by more than 30 calendar days or being contested in good faith by appropriate proceedings, or other liens arising out of judgments or awards against us with respect to which we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and</w:t>
      </w:r>
    </w:p>
    <w:p>
      <w:pPr>
        <w:spacing w:after="0" w:line="61"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in whole or in part, of any mortgage referred to in the bullet points above.</w:t>
      </w:r>
    </w:p>
    <w:p>
      <w:pPr>
        <w:spacing w:after="0" w:line="13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Restrictions on Sale and Leaseback Transactions</w:t>
      </w:r>
      <w:r>
        <w:rPr>
          <w:rFonts w:ascii="Arial" w:cs="Arial" w:eastAsia="Arial" w:hAnsi="Arial"/>
          <w:sz w:val="16"/>
          <w:szCs w:val="16"/>
          <w:color w:val="auto"/>
        </w:rPr>
        <w:t>. The indenture provides that, unless as may otherwise be indicated by resolution of our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certificate, or supplemental indenture, we will not enter into any lease longer than three years covering any principal manufacturing property that is sold to any other person (other than any then-existing subsidiary) in connection with such lease unless the proceeds from such sale or transfer shall be at least equal to the fair value of such property as determined by resolution by our board of directors and either:</w:t>
      </w:r>
    </w:p>
    <w:p>
      <w:pPr>
        <w:spacing w:after="0" w:line="32" w:lineRule="exact"/>
        <w:rPr>
          <w:sz w:val="20"/>
          <w:szCs w:val="20"/>
          <w:color w:val="auto"/>
        </w:rPr>
      </w:pPr>
    </w:p>
    <w:p>
      <w:pPr>
        <w:ind w:left="900" w:right="80" w:hanging="325"/>
        <w:spacing w:after="0" w:line="256"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would be entitled, pursuant to the “Restrictions on Liens” described above, to incur debt secured by a mortgage on the principal manufacturing property involved in an amount at least equal to the attributable debt in respect of such principal manufacturing property without equally and ratably securing the debt securities, provided, that such attributable debt shall thereupon be deemed to be debt subject to the provisions of such restrictions on liens; or</w:t>
      </w:r>
    </w:p>
    <w:p>
      <w:pPr>
        <w:spacing w:after="0" w:line="62" w:lineRule="exact"/>
        <w:rPr>
          <w:rFonts w:ascii="Arial" w:cs="Arial" w:eastAsia="Arial" w:hAnsi="Arial"/>
          <w:sz w:val="18"/>
          <w:szCs w:val="18"/>
          <w:color w:val="auto"/>
        </w:rPr>
      </w:pPr>
    </w:p>
    <w:p>
      <w:pPr>
        <w:ind w:left="900" w:right="660" w:hanging="325"/>
        <w:spacing w:after="0" w:line="332"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within a period commencing twelve months prior to the consummation of the sale and leaseback transaction and ending twelve months after consummation of such transaction, we have expended or will expend for principal manufacturing property an amount equal to:</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proceeds of such sale and leaseback transaction and we elect to designate such amount as a credit against such transaction, 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200" w:hanging="446"/>
        <w:spacing w:after="0" w:line="268" w:lineRule="auto"/>
        <w:tabs>
          <w:tab w:leader="none" w:pos="14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 part of the proceeds of such sale and leaseback transaction and we elect to designate such amount as a credit against such transaction and treat an amount equal to the remainder of the proceeds as provided in the clause directly below; or</w:t>
      </w:r>
    </w:p>
    <w:p>
      <w:pPr>
        <w:spacing w:after="0" w:line="5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such attributable debt (less any amount elected under the clause directly above) is applied within 120 days after the transaction to the retirement of funded debt, or is considered to be attributable debt for purposes of the calculation of exempted debt and, after giving effect to the exempted debt, the exempted debt does not exceed 15% of consolidated net tangible assets.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Exempted Debt</w:t>
      </w:r>
      <w:r>
        <w:rPr>
          <w:rFonts w:ascii="Arial" w:cs="Arial" w:eastAsia="Arial" w:hAnsi="Arial"/>
          <w:sz w:val="18"/>
          <w:szCs w:val="18"/>
          <w:color w:val="auto"/>
        </w:rPr>
        <w:t>. The indenture provides that, notwithstanding the restrictions on mortgages and sale and leaseback transactions described above, we may,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to amounts permitted under such restrictions, create, extend, renew or replace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 plus attributable debt resulting from such sale and leaseback transactions (“</w:t>
      </w:r>
      <w:r>
        <w:rPr>
          <w:rFonts w:ascii="Arial" w:cs="Arial" w:eastAsia="Arial" w:hAnsi="Arial"/>
          <w:sz w:val="18"/>
          <w:szCs w:val="18"/>
          <w:b w:val="1"/>
          <w:bCs w:val="1"/>
          <w:color w:val="auto"/>
        </w:rPr>
        <w:t>exempted debt</w:t>
      </w:r>
      <w:r>
        <w:rPr>
          <w:rFonts w:ascii="Arial" w:cs="Arial" w:eastAsia="Arial" w:hAnsi="Arial"/>
          <w:sz w:val="18"/>
          <w:szCs w:val="18"/>
          <w:color w:val="auto"/>
        </w:rPr>
        <w:t>”) does not exceed 15% of consolidated net tangible assets.</w:t>
      </w:r>
    </w:p>
    <w:p>
      <w:pPr>
        <w:spacing w:after="0" w:line="14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i w:val="1"/>
          <w:iCs w:val="1"/>
          <w:color w:val="auto"/>
        </w:rPr>
        <w:t>Consolidation, Merger and Sale or Conveyance</w:t>
      </w:r>
      <w:r>
        <w:rPr>
          <w:rFonts w:ascii="Arial" w:cs="Arial" w:eastAsia="Arial" w:hAnsi="Arial"/>
          <w:sz w:val="18"/>
          <w:szCs w:val="18"/>
          <w:color w:val="auto"/>
        </w:rPr>
        <w:t>. We may not consolidate with, merge with or into, or sell, or convey (including by way of lease) all or</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of our assets to any person or permit any person to merge with or into us unless:</w:t>
      </w:r>
    </w:p>
    <w:p>
      <w:pPr>
        <w:spacing w:after="0" w:line="51" w:lineRule="exact"/>
        <w:rPr>
          <w:sz w:val="20"/>
          <w:szCs w:val="20"/>
          <w:color w:val="auto"/>
        </w:rPr>
      </w:pPr>
    </w:p>
    <w:p>
      <w:pPr>
        <w:ind w:left="900" w:right="20" w:hanging="325"/>
        <w:spacing w:after="0" w:line="254"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are the continuing person or the person formed by such consolidation or into which we are merged or that acquired or leased our property and assets shall be a corporation or entity organized and validly existing under the laws of the United States of America or any jurisdiction thereof (or, any entity not organized under such laws which agrees, in a form satisfactory to the trustee, to submit to the jurisdiction of the United States district court for the Southern District of New York, and to indemnify and hold harmless the holders of the debt securities against certain taxes and expenses) and shall expressly assume, by a supplemental indenture, executed and delivered to the trustee, all of our obligations on all of the debt securities and under the indenture;</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90" w:lineRule="exact"/>
        <w:rPr>
          <w:rFonts w:ascii="Arial" w:cs="Arial" w:eastAsia="Arial" w:hAnsi="Arial"/>
          <w:sz w:val="18"/>
          <w:szCs w:val="18"/>
          <w:color w:val="auto"/>
        </w:rPr>
      </w:pPr>
    </w:p>
    <w:p>
      <w:pPr>
        <w:jc w:val="both"/>
        <w:ind w:left="900" w:right="80" w:hanging="325"/>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opinion of counsel, in each case stating that such consolidation, merger, or conveyance and such supplemental indenture complies with this provision and that all conditions precedent provided for in the indenture and the debt securities relating to such transaction have been complied with.</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restrictions in the bullets above shall not be applicable to:</w:t>
      </w:r>
    </w:p>
    <w:p>
      <w:pPr>
        <w:spacing w:after="0" w:line="90" w:lineRule="exact"/>
        <w:rPr>
          <w:sz w:val="20"/>
          <w:szCs w:val="20"/>
          <w:color w:val="auto"/>
        </w:rPr>
      </w:pPr>
    </w:p>
    <w:p>
      <w:pPr>
        <w:ind w:left="900" w:right="34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of ours pursuant to Section 251(g) (or any successor provision) of the General Corporation Law of the State of Delaware.</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corporation will succeed to, and be substituted for us and may exercise every right and power under the indenture with the same effect as if such successor corporation had been named in our place in the indenture, and we will (except in the case of a lease) be discharged from all obligations and covenants under the indenture and the debt securities.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for any series of debt securities is defined under the indenture as being:</w:t>
      </w:r>
    </w:p>
    <w:p>
      <w:pPr>
        <w:spacing w:after="0" w:line="90" w:lineRule="exact"/>
        <w:rPr>
          <w:sz w:val="20"/>
          <w:szCs w:val="20"/>
          <w:color w:val="auto"/>
        </w:rPr>
      </w:pPr>
    </w:p>
    <w:p>
      <w:pPr>
        <w:ind w:left="900" w:hanging="325"/>
        <w:spacing w:after="0" w:line="357" w:lineRule="auto"/>
        <w:tabs>
          <w:tab w:leader="none" w:pos="9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our default in the payment of principal or premium on the debt securities of such series when due and payable whether at maturity, upon acceleration, redemption, or otherwise, but, in the case of technical or administrative difficulties, only if that default continues for a period of two days;</w:t>
      </w:r>
    </w:p>
    <w:p>
      <w:pPr>
        <w:ind w:left="900" w:hanging="325"/>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our default in the payment of interest on any debt securities of such series when due and payable, if that default continues for a period of 30 days;</w:t>
      </w:r>
    </w:p>
    <w:p>
      <w:pPr>
        <w:spacing w:after="0" w:line="113" w:lineRule="exact"/>
        <w:rPr>
          <w:rFonts w:ascii="Arial" w:cs="Arial" w:eastAsia="Arial" w:hAnsi="Arial"/>
          <w:sz w:val="16"/>
          <w:szCs w:val="16"/>
          <w:color w:val="auto"/>
        </w:rPr>
      </w:pPr>
    </w:p>
    <w:p>
      <w:pPr>
        <w:ind w:left="900" w:right="140" w:hanging="325"/>
        <w:spacing w:after="0" w:line="256"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consecutive days after we receive written notice from the trustee or from the holders of 25% or more in aggregate principal amount of the debt securities of such series;</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there occurs any other event of default provided for in such series of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relief in respect of us in an involuntary case under any applicable bankruptcy, insolvency, or other similar law now or hereafter in effect;</w:t>
      </w:r>
    </w:p>
    <w:p>
      <w:pPr>
        <w:spacing w:after="0" w:line="113" w:lineRule="exact"/>
        <w:rPr>
          <w:rFonts w:ascii="Arial" w:cs="Arial" w:eastAsia="Arial" w:hAnsi="Arial"/>
          <w:sz w:val="16"/>
          <w:szCs w:val="16"/>
          <w:color w:val="auto"/>
        </w:rPr>
      </w:pPr>
    </w:p>
    <w:p>
      <w:pPr>
        <w:ind w:left="1480" w:right="260" w:hanging="446"/>
        <w:spacing w:after="0" w:line="268" w:lineRule="auto"/>
        <w:tabs>
          <w:tab w:leader="none" w:pos="14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us or for all or substantially all of our property and assets; or</w:t>
      </w:r>
    </w:p>
    <w:p>
      <w:pPr>
        <w:spacing w:after="0" w:line="50" w:lineRule="exact"/>
        <w:rPr>
          <w:rFonts w:ascii="Arial" w:cs="Arial" w:eastAsia="Arial" w:hAnsi="Arial"/>
          <w:sz w:val="18"/>
          <w:szCs w:val="18"/>
          <w:color w:val="auto"/>
        </w:rPr>
      </w:pPr>
    </w:p>
    <w:p>
      <w:pPr>
        <w:ind w:left="1480" w:right="100" w:hanging="446"/>
        <w:spacing w:after="0" w:line="268" w:lineRule="auto"/>
        <w:tabs>
          <w:tab w:leader="none" w:pos="14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winding up or liquidation of our affairs and such decree or order shall remain unstayed and in effect for a period of 60 consecutive days;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w:t>
      </w:r>
    </w:p>
    <w:p>
      <w:pPr>
        <w:spacing w:after="0" w:line="90" w:lineRule="exact"/>
        <w:rPr>
          <w:rFonts w:ascii="Arial" w:cs="Arial" w:eastAsia="Arial" w:hAnsi="Arial"/>
          <w:sz w:val="18"/>
          <w:szCs w:val="18"/>
          <w:color w:val="auto"/>
        </w:rPr>
      </w:pPr>
    </w:p>
    <w:p>
      <w:pPr>
        <w:ind w:left="1480" w:right="260" w:hanging="446"/>
        <w:spacing w:after="0" w:line="268" w:lineRule="auto"/>
        <w:tabs>
          <w:tab w:leader="none" w:pos="14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commence a voluntary case under any applicable bankruptcy, insolvency, or other similar law now or hereafter in effect, or consent to the entry of an order for relief in an involuntary case under any such law;</w:t>
      </w:r>
    </w:p>
    <w:p>
      <w:pPr>
        <w:spacing w:after="0" w:line="50" w:lineRule="exact"/>
        <w:rPr>
          <w:rFonts w:ascii="Arial" w:cs="Arial" w:eastAsia="Arial" w:hAnsi="Arial"/>
          <w:sz w:val="18"/>
          <w:szCs w:val="18"/>
          <w:color w:val="auto"/>
        </w:rPr>
      </w:pPr>
    </w:p>
    <w:p>
      <w:pPr>
        <w:ind w:left="1480" w:right="220" w:hanging="446"/>
        <w:spacing w:after="0" w:line="268" w:lineRule="auto"/>
        <w:tabs>
          <w:tab w:leader="none" w:pos="14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consent to the appointment of or taking possession by a receiver, liquidator, assignee, custodian, trustee, sequestrator, or similar official of ours for all or substantially all of our property and assets; or</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effect any general assignment for the benefit of creditors.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default by us under any other debt, including any other series of debt securities, is not a default under the indenture.</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4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If an event of default specified in the last two bullet points above occurs with respect to us and is continuing, then the entire principal amount of the debt securities of all series then outstanding will automatically become due immediately and payable without any declaration or other act on the part of the trustee or any holder.</w:t>
      </w:r>
    </w:p>
    <w:p>
      <w:pPr>
        <w:spacing w:after="0" w:line="14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 Unless otherwise specified in the prospectus supplement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32" w:lineRule="exact"/>
        <w:rPr>
          <w:sz w:val="20"/>
          <w:szCs w:val="20"/>
          <w:color w:val="auto"/>
        </w:rPr>
      </w:pPr>
    </w:p>
    <w:p>
      <w:pPr>
        <w:ind w:right="20" w:firstLine="456"/>
        <w:spacing w:after="0" w:line="252" w:lineRule="auto"/>
        <w:rPr>
          <w:sz w:val="20"/>
          <w:szCs w:val="20"/>
          <w:color w:val="auto"/>
        </w:rPr>
      </w:pPr>
      <w:r>
        <w:rPr>
          <w:rFonts w:ascii="Arial" w:cs="Arial" w:eastAsia="Arial" w:hAnsi="Arial"/>
          <w:sz w:val="18"/>
          <w:szCs w:val="18"/>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 securities. However, the trustee may refuse to 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39"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debt securities make a written request to the trustee to pursue the remedy in respect of such event of default;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debt securities do not give the trustee a direction that is inconsistent with the request.</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indenture provides that, unless the terms of any series of debt securities provides otherwise, we may discharge our obligations with respect to an issue of debt securities and the indenture with respect to such series of debt securities if:</w:t>
      </w:r>
    </w:p>
    <w:p>
      <w:pPr>
        <w:spacing w:after="0" w:line="51" w:lineRule="exact"/>
        <w:rPr>
          <w:sz w:val="20"/>
          <w:szCs w:val="20"/>
          <w:color w:val="auto"/>
        </w:rPr>
      </w:pPr>
    </w:p>
    <w:p>
      <w:pPr>
        <w:ind w:left="900" w:right="48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pay or cause to be paid, as and when due and payable, the principal of and any interest on all securities of such series outstanding under the indenture; or</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debt securities of such series previously authenticated and delivered with certain exceptions, have been delivered to the trustee for cancellation and we have paid all sums payable by us under the indenture; or</w:t>
      </w:r>
    </w:p>
    <w:p>
      <w:pPr>
        <w:spacing w:after="0" w:line="50" w:lineRule="exact"/>
        <w:rPr>
          <w:rFonts w:ascii="Arial" w:cs="Arial" w:eastAsia="Arial" w:hAnsi="Arial"/>
          <w:sz w:val="18"/>
          <w:szCs w:val="18"/>
          <w:color w:val="auto"/>
        </w:rPr>
      </w:pPr>
    </w:p>
    <w:p>
      <w:pPr>
        <w:ind w:left="900" w:right="60" w:hanging="325"/>
        <w:spacing w:after="0" w:line="290"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debt securities of such series mature within one year or all of them are to be called for redemption within one year under arrangements satisfactory to the trustee for giving the notice of redemption, and we irrevocably deposit in trust with the trustee, as trust funds solely for the benefit of the holders of the debt securities of such series, for that purpose, the entire amount in cash or, in the case of any series of debt securities payments on which may only be made in U.S. dollars, U.S. government obligations (maturing as to principal and interest in such amounts and at such times as will insure the availability of cash sufficient), after payment of all federal, state and local taxes or other charges and assessments in respect thereof payable by the trustee, to pay principal of and interest on the debt securities of such series to maturity or redemption, as the case may be, and to pay all other sums payable by us under the indenture.</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With respect to the first and second bullet points, only our obligations to compensate and indemnify the trustee and our right to recover unclaimed money held by the trustee under the indenture shall survive. With respect to the third bullet point, certain rights and obligations under the indenture (such as our obligation to maintain an office or agency in respect of such debt securities, to have moneys held for payment in trust, to register the transfer or exchange of such debt securities, to deliver such debt securities for replacement or to be canceled, to compensate and indemnify the trustee and to appoint a successor trustee, and our right to recover unclaimed money held by the trustee) shall survive until such debt securities are no longer outstanding. Thereafter, only our obligations to compensate and indemnify the trustee, and our right to recover unclaimed money held by the trustee shall survive.</w:t>
      </w:r>
    </w:p>
    <w:p>
      <w:pPr>
        <w:spacing w:after="0" w:line="12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Unless the terms of any series of debt securities provide otherwise, on the 121st day after the date of deposit of the trust funds with the trustee, we will be deemed to have paid and will be discharged from any and all obligations in respect of the series of debt securities provided for in the funds, and the provisions of the indenture will no longer be in effect with respect to such debt securities (“</w:t>
      </w:r>
      <w:r>
        <w:rPr>
          <w:rFonts w:ascii="Arial" w:cs="Arial" w:eastAsia="Arial" w:hAnsi="Arial"/>
          <w:sz w:val="16"/>
          <w:szCs w:val="16"/>
          <w:b w:val="1"/>
          <w:bCs w:val="1"/>
          <w:color w:val="auto"/>
        </w:rPr>
        <w:t>legal defeasance</w:t>
      </w:r>
      <w:r>
        <w:rPr>
          <w:rFonts w:ascii="Arial" w:cs="Arial" w:eastAsia="Arial" w:hAnsi="Arial"/>
          <w:sz w:val="16"/>
          <w:szCs w:val="16"/>
          <w:color w:val="auto"/>
        </w:rPr>
        <w:t>”); provided that the following conditions shall have been satisfied:</w:t>
      </w:r>
    </w:p>
    <w:p>
      <w:pPr>
        <w:spacing w:after="0" w:line="26" w:lineRule="exact"/>
        <w:rPr>
          <w:sz w:val="20"/>
          <w:szCs w:val="20"/>
          <w:color w:val="auto"/>
        </w:rPr>
      </w:pPr>
    </w:p>
    <w:p>
      <w:pPr>
        <w:ind w:left="900" w:right="100" w:hanging="325"/>
        <w:spacing w:after="0" w:line="289"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we have irrevocably deposited in trust with the trustee as trust funds solely for the benefit of the holders of the debt securities of such series, for payment of the principal of and interest on the debt securities of such series, cash in an amount or, in the case of any series of debt securities payments on which can only be made in U.S. dollars, U.S. government obligations (maturing as to principal and interest at such times and in such amounts as will insure the availability of cash) or a combination thereof sufficient (in the opinion of a nationally recognized firm of independent public accountants expressed in a written certification thereof delivered to the trustee), after payment of all federal, state and local taxes or other charges and assessments in respect thereof payable by the trustee, to pay and discharge the principal of and accrued interest on the debt securities of such series to maturity or earlier redemption, as the case may be, and any mandatory sinking fund payments on the day on which such payments are due and payable in accordance with the terms of the indenture and the debt securities of such series;</w:t>
      </w:r>
    </w:p>
    <w:p>
      <w:pPr>
        <w:spacing w:after="0" w:line="37" w:lineRule="exact"/>
        <w:rPr>
          <w:rFonts w:ascii="Arial" w:cs="Arial" w:eastAsia="Arial" w:hAnsi="Arial"/>
          <w:sz w:val="16"/>
          <w:szCs w:val="16"/>
          <w:color w:val="auto"/>
        </w:rPr>
      </w:pPr>
    </w:p>
    <w:p>
      <w:pPr>
        <w:ind w:left="900" w:right="24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indenture or any other material agreement or instrument to which we are a party or by which we are bound;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no default or event of default with respect to the debt securities of such series shall have occurred and be continuing on the date of such deposit;</w:t>
      </w:r>
    </w:p>
    <w:p>
      <w:pPr>
        <w:spacing w:after="0" w:line="113" w:lineRule="exact"/>
        <w:rPr>
          <w:rFonts w:ascii="Arial" w:cs="Arial" w:eastAsia="Arial" w:hAnsi="Arial"/>
          <w:sz w:val="16"/>
          <w:szCs w:val="16"/>
          <w:color w:val="auto"/>
        </w:rPr>
      </w:pPr>
    </w:p>
    <w:p>
      <w:pPr>
        <w:ind w:left="900" w:right="120" w:hanging="325"/>
        <w:spacing w:after="0" w:line="298"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shall have delivered to the trustee an officers’ certificate and an opinion of counsel that the holders of the debt 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or a ruling by the Internal Revenue Service to the same effect; and</w:t>
      </w:r>
    </w:p>
    <w:p>
      <w:pPr>
        <w:spacing w:after="0" w:line="31"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provided for in the indenture relating to the contemplated defeasance of the debt securities of such series have been complied with.</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Subsequent to the legal defeasance above, certain rights and obligations under the indenture (such as our obligation to maintain an office or agency in respect of such debt securities, to have moneys held for payment in trust, to register the exchange of such debt securities, to deliver such debt securities for replacement or to be canceled, to compensate and indemnify the trustee and to appoint a successor trustee, and our right to recover unclaimed money held by the trustee) shall survive until such debt securities are no longer outstanding. After such debt securities are no longer outstanding, only our obligations to compensate and indemnify the trustee and our right to recover unclaimed money held by the trustee shall survive.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trustee may amend or supplement the indenture or the debt securities without the consent of any holder:</w:t>
      </w:r>
    </w:p>
    <w:p>
      <w:pPr>
        <w:spacing w:after="0" w:line="90"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convey, mortgage or pledge any assets as security for the securities of one or more series;</w:t>
      </w:r>
    </w:p>
    <w:p>
      <w:pPr>
        <w:spacing w:after="0" w:line="9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us, and the assumption by such successor corporation of our covenants, agreements and obligations under the indenture;</w:t>
      </w:r>
    </w:p>
    <w:p>
      <w:pPr>
        <w:spacing w:after="0" w:line="50" w:lineRule="exact"/>
        <w:rPr>
          <w:rFonts w:ascii="Arial" w:cs="Arial" w:eastAsia="Arial" w:hAnsi="Arial"/>
          <w:sz w:val="18"/>
          <w:szCs w:val="18"/>
          <w:color w:val="auto"/>
        </w:rPr>
      </w:pPr>
    </w:p>
    <w:p>
      <w:pPr>
        <w:jc w:val="both"/>
        <w:ind w:left="900" w:right="300" w:hanging="325"/>
        <w:spacing w:after="0" w:line="306"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to cure any ambiguity, defect, or inconsistency in the indenture or in any supplemental indenture; provided that such amendments or supplements shall not adversely affect the interests of the holders of the debt securities of any series in any material respect, or to conform the indenture or the debt securities to the description of debt securities of such series set forth in this prospectus or a prospectus supplement;</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 —Consolidation, Merger and Sale or Conveyance”;</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or to make such changes as shall be necessary to provide for or facilitate the administration of the trusts in the indenture by more than one trustee;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establish the form or forms or terms of the debt securities as permitted by the indenture;</w:t>
      </w:r>
    </w:p>
    <w:p>
      <w:pPr>
        <w:spacing w:after="0" w:line="9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make any change that is necessary or desirable provided that such change shall not adversely affect the interests of the holders of the debt securities of any series in any material respect;</w:t>
      </w:r>
    </w:p>
    <w:p>
      <w:pPr>
        <w:spacing w:after="0" w:line="50" w:lineRule="exact"/>
        <w:rPr>
          <w:rFonts w:ascii="Arial" w:cs="Arial" w:eastAsia="Arial" w:hAnsi="Arial"/>
          <w:sz w:val="18"/>
          <w:szCs w:val="18"/>
          <w:color w:val="auto"/>
        </w:rPr>
      </w:pPr>
    </w:p>
    <w:p>
      <w:pPr>
        <w:ind w:left="900" w:right="240" w:hanging="325"/>
        <w:spacing w:after="0" w:line="332"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make any change to the debt securities of any series so long as no debt securities of such series are outstanding.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Other amendments and modifications of the indenture or the debt securities issued may be made, and our compliance with any provision of the indenture with respect to any series of debt securities may be waived, with the consent of the holders of not less than a majority of the aggregate principal amount of the outstanding debt securities of all series affected by the amendment or modification (voting as one class); provided, however, that each affected holder must consent to any modification, amendment or waiver that,</w:t>
      </w:r>
    </w:p>
    <w:p>
      <w:pPr>
        <w:spacing w:after="0" w:line="62"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the stated maturity of the principal of, or any installment of interest on, any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reduces the principal amount of, or premium, if any, or interest on, any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the place or currency of payment of principal of, or premium, if any, or interest on, any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the provisions for calculating the optional redemption price, including the definitions relating thereto;</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the provisions relating to the waiver of past defaults or changes or impairs the right of holders to receive payment or to institute suit for the enforcement of any payment of any debt securities of such series on or after the due date therefor;</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debt securities of such series the consent of whose holders is necessary to modify or amend or to waive certain provisions of or defaults under the indenture;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waives a default in the payment of principal of or interest on the debt securities;</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adversely affects the rights of such holder under any mandatory redemption or repurchase provision or any right of redemption or repurchase at the option of such holder; or</w:t>
      </w:r>
    </w:p>
    <w:p>
      <w:pPr>
        <w:spacing w:after="0" w:line="50" w:lineRule="exact"/>
        <w:rPr>
          <w:rFonts w:ascii="Arial" w:cs="Arial" w:eastAsia="Arial" w:hAnsi="Arial"/>
          <w:sz w:val="18"/>
          <w:szCs w:val="18"/>
          <w:color w:val="auto"/>
        </w:rPr>
      </w:pPr>
    </w:p>
    <w:p>
      <w:pPr>
        <w:ind w:left="900" w:right="300" w:hanging="325"/>
        <w:spacing w:after="0" w:line="332"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modifies any of the provisions of this paragraph, except to increase any required percentage or to provide that certain other provisions cannot be modified or waived without the consent of the holder of each debt security of such series affected by the modification.</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It shall not be necessary for the consent of the holders under this section of the indenture to approve the particular form of any proposed amendment, supplement, or waiver, but it shall be sufficient if such consent approves the substance thereof. After an amendment, supplement, or waiver under this section of the indenture becomes effective, the trustee must give to the holders affected thereby certain notice briefly describing the amendment, supplement, or waiver. We will mail supplemental indentures to holders upon request. Any failure by the trustee to give such notice, or any defect therein, shall not, however, in any way impair or affect the validity of any such supplemental indenture or waiver.</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indenture provides that no recourse shall be had under or upon any obligation, covenant, or agreement of ours in the indenture or any supplemental indenture, or in any of the debt securities or because of the creation of any indebtedness represented thereby, against any incorporator, stockholder, officer, director of ours or of any successor person thereof under any law, statute or constitutional provision or by the enforcement of any assessment or by any legal or equitable proceeding or otherwise. Each holder, by accepting the debt securities, waives and releases all such liability.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indenture provides that, except during the continuance of a default, the trustee will not be liable, except for the performance of such duties as are specifically set forth in the indenture. If an event of default has occurred and is continuing, the trustee will exercise such rights and powers vested in it under the indenture and will use</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20"/>
          </w:cols>
          <w:pgMar w:left="240" w:top="459"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same degree of care and skill in its exercise as a prudent person would exercise under the circumstances in the conduct of such person’s own affairs.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have normal banking relationships with the trustee under the indenture in the ordinary course of business.</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WARRANTS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UNITS</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As specified in the applicable prospectus supplement, we may issue units consisting of one or more warrants, debt securities, shares of preferred stock, shares of common stock or any combination of such securities.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FORMS OF SECURITIES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Registered Global Securities</w:t>
      </w:r>
      <w:r>
        <w:rPr>
          <w:rFonts w:ascii="Arial" w:cs="Arial" w:eastAsia="Arial" w:hAnsi="Arial"/>
          <w:sz w:val="16"/>
          <w:szCs w:val="16"/>
          <w:color w:val="auto"/>
        </w:rPr>
        <w:t>. We may issue the registered debt securities, warrants and units in the form of one or more fully registered global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2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20" w:lineRule="exact"/>
        <w:rPr>
          <w:sz w:val="20"/>
          <w:szCs w:val="20"/>
          <w:color w:val="auto"/>
        </w:rPr>
      </w:pPr>
    </w:p>
    <w:p>
      <w:pPr>
        <w:ind w:right="140" w:firstLine="456"/>
        <w:spacing w:after="0" w:line="287" w:lineRule="auto"/>
        <w:rPr>
          <w:sz w:val="20"/>
          <w:szCs w:val="20"/>
          <w:color w:val="auto"/>
        </w:rPr>
      </w:pPr>
      <w:r>
        <w:rPr>
          <w:rFonts w:ascii="Arial" w:cs="Arial" w:eastAsia="Arial" w:hAnsi="Arial"/>
          <w:sz w:val="16"/>
          <w:szCs w:val="16"/>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Texas Instruments, the trustee, any warrant agent, unit agent or any other agent of Texas Instruments, agent of the trustee or agent of such warrant agent or unit agent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44"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We or selling security holders may sell the securities being offered hereby in the following manner or any manner specified in a prospectus supplement:</w:t>
      </w:r>
    </w:p>
    <w:p>
      <w:pPr>
        <w:spacing w:after="0" w:line="113"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any securities are sold pursuant to this prospectus by any persons other than us, we will, in a prospectus supplement, name the selling security holders, indicate the nature of any relationship such holders have had to us or any of our affiliates during the three years preceding such offering, state the amount of securities of the class owned by such security holder prior to the offering and the amount to be offered for the security holder’s account, and state the amount and (if one percent or more) the percentage of the class to be owned by such security holder after completion of the offering.</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or any selling security holder may directly solicit offers to purchase securities, or agents may be designated to solicit such offers. We will, in the prospectus supplement relating to such offering, name any agent that could be viewed as an underwriter under the Securities Act of 1933 and describe any commissions that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43"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If any underwriters or agents are utilized in the sale of the securities in respect of which this prospectus is delivered, we and, if applicable, any selling security holder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07" w:lineRule="exact"/>
        <w:rPr>
          <w:sz w:val="20"/>
          <w:szCs w:val="20"/>
          <w:color w:val="auto"/>
        </w:rPr>
      </w:pPr>
    </w:p>
    <w:p>
      <w:pPr>
        <w:jc w:val="both"/>
        <w:ind w:right="120" w:firstLine="456"/>
        <w:spacing w:after="0" w:line="268" w:lineRule="auto"/>
        <w:rPr>
          <w:sz w:val="20"/>
          <w:szCs w:val="20"/>
          <w:color w:val="auto"/>
        </w:rPr>
      </w:pPr>
      <w:r>
        <w:rPr>
          <w:rFonts w:ascii="Arial" w:cs="Arial" w:eastAsia="Arial" w:hAnsi="Arial"/>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3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and by any selling security holder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288"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VALIDITY OF SECURITIES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validity of the securities in respect of which this prospectus is being delivered will be passed on for us by Davis Polk &amp; Wardwell LLP.</w:t>
      </w:r>
    </w:p>
    <w:p>
      <w:pPr>
        <w:spacing w:after="0" w:line="35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Ernst &amp; Young LLP, independent registered public accounting firm, has audited our consolidated financial statements incorporated by reference in our Annual Report on Form 10-K for the year ended December 31, 2012, and the effectiveness of our internal control over financial reporting as of December 31, 2012, as set forth in their reports, which are incorporated by reference in this prospectus and elsewhere in the registration statement. Our financial statements and our management’s assessment of the effectiveness of internal control over financial reporting as of December 31, 2012, are incorporated by reference in reliance on Ernst &amp; Young LLP’s reports, given on their authority as experts in accounting and auditing.</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459" w:right="3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140"/>
        <w:spacing w:after="0"/>
        <w:rPr>
          <w:sz w:val="20"/>
          <w:szCs w:val="20"/>
          <w:color w:val="auto"/>
        </w:rPr>
      </w:pPr>
      <w:r>
        <w:rPr>
          <w:rFonts w:ascii="Arial" w:cs="Arial" w:eastAsia="Arial" w:hAnsi="Arial"/>
          <w:sz w:val="32"/>
          <w:szCs w:val="3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178435</wp:posOffset>
            </wp:positionV>
            <wp:extent cx="2864485" cy="660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3540" w:type="dxa"/>
        <w:tblCellMar>
          <w:top w:w="0" w:type="dxa"/>
          <w:left w:w="0" w:type="dxa"/>
          <w:bottom w:w="0" w:type="dxa"/>
          <w:right w:w="0" w:type="dxa"/>
        </w:tblCellMar>
      </w:tblPr>
      <w:tr>
        <w:trPr>
          <w:trHeight w:val="368"/>
        </w:trPr>
        <w:tc>
          <w:tcPr>
            <w:tcW w:w="240" w:type="dxa"/>
            <w:vAlign w:val="bottom"/>
          </w:tcPr>
          <w:p>
            <w:pPr>
              <w:jc w:val="right"/>
              <w:spacing w:after="0"/>
              <w:rPr>
                <w:sz w:val="20"/>
                <w:szCs w:val="20"/>
                <w:color w:val="auto"/>
              </w:rPr>
            </w:pPr>
            <w:r>
              <w:rPr>
                <w:rFonts w:ascii="Arial" w:cs="Arial" w:eastAsia="Arial" w:hAnsi="Arial"/>
                <w:sz w:val="32"/>
                <w:szCs w:val="32"/>
                <w:b w:val="1"/>
                <w:bCs w:val="1"/>
                <w:color w:val="auto"/>
                <w:w w:val="78"/>
              </w:rPr>
              <w:t>$</w:t>
            </w:r>
          </w:p>
        </w:tc>
        <w:tc>
          <w:tcPr>
            <w:tcW w:w="1360" w:type="dxa"/>
            <w:vAlign w:val="bottom"/>
          </w:tcPr>
          <w:p>
            <w:pPr>
              <w:spacing w:after="0"/>
              <w:rPr>
                <w:sz w:val="24"/>
                <w:szCs w:val="24"/>
                <w:color w:val="auto"/>
              </w:rPr>
            </w:pPr>
          </w:p>
        </w:tc>
        <w:tc>
          <w:tcPr>
            <w:tcW w:w="2440" w:type="dxa"/>
            <w:vAlign w:val="bottom"/>
            <w:gridSpan w:val="2"/>
          </w:tcPr>
          <w:p>
            <w:pPr>
              <w:jc w:val="right"/>
              <w:ind w:right="20"/>
              <w:spacing w:after="0"/>
              <w:rPr>
                <w:sz w:val="20"/>
                <w:szCs w:val="20"/>
                <w:color w:val="auto"/>
              </w:rPr>
            </w:pPr>
            <w:r>
              <w:rPr>
                <w:rFonts w:ascii="Arial" w:cs="Arial" w:eastAsia="Arial" w:hAnsi="Arial"/>
                <w:sz w:val="32"/>
                <w:szCs w:val="32"/>
                <w:b w:val="1"/>
                <w:bCs w:val="1"/>
                <w:color w:val="auto"/>
              </w:rPr>
              <w:t>% Notes due 20</w:t>
            </w:r>
          </w:p>
        </w:tc>
      </w:tr>
      <w:tr>
        <w:trPr>
          <w:trHeight w:val="421"/>
        </w:trPr>
        <w:tc>
          <w:tcPr>
            <w:tcW w:w="240" w:type="dxa"/>
            <w:vAlign w:val="bottom"/>
          </w:tcPr>
          <w:p>
            <w:pPr>
              <w:jc w:val="right"/>
              <w:spacing w:after="0"/>
              <w:rPr>
                <w:sz w:val="20"/>
                <w:szCs w:val="20"/>
                <w:color w:val="auto"/>
              </w:rPr>
            </w:pPr>
            <w:r>
              <w:rPr>
                <w:rFonts w:ascii="Arial" w:cs="Arial" w:eastAsia="Arial" w:hAnsi="Arial"/>
                <w:sz w:val="32"/>
                <w:szCs w:val="32"/>
                <w:b w:val="1"/>
                <w:bCs w:val="1"/>
                <w:color w:val="auto"/>
                <w:w w:val="78"/>
              </w:rPr>
              <w:t>$</w:t>
            </w:r>
          </w:p>
        </w:tc>
        <w:tc>
          <w:tcPr>
            <w:tcW w:w="1360" w:type="dxa"/>
            <w:vAlign w:val="bottom"/>
          </w:tcPr>
          <w:p>
            <w:pPr>
              <w:spacing w:after="0"/>
              <w:rPr>
                <w:sz w:val="24"/>
                <w:szCs w:val="24"/>
                <w:color w:val="auto"/>
              </w:rPr>
            </w:pPr>
          </w:p>
        </w:tc>
        <w:tc>
          <w:tcPr>
            <w:tcW w:w="2440" w:type="dxa"/>
            <w:vAlign w:val="bottom"/>
            <w:gridSpan w:val="2"/>
          </w:tcPr>
          <w:p>
            <w:pPr>
              <w:jc w:val="right"/>
              <w:ind w:right="20"/>
              <w:spacing w:after="0"/>
              <w:rPr>
                <w:sz w:val="20"/>
                <w:szCs w:val="20"/>
                <w:color w:val="auto"/>
              </w:rPr>
            </w:pPr>
            <w:r>
              <w:rPr>
                <w:rFonts w:ascii="Arial" w:cs="Arial" w:eastAsia="Arial" w:hAnsi="Arial"/>
                <w:sz w:val="32"/>
                <w:szCs w:val="32"/>
                <w:b w:val="1"/>
                <w:bCs w:val="1"/>
                <w:color w:val="auto"/>
              </w:rPr>
              <w:t>% Notes due 20</w:t>
            </w:r>
          </w:p>
        </w:tc>
      </w:tr>
      <w:tr>
        <w:trPr>
          <w:trHeight w:val="201"/>
        </w:trPr>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300" w:type="dxa"/>
            <w:vAlign w:val="bottom"/>
          </w:tcPr>
          <w:p>
            <w:pPr>
              <w:spacing w:after="0"/>
              <w:rPr>
                <w:sz w:val="17"/>
                <w:szCs w:val="17"/>
                <w:color w:val="auto"/>
              </w:rPr>
            </w:pPr>
          </w:p>
        </w:tc>
      </w:tr>
      <w:tr>
        <w:trPr>
          <w:trHeight w:val="451"/>
        </w:trPr>
        <w:tc>
          <w:tcPr>
            <w:tcW w:w="240" w:type="dxa"/>
            <w:vAlign w:val="bottom"/>
          </w:tcPr>
          <w:p>
            <w:pPr>
              <w:spacing w:after="0"/>
              <w:rPr>
                <w:sz w:val="24"/>
                <w:szCs w:val="24"/>
                <w:color w:val="auto"/>
              </w:rPr>
            </w:pPr>
          </w:p>
        </w:tc>
        <w:tc>
          <w:tcPr>
            <w:tcW w:w="3800" w:type="dxa"/>
            <w:vAlign w:val="bottom"/>
            <w:gridSpan w:val="3"/>
          </w:tcPr>
          <w:p>
            <w:pPr>
              <w:jc w:val="right"/>
              <w:spacing w:after="0"/>
              <w:rPr>
                <w:sz w:val="20"/>
                <w:szCs w:val="20"/>
                <w:color w:val="auto"/>
              </w:rPr>
            </w:pPr>
            <w:r>
              <w:rPr>
                <w:rFonts w:ascii="Arial" w:cs="Arial" w:eastAsia="Arial" w:hAnsi="Arial"/>
                <w:sz w:val="18"/>
                <w:szCs w:val="18"/>
                <w:b w:val="1"/>
                <w:bCs w:val="1"/>
                <w:color w:val="auto"/>
                <w:w w:val="99"/>
              </w:rPr>
              <w:t>PRELIMINARY PROSPECTUS SUPPLEMENT</w:t>
            </w:r>
          </w:p>
        </w:tc>
      </w:tr>
    </w:tbl>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5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820" w:type="dxa"/>
            <w:vAlign w:val="bottom"/>
            <w:gridSpan w:val="2"/>
          </w:tcPr>
          <w:p>
            <w:pPr>
              <w:jc w:val="center"/>
              <w:ind w:right="1660"/>
              <w:spacing w:after="0"/>
              <w:rPr>
                <w:sz w:val="20"/>
                <w:szCs w:val="20"/>
                <w:color w:val="auto"/>
              </w:rPr>
            </w:pPr>
            <w:r>
              <w:rPr>
                <w:rFonts w:ascii="Arial" w:cs="Arial" w:eastAsia="Arial" w:hAnsi="Arial"/>
                <w:sz w:val="18"/>
                <w:szCs w:val="18"/>
                <w:b w:val="1"/>
                <w:bCs w:val="1"/>
                <w:color w:val="auto"/>
                <w:w w:val="98"/>
              </w:rPr>
              <w:t>March   , 2014</w:t>
            </w:r>
          </w:p>
        </w:tc>
        <w:tc>
          <w:tcPr>
            <w:tcW w:w="3460" w:type="dxa"/>
            <w:vAlign w:val="bottom"/>
          </w:tcPr>
          <w:p>
            <w:pPr>
              <w:spacing w:after="0"/>
              <w:rPr>
                <w:sz w:val="19"/>
                <w:szCs w:val="19"/>
                <w:color w:val="auto"/>
              </w:rPr>
            </w:pPr>
          </w:p>
        </w:tc>
      </w:tr>
      <w:tr>
        <w:trPr>
          <w:trHeight w:val="232"/>
        </w:trPr>
        <w:tc>
          <w:tcPr>
            <w:tcW w:w="25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66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344"/>
        </w:trPr>
        <w:tc>
          <w:tcPr>
            <w:tcW w:w="2560" w:type="dxa"/>
            <w:vAlign w:val="bottom"/>
          </w:tcPr>
          <w:p>
            <w:pPr>
              <w:spacing w:after="0"/>
              <w:rPr>
                <w:sz w:val="24"/>
                <w:szCs w:val="24"/>
                <w:color w:val="auto"/>
              </w:rPr>
            </w:pPr>
          </w:p>
        </w:tc>
        <w:tc>
          <w:tcPr>
            <w:tcW w:w="5400" w:type="dxa"/>
            <w:vAlign w:val="bottom"/>
            <w:gridSpan w:val="3"/>
          </w:tcPr>
          <w:p>
            <w:pPr>
              <w:jc w:val="center"/>
              <w:ind w:left="783"/>
              <w:spacing w:after="0"/>
              <w:rPr>
                <w:sz w:val="20"/>
                <w:szCs w:val="20"/>
                <w:color w:val="auto"/>
              </w:rPr>
            </w:pPr>
            <w:r>
              <w:rPr>
                <w:rFonts w:ascii="Arial" w:cs="Arial" w:eastAsia="Arial" w:hAnsi="Arial"/>
                <w:sz w:val="18"/>
                <w:szCs w:val="18"/>
                <w:i w:val="1"/>
                <w:iCs w:val="1"/>
                <w:color w:val="auto"/>
                <w:w w:val="89"/>
              </w:rPr>
              <w:t>Joint Book-Running Managers</w:t>
            </w:r>
          </w:p>
        </w:tc>
        <w:tc>
          <w:tcPr>
            <w:tcW w:w="3460" w:type="dxa"/>
            <w:vAlign w:val="bottom"/>
          </w:tcPr>
          <w:p>
            <w:pPr>
              <w:spacing w:after="0"/>
              <w:rPr>
                <w:sz w:val="24"/>
                <w:szCs w:val="24"/>
                <w:color w:val="auto"/>
              </w:rPr>
            </w:pPr>
          </w:p>
        </w:tc>
      </w:tr>
      <w:tr>
        <w:trPr>
          <w:trHeight w:val="421"/>
        </w:trPr>
        <w:tc>
          <w:tcPr>
            <w:tcW w:w="2560" w:type="dxa"/>
            <w:vAlign w:val="bottom"/>
          </w:tcPr>
          <w:p>
            <w:pPr>
              <w:spacing w:after="0"/>
              <w:rPr>
                <w:sz w:val="20"/>
                <w:szCs w:val="20"/>
                <w:color w:val="auto"/>
              </w:rPr>
            </w:pPr>
            <w:r>
              <w:rPr>
                <w:rFonts w:ascii="Arial" w:cs="Arial" w:eastAsia="Arial" w:hAnsi="Arial"/>
                <w:sz w:val="32"/>
                <w:szCs w:val="32"/>
                <w:b w:val="1"/>
                <w:bCs w:val="1"/>
                <w:color w:val="auto"/>
              </w:rPr>
              <w:t>Citigroup</w:t>
            </w:r>
          </w:p>
        </w:tc>
        <w:tc>
          <w:tcPr>
            <w:tcW w:w="5400" w:type="dxa"/>
            <w:vAlign w:val="bottom"/>
            <w:gridSpan w:val="3"/>
          </w:tcPr>
          <w:p>
            <w:pPr>
              <w:jc w:val="center"/>
              <w:ind w:right="100"/>
              <w:spacing w:after="0"/>
              <w:rPr>
                <w:sz w:val="20"/>
                <w:szCs w:val="20"/>
                <w:color w:val="auto"/>
              </w:rPr>
            </w:pPr>
            <w:r>
              <w:rPr>
                <w:rFonts w:ascii="Arial" w:cs="Arial" w:eastAsia="Arial" w:hAnsi="Arial"/>
                <w:sz w:val="32"/>
                <w:szCs w:val="32"/>
                <w:b w:val="1"/>
                <w:bCs w:val="1"/>
                <w:color w:val="auto"/>
                <w:w w:val="96"/>
              </w:rPr>
              <w:t>BofA Merrill Lynch</w:t>
            </w:r>
          </w:p>
        </w:tc>
        <w:tc>
          <w:tcPr>
            <w:tcW w:w="3460" w:type="dxa"/>
            <w:vAlign w:val="bottom"/>
          </w:tcPr>
          <w:p>
            <w:pPr>
              <w:jc w:val="right"/>
              <w:spacing w:after="0"/>
              <w:rPr>
                <w:sz w:val="20"/>
                <w:szCs w:val="20"/>
                <w:color w:val="auto"/>
              </w:rPr>
            </w:pPr>
            <w:r>
              <w:rPr>
                <w:rFonts w:ascii="Arial" w:cs="Arial" w:eastAsia="Arial" w:hAnsi="Arial"/>
                <w:sz w:val="32"/>
                <w:szCs w:val="32"/>
                <w:b w:val="1"/>
                <w:bCs w:val="1"/>
                <w:color w:val="auto"/>
              </w:rPr>
              <w:t>Mizuho Securities</w:t>
            </w:r>
          </w:p>
        </w:tc>
      </w:tr>
      <w:tr>
        <w:trPr>
          <w:trHeight w:val="594"/>
        </w:trPr>
        <w:tc>
          <w:tcPr>
            <w:tcW w:w="2560" w:type="dxa"/>
            <w:vAlign w:val="bottom"/>
          </w:tcPr>
          <w:p>
            <w:pPr>
              <w:spacing w:after="0"/>
              <w:rPr>
                <w:sz w:val="20"/>
                <w:szCs w:val="20"/>
                <w:color w:val="auto"/>
              </w:rPr>
            </w:pPr>
            <w:r>
              <w:rPr>
                <w:rFonts w:ascii="Arial" w:cs="Arial" w:eastAsia="Arial" w:hAnsi="Arial"/>
                <w:sz w:val="32"/>
                <w:szCs w:val="32"/>
                <w:b w:val="1"/>
                <w:bCs w:val="1"/>
                <w:color w:val="auto"/>
              </w:rPr>
              <w:t>J.P. Morgan</w:t>
            </w:r>
          </w:p>
        </w:tc>
        <w:tc>
          <w:tcPr>
            <w:tcW w:w="5400" w:type="dxa"/>
            <w:vAlign w:val="bottom"/>
            <w:gridSpan w:val="3"/>
          </w:tcPr>
          <w:p>
            <w:pPr>
              <w:jc w:val="center"/>
              <w:ind w:right="100"/>
              <w:spacing w:after="0"/>
              <w:rPr>
                <w:sz w:val="20"/>
                <w:szCs w:val="20"/>
                <w:color w:val="auto"/>
              </w:rPr>
            </w:pPr>
            <w:r>
              <w:rPr>
                <w:rFonts w:ascii="Arial" w:cs="Arial" w:eastAsia="Arial" w:hAnsi="Arial"/>
                <w:sz w:val="32"/>
                <w:szCs w:val="32"/>
                <w:b w:val="1"/>
                <w:bCs w:val="1"/>
                <w:color w:val="auto"/>
                <w:w w:val="91"/>
              </w:rPr>
              <w:t>Mitsubishi UFJ Securities</w:t>
            </w:r>
          </w:p>
        </w:tc>
        <w:tc>
          <w:tcPr>
            <w:tcW w:w="3460" w:type="dxa"/>
            <w:vAlign w:val="bottom"/>
          </w:tcPr>
          <w:p>
            <w:pPr>
              <w:jc w:val="right"/>
              <w:spacing w:after="0"/>
              <w:rPr>
                <w:sz w:val="20"/>
                <w:szCs w:val="20"/>
                <w:color w:val="auto"/>
              </w:rPr>
            </w:pPr>
            <w:r>
              <w:rPr>
                <w:rFonts w:ascii="Arial" w:cs="Arial" w:eastAsia="Arial" w:hAnsi="Arial"/>
                <w:sz w:val="32"/>
                <w:szCs w:val="32"/>
                <w:b w:val="1"/>
                <w:bCs w:val="1"/>
                <w:color w:val="auto"/>
              </w:rPr>
              <w:t>Morgan Stanley</w:t>
            </w:r>
          </w:p>
        </w:tc>
      </w:tr>
      <w:tr>
        <w:trPr>
          <w:trHeight w:val="296"/>
        </w:trPr>
        <w:tc>
          <w:tcPr>
            <w:tcW w:w="25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r>
      <w:tr>
        <w:trPr>
          <w:trHeight w:val="55"/>
        </w:trPr>
        <w:tc>
          <w:tcPr>
            <w:tcW w:w="256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r>
    </w:tbl>
    <w:p>
      <w:pPr>
        <w:spacing w:after="0" w:line="1" w:lineRule="exact"/>
        <w:rPr>
          <w:sz w:val="20"/>
          <w:szCs w:val="20"/>
          <w:color w:val="auto"/>
        </w:rPr>
      </w:pP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1)"/>
      <w:numFmt w:val="lowerRoman"/>
      <w:start w:val="1"/>
    </w:lvl>
  </w:abstractNum>
  <w:abstractNum w:abstractNumId="8">
    <w:nsid w:val="189A769B"/>
    <w:multiLevelType w:val="hybridMultilevel"/>
    <w:lvl w:ilvl="0">
      <w:lvlJc w:val="left"/>
      <w:lvlText w:val="•"/>
      <w:numFmt w:val="bullet"/>
      <w:start w:val="1"/>
    </w:lvl>
    <w:lvl w:ilvl="1">
      <w:lvlJc w:val="left"/>
      <w:lvlText w:val="•"/>
      <w:numFmt w:val="bullet"/>
      <w:start w:val="1"/>
    </w:lvl>
  </w:abstractNum>
  <w:abstractNum w:abstractNumId="9">
    <w:nsid w:val="54E49EB4"/>
    <w:multiLevelType w:val="hybridMultilevel"/>
    <w:lvl w:ilvl="0">
      <w:lvlJc w:val="left"/>
      <w:lvlText w:val="•"/>
      <w:numFmt w:val="bullet"/>
      <w:start w:val="1"/>
    </w:lvl>
    <w:lvl w:ilvl="1">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ldblquote"/>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1)"/>
      <w:numFmt w:val="lowerRoman"/>
      <w:start w:val="3"/>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1)"/>
      <w:numFmt w:val="lowerLetter"/>
      <w:start w:val="1"/>
    </w:lvl>
  </w:abstractNum>
  <w:abstractNum w:abstractNumId="25">
    <w:nsid w:val="5577F8E1"/>
    <w:multiLevelType w:val="hybridMultilevel"/>
    <w:lvl w:ilvl="0">
      <w:lvlJc w:val="left"/>
      <w:lvlText w:val="(%1)"/>
      <w:numFmt w:val="lowerLetter"/>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lvl w:ilvl="1">
      <w:lvlJc w:val="left"/>
      <w:lvlText w:val="•"/>
      <w:numFmt w:val="bullet"/>
      <w:start w:val="1"/>
    </w:lvl>
  </w:abstractNum>
  <w:abstractNum w:abstractNumId="33">
    <w:nsid w:val="5E884ADC"/>
    <w:multiLevelType w:val="hybridMultilevel"/>
    <w:lvl w:ilvl="0">
      <w:lvlJc w:val="left"/>
      <w:lvlText w:val="•"/>
      <w:numFmt w:val="bullet"/>
      <w:start w:val="1"/>
    </w:lvl>
    <w:lvl w:ilvl="1">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lvl w:ilvl="1">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2019-12-05T15:35:52Z</dcterms:created>
  <dcterms:modified xsi:type="dcterms:W3CDTF">2019-12-05T15:35:52Z</dcterms:modified>
</cp:coreProperties>
</file>