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5,451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units pursuant to 2009 Long-Term Incentive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2022-04-04T17:28:12Z</dcterms:created>
  <dcterms:modified xsi:type="dcterms:W3CDTF">2022-04-04T17:28:12Z</dcterms:modified>
</cp:coreProperties>
</file>