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333-229797</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4"/>
          <w:szCs w:val="24"/>
          <w:color w:val="auto"/>
        </w:rPr>
      </w:pPr>
    </w:p>
    <w:tbl>
      <w:tblPr>
        <w:tblLayout w:type="fixed"/>
        <w:tblInd w:w="20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4880" w:type="dxa"/>
            <w:vAlign w:val="bottom"/>
            <w:tcBorders>
              <w:top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top w:val="single" w:sz="8" w:color="auto"/>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9"/>
              </w:rPr>
              <w:t>Proposed</w:t>
            </w:r>
          </w:p>
        </w:tc>
        <w:tc>
          <w:tcPr>
            <w:tcW w:w="1540" w:type="dxa"/>
            <w:vAlign w:val="bottom"/>
            <w:tcBorders>
              <w:top w:val="single" w:sz="8" w:color="auto"/>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9"/>
              </w:rPr>
              <w:t>Proposed</w:t>
            </w: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Max</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Offering</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 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1.375% Notes due 2025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$750,000,000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99.851%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$748,882,500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$97,204.95</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$750,000,000</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$748,882,500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$97,204.95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w:t>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 Prospectus Dated February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160020</wp:posOffset>
            </wp:positionV>
            <wp:extent cx="2872740" cy="677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7274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$750,000,000 1.375%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245745</wp:posOffset>
            </wp:positionV>
            <wp:extent cx="1123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Texas Instruments Incorporated is offering $750,000,000 aggregate principal amount of its 1.375% Notes due 2025 (the “Notes”), which will bear interest at the rate per year as set forth above. Interest on the Notes will be payable semi-annually in arrears on March 12, and September 12 of each year, beginning on September 12, 2020.</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will mature on March 12, 2025.</w:t>
      </w:r>
    </w:p>
    <w:p>
      <w:pPr>
        <w:spacing w:after="0" w:line="22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may redeem some or all of the Notes at any time at the redemption prices indicated under the caption “Description of the Notes—Optional Redemption.”</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203200</wp:posOffset>
            </wp:positionV>
            <wp:extent cx="1123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0">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234315</wp:posOffset>
            </wp:positionV>
            <wp:extent cx="1123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right="16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185420</wp:posOffset>
            </wp:positionV>
            <wp:extent cx="11233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Per</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3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99.851%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748,882,500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Underwriting discounts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0.350%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99.501%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746,257,500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on the Notes will accrue from March 12, 2020 to the date of delivery.</w:t>
      </w:r>
    </w:p>
    <w:p>
      <w:pPr>
        <w:spacing w:after="0" w:line="22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underwriters expect to deliver the Notes to purchasers only in book-entry form through the facilities of The Depository Trust Company and its participants, including Euroclear Bank S.A./N.V. and Clearstream Banking, S.A., on or about March 12, 2020, which is the seventh business day following the date of this prospectus supplement.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210185</wp:posOffset>
            </wp:positionV>
            <wp:extent cx="11233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22"/>
          <w:szCs w:val="22"/>
          <w:i w:val="1"/>
          <w:iCs w:val="1"/>
          <w:color w:val="auto"/>
        </w:rPr>
        <w:t>Joint Book-Running Managers</w:t>
      </w:r>
    </w:p>
    <w:p>
      <w:pPr>
        <w:spacing w:after="0" w:line="213" w:lineRule="exact"/>
        <w:rPr>
          <w:sz w:val="20"/>
          <w:szCs w:val="20"/>
          <w:color w:val="auto"/>
        </w:rPr>
      </w:pPr>
    </w:p>
    <w:p>
      <w:pPr>
        <w:ind w:left="200"/>
        <w:spacing w:after="0"/>
        <w:tabs>
          <w:tab w:leader="none" w:pos="10220" w:val="left"/>
        </w:tabs>
        <w:rPr>
          <w:sz w:val="20"/>
          <w:szCs w:val="20"/>
          <w:color w:val="auto"/>
        </w:rPr>
      </w:pPr>
      <w:r>
        <w:rPr>
          <w:rFonts w:ascii="Arial" w:cs="Arial" w:eastAsia="Arial" w:hAnsi="Arial"/>
          <w:sz w:val="32"/>
          <w:szCs w:val="32"/>
          <w:b w:val="1"/>
          <w:bCs w:val="1"/>
          <w:color w:val="auto"/>
        </w:rPr>
        <w:t>BofA Securities</w:t>
      </w:r>
      <w:r>
        <w:rPr>
          <w:sz w:val="20"/>
          <w:szCs w:val="20"/>
          <w:color w:val="auto"/>
        </w:rPr>
        <w:tab/>
      </w:r>
      <w:r>
        <w:rPr>
          <w:rFonts w:ascii="Arial" w:cs="Arial" w:eastAsia="Arial" w:hAnsi="Arial"/>
          <w:sz w:val="32"/>
          <w:szCs w:val="32"/>
          <w:b w:val="1"/>
          <w:bCs w:val="1"/>
          <w:color w:val="auto"/>
        </w:rPr>
        <w:t>MUFG</w:t>
      </w:r>
    </w:p>
    <w:p>
      <w:pPr>
        <w:spacing w:after="0" w:line="258" w:lineRule="exact"/>
        <w:rPr>
          <w:sz w:val="20"/>
          <w:szCs w:val="20"/>
          <w:color w:val="auto"/>
        </w:rPr>
      </w:pPr>
    </w:p>
    <w:p>
      <w:pPr>
        <w:ind w:left="200"/>
        <w:spacing w:after="0"/>
        <w:tabs>
          <w:tab w:leader="none" w:pos="1740" w:val="left"/>
          <w:tab w:leader="none" w:pos="3500" w:val="left"/>
          <w:tab w:leader="none" w:pos="6380" w:val="left"/>
          <w:tab w:leader="none" w:pos="9480" w:val="left"/>
        </w:tabs>
        <w:rPr>
          <w:sz w:val="20"/>
          <w:szCs w:val="20"/>
          <w:color w:val="auto"/>
        </w:rPr>
      </w:pPr>
      <w:r>
        <w:rPr>
          <w:rFonts w:ascii="Arial" w:cs="Arial" w:eastAsia="Arial" w:hAnsi="Arial"/>
          <w:sz w:val="25"/>
          <w:szCs w:val="25"/>
          <w:b w:val="1"/>
          <w:bCs w:val="1"/>
          <w:color w:val="auto"/>
        </w:rPr>
        <w:t>Barclays</w:t>
      </w:r>
      <w:r>
        <w:rPr>
          <w:sz w:val="20"/>
          <w:szCs w:val="20"/>
          <w:color w:val="auto"/>
        </w:rPr>
        <w:tab/>
      </w:r>
      <w:r>
        <w:rPr>
          <w:rFonts w:ascii="Arial" w:cs="Arial" w:eastAsia="Arial" w:hAnsi="Arial"/>
          <w:sz w:val="25"/>
          <w:szCs w:val="25"/>
          <w:b w:val="1"/>
          <w:bCs w:val="1"/>
          <w:color w:val="auto"/>
        </w:rPr>
        <w:t>Citigroup</w:t>
      </w:r>
      <w:r>
        <w:rPr>
          <w:sz w:val="20"/>
          <w:szCs w:val="20"/>
          <w:color w:val="auto"/>
        </w:rPr>
        <w:tab/>
      </w:r>
      <w:r>
        <w:rPr>
          <w:rFonts w:ascii="Arial" w:cs="Arial" w:eastAsia="Arial" w:hAnsi="Arial"/>
          <w:sz w:val="25"/>
          <w:szCs w:val="25"/>
          <w:b w:val="1"/>
          <w:bCs w:val="1"/>
          <w:color w:val="auto"/>
        </w:rPr>
        <w:t>J.P. Morgan</w:t>
      </w:r>
      <w:r>
        <w:rPr>
          <w:sz w:val="20"/>
          <w:szCs w:val="20"/>
          <w:color w:val="auto"/>
        </w:rPr>
        <w:tab/>
      </w:r>
      <w:r>
        <w:rPr>
          <w:rFonts w:ascii="Arial" w:cs="Arial" w:eastAsia="Arial" w:hAnsi="Arial"/>
          <w:sz w:val="25"/>
          <w:szCs w:val="25"/>
          <w:b w:val="1"/>
          <w:bCs w:val="1"/>
          <w:color w:val="auto"/>
        </w:rPr>
        <w:t>Mizuho Securities</w:t>
      </w:r>
      <w:r>
        <w:rPr>
          <w:sz w:val="20"/>
          <w:szCs w:val="20"/>
          <w:color w:val="auto"/>
        </w:rPr>
        <w:tab/>
      </w:r>
      <w:r>
        <w:rPr>
          <w:rFonts w:ascii="Arial" w:cs="Arial" w:eastAsia="Arial" w:hAnsi="Arial"/>
          <w:sz w:val="23"/>
          <w:szCs w:val="23"/>
          <w:b w:val="1"/>
          <w:bCs w:val="1"/>
          <w:color w:val="auto"/>
        </w:rPr>
        <w:t>Morgan Stanley</w:t>
      </w: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22"/>
          <w:szCs w:val="22"/>
          <w:i w:val="1"/>
          <w:iCs w:val="1"/>
          <w:color w:val="auto"/>
        </w:rPr>
        <w:t>Co-Managers</w:t>
      </w:r>
    </w:p>
    <w:p>
      <w:pPr>
        <w:spacing w:after="0" w:line="227" w:lineRule="exact"/>
        <w:rPr>
          <w:sz w:val="20"/>
          <w:szCs w:val="20"/>
          <w:color w:val="auto"/>
        </w:rPr>
      </w:pPr>
    </w:p>
    <w:p>
      <w:pPr>
        <w:ind w:left="200"/>
        <w:spacing w:after="0"/>
        <w:tabs>
          <w:tab w:leader="none" w:pos="4660" w:val="left"/>
          <w:tab w:leader="none" w:pos="7640" w:val="left"/>
          <w:tab w:leader="none" w:pos="10620" w:val="left"/>
        </w:tabs>
        <w:rPr>
          <w:sz w:val="20"/>
          <w:szCs w:val="20"/>
          <w:color w:val="auto"/>
        </w:rPr>
      </w:pPr>
      <w:r>
        <w:rPr>
          <w:rFonts w:ascii="Arial" w:cs="Arial" w:eastAsia="Arial" w:hAnsi="Arial"/>
          <w:sz w:val="22"/>
          <w:szCs w:val="22"/>
          <w:b w:val="1"/>
          <w:bCs w:val="1"/>
          <w:color w:val="auto"/>
        </w:rPr>
        <w:t>Siebert Williams Shank</w:t>
      </w:r>
      <w:r>
        <w:rPr>
          <w:sz w:val="20"/>
          <w:szCs w:val="20"/>
          <w:color w:val="auto"/>
        </w:rPr>
        <w:tab/>
      </w:r>
      <w:r>
        <w:rPr>
          <w:rFonts w:ascii="Arial" w:cs="Arial" w:eastAsia="Arial" w:hAnsi="Arial"/>
          <w:sz w:val="22"/>
          <w:szCs w:val="22"/>
          <w:b w:val="1"/>
          <w:bCs w:val="1"/>
          <w:color w:val="auto"/>
        </w:rPr>
        <w:t>US Bancorp</w:t>
      </w:r>
      <w:r>
        <w:rPr>
          <w:sz w:val="20"/>
          <w:szCs w:val="20"/>
          <w:color w:val="auto"/>
        </w:rPr>
        <w:tab/>
      </w:r>
      <w:r>
        <w:rPr>
          <w:rFonts w:ascii="Arial" w:cs="Arial" w:eastAsia="Arial" w:hAnsi="Arial"/>
          <w:sz w:val="22"/>
          <w:szCs w:val="22"/>
          <w:b w:val="1"/>
          <w:bCs w:val="1"/>
          <w:color w:val="auto"/>
        </w:rPr>
        <w:t>BNP PARIBAS</w:t>
      </w:r>
      <w:r>
        <w:rPr>
          <w:sz w:val="20"/>
          <w:szCs w:val="20"/>
          <w:color w:val="auto"/>
        </w:rPr>
        <w:tab/>
      </w:r>
      <w:r>
        <w:rPr>
          <w:rFonts w:ascii="Arial" w:cs="Arial" w:eastAsia="Arial" w:hAnsi="Arial"/>
          <w:sz w:val="19"/>
          <w:szCs w:val="19"/>
          <w:b w:val="1"/>
          <w:bCs w:val="1"/>
          <w:color w:val="auto"/>
        </w:rPr>
        <w:t>HSBC</w:t>
      </w:r>
    </w:p>
    <w:p>
      <w:pPr>
        <w:sectPr>
          <w:pgSz w:w="11900" w:h="16838" w:orient="portrait"/>
          <w:cols w:equalWidth="0" w:num="1">
            <w:col w:w="11240"/>
          </w:cols>
          <w:pgMar w:left="240" w:top="459" w:right="419" w:bottom="1440" w:gutter="0" w:footer="0" w:header="0"/>
        </w:sect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March 3, 2020</w:t>
      </w:r>
    </w:p>
    <w:p>
      <w:pPr>
        <w:sectPr>
          <w:pgSz w:w="11900" w:h="16838" w:orient="portrait"/>
          <w:cols w:equalWidth="0" w:num="1">
            <w:col w:w="11240"/>
          </w:cols>
          <w:pgMar w:left="240" w:top="459" w:right="41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40" w:type="dxa"/>
            <w:vAlign w:val="bottom"/>
            <w:gridSpan w:val="2"/>
          </w:tcPr>
          <w:p>
            <w:pPr>
              <w:jc w:val="right"/>
              <w:ind w:right="4411"/>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40" w:type="dxa"/>
            <w:vAlign w:val="bottom"/>
            <w:vMerge w:val="restart"/>
          </w:tcPr>
          <w:p>
            <w:pPr>
              <w:jc w:val="right"/>
              <w:ind w:right="4350"/>
              <w:spacing w:after="0"/>
              <w:rPr>
                <w:sz w:val="20"/>
                <w:szCs w:val="20"/>
                <w:color w:val="auto"/>
              </w:rPr>
            </w:pPr>
            <w:r>
              <w:rPr>
                <w:rFonts w:ascii="Arial" w:cs="Arial" w:eastAsia="Arial" w:hAnsi="Arial"/>
                <w:sz w:val="18"/>
                <w:szCs w:val="18"/>
                <w:b w:val="1"/>
                <w:bCs w:val="1"/>
                <w:color w:val="auto"/>
              </w:rPr>
              <w:t>Prospectus Supplement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10"/>
        </w:trPr>
        <w:tc>
          <w:tcPr>
            <w:tcW w:w="3440" w:type="dxa"/>
            <w:vAlign w:val="bottom"/>
            <w:gridSpan w:val="17"/>
            <w:vMerge w:val="restart"/>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Notice Regarding Forward-Looking Statements</w:t>
              </w:r>
            </w:hyperlink>
          </w:p>
        </w:tc>
        <w:tc>
          <w:tcPr>
            <w:tcW w:w="500" w:type="dxa"/>
            <w:vAlign w:val="bottom"/>
            <w:gridSpan w:val="2"/>
            <w:vMerge w:val="restart"/>
          </w:tcPr>
          <w:p>
            <w:pPr>
              <w:spacing w:after="0"/>
              <w:rPr>
                <w:sz w:val="18"/>
                <w:szCs w:val="18"/>
                <w:color w:val="auto"/>
              </w:rPr>
            </w:pPr>
          </w:p>
        </w:tc>
        <w:tc>
          <w:tcPr>
            <w:tcW w:w="6640" w:type="dxa"/>
            <w:vAlign w:val="bottom"/>
            <w:vMerge w:val="continue"/>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89"/>
        </w:trPr>
        <w:tc>
          <w:tcPr>
            <w:tcW w:w="3440" w:type="dxa"/>
            <w:vAlign w:val="bottom"/>
            <w:tcBorders>
              <w:bottom w:val="single" w:sz="8" w:color="0000EE"/>
            </w:tcBorders>
            <w:gridSpan w:val="17"/>
            <w:vMerge w:val="continue"/>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664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About this Prospectus Supplement</w:t>
              </w:r>
            </w:hyperlink>
          </w:p>
        </w:tc>
        <w:tc>
          <w:tcPr>
            <w:tcW w:w="66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1460" w:type="dxa"/>
            <w:vAlign w:val="bottom"/>
            <w:gridSpan w:val="4"/>
          </w:tcPr>
          <w:p>
            <w:pPr>
              <w:spacing w:after="0"/>
              <w:rPr>
                <w:sz w:val="17"/>
                <w:szCs w:val="17"/>
                <w:color w:val="auto"/>
              </w:rPr>
            </w:pPr>
          </w:p>
        </w:tc>
        <w:tc>
          <w:tcPr>
            <w:tcW w:w="66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66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Use of Proceeds</w:t>
              </w:r>
            </w:hyperlink>
          </w:p>
        </w:tc>
        <w:tc>
          <w:tcPr>
            <w:tcW w:w="2760" w:type="dxa"/>
            <w:vAlign w:val="bottom"/>
            <w:gridSpan w:val="13"/>
          </w:tcPr>
          <w:p>
            <w:pPr>
              <w:spacing w:after="0"/>
              <w:rPr>
                <w:sz w:val="17"/>
                <w:szCs w:val="17"/>
                <w:color w:val="auto"/>
              </w:rPr>
            </w:pPr>
          </w:p>
        </w:tc>
        <w:tc>
          <w:tcPr>
            <w:tcW w:w="66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Capitalization</w:t>
              </w:r>
            </w:hyperlink>
          </w:p>
        </w:tc>
        <w:tc>
          <w:tcPr>
            <w:tcW w:w="2920" w:type="dxa"/>
            <w:vAlign w:val="bottom"/>
            <w:gridSpan w:val="14"/>
          </w:tcPr>
          <w:p>
            <w:pPr>
              <w:spacing w:after="0"/>
              <w:rPr>
                <w:sz w:val="17"/>
                <w:szCs w:val="17"/>
                <w:color w:val="auto"/>
              </w:rPr>
            </w:pPr>
          </w:p>
        </w:tc>
        <w:tc>
          <w:tcPr>
            <w:tcW w:w="66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the Notes</w:t>
              </w:r>
            </w:hyperlink>
          </w:p>
        </w:tc>
        <w:tc>
          <w:tcPr>
            <w:tcW w:w="66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Material U.S. Federal Income Tax Consequences</w:t>
              </w:r>
            </w:hyperlink>
          </w:p>
        </w:tc>
        <w:tc>
          <w:tcPr>
            <w:tcW w:w="66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0" w:type="dxa"/>
            <w:vAlign w:val="bottom"/>
          </w:tcPr>
          <w:p>
            <w:pPr>
              <w:spacing w:after="0"/>
              <w:rPr>
                <w:sz w:val="19"/>
                <w:szCs w:val="19"/>
                <w:color w:val="auto"/>
              </w:rPr>
            </w:pP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0"/>
        </w:trPr>
        <w:tc>
          <w:tcPr>
            <w:tcW w:w="3940" w:type="dxa"/>
            <w:vAlign w:val="bottom"/>
            <w:gridSpan w:val="19"/>
          </w:tcPr>
          <w:p>
            <w:pPr>
              <w:spacing w:after="0" w:line="190" w:lineRule="exact"/>
              <w:rPr>
                <w:rFonts w:ascii="Arial" w:cs="Arial" w:eastAsia="Arial" w:hAnsi="Arial"/>
                <w:sz w:val="18"/>
                <w:szCs w:val="18"/>
                <w:color w:val="0000EE"/>
              </w:rPr>
            </w:pPr>
            <w:hyperlink w:anchor="page26">
              <w:r>
                <w:rPr>
                  <w:rFonts w:ascii="Arial" w:cs="Arial" w:eastAsia="Arial" w:hAnsi="Arial"/>
                  <w:sz w:val="18"/>
                  <w:szCs w:val="18"/>
                  <w:color w:val="0000EE"/>
                </w:rPr>
                <w:t>Underwriting</w:t>
              </w:r>
            </w:hyperlink>
          </w:p>
        </w:tc>
        <w:tc>
          <w:tcPr>
            <w:tcW w:w="6640" w:type="dxa"/>
            <w:vAlign w:val="bottom"/>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0"/>
        </w:trPr>
        <w:tc>
          <w:tcPr>
            <w:tcW w:w="3940" w:type="dxa"/>
            <w:vAlign w:val="bottom"/>
            <w:gridSpan w:val="19"/>
          </w:tcPr>
          <w:p>
            <w:pPr>
              <w:spacing w:after="0" w:line="190" w:lineRule="exact"/>
              <w:rPr>
                <w:rFonts w:ascii="Arial" w:cs="Arial" w:eastAsia="Arial" w:hAnsi="Arial"/>
                <w:sz w:val="18"/>
                <w:szCs w:val="18"/>
                <w:color w:val="0000EE"/>
              </w:rPr>
            </w:pPr>
            <w:hyperlink w:anchor="page33">
              <w:r>
                <w:rPr>
                  <w:rFonts w:ascii="Arial" w:cs="Arial" w:eastAsia="Arial" w:hAnsi="Arial"/>
                  <w:sz w:val="18"/>
                  <w:szCs w:val="18"/>
                  <w:color w:val="0000EE"/>
                </w:rPr>
                <w:t>Validity of Securities</w:t>
              </w:r>
            </w:hyperlink>
          </w:p>
        </w:tc>
        <w:tc>
          <w:tcPr>
            <w:tcW w:w="6640" w:type="dxa"/>
            <w:vAlign w:val="bottom"/>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0"/>
        </w:trPr>
        <w:tc>
          <w:tcPr>
            <w:tcW w:w="3940" w:type="dxa"/>
            <w:vAlign w:val="bottom"/>
            <w:gridSpan w:val="19"/>
          </w:tcPr>
          <w:p>
            <w:pPr>
              <w:spacing w:after="0" w:line="190"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6640" w:type="dxa"/>
            <w:vAlign w:val="bottom"/>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0"/>
        </w:trPr>
        <w:tc>
          <w:tcPr>
            <w:tcW w:w="3940" w:type="dxa"/>
            <w:vAlign w:val="bottom"/>
            <w:gridSpan w:val="19"/>
          </w:tcPr>
          <w:p>
            <w:pPr>
              <w:spacing w:after="0" w:line="190"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6640" w:type="dxa"/>
            <w:vAlign w:val="bottom"/>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37"/>
        </w:trPr>
        <w:tc>
          <w:tcPr>
            <w:tcW w:w="5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45"/>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40" w:type="dxa"/>
            <w:vAlign w:val="bottom"/>
            <w:gridSpan w:val="2"/>
          </w:tcPr>
          <w:p>
            <w:pPr>
              <w:jc w:val="right"/>
              <w:ind w:right="5171"/>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190"/>
        </w:trPr>
        <w:tc>
          <w:tcPr>
            <w:tcW w:w="3940" w:type="dxa"/>
            <w:vAlign w:val="bottom"/>
            <w:gridSpan w:val="19"/>
          </w:tcPr>
          <w:p>
            <w:pPr>
              <w:spacing w:after="0" w:line="190" w:lineRule="exact"/>
              <w:rPr>
                <w:rFonts w:ascii="Arial" w:cs="Arial" w:eastAsia="Arial" w:hAnsi="Arial"/>
                <w:sz w:val="18"/>
                <w:szCs w:val="18"/>
                <w:color w:val="0000EE"/>
              </w:rPr>
            </w:pPr>
            <w:hyperlink w:anchor="page36">
              <w:r>
                <w:rPr>
                  <w:rFonts w:ascii="Arial" w:cs="Arial" w:eastAsia="Arial" w:hAnsi="Arial"/>
                  <w:sz w:val="18"/>
                  <w:szCs w:val="18"/>
                  <w:color w:val="0000EE"/>
                </w:rPr>
                <w:t>The Company</w:t>
              </w:r>
            </w:hyperlink>
          </w:p>
        </w:tc>
        <w:tc>
          <w:tcPr>
            <w:tcW w:w="704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Where You Can Find More Information</w:t>
              </w:r>
            </w:hyperlink>
          </w:p>
        </w:tc>
        <w:tc>
          <w:tcPr>
            <w:tcW w:w="1060" w:type="dxa"/>
            <w:vAlign w:val="bottom"/>
            <w:gridSpan w:val="3"/>
          </w:tcPr>
          <w:p>
            <w:pPr>
              <w:spacing w:after="0"/>
              <w:rPr>
                <w:sz w:val="17"/>
                <w:szCs w:val="17"/>
                <w:color w:val="auto"/>
              </w:rPr>
            </w:pPr>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Notice Regarding Forward-Looking Statements</w:t>
              </w:r>
            </w:hyperlink>
          </w:p>
        </w:tc>
        <w:tc>
          <w:tcPr>
            <w:tcW w:w="500" w:type="dxa"/>
            <w:vAlign w:val="bottom"/>
            <w:gridSpan w:val="2"/>
          </w:tcPr>
          <w:p>
            <w:pPr>
              <w:spacing w:after="0"/>
              <w:rPr>
                <w:sz w:val="17"/>
                <w:szCs w:val="17"/>
                <w:color w:val="auto"/>
              </w:rPr>
            </w:pPr>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Use of Proceeds</w:t>
              </w:r>
            </w:hyperlink>
          </w:p>
        </w:tc>
        <w:tc>
          <w:tcPr>
            <w:tcW w:w="2760" w:type="dxa"/>
            <w:vAlign w:val="bottom"/>
            <w:gridSpan w:val="13"/>
          </w:tcPr>
          <w:p>
            <w:pPr>
              <w:spacing w:after="0"/>
              <w:rPr>
                <w:sz w:val="17"/>
                <w:szCs w:val="17"/>
                <w:color w:val="auto"/>
              </w:rPr>
            </w:pPr>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Description of Capital Stock</w:t>
              </w:r>
            </w:hyperlink>
          </w:p>
        </w:tc>
        <w:tc>
          <w:tcPr>
            <w:tcW w:w="1880" w:type="dxa"/>
            <w:vAlign w:val="bottom"/>
            <w:gridSpan w:val="6"/>
          </w:tcPr>
          <w:p>
            <w:pPr>
              <w:spacing w:after="0"/>
              <w:rPr>
                <w:sz w:val="17"/>
                <w:szCs w:val="17"/>
                <w:color w:val="auto"/>
              </w:rPr>
            </w:pPr>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Debt Securities</w:t>
              </w:r>
            </w:hyperlink>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1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Warrants</w:t>
              </w:r>
            </w:hyperlink>
          </w:p>
        </w:tc>
        <w:tc>
          <w:tcPr>
            <w:tcW w:w="1760" w:type="dxa"/>
            <w:vAlign w:val="bottom"/>
            <w:gridSpan w:val="5"/>
          </w:tcPr>
          <w:p>
            <w:pPr>
              <w:spacing w:after="0"/>
              <w:rPr>
                <w:sz w:val="17"/>
                <w:szCs w:val="17"/>
                <w:color w:val="auto"/>
              </w:rPr>
            </w:pPr>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Description of Units</w:t>
              </w:r>
            </w:hyperlink>
          </w:p>
        </w:tc>
        <w:tc>
          <w:tcPr>
            <w:tcW w:w="280" w:type="dxa"/>
            <w:vAlign w:val="bottom"/>
            <w:tcBorders>
              <w:top w:val="single" w:sz="8" w:color="0000EE"/>
            </w:tcBorders>
            <w:gridSpan w:val="3"/>
          </w:tcPr>
          <w:p>
            <w:pPr>
              <w:spacing w:after="0"/>
              <w:rPr>
                <w:sz w:val="17"/>
                <w:szCs w:val="17"/>
                <w:color w:val="auto"/>
              </w:rPr>
            </w:pPr>
          </w:p>
        </w:tc>
        <w:tc>
          <w:tcPr>
            <w:tcW w:w="2180" w:type="dxa"/>
            <w:vAlign w:val="bottom"/>
            <w:gridSpan w:val="7"/>
          </w:tcPr>
          <w:p>
            <w:pPr>
              <w:spacing w:after="0"/>
              <w:rPr>
                <w:sz w:val="17"/>
                <w:szCs w:val="17"/>
                <w:color w:val="auto"/>
              </w:rPr>
            </w:pPr>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Forms of Securities</w:t>
              </w:r>
            </w:hyperlink>
          </w:p>
        </w:tc>
        <w:tc>
          <w:tcPr>
            <w:tcW w:w="2520" w:type="dxa"/>
            <w:vAlign w:val="bottom"/>
            <w:gridSpan w:val="12"/>
          </w:tcPr>
          <w:p>
            <w:pPr>
              <w:spacing w:after="0"/>
              <w:rPr>
                <w:sz w:val="17"/>
                <w:szCs w:val="17"/>
                <w:color w:val="auto"/>
              </w:rPr>
            </w:pPr>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Plan of Distribution</w:t>
              </w:r>
            </w:hyperlink>
          </w:p>
        </w:tc>
        <w:tc>
          <w:tcPr>
            <w:tcW w:w="2500" w:type="dxa"/>
            <w:vAlign w:val="bottom"/>
            <w:gridSpan w:val="11"/>
          </w:tcPr>
          <w:p>
            <w:pPr>
              <w:spacing w:after="0"/>
              <w:rPr>
                <w:sz w:val="17"/>
                <w:szCs w:val="17"/>
                <w:color w:val="auto"/>
              </w:rPr>
            </w:pPr>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Validity of Securities</w:t>
              </w:r>
            </w:hyperlink>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Experts</w:t>
              </w:r>
            </w:hyperlink>
          </w:p>
        </w:tc>
        <w:tc>
          <w:tcPr>
            <w:tcW w:w="960" w:type="dxa"/>
            <w:vAlign w:val="bottom"/>
            <w:tcBorders>
              <w:top w:val="single" w:sz="8" w:color="0000EE"/>
            </w:tcBorders>
            <w:gridSpan w:val="9"/>
          </w:tcPr>
          <w:p>
            <w:pPr>
              <w:spacing w:after="0"/>
              <w:rPr>
                <w:sz w:val="17"/>
                <w:szCs w:val="17"/>
                <w:color w:val="auto"/>
              </w:rPr>
            </w:pPr>
          </w:p>
        </w:tc>
        <w:tc>
          <w:tcPr>
            <w:tcW w:w="2420" w:type="dxa"/>
            <w:vAlign w:val="bottom"/>
            <w:gridSpan w:val="9"/>
          </w:tcPr>
          <w:p>
            <w:pPr>
              <w:spacing w:after="0"/>
              <w:rPr>
                <w:sz w:val="17"/>
                <w:szCs w:val="17"/>
                <w:color w:val="auto"/>
              </w:rPr>
            </w:pPr>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860" w:right="280" w:hanging="2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Market demand for semiconductors, particularly in the industrial and automotive markets, and customer demand that differs from forecasts;</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or suppliers;</w:t>
      </w:r>
    </w:p>
    <w:p>
      <w:pPr>
        <w:spacing w:after="0" w:line="130" w:lineRule="exact"/>
        <w:rPr>
          <w:rFonts w:ascii="Arial" w:cs="Arial" w:eastAsia="Arial" w:hAnsi="Arial"/>
          <w:sz w:val="18"/>
          <w:szCs w:val="18"/>
          <w:color w:val="auto"/>
        </w:rPr>
      </w:pPr>
    </w:p>
    <w:p>
      <w:pPr>
        <w:ind w:left="860" w:right="40" w:hanging="2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restructuring charges and associated cost savings;</w:t>
      </w:r>
    </w:p>
    <w:p>
      <w:pPr>
        <w:spacing w:after="0" w:line="75" w:lineRule="exact"/>
        <w:rPr>
          <w:rFonts w:ascii="Arial" w:cs="Arial" w:eastAsia="Arial" w:hAnsi="Arial"/>
          <w:sz w:val="18"/>
          <w:szCs w:val="18"/>
          <w:color w:val="auto"/>
        </w:rPr>
      </w:pPr>
    </w:p>
    <w:p>
      <w:pPr>
        <w:ind w:left="860" w:right="780" w:hanging="2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53" w:lineRule="exact"/>
        <w:rPr>
          <w:rFonts w:ascii="Arial" w:cs="Arial" w:eastAsia="Arial" w:hAnsi="Arial"/>
          <w:sz w:val="16"/>
          <w:szCs w:val="16"/>
          <w:color w:val="auto"/>
        </w:rPr>
      </w:pPr>
    </w:p>
    <w:p>
      <w:pPr>
        <w:ind w:left="860" w:right="160" w:hanging="2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860" w:right="380" w:hanging="2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75" w:lineRule="exact"/>
        <w:rPr>
          <w:rFonts w:ascii="Arial" w:cs="Arial" w:eastAsia="Arial" w:hAnsi="Arial"/>
          <w:sz w:val="18"/>
          <w:szCs w:val="18"/>
          <w:color w:val="auto"/>
        </w:rPr>
      </w:pPr>
    </w:p>
    <w:p>
      <w:pPr>
        <w:ind w:left="860" w:right="300" w:hanging="224"/>
        <w:spacing w:after="0" w:line="342"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Financial difficulties of our distributors or their promotion of competing product lines to our detriment; or disputes with significant distributors;</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53" w:lineRule="exact"/>
        <w:rPr>
          <w:rFonts w:ascii="Arial" w:cs="Arial" w:eastAsia="Arial" w:hAnsi="Arial"/>
          <w:sz w:val="16"/>
          <w:szCs w:val="16"/>
          <w:color w:val="auto"/>
        </w:rPr>
      </w:pPr>
    </w:p>
    <w:p>
      <w:pPr>
        <w:ind w:left="860" w:right="240" w:hanging="2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300" w:hanging="224"/>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00"/>
          </w:cols>
          <w:pgMar w:left="240" w:top="459" w:right="5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22, 2019. The accompanying prospectus contains a description of our debt securities and gives more general information, some of which may not apply to this offering.</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66" w:lineRule="exact"/>
        <w:rPr>
          <w:sz w:val="20"/>
          <w:szCs w:val="20"/>
          <w:color w:val="auto"/>
        </w:rPr>
      </w:pPr>
    </w:p>
    <w:p>
      <w:pPr>
        <w:ind w:left="200" w:right="20" w:firstLine="441"/>
        <w:spacing w:after="0" w:line="266"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014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30143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right="280" w:firstLine="426"/>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39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81" w:lineRule="exact"/>
        <w:rPr>
          <w:sz w:val="20"/>
          <w:szCs w:val="20"/>
          <w:color w:val="auto"/>
        </w:rPr>
      </w:pPr>
    </w:p>
    <w:p>
      <w:pPr>
        <w:jc w:val="both"/>
        <w:ind w:left="380" w:right="220" w:firstLine="426"/>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81" w:lineRule="exact"/>
        <w:rPr>
          <w:sz w:val="20"/>
          <w:szCs w:val="20"/>
          <w:color w:val="auto"/>
        </w:rPr>
      </w:pPr>
    </w:p>
    <w:p>
      <w:pPr>
        <w:ind w:left="380" w:right="60" w:firstLine="426"/>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12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00"/>
          </w:cols>
          <w:pgMar w:left="24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16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2145" cy="66160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jc w:val="both"/>
        <w:ind w:left="380" w:right="300" w:firstLine="426"/>
        <w:spacing w:after="0" w:line="286" w:lineRule="auto"/>
        <w:rPr>
          <w:sz w:val="20"/>
          <w:szCs w:val="20"/>
          <w:color w:val="auto"/>
        </w:rPr>
      </w:pPr>
      <w:r>
        <w:rPr>
          <w:rFonts w:ascii="Arial" w:cs="Arial" w:eastAsia="Arial" w:hAnsi="Arial"/>
          <w:sz w:val="17"/>
          <w:szCs w:val="17"/>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Issuer</w:t>
            </w:r>
          </w:p>
        </w:tc>
        <w:tc>
          <w:tcPr>
            <w:tcW w:w="7940" w:type="dxa"/>
            <w:vAlign w:val="bottom"/>
          </w:tcPr>
          <w:p>
            <w:pPr>
              <w:ind w:left="1120"/>
              <w:spacing w:after="0"/>
              <w:rPr>
                <w:sz w:val="20"/>
                <w:szCs w:val="20"/>
                <w:color w:val="auto"/>
              </w:rPr>
            </w:pPr>
            <w:r>
              <w:rPr>
                <w:rFonts w:ascii="Arial" w:cs="Arial" w:eastAsia="Arial" w:hAnsi="Arial"/>
                <w:sz w:val="18"/>
                <w:szCs w:val="18"/>
                <w:color w:val="auto"/>
              </w:rPr>
              <w:t>Texas Instruments Incorporated.</w:t>
            </w:r>
          </w:p>
        </w:tc>
      </w:tr>
      <w:tr>
        <w:trPr>
          <w:trHeight w:val="473"/>
        </w:trPr>
        <w:tc>
          <w:tcPr>
            <w:tcW w:w="3100" w:type="dxa"/>
            <w:vAlign w:val="bottom"/>
          </w:tcPr>
          <w:p>
            <w:pPr>
              <w:ind w:left="180"/>
              <w:spacing w:after="0"/>
              <w:rPr>
                <w:sz w:val="20"/>
                <w:szCs w:val="20"/>
                <w:color w:val="auto"/>
              </w:rPr>
            </w:pPr>
            <w:r>
              <w:rPr>
                <w:rFonts w:ascii="Arial" w:cs="Arial" w:eastAsia="Arial" w:hAnsi="Arial"/>
                <w:sz w:val="18"/>
                <w:szCs w:val="18"/>
                <w:color w:val="auto"/>
              </w:rPr>
              <w:t>Securities Offered</w:t>
            </w:r>
          </w:p>
        </w:tc>
        <w:tc>
          <w:tcPr>
            <w:tcW w:w="7940" w:type="dxa"/>
            <w:vAlign w:val="bottom"/>
          </w:tcPr>
          <w:p>
            <w:pPr>
              <w:ind w:left="1120"/>
              <w:spacing w:after="0"/>
              <w:rPr>
                <w:sz w:val="20"/>
                <w:szCs w:val="20"/>
                <w:color w:val="auto"/>
              </w:rPr>
            </w:pPr>
            <w:r>
              <w:rPr>
                <w:rFonts w:ascii="Arial" w:cs="Arial" w:eastAsia="Arial" w:hAnsi="Arial"/>
                <w:sz w:val="18"/>
                <w:szCs w:val="18"/>
                <w:color w:val="auto"/>
              </w:rPr>
              <w:t>$750,000,000 aggregate principal amount of 1.375% Notes due 2025.</w:t>
            </w:r>
          </w:p>
        </w:tc>
      </w:tr>
      <w:tr>
        <w:trPr>
          <w:trHeight w:val="473"/>
        </w:trPr>
        <w:tc>
          <w:tcPr>
            <w:tcW w:w="3100" w:type="dxa"/>
            <w:vAlign w:val="bottom"/>
          </w:tcPr>
          <w:p>
            <w:pPr>
              <w:ind w:left="180"/>
              <w:spacing w:after="0"/>
              <w:rPr>
                <w:sz w:val="20"/>
                <w:szCs w:val="20"/>
                <w:color w:val="auto"/>
              </w:rPr>
            </w:pPr>
            <w:r>
              <w:rPr>
                <w:rFonts w:ascii="Arial" w:cs="Arial" w:eastAsia="Arial" w:hAnsi="Arial"/>
                <w:sz w:val="18"/>
                <w:szCs w:val="18"/>
                <w:color w:val="auto"/>
              </w:rPr>
              <w:t>Maturity Date</w:t>
            </w:r>
          </w:p>
        </w:tc>
        <w:tc>
          <w:tcPr>
            <w:tcW w:w="7940" w:type="dxa"/>
            <w:vAlign w:val="bottom"/>
          </w:tcPr>
          <w:p>
            <w:pPr>
              <w:ind w:left="1120"/>
              <w:spacing w:after="0"/>
              <w:rPr>
                <w:sz w:val="20"/>
                <w:szCs w:val="20"/>
                <w:color w:val="auto"/>
              </w:rPr>
            </w:pPr>
            <w:r>
              <w:rPr>
                <w:rFonts w:ascii="Arial" w:cs="Arial" w:eastAsia="Arial" w:hAnsi="Arial"/>
                <w:sz w:val="18"/>
                <w:szCs w:val="18"/>
                <w:color w:val="auto"/>
              </w:rPr>
              <w:t>March 12, 2025.</w:t>
            </w:r>
          </w:p>
        </w:tc>
      </w:tr>
      <w:tr>
        <w:trPr>
          <w:trHeight w:val="473"/>
        </w:trPr>
        <w:tc>
          <w:tcPr>
            <w:tcW w:w="3100" w:type="dxa"/>
            <w:vAlign w:val="bottom"/>
          </w:tcPr>
          <w:p>
            <w:pPr>
              <w:ind w:left="180"/>
              <w:spacing w:after="0"/>
              <w:rPr>
                <w:sz w:val="20"/>
                <w:szCs w:val="20"/>
                <w:color w:val="auto"/>
              </w:rPr>
            </w:pPr>
            <w:r>
              <w:rPr>
                <w:rFonts w:ascii="Arial" w:cs="Arial" w:eastAsia="Arial" w:hAnsi="Arial"/>
                <w:sz w:val="18"/>
                <w:szCs w:val="18"/>
                <w:color w:val="auto"/>
              </w:rPr>
              <w:t>Original Issue Date</w:t>
            </w:r>
          </w:p>
        </w:tc>
        <w:tc>
          <w:tcPr>
            <w:tcW w:w="7940" w:type="dxa"/>
            <w:vAlign w:val="bottom"/>
          </w:tcPr>
          <w:p>
            <w:pPr>
              <w:ind w:left="1120"/>
              <w:spacing w:after="0"/>
              <w:rPr>
                <w:sz w:val="20"/>
                <w:szCs w:val="20"/>
                <w:color w:val="auto"/>
              </w:rPr>
            </w:pPr>
            <w:r>
              <w:rPr>
                <w:rFonts w:ascii="Arial" w:cs="Arial" w:eastAsia="Arial" w:hAnsi="Arial"/>
                <w:sz w:val="18"/>
                <w:szCs w:val="18"/>
                <w:color w:val="auto"/>
              </w:rPr>
              <w:t>March 12, 2020.</w:t>
            </w:r>
          </w:p>
        </w:tc>
      </w:tr>
      <w:tr>
        <w:trPr>
          <w:trHeight w:val="473"/>
        </w:trPr>
        <w:tc>
          <w:tcPr>
            <w:tcW w:w="310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7940" w:type="dxa"/>
            <w:vAlign w:val="bottom"/>
          </w:tcPr>
          <w:p>
            <w:pPr>
              <w:ind w:left="1120"/>
              <w:spacing w:after="0"/>
              <w:rPr>
                <w:sz w:val="20"/>
                <w:szCs w:val="20"/>
                <w:color w:val="auto"/>
              </w:rPr>
            </w:pPr>
            <w:r>
              <w:rPr>
                <w:rFonts w:ascii="Arial" w:cs="Arial" w:eastAsia="Arial" w:hAnsi="Arial"/>
                <w:sz w:val="18"/>
                <w:szCs w:val="18"/>
                <w:color w:val="auto"/>
              </w:rPr>
              <w:t>Fixed rate of 1.375%.</w:t>
            </w:r>
          </w:p>
        </w:tc>
      </w:tr>
      <w:tr>
        <w:trPr>
          <w:trHeight w:val="458"/>
        </w:trPr>
        <w:tc>
          <w:tcPr>
            <w:tcW w:w="310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7940" w:type="dxa"/>
            <w:vAlign w:val="bottom"/>
          </w:tcPr>
          <w:p>
            <w:pPr>
              <w:ind w:left="1120"/>
              <w:spacing w:after="0"/>
              <w:rPr>
                <w:sz w:val="20"/>
                <w:szCs w:val="20"/>
                <w:color w:val="auto"/>
              </w:rPr>
            </w:pPr>
            <w:r>
              <w:rPr>
                <w:rFonts w:ascii="Arial" w:cs="Arial" w:eastAsia="Arial" w:hAnsi="Arial"/>
                <w:sz w:val="18"/>
                <w:szCs w:val="18"/>
                <w:color w:val="auto"/>
                <w:w w:val="94"/>
              </w:rPr>
              <w:t>Each March 12 and September 12, beginning on September 12, 2020, and on the maturity</w:t>
            </w:r>
          </w:p>
        </w:tc>
      </w:tr>
      <w:tr>
        <w:trPr>
          <w:trHeight w:val="230"/>
        </w:trPr>
        <w:tc>
          <w:tcPr>
            <w:tcW w:w="3100" w:type="dxa"/>
            <w:vAlign w:val="bottom"/>
          </w:tcPr>
          <w:p>
            <w:pPr>
              <w:spacing w:after="0"/>
              <w:rPr>
                <w:sz w:val="20"/>
                <w:szCs w:val="20"/>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rPr>
              <w:t>date.</w:t>
            </w:r>
          </w:p>
        </w:tc>
      </w:tr>
      <w:tr>
        <w:trPr>
          <w:trHeight w:val="445"/>
        </w:trPr>
        <w:tc>
          <w:tcPr>
            <w:tcW w:w="3100" w:type="dxa"/>
            <w:vAlign w:val="bottom"/>
          </w:tcPr>
          <w:p>
            <w:pPr>
              <w:ind w:left="180"/>
              <w:spacing w:after="0"/>
              <w:rPr>
                <w:sz w:val="20"/>
                <w:szCs w:val="20"/>
                <w:color w:val="auto"/>
              </w:rPr>
            </w:pPr>
            <w:r>
              <w:rPr>
                <w:rFonts w:ascii="Arial" w:cs="Arial" w:eastAsia="Arial" w:hAnsi="Arial"/>
                <w:sz w:val="18"/>
                <w:szCs w:val="18"/>
                <w:color w:val="auto"/>
              </w:rPr>
              <w:t>Ranking</w:t>
            </w:r>
          </w:p>
        </w:tc>
        <w:tc>
          <w:tcPr>
            <w:tcW w:w="7940" w:type="dxa"/>
            <w:vAlign w:val="bottom"/>
          </w:tcPr>
          <w:p>
            <w:pPr>
              <w:ind w:left="1120"/>
              <w:spacing w:after="0"/>
              <w:rPr>
                <w:sz w:val="20"/>
                <w:szCs w:val="20"/>
                <w:color w:val="auto"/>
              </w:rPr>
            </w:pPr>
            <w:r>
              <w:rPr>
                <w:rFonts w:ascii="Arial" w:cs="Arial" w:eastAsia="Arial" w:hAnsi="Arial"/>
                <w:sz w:val="18"/>
                <w:szCs w:val="18"/>
                <w:color w:val="auto"/>
                <w:w w:val="94"/>
              </w:rPr>
              <w:t>The Notes will be the senior unsecured obligations of Texas Instruments Incorporated and</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8"/>
              </w:rPr>
              <w:t>will rank equally with all of its existing and future senior indebtedness from time to time</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rPr>
              <w:t>outstanding. All existing and future liabilities of subsidiaries of Texas Instruments</w:t>
            </w:r>
          </w:p>
        </w:tc>
      </w:tr>
      <w:tr>
        <w:trPr>
          <w:trHeight w:val="230"/>
        </w:trPr>
        <w:tc>
          <w:tcPr>
            <w:tcW w:w="3100" w:type="dxa"/>
            <w:vAlign w:val="bottom"/>
          </w:tcPr>
          <w:p>
            <w:pPr>
              <w:spacing w:after="0"/>
              <w:rPr>
                <w:sz w:val="20"/>
                <w:szCs w:val="20"/>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rPr>
              <w:t>Incorporated will be effectively senior to the Notes.</w:t>
            </w:r>
          </w:p>
        </w:tc>
      </w:tr>
      <w:tr>
        <w:trPr>
          <w:trHeight w:val="445"/>
        </w:trPr>
        <w:tc>
          <w:tcPr>
            <w:tcW w:w="3100" w:type="dxa"/>
            <w:vAlign w:val="bottom"/>
          </w:tcPr>
          <w:p>
            <w:pPr>
              <w:spacing w:after="0"/>
              <w:rPr>
                <w:sz w:val="24"/>
                <w:szCs w:val="24"/>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5"/>
              </w:rPr>
              <w:t>As of December 31, 2019, Texas Instruments Incorporated had approximately $5.8 billion</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rPr>
              <w:t>of outstanding indebtedness. As of December 31, 2019, Texas Instruments had</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rPr>
              <w:t>approximately $9.1 billion of total liabilities on a consolidated basis. Of this amount,</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5"/>
              </w:rPr>
              <w:t>subsidiaries of Texas Instruments Incorporated had approximately $0.9 billion of liabilities</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9"/>
              </w:rPr>
              <w:t>(including trade payables and excluding intercompany debt) to which the Notes will be</w:t>
            </w:r>
          </w:p>
        </w:tc>
      </w:tr>
      <w:tr>
        <w:trPr>
          <w:trHeight w:val="230"/>
        </w:trPr>
        <w:tc>
          <w:tcPr>
            <w:tcW w:w="3100" w:type="dxa"/>
            <w:vAlign w:val="bottom"/>
          </w:tcPr>
          <w:p>
            <w:pPr>
              <w:spacing w:after="0"/>
              <w:rPr>
                <w:sz w:val="20"/>
                <w:szCs w:val="20"/>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rPr>
              <w:t>effectively subordinated.</w:t>
            </w:r>
          </w:p>
        </w:tc>
      </w:tr>
      <w:tr>
        <w:trPr>
          <w:trHeight w:val="445"/>
        </w:trPr>
        <w:tc>
          <w:tcPr>
            <w:tcW w:w="3100" w:type="dxa"/>
            <w:vAlign w:val="bottom"/>
          </w:tcPr>
          <w:p>
            <w:pPr>
              <w:ind w:left="180"/>
              <w:spacing w:after="0"/>
              <w:rPr>
                <w:sz w:val="20"/>
                <w:szCs w:val="20"/>
                <w:color w:val="auto"/>
              </w:rPr>
            </w:pPr>
            <w:r>
              <w:rPr>
                <w:rFonts w:ascii="Arial" w:cs="Arial" w:eastAsia="Arial" w:hAnsi="Arial"/>
                <w:sz w:val="18"/>
                <w:szCs w:val="18"/>
                <w:color w:val="auto"/>
              </w:rPr>
              <w:t>Form and Denomination</w:t>
            </w:r>
          </w:p>
        </w:tc>
        <w:tc>
          <w:tcPr>
            <w:tcW w:w="7940" w:type="dxa"/>
            <w:vAlign w:val="bottom"/>
          </w:tcPr>
          <w:p>
            <w:pPr>
              <w:ind w:left="1120"/>
              <w:spacing w:after="0"/>
              <w:rPr>
                <w:sz w:val="20"/>
                <w:szCs w:val="20"/>
                <w:color w:val="auto"/>
              </w:rPr>
            </w:pPr>
            <w:r>
              <w:rPr>
                <w:rFonts w:ascii="Arial" w:cs="Arial" w:eastAsia="Arial" w:hAnsi="Arial"/>
                <w:sz w:val="18"/>
                <w:szCs w:val="18"/>
                <w:color w:val="auto"/>
              </w:rPr>
              <w:t>The Notes will be issued in the form of one or more fully registered global securities,</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6"/>
              </w:rPr>
              <w:t>without coupons, in denominations of $2,000 in principal amount and integral multiples of</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3"/>
              </w:rPr>
              <w:t>$1,000 in excess thereof. These global notes will be deposited with the trustee as custodian</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6"/>
              </w:rPr>
              <w:t>for, and registered in the name of, a nominee of The Depository Trust Company, or DTC.</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rPr>
              <w:t>Except in the limited circumstances described under “Description of the Notes-Book-</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9"/>
              </w:rPr>
              <w:t>Entry; Delivery and Form; Global Note,” Notes in certificated form will not be issued or</w:t>
            </w:r>
          </w:p>
        </w:tc>
      </w:tr>
      <w:tr>
        <w:trPr>
          <w:trHeight w:val="230"/>
        </w:trPr>
        <w:tc>
          <w:tcPr>
            <w:tcW w:w="3100" w:type="dxa"/>
            <w:vAlign w:val="bottom"/>
          </w:tcPr>
          <w:p>
            <w:pPr>
              <w:spacing w:after="0"/>
              <w:rPr>
                <w:sz w:val="20"/>
                <w:szCs w:val="20"/>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rPr>
              <w:t>exchanged for interests in global securities.</w:t>
            </w:r>
          </w:p>
        </w:tc>
      </w:tr>
      <w:tr>
        <w:trPr>
          <w:trHeight w:val="459"/>
        </w:trPr>
        <w:tc>
          <w:tcPr>
            <w:tcW w:w="310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7940" w:type="dxa"/>
            <w:vAlign w:val="bottom"/>
          </w:tcPr>
          <w:p>
            <w:pPr>
              <w:ind w:left="1120"/>
              <w:spacing w:after="0"/>
              <w:rPr>
                <w:sz w:val="20"/>
                <w:szCs w:val="20"/>
                <w:color w:val="auto"/>
              </w:rPr>
            </w:pPr>
            <w:r>
              <w:rPr>
                <w:rFonts w:ascii="Arial" w:cs="Arial" w:eastAsia="Arial" w:hAnsi="Arial"/>
                <w:sz w:val="18"/>
                <w:szCs w:val="18"/>
                <w:color w:val="auto"/>
              </w:rPr>
              <w:t>The internal laws of the State of New York.</w:t>
            </w:r>
          </w:p>
        </w:tc>
      </w:tr>
      <w:tr>
        <w:trPr>
          <w:trHeight w:val="458"/>
        </w:trPr>
        <w:tc>
          <w:tcPr>
            <w:tcW w:w="310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940" w:type="dxa"/>
            <w:vAlign w:val="bottom"/>
          </w:tcPr>
          <w:p>
            <w:pPr>
              <w:ind w:left="1120"/>
              <w:spacing w:after="0"/>
              <w:rPr>
                <w:sz w:val="20"/>
                <w:szCs w:val="20"/>
                <w:color w:val="auto"/>
              </w:rPr>
            </w:pPr>
            <w:r>
              <w:rPr>
                <w:rFonts w:ascii="Arial" w:cs="Arial" w:eastAsia="Arial" w:hAnsi="Arial"/>
                <w:sz w:val="18"/>
                <w:szCs w:val="18"/>
                <w:color w:val="auto"/>
                <w:w w:val="93"/>
              </w:rPr>
              <w:t>We expect to use the net proceeds of this offering for general corporate purposes, including</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6"/>
              </w:rPr>
              <w:t>to replenish our cash on hand following the expected repayment of $500 million principal</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6"/>
              </w:rPr>
              <w:t>amount of our 1.75% Notes due May 1, 2020. See “Use of Proceeds.” In connection with</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5"/>
              </w:rPr>
              <w:t>the issuance of the Notes, we may enter into interest rate swap agreements with financial</w:t>
            </w:r>
          </w:p>
        </w:tc>
      </w:tr>
      <w:tr>
        <w:trPr>
          <w:trHeight w:val="227"/>
        </w:trPr>
        <w:tc>
          <w:tcPr>
            <w:tcW w:w="3100" w:type="dxa"/>
            <w:vAlign w:val="bottom"/>
            <w:tcBorders>
              <w:bottom w:val="single" w:sz="8" w:color="auto"/>
            </w:tcBorders>
          </w:tcPr>
          <w:p>
            <w:pPr>
              <w:spacing w:after="0"/>
              <w:rPr>
                <w:sz w:val="19"/>
                <w:szCs w:val="19"/>
                <w:color w:val="auto"/>
              </w:rPr>
            </w:pPr>
          </w:p>
        </w:tc>
        <w:tc>
          <w:tcPr>
            <w:tcW w:w="79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institutions, which may include one or more of the underwriters or their affiliates.</w:t>
            </w:r>
          </w:p>
        </w:tc>
      </w:tr>
      <w:tr>
        <w:trPr>
          <w:trHeight w:val="361"/>
        </w:trPr>
        <w:tc>
          <w:tcPr>
            <w:tcW w:w="3100" w:type="dxa"/>
            <w:vAlign w:val="bottom"/>
          </w:tcPr>
          <w:p>
            <w:pPr>
              <w:spacing w:after="0"/>
              <w:rPr>
                <w:sz w:val="24"/>
                <w:szCs w:val="24"/>
                <w:color w:val="auto"/>
              </w:rPr>
            </w:pPr>
          </w:p>
        </w:tc>
        <w:tc>
          <w:tcPr>
            <w:tcW w:w="7940" w:type="dxa"/>
            <w:vAlign w:val="bottom"/>
          </w:tcPr>
          <w:p>
            <w:pPr>
              <w:ind w:left="228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29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806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7"/>
              </w:rPr>
              <w:t>Texas Instruments Incorporated may create and issue further notes ranking equally and</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ratably with the Notes offered by this prospectus supplement in all respects, so that such</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further notes will be consolidated and form a single series with the Notes offered by this</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prospectus supplement.</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Sinking Fund</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None.</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Texas Instruments Incorporated may redeem some or all of the Notes at any time at the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redemption prices indicated under the heading “Description of the Notes—Optional</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Redemption.”</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Trading</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The Notes are a new issue of securities with no established trading market. We do not</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intend to apply for listing of the Notes on any securities exchange. The underwriters have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advised us that they intend to make a market in the Notes, but they are not obligated to do</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so and may discontinue market-making at any time without notice. See “Underwriting” in</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this prospectus supplement for more information about possible market-making by the</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underwriters.</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U.S. Bank National Association.</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You should carefully consider all of the information in this prospectus supplement and the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accompanying prospectus and the documents incorporated herein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particular, you should evaluate the information set forth under “Notice Regarding Forward-</w:t>
            </w:r>
          </w:p>
        </w:tc>
      </w:tr>
      <w:tr>
        <w:trPr>
          <w:trHeight w:val="227"/>
        </w:trPr>
        <w:tc>
          <w:tcPr>
            <w:tcW w:w="2980" w:type="dxa"/>
            <w:vAlign w:val="bottom"/>
            <w:tcBorders>
              <w:left w:val="single" w:sz="8" w:color="auto"/>
              <w:bottom w:val="single" w:sz="8" w:color="auto"/>
            </w:tcBorders>
          </w:tcPr>
          <w:p>
            <w:pPr>
              <w:spacing w:after="0"/>
              <w:rPr>
                <w:sz w:val="19"/>
                <w:szCs w:val="19"/>
                <w:color w:val="auto"/>
              </w:rPr>
            </w:pPr>
          </w:p>
        </w:tc>
        <w:tc>
          <w:tcPr>
            <w:tcW w:w="806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7"/>
              </w:rPr>
              <w:t>Looking Statements” and “Risk Factors” before deciding whether to invest in the Notes.</w:t>
            </w:r>
          </w:p>
        </w:tc>
      </w:tr>
      <w:tr>
        <w:trPr>
          <w:trHeight w:val="361"/>
        </w:trPr>
        <w:tc>
          <w:tcPr>
            <w:tcW w:w="2980" w:type="dxa"/>
            <w:vAlign w:val="bottom"/>
          </w:tcPr>
          <w:p>
            <w:pPr>
              <w:spacing w:after="0"/>
              <w:rPr>
                <w:sz w:val="24"/>
                <w:szCs w:val="24"/>
                <w:color w:val="auto"/>
              </w:rPr>
            </w:pPr>
          </w:p>
        </w:tc>
        <w:tc>
          <w:tcPr>
            <w:tcW w:w="8060" w:type="dxa"/>
            <w:vAlign w:val="bottom"/>
          </w:tcPr>
          <w:p>
            <w:pPr>
              <w:ind w:left="2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hereby incorporate by reference risk factors in Item 1A of our Annual Report on Form 10-K for the year ended December 31, 2019.</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301" w:lineRule="exact"/>
        <w:rPr>
          <w:sz w:val="20"/>
          <w:szCs w:val="20"/>
          <w:color w:val="auto"/>
        </w:rPr>
      </w:pPr>
    </w:p>
    <w:p>
      <w:pPr>
        <w:ind w:left="420" w:right="160"/>
        <w:spacing w:after="0" w:line="264"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7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December 31, 2019, we had approximately $9.1 billion of total liabilities on a consolidated basis. Of this amount, subsidiaries of Texas Instruments Incorporated had approximately $0.9 billion of liabilities (including trade payables and excluding intercompany debt) to which the Notes will be effectively subordinated.</w:t>
      </w:r>
    </w:p>
    <w:p>
      <w:pPr>
        <w:spacing w:after="0" w:line="165" w:lineRule="exact"/>
        <w:rPr>
          <w:sz w:val="20"/>
          <w:szCs w:val="20"/>
          <w:color w:val="auto"/>
        </w:rPr>
      </w:pPr>
    </w:p>
    <w:p>
      <w:pPr>
        <w:ind w:left="200" w:right="240" w:firstLine="441"/>
        <w:spacing w:after="0" w:line="293"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90" w:lineRule="exact"/>
        <w:rPr>
          <w:sz w:val="20"/>
          <w:szCs w:val="20"/>
          <w:color w:val="auto"/>
        </w:rPr>
      </w:pPr>
    </w:p>
    <w:p>
      <w:pPr>
        <w:ind w:left="420"/>
        <w:spacing w:after="0" w:line="279" w:lineRule="auto"/>
        <w:rPr>
          <w:sz w:val="20"/>
          <w:szCs w:val="20"/>
          <w:color w:val="auto"/>
        </w:rPr>
      </w:pPr>
      <w:r>
        <w:rPr>
          <w:rFonts w:ascii="Arial" w:cs="Arial" w:eastAsia="Arial" w:hAnsi="Arial"/>
          <w:sz w:val="17"/>
          <w:szCs w:val="17"/>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6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On an as adjusted basis after giving effect to this offering and the expected repayment of $500 million principal amount of our 1.75% Notes due May 1, 2020, as of December 31, 2019, Texas Instruments Incorporated would have had approximately $6.0 billion of total long-term indebtedness (including the Notes), all of which would have been unsecured and unsubordinated.</w:t>
      </w:r>
    </w:p>
    <w:p>
      <w:pPr>
        <w:spacing w:after="0" w:line="18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7" w:lineRule="exact"/>
        <w:rPr>
          <w:sz w:val="20"/>
          <w:szCs w:val="20"/>
          <w:color w:val="auto"/>
        </w:rPr>
      </w:pPr>
    </w:p>
    <w:p>
      <w:pPr>
        <w:ind w:left="860" w:right="840" w:hanging="224"/>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Texas Instruments Incorporated will have additional cash requirements in order to support the payment of interest on its outstanding indebtedness;</w:t>
      </w:r>
    </w:p>
    <w:p>
      <w:pPr>
        <w:spacing w:after="0" w:line="75" w:lineRule="exact"/>
        <w:rPr>
          <w:rFonts w:ascii="Arial" w:cs="Arial" w:eastAsia="Arial" w:hAnsi="Arial"/>
          <w:sz w:val="18"/>
          <w:szCs w:val="18"/>
          <w:color w:val="auto"/>
        </w:rPr>
      </w:pPr>
    </w:p>
    <w:p>
      <w:pPr>
        <w:ind w:left="860" w:right="480" w:hanging="224"/>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its ability to obtain additional financing for working capital, capital expenditures, general corporate and other purposes may be limited.</w:t>
      </w:r>
    </w:p>
    <w:p>
      <w:pPr>
        <w:spacing w:after="0" w:line="237"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If Texas Instruments Incorporated is unable to generate sufficient cash flow from operations in the future to service its debt, it may be required, among other things:</w:t>
      </w:r>
    </w:p>
    <w:p>
      <w:pPr>
        <w:spacing w:after="0" w:line="76" w:lineRule="exact"/>
        <w:rPr>
          <w:sz w:val="20"/>
          <w:szCs w:val="20"/>
          <w:color w:val="auto"/>
        </w:rPr>
      </w:pPr>
    </w:p>
    <w:p>
      <w:pPr>
        <w:ind w:left="640"/>
        <w:spacing w:after="0"/>
        <w:tabs>
          <w:tab w:leader="none" w:pos="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seek additional financing in the debt or equity markets;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11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60"/>
          </w:cols>
          <w:pgMar w:left="24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anticipate that we will receive net proceeds of approximately $745 million from this offering after underwriting discounts and other estimated expenses. We expect to use the net proceeds of this offering for general corporate purposes, including to replenish our cash on hand following the expected repayment of $500 million principal amount of our 1.75% Notes due May 1, 2020. Initially we intend to invest the net proceeds of this offering in certificates of deposit, United States government securities and certain other interest-bearing securities.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December 31, 2019. Our consolidated capitalization, as adjusted, gives effect to the issuance of the Notes offered by this prospectus supplement and the expected repayment of $500 million aggregate principal amount of our 1.75% Notes due May 1, 2020. This table should be read in conjunction with our consolidated financial statements and the related notes incorporated by reference into this prospectus supplement and the accompanying prospectus.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42"/>
        </w:trPr>
        <w:tc>
          <w:tcPr>
            <w:tcW w:w="8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8"/>
              </w:rPr>
              <w:t>Actual</w:t>
            </w: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40" w:type="dxa"/>
            <w:vAlign w:val="bottom"/>
            <w:gridSpan w:val="3"/>
            <w:vMerge w:val="restart"/>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Notes offered hereby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340"/>
              <w:spacing w:after="0"/>
              <w:rPr>
                <w:sz w:val="20"/>
                <w:szCs w:val="20"/>
                <w:color w:val="auto"/>
              </w:rPr>
            </w:pPr>
            <w:r>
              <w:rPr>
                <w:rFonts w:ascii="Arial" w:cs="Arial" w:eastAsia="Arial" w:hAnsi="Arial"/>
                <w:sz w:val="18"/>
                <w:szCs w:val="18"/>
                <w:color w:val="auto"/>
              </w:rPr>
              <w:t>Other long-term debt</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5,303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long-term debt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$25 par value. Authorized—10,000,000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700"/>
              <w:spacing w:after="0"/>
              <w:rPr>
                <w:sz w:val="20"/>
                <w:szCs w:val="20"/>
                <w:color w:val="auto"/>
              </w:rPr>
            </w:pPr>
            <w:r>
              <w:rPr>
                <w:rFonts w:ascii="Arial" w:cs="Arial" w:eastAsia="Arial" w:hAnsi="Arial"/>
                <w:sz w:val="18"/>
                <w:szCs w:val="18"/>
                <w:color w:val="auto"/>
              </w:rPr>
              <w:t>Participating cumulative preferred. None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stock, $1 par value. Authorized—2,400,000,000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700"/>
              <w:spacing w:after="0"/>
              <w:rPr>
                <w:sz w:val="20"/>
                <w:szCs w:val="20"/>
                <w:color w:val="auto"/>
              </w:rPr>
            </w:pPr>
            <w:r>
              <w:rPr>
                <w:rFonts w:ascii="Arial" w:cs="Arial" w:eastAsia="Arial" w:hAnsi="Arial"/>
                <w:sz w:val="18"/>
                <w:szCs w:val="18"/>
                <w:color w:val="auto"/>
              </w:rPr>
              <w:t>Shares issued—1,740,815,939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39,898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39,898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Treasury common stock at cost (808,784,381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(34,495)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income (loss), net of taxes (AOCI)</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ind w:left="106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14,210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7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Notes offered hereby are shown at the amount of the public offering price, less offering expenses (including underwriting discounts).</w:t>
      </w:r>
    </w:p>
    <w:p>
      <w:pPr>
        <w:spacing w:after="0" w:line="34" w:lineRule="exact"/>
        <w:rPr>
          <w:rFonts w:ascii="Arial" w:cs="Arial" w:eastAsia="Arial" w:hAnsi="Arial"/>
          <w:sz w:val="17"/>
          <w:szCs w:val="17"/>
          <w:color w:val="auto"/>
        </w:rPr>
      </w:pPr>
    </w:p>
    <w:p>
      <w:pPr>
        <w:ind w:left="640" w:right="300" w:hanging="436"/>
        <w:spacing w:after="0" w:line="261"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$5.9 billion of our existing outstanding notes less net unamortized discounts, premiums and debt issuance costs of $47 million, less $500 million representing the current portion of long-term debt.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Notes will mature on March 12, 2025. The Notes will be issued in book-entry form only, in denominations of $2,000 and multiples of $1,000 in excess thereof. Interest on the Notes will accrue from March 12, 2020 at the rate per annum shown on the cover of this prospectus supplement. Interest on the Notes will be payable semi-annually on March 12 and September 12, commencing on September 12, 2020 to the persons in whose names the Notes are registered at the close of business on the 15</w:t>
      </w:r>
      <w:r>
        <w:rPr>
          <w:rFonts w:ascii="Arial" w:cs="Arial" w:eastAsia="Arial" w:hAnsi="Arial"/>
          <w:sz w:val="15"/>
          <w:szCs w:val="15"/>
          <w:color w:val="auto"/>
        </w:rPr>
        <w:t>th</w:t>
      </w:r>
      <w:r>
        <w:rPr>
          <w:rFonts w:ascii="Arial" w:cs="Arial" w:eastAsia="Arial" w:hAnsi="Arial"/>
          <w:sz w:val="18"/>
          <w:szCs w:val="18"/>
          <w:color w:val="auto"/>
        </w:rPr>
        <w:t xml:space="preserve"> calendar day preceding the relevant interest payment date. Interest on the Notes will be paid to but excluding the relevant interest payment date. Interest on the Notes will be calculated on the basis of a 360-day year comprised of twelve 30-day months.</w:t>
      </w:r>
    </w:p>
    <w:p>
      <w:pPr>
        <w:spacing w:after="0" w:line="19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8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December 31, 2019, Texas Instruments Incorporated had approximately $5.8 billion of outstanding indebtedness. As of December 31, 2019, we had approximately $9.1 billion of total liabilities on a consolidated basis. Of this amount, subsidiaries of Texas Instruments Incorporated had approximately $0.9 billion of liabilities (including trade payables and excluding intercompany debt) to which the Notes will be effectively subordinated.</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an as adjusted basis after giving effect to this offering and the expected repayment of our 1.75% Notes due May 1, 2020, as of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2019:</w:t>
      </w:r>
    </w:p>
    <w:p>
      <w:pPr>
        <w:spacing w:after="0" w:line="116" w:lineRule="exact"/>
        <w:rPr>
          <w:sz w:val="20"/>
          <w:szCs w:val="20"/>
          <w:color w:val="auto"/>
        </w:rPr>
      </w:pPr>
    </w:p>
    <w:p>
      <w:pPr>
        <w:ind w:left="860" w:right="140" w:hanging="224"/>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$6.0 billion of total long-term indebtedness (including the Notes), all of which would constitute senior and unsubordinated indebtedness;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would have had approximately $9.4 billion of total liabilities on a consolidated basis;</w:t>
      </w:r>
    </w:p>
    <w:p>
      <w:pPr>
        <w:spacing w:after="0" w:line="130" w:lineRule="exact"/>
        <w:rPr>
          <w:rFonts w:ascii="Arial" w:cs="Arial" w:eastAsia="Arial" w:hAnsi="Arial"/>
          <w:sz w:val="18"/>
          <w:szCs w:val="18"/>
          <w:color w:val="auto"/>
        </w:rPr>
      </w:pPr>
    </w:p>
    <w:p>
      <w:pPr>
        <w:ind w:left="860" w:right="260" w:hanging="224"/>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 would not have had any secured indebtedness to which the Notes would have been effectively subordinated; and</w:t>
      </w:r>
    </w:p>
    <w:p>
      <w:pPr>
        <w:spacing w:after="0" w:line="75" w:lineRule="exact"/>
        <w:rPr>
          <w:rFonts w:ascii="Arial" w:cs="Arial" w:eastAsia="Arial" w:hAnsi="Arial"/>
          <w:sz w:val="18"/>
          <w:szCs w:val="18"/>
          <w:color w:val="auto"/>
        </w:rPr>
      </w:pPr>
    </w:p>
    <w:p>
      <w:pPr>
        <w:ind w:left="860" w:right="120" w:hanging="224"/>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Incorporated’s subsidiaries would have had approximately $0.9 billion of liabilities (including trade payables but excluding intercompany debt) to which the Notes would have been structurally subordinated.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Additional Notes</w:t>
      </w:r>
    </w:p>
    <w:p>
      <w:pPr>
        <w:spacing w:after="0" w:line="12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Texas Instruments Incorporated may, without the consent of the holders, increase the principal amount of Notes by issuing additional Notes in the future on the same terms and conditions, except for any differences in the issue price and interest accrued prior to the issue date of the additional Notes. The additional Notes will have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the same CUSIP number as the Notes; provided that any additional Notes that are not fungible with the Notes for U.S. federal income tax purposes will be issued under a separate CUSIP number. Texas Instruments Incorporated also may, without the consent of the holders, issue other series of debt securities under the indenture in the future on terms and conditions different from the series of Notes offered hereby.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Prior to February 12, 2025 (the date that is one month prior to the maturity date of the Notes), the Notes will be redeemable, in whole or in part at any time, or from time to time, at Texas Instruments Incorporated’s option, at a “make-whole premium” redemption price calculated by Texas Instruments Incorporated equal to the greater of:</w:t>
      </w:r>
    </w:p>
    <w:p>
      <w:pPr>
        <w:spacing w:after="0" w:line="73" w:lineRule="exact"/>
        <w:rPr>
          <w:sz w:val="20"/>
          <w:szCs w:val="20"/>
          <w:color w:val="auto"/>
        </w:rPr>
      </w:pPr>
    </w:p>
    <w:p>
      <w:pPr>
        <w:ind w:left="1280" w:hanging="212"/>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7" w:lineRule="exact"/>
        <w:rPr>
          <w:rFonts w:ascii="Arial" w:cs="Arial" w:eastAsia="Arial" w:hAnsi="Arial"/>
          <w:sz w:val="18"/>
          <w:szCs w:val="18"/>
          <w:color w:val="auto"/>
        </w:rPr>
      </w:pPr>
    </w:p>
    <w:p>
      <w:pPr>
        <w:jc w:val="both"/>
        <w:ind w:left="640" w:firstLine="428"/>
        <w:spacing w:after="0" w:line="279" w:lineRule="auto"/>
        <w:tabs>
          <w:tab w:leader="none" w:pos="132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sum of the present values of the principal amount of such Notes and the scheduled payments of interest thereon (not including any portion of such payments of interest accrued as of the date of redemption) from the date of redemption to February 12, 2025 (the date that is one month prior to the maturity date of the Notes), in each case discounted to the date of redemption on a semi-annual basis (assuming a 360-day year consisting of twelve 30-day months) at the Treasury Rate (as defined below), plus 10 basis points;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At any time on or after February 12, 2025 (the date that is one month prior to the maturity date of the Notes), the Notes 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8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225"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66"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225"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“Reference Treasury Dealer” means (i) BofA Securities, Inc. (or its affiliate that is a Primary Treasury Dealer) and a Primary Treasury Dealer selected by MUFG Securities Americas Inc.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60"/>
          </w:cols>
          <w:pgMar w:left="24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7" w:lineRule="exact"/>
        <w:rPr>
          <w:sz w:val="20"/>
          <w:szCs w:val="20"/>
          <w:color w:val="auto"/>
        </w:rPr>
      </w:pPr>
    </w:p>
    <w:p>
      <w:pPr>
        <w:ind w:left="200" w:right="500" w:firstLine="441"/>
        <w:spacing w:after="0" w:line="26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Notice of any redemption will be mailed at least 15 days but not more than 60 days before the redemption date to each holder of the Notes to be redeemed. Notice of any redemption of Notes may, at our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73"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will not be entitled to any sinking fund.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event of default for the Notes is defined under the indenture as being:</w:t>
      </w:r>
    </w:p>
    <w:p>
      <w:pPr>
        <w:spacing w:after="0" w:line="131" w:lineRule="exact"/>
        <w:rPr>
          <w:sz w:val="20"/>
          <w:szCs w:val="20"/>
          <w:color w:val="auto"/>
        </w:rPr>
      </w:pPr>
    </w:p>
    <w:p>
      <w:pPr>
        <w:ind w:left="860" w:right="20" w:hanging="224"/>
        <w:spacing w:after="0" w:line="342"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29" w:lineRule="exact"/>
        <w:rPr>
          <w:rFonts w:ascii="Arial" w:cs="Arial" w:eastAsia="Arial" w:hAnsi="Arial"/>
          <w:sz w:val="16"/>
          <w:szCs w:val="16"/>
          <w:color w:val="auto"/>
        </w:rPr>
      </w:pPr>
    </w:p>
    <w:p>
      <w:pPr>
        <w:ind w:left="860" w:right="60" w:hanging="224"/>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the Notes when due and payable, if that default continues for a period of 30 days;</w:t>
      </w:r>
    </w:p>
    <w:p>
      <w:pPr>
        <w:spacing w:after="0" w:line="75" w:lineRule="exact"/>
        <w:rPr>
          <w:rFonts w:ascii="Arial" w:cs="Arial" w:eastAsia="Arial" w:hAnsi="Arial"/>
          <w:sz w:val="18"/>
          <w:szCs w:val="18"/>
          <w:color w:val="auto"/>
        </w:rPr>
      </w:pPr>
    </w:p>
    <w:p>
      <w:pPr>
        <w:ind w:left="860" w:hanging="224"/>
        <w:spacing w:after="0" w:line="302"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Texas Instruments Incorporated’s default in the performance of or breach of any of its other covenants or agreements in the indenture applicable to the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and any other series of debt securities affected thereby then outstanding;</w:t>
      </w:r>
    </w:p>
    <w:p>
      <w:pPr>
        <w:spacing w:after="0" w:line="59" w:lineRule="exact"/>
        <w:rPr>
          <w:rFonts w:ascii="Arial" w:cs="Arial" w:eastAsia="Arial" w:hAnsi="Arial"/>
          <w:sz w:val="16"/>
          <w:szCs w:val="16"/>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620" w:right="440" w:hanging="430"/>
        <w:spacing w:after="0" w:line="277"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120" w:hanging="430"/>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commences a voluntary case under any applicable bankruptcy, insolvency, or other similar law now or hereafter in effect,</w:t>
      </w:r>
    </w:p>
    <w:p>
      <w:pPr>
        <w:spacing w:after="0" w:line="142" w:lineRule="exact"/>
        <w:rPr>
          <w:rFonts w:ascii="Arial" w:cs="Arial" w:eastAsia="Arial" w:hAnsi="Arial"/>
          <w:sz w:val="17"/>
          <w:szCs w:val="17"/>
          <w:color w:val="auto"/>
        </w:rPr>
      </w:pPr>
    </w:p>
    <w:p>
      <w:pPr>
        <w:ind w:left="1620" w:hanging="43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130" w:lineRule="exact"/>
        <w:rPr>
          <w:rFonts w:ascii="Arial" w:cs="Arial" w:eastAsia="Arial" w:hAnsi="Arial"/>
          <w:sz w:val="18"/>
          <w:szCs w:val="18"/>
          <w:color w:val="auto"/>
        </w:rPr>
      </w:pPr>
    </w:p>
    <w:p>
      <w:pPr>
        <w:ind w:left="1620" w:right="340" w:hanging="430"/>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2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7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the Notes and is continuing under the indenture, then, and in each and every such case, either the trustee or the holders of not less than 25% in aggregate principal amount of the Notes then outstanding under the indenture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8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8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w:t>
      </w:r>
    </w:p>
    <w:p>
      <w:pPr>
        <w:spacing w:after="0" w:line="17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6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The holders of at least a majority in aggregate principal amount of the Notes may direct the time, method, and place of conducting any proceeding for any remedy available to the trustee or exercising any trust or power conferred on the trustee with respect to the Notes. However, the trustee may refuse to follow any direction that conflicts with law or the indenture, that may involve the trustee in personal liability, or that the trustee determines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40"/>
        <w:spacing w:after="0" w:line="264" w:lineRule="auto"/>
        <w:rPr>
          <w:sz w:val="20"/>
          <w:szCs w:val="20"/>
          <w:color w:val="auto"/>
        </w:rPr>
      </w:pPr>
      <w:r>
        <w:rPr>
          <w:rFonts w:ascii="Arial" w:cs="Arial" w:eastAsia="Arial" w:hAnsi="Arial"/>
          <w:sz w:val="18"/>
          <w:szCs w:val="18"/>
          <w:color w:val="auto"/>
        </w:rPr>
        <w:t>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the Notes unless:</w:t>
      </w:r>
    </w:p>
    <w:p>
      <w:pPr>
        <w:spacing w:after="0" w:line="87" w:lineRule="exact"/>
        <w:rPr>
          <w:sz w:val="20"/>
          <w:szCs w:val="20"/>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860" w:right="120" w:hanging="224"/>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Notes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860" w:right="500" w:hanging="224"/>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Notes do not give the trustee a direction that is inconsistent with the request.</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Notes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93"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7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70" w:lineRule="exact"/>
        <w:rPr>
          <w:sz w:val="20"/>
          <w:szCs w:val="20"/>
          <w:color w:val="auto"/>
        </w:rPr>
      </w:pPr>
    </w:p>
    <w:p>
      <w:pPr>
        <w:ind w:left="200" w:right="500" w:firstLine="441"/>
        <w:spacing w:after="0" w:line="264" w:lineRule="auto"/>
        <w:rPr>
          <w:sz w:val="20"/>
          <w:szCs w:val="20"/>
          <w:color w:val="auto"/>
        </w:rPr>
      </w:pPr>
      <w:r>
        <w:rPr>
          <w:rFonts w:ascii="Arial" w:cs="Arial" w:eastAsia="Arial" w:hAnsi="Arial"/>
          <w:sz w:val="18"/>
          <w:szCs w:val="18"/>
          <w:color w:val="auto"/>
        </w:rPr>
        <w:t>Upon the issuance of a registered global note, the depositary will credit, on its book-entry registration and transfer system, the participants’ accounts with the respective principal or face amounts of the Notes beneficially owned by the participants. Any dealers, underwriters or agents participating in the distribution of the Notes will</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60"/>
          </w:cols>
          <w:pgMar w:left="24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1"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So long as the depositary, or its nominee, is the registered owner of a registered global note, that depositary or its nominee, as the case may be, will be considered the sole owner or holder of the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83" w:lineRule="exact"/>
        <w:rPr>
          <w:sz w:val="20"/>
          <w:szCs w:val="20"/>
          <w:color w:val="auto"/>
        </w:rPr>
      </w:pPr>
    </w:p>
    <w:p>
      <w:pPr>
        <w:jc w:val="both"/>
        <w:ind w:left="200" w:right="320" w:firstLine="441"/>
        <w:spacing w:after="0" w:line="259"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20"/>
        <w:spacing w:after="0" w:line="264" w:lineRule="auto"/>
        <w:rPr>
          <w:sz w:val="20"/>
          <w:szCs w:val="20"/>
          <w:color w:val="auto"/>
        </w:rPr>
      </w:pPr>
      <w:r>
        <w:rPr>
          <w:rFonts w:ascii="Arial" w:cs="Arial" w:eastAsia="Arial" w:hAnsi="Arial"/>
          <w:sz w:val="18"/>
          <w:szCs w:val="18"/>
          <w:color w:val="auto"/>
        </w:rPr>
        <w:t>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65"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7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73"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shall no longer be represented by a global note and will issue Notes in definitive form in exchange for such global note pursuant to the procedure described above.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w:t>
      </w:r>
    </w:p>
    <w:p>
      <w:pPr>
        <w:spacing w:after="0" w:line="185"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auto"/>
        </w:rPr>
        <w:t>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7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for the Notes.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left="200" w:right="340" w:firstLine="441"/>
        <w:spacing w:after="0" w:line="308" w:lineRule="auto"/>
        <w:rPr>
          <w:sz w:val="20"/>
          <w:szCs w:val="20"/>
          <w:color w:val="auto"/>
        </w:rPr>
      </w:pPr>
      <w:r>
        <w:rPr>
          <w:rFonts w:ascii="Arial" w:cs="Arial" w:eastAsia="Arial" w:hAnsi="Arial"/>
          <w:sz w:val="17"/>
          <w:szCs w:val="17"/>
          <w:color w:val="auto"/>
        </w:rPr>
        <w:t>We maintain ordinary banking relationships with the trustee and its affiliates and in the future may enter into additional such relationships. An affiliate of the trustee is a lender under our credit facility and an affiliate of the trustee is an underwriter of this offering.</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i w:val="1"/>
          <w:iCs w:val="1"/>
          <w:color w:val="auto"/>
        </w:rPr>
        <w:t>The following are the material U.S. federal income tax consequences of owning and disposing of Notes purchased in this offering at the “issue price,” which we assume will be the applicable public offering price indicated on the cover of this prospectus supplement, and held as capital assets for U.S. federal income tax purposes.</w:t>
      </w:r>
    </w:p>
    <w:p>
      <w:pPr>
        <w:spacing w:after="0" w:line="181" w:lineRule="exact"/>
        <w:rPr>
          <w:sz w:val="20"/>
          <w:szCs w:val="20"/>
          <w:color w:val="auto"/>
        </w:rPr>
      </w:pPr>
    </w:p>
    <w:p>
      <w:pPr>
        <w:ind w:left="200" w:right="440" w:firstLine="441"/>
        <w:spacing w:after="0" w:line="308" w:lineRule="auto"/>
        <w:rPr>
          <w:sz w:val="20"/>
          <w:szCs w:val="20"/>
          <w:color w:val="auto"/>
        </w:rPr>
      </w:pPr>
      <w:r>
        <w:rPr>
          <w:rFonts w:ascii="Arial" w:cs="Arial" w:eastAsia="Arial" w:hAnsi="Arial"/>
          <w:sz w:val="17"/>
          <w:szCs w:val="17"/>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52" w:lineRule="exact"/>
        <w:rPr>
          <w:sz w:val="20"/>
          <w:szCs w:val="20"/>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dealer or trader in securities that uses a mark-to-market method of tax accounting;</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860" w:right="460" w:hanging="224"/>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70" w:lineRule="exact"/>
        <w:rPr>
          <w:sz w:val="20"/>
          <w:szCs w:val="20"/>
          <w:color w:val="auto"/>
        </w:rPr>
      </w:pPr>
    </w:p>
    <w:p>
      <w:pPr>
        <w:jc w:val="both"/>
        <w:ind w:left="200" w:right="120" w:firstLine="441"/>
        <w:spacing w:after="0" w:line="342" w:lineRule="auto"/>
        <w:rPr>
          <w:sz w:val="20"/>
          <w:szCs w:val="20"/>
          <w:color w:val="auto"/>
        </w:rPr>
      </w:pPr>
      <w:r>
        <w:rPr>
          <w:rFonts w:ascii="Arial" w:cs="Arial" w:eastAsia="Arial" w:hAnsi="Arial"/>
          <w:sz w:val="16"/>
          <w:szCs w:val="16"/>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w:t>
      </w:r>
    </w:p>
    <w:p>
      <w:pPr>
        <w:spacing w:after="0" w:line="124"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section applies to you if you are a U.S. Holder. You are a U.S. Holder if for U.S. federal income tax purposes you are a beneficial owner of a</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and are:</w:t>
      </w:r>
    </w:p>
    <w:p>
      <w:pPr>
        <w:spacing w:after="0" w:line="116" w:lineRule="exact"/>
        <w:rPr>
          <w:sz w:val="20"/>
          <w:szCs w:val="20"/>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860" w:right="280" w:hanging="224"/>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Stated interest on a Note will be taxable to you as ordinary interest income at the time it accrues or is received, in accordance with your method of accounting for U.S. federal income tax purposes. It is expected, and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discussion assumes, that the Notes will be issued without original issue discount for U.S. federal income tax purposes.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 corporate U.S. Holders may be subject to reduced tax rates. The deductibility of capital losses is subject to limitations.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This section applies to you if are a Non-U.S. Holder. You are a Non-U.S. Holder if for U.S. federal income tax purposes you are a beneficial owner of a Note and are:</w:t>
      </w:r>
    </w:p>
    <w:p>
      <w:pPr>
        <w:spacing w:after="0" w:line="76" w:lineRule="exact"/>
        <w:rPr>
          <w:sz w:val="20"/>
          <w:szCs w:val="20"/>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117"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Subject to the discussion below under “—Backup Withholding and Information Reporting” and “FATCA Legislation,” payments of principal and interest on the Notes to you will not be subject to U.S. federal income or withholding tax, provided that, in the case of interest,</w:t>
      </w:r>
    </w:p>
    <w:p>
      <w:pPr>
        <w:spacing w:after="0" w:line="52" w:lineRule="exact"/>
        <w:rPr>
          <w:sz w:val="20"/>
          <w:szCs w:val="20"/>
          <w:color w:val="auto"/>
        </w:rPr>
      </w:pPr>
    </w:p>
    <w:p>
      <w:pPr>
        <w:ind w:left="860" w:hanging="224"/>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you do not own, actually or constructively, ten percent or more of the total combined voting power of all classes of our stock entitled to vote;</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30" w:lineRule="exact"/>
        <w:rPr>
          <w:rFonts w:ascii="Arial" w:cs="Arial" w:eastAsia="Arial" w:hAnsi="Arial"/>
          <w:sz w:val="18"/>
          <w:szCs w:val="18"/>
          <w:color w:val="auto"/>
        </w:rPr>
      </w:pPr>
    </w:p>
    <w:p>
      <w:pPr>
        <w:ind w:left="860" w:right="160" w:hanging="224"/>
        <w:spacing w:after="0" w:line="342"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it is not effectively connected with your conduct of a trade or business in the United States as described below.</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Subject to the discussion below under “—Backup Withholding and Information Reporting” and “FATCA Legislation,”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Provisions commonly referred to as “FATCA” impose withholding of 30% on payments of interest on the Notes, as well as of gross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In addition,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BofA Securities, Inc. and MUFG Securities Americas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w w:val="97"/>
              </w:rPr>
              <w:t>Principal Amount of</w:t>
            </w:r>
          </w:p>
        </w:tc>
        <w:tc>
          <w:tcPr>
            <w:tcW w:w="0" w:type="dxa"/>
            <w:vAlign w:val="bottom"/>
          </w:tcPr>
          <w:p>
            <w:pPr>
              <w:spacing w:after="0"/>
              <w:rPr>
                <w:sz w:val="1"/>
                <w:szCs w:val="1"/>
                <w:color w:val="auto"/>
              </w:rPr>
            </w:pPr>
          </w:p>
        </w:tc>
      </w:tr>
      <w:tr>
        <w:trPr>
          <w:trHeight w:val="158"/>
        </w:trPr>
        <w:tc>
          <w:tcPr>
            <w:tcW w:w="97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8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187,500,000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Siebert Williams Shank &amp; Co., LLC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4" w:lineRule="exact"/>
        <w:rPr>
          <w:sz w:val="20"/>
          <w:szCs w:val="20"/>
          <w:color w:val="auto"/>
        </w:rPr>
      </w:pPr>
    </w:p>
    <w:p>
      <w:pPr>
        <w:ind w:left="200" w:right="420" w:firstLine="441"/>
        <w:spacing w:after="0" w:line="291" w:lineRule="auto"/>
        <w:rPr>
          <w:sz w:val="20"/>
          <w:szCs w:val="20"/>
          <w:color w:val="auto"/>
        </w:rPr>
      </w:pPr>
      <w:r>
        <w:rPr>
          <w:rFonts w:ascii="Arial" w:cs="Arial" w:eastAsia="Arial" w:hAnsi="Arial"/>
          <w:sz w:val="16"/>
          <w:szCs w:val="16"/>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w:t>
      </w:r>
    </w:p>
    <w:p>
      <w:pPr>
        <w:ind w:left="200" w:right="380"/>
        <w:spacing w:after="0" w:line="255" w:lineRule="auto"/>
        <w:rPr>
          <w:sz w:val="20"/>
          <w:szCs w:val="20"/>
          <w:color w:val="auto"/>
        </w:rPr>
      </w:pPr>
      <w:r>
        <w:rPr>
          <w:rFonts w:ascii="Arial" w:cs="Arial" w:eastAsia="Arial" w:hAnsi="Arial"/>
          <w:sz w:val="18"/>
          <w:szCs w:val="18"/>
          <w:color w:val="auto"/>
        </w:rPr>
        <w:t>0.200% per Note. Any such securities dealers may resell any Notes purchased from the underwriters to certain other brokers or dealers at a discount from the initial public offering price not to exceed 0.150% per Note. If all the Notes are not sold at the initial offering price, the underwriters may change the offering price and the other selling terms.</w:t>
      </w:r>
    </w:p>
    <w:p>
      <w:pPr>
        <w:spacing w:after="0" w:line="190"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89" w:lineRule="exact"/>
        <w:rPr>
          <w:sz w:val="20"/>
          <w:szCs w:val="20"/>
          <w:color w:val="auto"/>
        </w:rPr>
      </w:pPr>
    </w:p>
    <w:p>
      <w:pPr>
        <w:ind w:left="10180"/>
        <w:spacing w:after="0"/>
        <w:rPr>
          <w:sz w:val="20"/>
          <w:szCs w:val="20"/>
          <w:color w:val="auto"/>
        </w:rPr>
      </w:pPr>
      <w:r>
        <w:rPr>
          <w:rFonts w:ascii="Arial" w:cs="Arial" w:eastAsia="Arial" w:hAnsi="Arial"/>
          <w:sz w:val="14"/>
          <w:szCs w:val="14"/>
          <w:b w:val="1"/>
          <w:bCs w:val="1"/>
          <w:color w:val="auto"/>
        </w:rPr>
        <w:t>Paid by Texas</w:t>
      </w:r>
    </w:p>
    <w:p>
      <w:pPr>
        <w:ind w:left="10220"/>
        <w:spacing w:after="0" w:line="226" w:lineRule="auto"/>
        <w:rPr>
          <w:sz w:val="20"/>
          <w:szCs w:val="20"/>
          <w:color w:val="auto"/>
        </w:rPr>
      </w:pPr>
      <w:r>
        <w:rPr>
          <w:rFonts w:ascii="Arial" w:cs="Arial" w:eastAsia="Arial" w:hAnsi="Arial"/>
          <w:sz w:val="14"/>
          <w:szCs w:val="14"/>
          <w:b w:val="1"/>
          <w:bCs w:val="1"/>
          <w:color w:val="auto"/>
        </w:rPr>
        <w:t>Instruments</w:t>
      </w:r>
    </w:p>
    <w:p>
      <w:pPr>
        <w:ind w:left="10180"/>
        <w:spacing w:after="0" w:line="232" w:lineRule="auto"/>
        <w:rPr>
          <w:sz w:val="20"/>
          <w:szCs w:val="20"/>
          <w:color w:val="auto"/>
        </w:rPr>
      </w:pPr>
      <w:r>
        <w:rPr>
          <w:rFonts w:ascii="Arial" w:cs="Arial" w:eastAsia="Arial" w:hAnsi="Arial"/>
          <w:sz w:val="14"/>
          <w:szCs w:val="14"/>
          <w:b w:val="1"/>
          <w:bCs w:val="1"/>
          <w:color w:val="auto"/>
        </w:rPr>
        <w:t>Incorporated</w:t>
      </w:r>
    </w:p>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9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w:t>
            </w: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960" w:type="dxa"/>
            <w:vAlign w:val="bottom"/>
            <w:vMerge w:val="continue"/>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0.350%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estimate that our total expenses for this offering will be approximately $4 million, including underwriting discounts.</w:t>
      </w:r>
    </w:p>
    <w:p>
      <w:pPr>
        <w:spacing w:after="0" w:line="225"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76" w:lineRule="exact"/>
        <w:rPr>
          <w:sz w:val="20"/>
          <w:szCs w:val="20"/>
          <w:color w:val="auto"/>
        </w:rPr>
      </w:pPr>
    </w:p>
    <w:p>
      <w:pPr>
        <w:ind w:left="860" w:right="500" w:hanging="224"/>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this offering.</w:t>
      </w:r>
    </w:p>
    <w:p>
      <w:pPr>
        <w:spacing w:after="0" w:line="75" w:lineRule="exact"/>
        <w:rPr>
          <w:rFonts w:ascii="Arial" w:cs="Arial" w:eastAsia="Arial" w:hAnsi="Arial"/>
          <w:sz w:val="18"/>
          <w:szCs w:val="18"/>
          <w:color w:val="auto"/>
        </w:rPr>
      </w:pPr>
    </w:p>
    <w:p>
      <w:pPr>
        <w:ind w:left="860" w:right="540" w:hanging="224"/>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w:t>
      </w:r>
    </w:p>
    <w:p>
      <w:pPr>
        <w:spacing w:after="0" w:line="75" w:lineRule="exact"/>
        <w:rPr>
          <w:rFonts w:ascii="Arial" w:cs="Arial" w:eastAsia="Arial" w:hAnsi="Arial"/>
          <w:sz w:val="18"/>
          <w:szCs w:val="18"/>
          <w:color w:val="auto"/>
        </w:rPr>
      </w:pPr>
    </w:p>
    <w:p>
      <w:pPr>
        <w:ind w:left="860" w:right="280" w:hanging="224"/>
        <w:spacing w:after="0" w:line="264"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 Purchases to cover short positions and stabilizing purchases, as well as other purchases by the underwriters for their own accounts, may have the effect of preventing or retarding a decline in the market price of the Notes.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54"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expect to deliver the Notes against payment for the Notes on or about the date specified in the last paragraph of the cover page of this prospectus supplement, which will be the seventh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T+7, to specify alternative settlement arrangements to prevent a failed settlement.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 In addition, an affiliate of one of the underwriters is the trustee for the Notes and our other debt securities outstanding under the indenture.</w:t>
      </w:r>
    </w:p>
    <w:p>
      <w:pPr>
        <w:spacing w:after="0" w:line="17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(“EEA”) or in the United Kingdom (the “UK”). For these purposes, a retail investor means a person who is one (or more) of: (i) a retail client as defined in point (11) of Article 4(1) of Directive 2014/65/EU (as amended, “MiFID II”); or (ii) a customer within the meaning of Directive (EU) 2016/97, where that customer would not qualify as a professional client as defined in point (10) of Article 4(1) of MiFID II; or (iii) not a qualified investor as defined in Regulation</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3" w:lineRule="auto"/>
        <w:rPr>
          <w:sz w:val="20"/>
          <w:szCs w:val="20"/>
          <w:color w:val="auto"/>
        </w:rPr>
      </w:pPr>
      <w:r>
        <w:rPr>
          <w:rFonts w:ascii="Arial" w:cs="Arial" w:eastAsia="Arial" w:hAnsi="Arial"/>
          <w:sz w:val="17"/>
          <w:szCs w:val="17"/>
          <w:color w:val="auto"/>
        </w:rPr>
        <w:t>(EU) 2017/1129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has been prepared on the basis that any offer of Notes in any Member State of the EEA or in the UK will be made pursuant to an exemption under the Prospectus Regulation from the requirement to publish a prospectus for offers of Notes. This prospectus is not a prospectus for the purposes of the Prospectus Regulation.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who are (i) persons having professional experience in matters relating to investments falling within Article 19(5) of the Financial Services and Markets Act 2000 (Financial Promotion) Order 2005, as amended (the “Order”), or (ii) high net worth entities, companies or persons to whom it may otherwise be lawfully communicated, falling within Article 49(2)(a) to (d) of the Order, or (iii) persons to whom it would otherwise be lawful to distribute it, all such persons collectively being referred to as “relevant persons”. This document must not be acted on or relied on in the United Kingdom by persons who are not relevant persons. In the United Kingdom, any investment or investment activity to which this document relates is only available to, and any invitation, offer or agreement to subscribe, purchase or otherwise acquire such Notes will be engaged in only with, relevant persons. Any person in the United Kingdom that is not a relevant person should not act or rely on this document or its contents.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83"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b w:val="1"/>
          <w:bCs w:val="1"/>
          <w:color w:val="auto"/>
        </w:rPr>
        <w:t xml:space="preserve">Canadian investors are advised that this document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 this document is exempt from the requirement to provide investors with certain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conflicts of interest disclosure pertaining to “connected issuer” and/or “related issuer” relationships as would otherwise be required pursuant to subsection 2.1(1) of NI 33-105.</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Each Canadian investor who purchases the Notes will be deemed to have represented to the issuer and to each dealer from whom a purchase confirmation is received, as applicable, that the investor (i) is purchasing as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spacing w:after="0" w:line="279" w:lineRule="auto"/>
        <w:rPr>
          <w:sz w:val="20"/>
          <w:szCs w:val="20"/>
          <w:color w:val="auto"/>
        </w:rPr>
      </w:pPr>
      <w:r>
        <w:rPr>
          <w:rFonts w:ascii="Arial" w:cs="Arial" w:eastAsia="Arial" w:hAnsi="Arial"/>
          <w:sz w:val="17"/>
          <w:szCs w:val="17"/>
          <w:color w:val="auto"/>
        </w:rPr>
        <w:t xml:space="preserve">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(“NI 45-106”) or, in Ontario, as such term is defined in section 73.3(1) of the Securities Act (Ontario); and (iii) is a “permitted client” as such term is defined in section 1.1 of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6"/>
          <w:szCs w:val="16"/>
          <w:i w:val="1"/>
          <w:iCs w:val="1"/>
          <w:color w:val="auto"/>
        </w:rPr>
        <w:t>Ontario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Prospectus and Registration Exemptions and in Multilateral Instrument </w:t>
      </w:r>
      <w:r>
        <w:rPr>
          <w:rFonts w:ascii="Arial" w:cs="Arial" w:eastAsia="Arial" w:hAnsi="Arial"/>
          <w:sz w:val="16"/>
          <w:szCs w:val="16"/>
          <w:color w:val="auto"/>
        </w:rPr>
        <w:t>45-107</w:t>
      </w:r>
      <w:r>
        <w:rPr>
          <w:rFonts w:ascii="Arial" w:cs="Arial" w:eastAsia="Arial" w:hAnsi="Arial"/>
          <w:sz w:val="16"/>
          <w:szCs w:val="16"/>
          <w:i w:val="1"/>
          <w:iCs w:val="1"/>
          <w:color w:val="auto"/>
        </w:rPr>
        <w:t xml:space="preserve"> Listing Representation and Statutory Rights of Action Disclosure Exemptions</w:t>
      </w:r>
      <w:r>
        <w:rPr>
          <w:rFonts w:ascii="Arial" w:cs="Arial" w:eastAsia="Arial" w:hAnsi="Arial"/>
          <w:sz w:val="16"/>
          <w:szCs w:val="16"/>
          <w:color w:val="auto"/>
        </w:rPr>
        <w:t>, as applicable, with a remedy for damages or rescission, or both, in addition to any other rights they may have at law, where the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 les</w:t>
      </w:r>
      <w:r>
        <w:rPr>
          <w:rFonts w:ascii="Arial" w:cs="Arial" w:eastAsia="Arial" w:hAnsi="Arial"/>
          <w:sz w:val="17"/>
          <w:szCs w:val="17"/>
          <w:color w:val="auto"/>
        </w:rPr>
        <w:t xml:space="preserve"> </w:t>
      </w:r>
      <w:r>
        <w:rPr>
          <w:rFonts w:ascii="Arial" w:cs="Arial" w:eastAsia="Arial" w:hAnsi="Arial"/>
          <w:sz w:val="17"/>
          <w:szCs w:val="17"/>
          <w:i w:val="1"/>
          <w:iCs w:val="1"/>
          <w:color w:val="auto"/>
        </w:rPr>
        <w:t>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The Notes have not been offered or sold and will not be offered or sold, directly or indirectly, to the public in France. Neither this prospectus supplement nor any other offering material relating to the Notes has been or will be:</w:t>
      </w:r>
    </w:p>
    <w:p>
      <w:pPr>
        <w:spacing w:after="0" w:line="60" w:lineRule="exact"/>
        <w:rPr>
          <w:sz w:val="20"/>
          <w:szCs w:val="20"/>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860" w:right="40" w:hanging="224"/>
        <w:spacing w:after="0" w:line="264"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Code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860" w:right="60" w:hanging="224"/>
        <w:spacing w:after="0" w:line="342" w:lineRule="auto"/>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 -or-2° -or 3° of the French Code </w:t>
      </w:r>
      <w:r>
        <w:rPr>
          <w:rFonts w:ascii="Arial" w:cs="Arial" w:eastAsia="Arial" w:hAnsi="Arial"/>
          <w:sz w:val="16"/>
          <w:szCs w:val="16"/>
          <w:i w:val="1"/>
          <w:iCs w:val="1"/>
          <w:color w:val="auto"/>
        </w:rPr>
        <w:t>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àl’épargne</w:t>
      </w:r>
      <w:r>
        <w:rPr>
          <w:rFonts w:ascii="Arial" w:cs="Arial" w:eastAsia="Arial" w:hAnsi="Arial"/>
          <w:sz w:val="16"/>
          <w:szCs w:val="16"/>
          <w:color w:val="auto"/>
        </w:rPr>
        <w:t>).</w:t>
      </w:r>
    </w:p>
    <w:p>
      <w:pPr>
        <w:spacing w:after="0" w:line="124"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860" w:right="100" w:hanging="224"/>
        <w:spacing w:after="0" w:line="308" w:lineRule="auto"/>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640" w:hanging="224"/>
        <w:spacing w:after="0" w:line="277"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7" w:lineRule="exact"/>
        <w:rPr>
          <w:sz w:val="20"/>
          <w:szCs w:val="20"/>
          <w:color w:val="auto"/>
        </w:rPr>
      </w:pPr>
    </w:p>
    <w:p>
      <w:pPr>
        <w:ind w:left="860" w:hanging="224"/>
        <w:spacing w:after="0" w:line="25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93"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8"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b w:val="1"/>
          <w:bCs w:val="1"/>
          <w:i w:val="1"/>
          <w:iCs w:val="1"/>
          <w:color w:val="auto"/>
        </w:rPr>
        <w:t xml:space="preserve">Singapore Securities and Futures Act Product Classification </w:t>
      </w:r>
      <w:r>
        <w:rPr>
          <w:rFonts w:ascii="Arial" w:cs="Arial" w:eastAsia="Arial" w:hAnsi="Arial"/>
          <w:sz w:val="16"/>
          <w:szCs w:val="16"/>
          <w:color w:val="auto"/>
        </w:rPr>
        <w:t>– Solely for the purposes of its obligations pursuant to sections 309B(1)(a)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Investment Products and MAS Notice FAA-N16: Notice on Recommendations on Investment Products).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7"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left="200" w:right="80" w:firstLine="441"/>
        <w:spacing w:after="0" w:line="285" w:lineRule="auto"/>
        <w:rPr>
          <w:sz w:val="20"/>
          <w:szCs w:val="20"/>
          <w:color w:val="auto"/>
        </w:rPr>
      </w:pPr>
      <w:r>
        <w:rPr>
          <w:rFonts w:ascii="Arial" w:cs="Arial" w:eastAsia="Arial" w:hAnsi="Arial"/>
          <w:sz w:val="16"/>
          <w:szCs w:val="16"/>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Plan Investors</w:t>
      </w:r>
    </w:p>
    <w:p>
      <w:pPr>
        <w:spacing w:after="0" w:line="21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Notes may be purchased and held by or with the assets of (i) employee benefit plans subject to Title I of the Employee Retirement Income Security Act of 1974, as amended (“ERISA”), (ii) plans, individual retirement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such employee benefit plans, plans, accounts or arrangements (each of the foregoing, a “Plan”). A fiduciary of a Plan subject to Title I of ERISA must determine that the purchase and holding of a Note is consistent with its fiduciary duties under ERISA. Each purchaser that is a Plan must also determine, and will be deemed to have represented by its purchase and holding of a Note, that such purchase and holding will not constitute or result in a non-exempt prohibited transaction under Section 406 of ERISA or Section 4975 of the Code or violate any Similar Law. Such purchaser or transferee should consult legal counsel before purchasing the Notes. Nothing in this prospectus supplement, or the accompanying prospectus is, or should be construed as, a representation or advice as to whether an investment in the Notes is appropriate for, or would meet any or all of the relevant legal requirements with respect to investments by, Plans generally or any particular Plan.</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60"/>
          </w:cols>
          <w:pgMar w:left="24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2019, and the effectiveness of our internal control over financial reporting as of December 31, 2019, as set forth in their reports, which are incorporated by reference herein. Our financial statements are incorporated by reference in reliance on Ernst &amp; Young LLP’s reports, given on their authority as experts in accounting and auditing.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forms a part and the exhibits and schedules thereto.</w:t>
      </w:r>
    </w:p>
    <w:p>
      <w:pPr>
        <w:spacing w:after="0" w:line="181" w:lineRule="exact"/>
        <w:rPr>
          <w:sz w:val="20"/>
          <w:szCs w:val="20"/>
          <w:color w:val="auto"/>
        </w:rPr>
      </w:pPr>
    </w:p>
    <w:p>
      <w:pPr>
        <w:ind w:left="200" w:right="40" w:firstLine="441"/>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our Annual Report on </w:t>
      </w:r>
      <w:hyperlink r:id="rId48">
        <w:r>
          <w:rPr>
            <w:rFonts w:ascii="Arial" w:cs="Arial" w:eastAsia="Arial" w:hAnsi="Arial"/>
            <w:sz w:val="18"/>
            <w:szCs w:val="18"/>
            <w:u w:val="single" w:color="auto"/>
            <w:color w:val="0000EE"/>
          </w:rPr>
          <w:t>Form 10-K</w:t>
        </w:r>
      </w:hyperlink>
      <w:r>
        <w:rPr>
          <w:rFonts w:ascii="Arial" w:cs="Arial" w:eastAsia="Arial" w:hAnsi="Arial"/>
          <w:sz w:val="18"/>
          <w:szCs w:val="18"/>
          <w:color w:val="auto"/>
        </w:rPr>
        <w:t xml:space="preserve"> for the year ended December 31, 2019, filed on February 20, 2020, our Current Report on </w:t>
      </w:r>
      <w:hyperlink r:id="rId49">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February 20, 2020,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8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172085</wp:posOffset>
            </wp:positionV>
            <wp:extent cx="2864485" cy="660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262255</wp:posOffset>
            </wp:positionV>
            <wp:extent cx="14662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220"/>
          </w:cols>
          <w:pgMar w:left="240" w:top="459" w:right="439" w:bottom="1440" w:gutter="0" w:footer="0" w:header="0"/>
        </w:sectPr>
      </w:pPr>
    </w:p>
    <w:p>
      <w:pPr>
        <w:spacing w:after="0" w:line="7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Warrants</w:t>
      </w:r>
    </w:p>
    <w:p>
      <w:pPr>
        <w:spacing w:after="0" w:line="151" w:lineRule="exact"/>
        <w:rPr>
          <w:sz w:val="20"/>
          <w:szCs w:val="20"/>
          <w:color w:val="auto"/>
        </w:rPr>
      </w:pPr>
    </w:p>
    <w:p>
      <w:pPr>
        <w:sectPr>
          <w:pgSz w:w="11900" w:h="16838" w:orient="portrait"/>
          <w:cols w:equalWidth="0" w:num="4">
            <w:col w:w="260" w:space="280"/>
            <w:col w:w="4580" w:space="720"/>
            <w:col w:w="60" w:space="280"/>
            <w:col w:w="50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Units</w:t>
      </w:r>
    </w:p>
    <w:p>
      <w:pPr>
        <w:spacing w:after="0" w:line="140" w:lineRule="exact"/>
        <w:rPr>
          <w:sz w:val="20"/>
          <w:szCs w:val="20"/>
          <w:color w:val="auto"/>
        </w:rPr>
      </w:pPr>
    </w:p>
    <w:p>
      <w:pPr>
        <w:sectPr>
          <w:pgSz w:w="11900" w:h="16838" w:orient="portrait"/>
          <w:cols w:equalWidth="0" w:num="4">
            <w:col w:w="260" w:space="280"/>
            <w:col w:w="4580" w:space="720"/>
            <w:col w:w="60" w:space="280"/>
            <w:col w:w="5040"/>
          </w:cols>
          <w:pgMar w:left="240" w:top="459" w:right="439" w:bottom="1440" w:gutter="0" w:footer="0" w:header="0"/>
          <w:type w:val="continuous"/>
        </w:sectPr>
      </w:pPr>
    </w:p>
    <w:p>
      <w:pPr>
        <w:ind w:left="540" w:hanging="33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Maturity</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Redemption terms</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Liquidation amount</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Listing on a security exchange</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w w:val="87"/>
              </w:rPr>
              <w:t>Subsidiary guarantees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Currency of payments</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20"/>
              <w:spacing w:after="0"/>
              <w:rPr>
                <w:sz w:val="20"/>
                <w:szCs w:val="20"/>
                <w:color w:val="auto"/>
              </w:rPr>
            </w:pPr>
            <w:r>
              <w:rPr>
                <w:rFonts w:ascii="Arial" w:cs="Arial" w:eastAsia="Arial" w:hAnsi="Arial"/>
                <w:sz w:val="18"/>
                <w:szCs w:val="18"/>
                <w:color w:val="auto"/>
              </w:rPr>
              <w:t>Amount payable at maturity</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Sinking fund terms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Conversion or exchange rights</w:t>
            </w:r>
          </w:p>
        </w:tc>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2"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21, 2019, the reported last sale price on The Nasdaq Global Select Market for our common stock was $106.64.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200" w:right="720" w:firstLine="441"/>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8 of our Annual Report on Form 10-K for the year ended December 31, 2018,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161925</wp:posOffset>
            </wp:positionV>
            <wp:extent cx="14662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00" w:right="30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date of this prospectus is February 22, 2019</w:t>
      </w:r>
    </w:p>
    <w:p>
      <w:pPr>
        <w:sectPr>
          <w:pgSz w:w="11900" w:h="16838" w:orient="portrait"/>
          <w:cols w:equalWidth="0" w:num="1">
            <w:col w:w="11220"/>
          </w:cols>
          <w:pgMar w:left="240" w:top="459" w:right="4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223520</wp:posOffset>
            </wp:positionV>
            <wp:extent cx="14662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80" w:type="dxa"/>
            <w:vAlign w:val="bottom"/>
            <w:gridSpan w:val="2"/>
          </w:tcPr>
          <w:p>
            <w:pPr>
              <w:jc w:val="right"/>
              <w:ind w:right="44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000" w:type="dxa"/>
            <w:vAlign w:val="bottom"/>
            <w:gridSpan w:val="13"/>
            <w:vMerge w:val="restart"/>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The Company</w:t>
              </w:r>
            </w:hyperlink>
          </w:p>
        </w:tc>
        <w:tc>
          <w:tcPr>
            <w:tcW w:w="698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6"/>
        </w:trPr>
        <w:tc>
          <w:tcPr>
            <w:tcW w:w="4000" w:type="dxa"/>
            <w:vAlign w:val="bottom"/>
            <w:gridSpan w:val="13"/>
            <w:vMerge w:val="continue"/>
          </w:tcPr>
          <w:p>
            <w:pPr>
              <w:spacing w:after="0"/>
              <w:rPr>
                <w:sz w:val="13"/>
                <w:szCs w:val="13"/>
                <w:color w:val="auto"/>
              </w:rPr>
            </w:pPr>
          </w:p>
        </w:tc>
        <w:tc>
          <w:tcPr>
            <w:tcW w:w="670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Where You Can Find More Information</w:t>
              </w:r>
            </w:hyperlink>
          </w:p>
        </w:tc>
        <w:tc>
          <w:tcPr>
            <w:tcW w:w="1120" w:type="dxa"/>
            <w:vAlign w:val="bottom"/>
            <w:gridSpan w:val="2"/>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Notice Regarding Forward-Looking Statements</w:t>
              </w:r>
            </w:hyperlink>
          </w:p>
        </w:tc>
        <w:tc>
          <w:tcPr>
            <w:tcW w:w="560" w:type="dxa"/>
            <w:vAlign w:val="bottom"/>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Use of Proceeds</w:t>
              </w:r>
            </w:hyperlink>
          </w:p>
        </w:tc>
        <w:tc>
          <w:tcPr>
            <w:tcW w:w="2820" w:type="dxa"/>
            <w:vAlign w:val="bottom"/>
            <w:gridSpan w:val="10"/>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Description of Capital Stock</w:t>
              </w:r>
            </w:hyperlink>
          </w:p>
        </w:tc>
        <w:tc>
          <w:tcPr>
            <w:tcW w:w="1940" w:type="dxa"/>
            <w:vAlign w:val="bottom"/>
            <w:gridSpan w:val="4"/>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000" w:type="dxa"/>
            <w:vAlign w:val="bottom"/>
            <w:gridSpan w:val="1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Debt Securities</w:t>
              </w:r>
            </w:hyperlink>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1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Warrants</w:t>
              </w:r>
            </w:hyperlink>
          </w:p>
        </w:tc>
        <w:tc>
          <w:tcPr>
            <w:tcW w:w="1820" w:type="dxa"/>
            <w:vAlign w:val="bottom"/>
            <w:gridSpan w:val="3"/>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Description of Units</w:t>
              </w:r>
            </w:hyperlink>
          </w:p>
        </w:tc>
        <w:tc>
          <w:tcPr>
            <w:tcW w:w="240" w:type="dxa"/>
            <w:vAlign w:val="bottom"/>
            <w:tcBorders>
              <w:top w:val="single" w:sz="8" w:color="0000EE"/>
            </w:tcBorders>
            <w:gridSpan w:val="2"/>
          </w:tcPr>
          <w:p>
            <w:pPr>
              <w:spacing w:after="0"/>
              <w:rPr>
                <w:sz w:val="17"/>
                <w:szCs w:val="17"/>
                <w:color w:val="auto"/>
              </w:rPr>
            </w:pPr>
          </w:p>
        </w:tc>
        <w:tc>
          <w:tcPr>
            <w:tcW w:w="2280" w:type="dxa"/>
            <w:vAlign w:val="bottom"/>
            <w:gridSpan w:val="5"/>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Forms of Securities</w:t>
              </w:r>
            </w:hyperlink>
          </w:p>
        </w:tc>
        <w:tc>
          <w:tcPr>
            <w:tcW w:w="2580" w:type="dxa"/>
            <w:vAlign w:val="bottom"/>
            <w:gridSpan w:val="9"/>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Plan of Distribution</w:t>
              </w:r>
            </w:hyperlink>
          </w:p>
        </w:tc>
        <w:tc>
          <w:tcPr>
            <w:tcW w:w="2560" w:type="dxa"/>
            <w:vAlign w:val="bottom"/>
            <w:gridSpan w:val="8"/>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000" w:type="dxa"/>
            <w:vAlign w:val="bottom"/>
            <w:gridSpan w:val="1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Validity of Securities</w:t>
              </w:r>
            </w:hyperlink>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Experts</w:t>
              </w:r>
            </w:hyperlink>
          </w:p>
        </w:tc>
        <w:tc>
          <w:tcPr>
            <w:tcW w:w="1020" w:type="dxa"/>
            <w:vAlign w:val="bottom"/>
            <w:tcBorders>
              <w:top w:val="single" w:sz="8" w:color="0000EE"/>
            </w:tcBorders>
            <w:gridSpan w:val="6"/>
          </w:tcPr>
          <w:p>
            <w:pPr>
              <w:spacing w:after="0"/>
              <w:rPr>
                <w:sz w:val="17"/>
                <w:szCs w:val="17"/>
                <w:color w:val="auto"/>
              </w:rPr>
            </w:pPr>
          </w:p>
        </w:tc>
        <w:tc>
          <w:tcPr>
            <w:tcW w:w="2420" w:type="dxa"/>
            <w:vAlign w:val="bottom"/>
            <w:gridSpan w:val="6"/>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442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002145" cy="3442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380" w:right="400" w:firstLine="426"/>
        <w:spacing w:after="0" w:line="264"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81" w:lineRule="exact"/>
        <w:rPr>
          <w:sz w:val="20"/>
          <w:szCs w:val="20"/>
          <w:color w:val="auto"/>
        </w:rPr>
      </w:pPr>
    </w:p>
    <w:p>
      <w:pPr>
        <w:jc w:val="both"/>
        <w:ind w:left="380" w:right="200" w:firstLine="426"/>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1" w:lineRule="exact"/>
        <w:rPr>
          <w:sz w:val="20"/>
          <w:szCs w:val="20"/>
          <w:color w:val="auto"/>
        </w:rPr>
      </w:pPr>
    </w:p>
    <w:p>
      <w:pPr>
        <w:ind w:left="380" w:right="20" w:firstLine="426"/>
        <w:spacing w:after="0" w:line="286" w:lineRule="auto"/>
        <w:rPr>
          <w:sz w:val="20"/>
          <w:szCs w:val="20"/>
          <w:color w:val="auto"/>
        </w:rPr>
      </w:pPr>
      <w:r>
        <w:rPr>
          <w:rFonts w:ascii="Arial" w:cs="Arial" w:eastAsia="Arial" w:hAnsi="Arial"/>
          <w:sz w:val="17"/>
          <w:szCs w:val="17"/>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7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240" w:top="459" w:right="6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on the SEC’s website www.sec.gov.</w:t>
      </w:r>
    </w:p>
    <w:p>
      <w:pPr>
        <w:spacing w:after="0" w:line="170" w:lineRule="exact"/>
        <w:rPr>
          <w:sz w:val="20"/>
          <w:szCs w:val="20"/>
          <w:color w:val="auto"/>
        </w:rPr>
      </w:pPr>
    </w:p>
    <w:p>
      <w:pPr>
        <w:ind w:left="200" w:right="40" w:firstLine="441"/>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60">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2018, filed on February 22, 2019, the description of our common stock contained in our registration statement on </w:t>
      </w:r>
      <w:hyperlink r:id="rId61">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7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1"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5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1180" w:right="300" w:hanging="544"/>
        <w:spacing w:after="0" w:line="264"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20" w:hanging="544"/>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1180" w:right="740" w:hanging="544"/>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75" w:lineRule="exact"/>
        <w:rPr>
          <w:rFonts w:ascii="Arial" w:cs="Arial" w:eastAsia="Arial" w:hAnsi="Arial"/>
          <w:sz w:val="18"/>
          <w:szCs w:val="18"/>
          <w:color w:val="auto"/>
        </w:rPr>
      </w:pPr>
    </w:p>
    <w:p>
      <w:pPr>
        <w:ind w:left="1180" w:right="80" w:hanging="544"/>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180" w:right="40" w:hanging="544"/>
        <w:spacing w:after="0" w:line="264"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6" w:lineRule="exact"/>
        <w:rPr>
          <w:rFonts w:ascii="Arial" w:cs="Arial" w:eastAsia="Arial" w:hAnsi="Arial"/>
          <w:sz w:val="18"/>
          <w:szCs w:val="18"/>
          <w:color w:val="auto"/>
        </w:rPr>
      </w:pPr>
    </w:p>
    <w:p>
      <w:pPr>
        <w:ind w:left="1180" w:right="60" w:hanging="544"/>
        <w:spacing w:after="0" w:line="342"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1180" w:right="780" w:hanging="544"/>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significant distributors;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53" w:lineRule="exact"/>
        <w:rPr>
          <w:rFonts w:ascii="Arial" w:cs="Arial" w:eastAsia="Arial" w:hAnsi="Arial"/>
          <w:sz w:val="16"/>
          <w:szCs w:val="16"/>
          <w:color w:val="auto"/>
        </w:rPr>
      </w:pPr>
    </w:p>
    <w:p>
      <w:pPr>
        <w:ind w:left="1180" w:right="180" w:hanging="544"/>
        <w:spacing w:after="0" w:line="342"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29" w:lineRule="exact"/>
        <w:rPr>
          <w:rFonts w:ascii="Arial" w:cs="Arial" w:eastAsia="Arial" w:hAnsi="Arial"/>
          <w:sz w:val="16"/>
          <w:szCs w:val="16"/>
          <w:color w:val="auto"/>
        </w:rPr>
      </w:pPr>
    </w:p>
    <w:p>
      <w:pPr>
        <w:ind w:left="1180" w:right="40" w:hanging="544"/>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180" w:right="500" w:hanging="544"/>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1180" w:right="780" w:hanging="544"/>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 and effectively manage key employee succession;</w:t>
      </w:r>
    </w:p>
    <w:p>
      <w:pPr>
        <w:spacing w:after="0" w:line="75" w:lineRule="exact"/>
        <w:rPr>
          <w:rFonts w:ascii="Arial" w:cs="Arial" w:eastAsia="Arial" w:hAnsi="Arial"/>
          <w:sz w:val="18"/>
          <w:szCs w:val="18"/>
          <w:color w:val="auto"/>
        </w:rPr>
      </w:pPr>
    </w:p>
    <w:p>
      <w:pPr>
        <w:ind w:left="1180" w:right="540" w:hanging="544"/>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2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of January 31, 2019, there were 940,020,248 shares of common stock outstanding which were held of record by 13,653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7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As of January 31, 2019,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7" w:lineRule="exact"/>
        <w:rPr>
          <w:sz w:val="20"/>
          <w:szCs w:val="20"/>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1180" w:right="320" w:hanging="544"/>
        <w:spacing w:after="0" w:line="308" w:lineRule="auto"/>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1180" w:right="180" w:hanging="544"/>
        <w:spacing w:after="0" w:line="342" w:lineRule="auto"/>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2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5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9"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You should look in the prospectus supplement for any additional or different terms of the debt securities being offered, including the following terms:</w:t>
      </w:r>
    </w:p>
    <w:p>
      <w:pPr>
        <w:spacing w:after="0" w:line="76" w:lineRule="exact"/>
        <w:rPr>
          <w:sz w:val="20"/>
          <w:szCs w:val="20"/>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rate or rates, if any, per year, at which the debt securities will bear interest, or the method of determining such rate or rates;</w:t>
      </w:r>
    </w:p>
    <w:p>
      <w:pPr>
        <w:spacing w:after="0" w:line="169" w:lineRule="exact"/>
        <w:rPr>
          <w:rFonts w:ascii="Arial" w:cs="Arial" w:eastAsia="Arial" w:hAnsi="Arial"/>
          <w:sz w:val="17"/>
          <w:szCs w:val="17"/>
          <w:color w:val="auto"/>
        </w:rPr>
      </w:pPr>
    </w:p>
    <w:p>
      <w:pPr>
        <w:ind w:left="5660"/>
        <w:spacing w:after="0"/>
        <w:rPr>
          <w:rFonts w:ascii="Arial" w:cs="Arial" w:eastAsia="Arial" w:hAnsi="Arial"/>
          <w:sz w:val="17"/>
          <w:szCs w:val="17"/>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0" w:hanging="544"/>
        <w:spacing w:after="0" w:line="264"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1180" w:right="200" w:hanging="544"/>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180" w:right="100" w:hanging="544"/>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1180" w:right="280" w:hanging="544"/>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1180" w:right="180" w:hanging="544"/>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“attributable debt” in respect of a sale and leaseback transaction means, at the time of determination, the lesser of</w:t>
      </w:r>
    </w:p>
    <w:p>
      <w:pPr>
        <w:spacing w:after="0" w:line="46" w:lineRule="exact"/>
        <w:rPr>
          <w:sz w:val="20"/>
          <w:szCs w:val="20"/>
          <w:color w:val="auto"/>
        </w:rPr>
      </w:pPr>
    </w:p>
    <w:p>
      <w:pPr>
        <w:ind w:left="200" w:right="120" w:firstLine="4"/>
        <w:spacing w:after="0" w:line="302" w:lineRule="auto"/>
        <w:tabs>
          <w:tab w:leader="none" w:pos="4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55"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4"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87"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52" w:lineRule="exact"/>
        <w:rPr>
          <w:sz w:val="20"/>
          <w:szCs w:val="20"/>
          <w:color w:val="auto"/>
        </w:rPr>
      </w:pPr>
    </w:p>
    <w:p>
      <w:pPr>
        <w:ind w:left="1180" w:hanging="54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53" w:lineRule="exact"/>
        <w:rPr>
          <w:rFonts w:ascii="Arial" w:cs="Arial" w:eastAsia="Arial" w:hAnsi="Arial"/>
          <w:sz w:val="16"/>
          <w:szCs w:val="16"/>
          <w:color w:val="auto"/>
        </w:rPr>
      </w:pPr>
    </w:p>
    <w:p>
      <w:pPr>
        <w:ind w:left="1180" w:right="260" w:hanging="544"/>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1180" w:right="40" w:hanging="544"/>
        <w:spacing w:after="0" w:line="259"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1180" w:right="240" w:hanging="544"/>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1180" w:right="40" w:hanging="544"/>
        <w:spacing w:after="0" w:line="276" w:lineRule="auto"/>
        <w:tabs>
          <w:tab w:leader="none" w:pos="1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77" w:lineRule="exact"/>
        <w:rPr>
          <w:rFonts w:ascii="Arial" w:cs="Arial" w:eastAsia="Arial" w:hAnsi="Arial"/>
          <w:sz w:val="17"/>
          <w:szCs w:val="17"/>
          <w:color w:val="auto"/>
        </w:rPr>
      </w:pPr>
    </w:p>
    <w:p>
      <w:pPr>
        <w:ind w:left="1180" w:right="120" w:hanging="544"/>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jc w:val="both"/>
        <w:ind w:left="200" w:right="100" w:firstLine="441"/>
        <w:spacing w:after="0" w:line="302"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60" w:lineRule="exact"/>
        <w:rPr>
          <w:sz w:val="20"/>
          <w:szCs w:val="20"/>
          <w:color w:val="auto"/>
        </w:rPr>
      </w:pPr>
    </w:p>
    <w:p>
      <w:pPr>
        <w:ind w:left="1180" w:hanging="544"/>
        <w:spacing w:after="0" w:line="259"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1180" w:right="320" w:hanging="544"/>
        <w:spacing w:after="0" w:line="342" w:lineRule="auto"/>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620" w:hanging="430"/>
        <w:spacing w:after="0"/>
        <w:tabs>
          <w:tab w:leader="none" w:pos="16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760" w:hanging="430"/>
        <w:spacing w:after="0" w:line="342" w:lineRule="auto"/>
        <w:tabs>
          <w:tab w:leader="none" w:pos="16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29" w:lineRule="exact"/>
        <w:rPr>
          <w:rFonts w:ascii="Arial" w:cs="Arial" w:eastAsia="Arial" w:hAnsi="Arial"/>
          <w:sz w:val="16"/>
          <w:szCs w:val="16"/>
          <w:color w:val="auto"/>
        </w:rPr>
      </w:pPr>
    </w:p>
    <w:p>
      <w:pPr>
        <w:ind w:left="1180" w:right="160" w:hanging="544"/>
        <w:spacing w:after="0" w:line="286" w:lineRule="auto"/>
        <w:tabs>
          <w:tab w:leader="none" w:pos="1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66"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i w:val="1"/>
          <w:iCs w:val="1"/>
          <w:color w:val="auto"/>
        </w:rPr>
        <w:t>Exempted Debt</w:t>
      </w:r>
      <w:r>
        <w:rPr>
          <w:rFonts w:ascii="Arial" w:cs="Arial" w:eastAsia="Arial" w:hAnsi="Arial"/>
          <w:sz w:val="17"/>
          <w:szCs w:val="17"/>
          <w:color w:val="auto"/>
        </w:rPr>
        <w:t>. The indenture provides that, notwithstanding the restrictions on mortgages and sale and leaseback transactions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Consolidation, Merger and Sale or Conveyance</w:t>
      </w:r>
      <w:r>
        <w:rPr>
          <w:rFonts w:ascii="Arial" w:cs="Arial" w:eastAsia="Arial" w:hAnsi="Arial"/>
          <w:sz w:val="16"/>
          <w:szCs w:val="16"/>
          <w:color w:val="auto"/>
        </w:rPr>
        <w:t>. We may not consolidate with, merge with or into, or sell, or convey (including by way of lease)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or substantially all of our assets to any person or permit any person to merge with or into us unless:</w:t>
      </w:r>
    </w:p>
    <w:p>
      <w:pPr>
        <w:spacing w:after="0" w:line="116" w:lineRule="exact"/>
        <w:rPr>
          <w:sz w:val="20"/>
          <w:szCs w:val="20"/>
          <w:color w:val="auto"/>
        </w:rPr>
      </w:pPr>
    </w:p>
    <w:p>
      <w:pPr>
        <w:ind w:left="1180" w:right="180" w:hanging="544"/>
        <w:spacing w:after="0" w:line="273" w:lineRule="auto"/>
        <w:tabs>
          <w:tab w:leader="none" w:pos="1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83" w:lineRule="exact"/>
        <w:rPr>
          <w:rFonts w:ascii="Arial" w:cs="Arial" w:eastAsia="Arial" w:hAnsi="Arial"/>
          <w:sz w:val="17"/>
          <w:szCs w:val="17"/>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ind w:left="1180" w:right="80" w:hanging="544"/>
        <w:spacing w:after="0" w:line="264"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1180" w:right="600" w:hanging="544"/>
        <w:spacing w:after="0" w:line="308" w:lineRule="auto"/>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1" w:lineRule="exact"/>
        <w:rPr>
          <w:rFonts w:ascii="Arial" w:cs="Arial" w:eastAsia="Arial" w:hAnsi="Arial"/>
          <w:sz w:val="17"/>
          <w:szCs w:val="17"/>
          <w:color w:val="auto"/>
        </w:rPr>
      </w:pPr>
    </w:p>
    <w:p>
      <w:pPr>
        <w:ind w:left="1180" w:right="480" w:hanging="544"/>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1180" w:right="200" w:hanging="544"/>
        <w:spacing w:after="0" w:line="264"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6" w:lineRule="exact"/>
        <w:rPr>
          <w:rFonts w:ascii="Arial" w:cs="Arial" w:eastAsia="Arial" w:hAnsi="Arial"/>
          <w:sz w:val="18"/>
          <w:szCs w:val="18"/>
          <w:color w:val="auto"/>
        </w:rPr>
      </w:pPr>
    </w:p>
    <w:p>
      <w:pPr>
        <w:ind w:left="1180" w:right="200" w:hanging="544"/>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default in the payment of interest on any debt securities of such series when due and payable, if that default continues for a period of 30 days;</w:t>
      </w:r>
    </w:p>
    <w:p>
      <w:pPr>
        <w:spacing w:after="0" w:line="75" w:lineRule="exact"/>
        <w:rPr>
          <w:rFonts w:ascii="Arial" w:cs="Arial" w:eastAsia="Arial" w:hAnsi="Arial"/>
          <w:sz w:val="18"/>
          <w:szCs w:val="18"/>
          <w:color w:val="auto"/>
        </w:rPr>
      </w:pPr>
    </w:p>
    <w:p>
      <w:pPr>
        <w:ind w:left="1180" w:hanging="544"/>
        <w:spacing w:after="0" w:line="259"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620" w:right="260" w:hanging="430"/>
        <w:spacing w:after="0" w:line="277" w:lineRule="auto"/>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relief in respect of us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620" w:right="160" w:hanging="430"/>
        <w:spacing w:after="0" w:line="277" w:lineRule="auto"/>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180" w:hanging="544"/>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620" w:right="400" w:hanging="430"/>
        <w:spacing w:after="0" w:line="277"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70"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2"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w:t>
      </w:r>
    </w:p>
    <w:p>
      <w:pPr>
        <w:ind w:left="200" w:right="200"/>
        <w:spacing w:after="0" w:line="295" w:lineRule="auto"/>
        <w:rPr>
          <w:sz w:val="20"/>
          <w:szCs w:val="20"/>
          <w:color w:val="auto"/>
        </w:rPr>
      </w:pPr>
      <w:r>
        <w:rPr>
          <w:rFonts w:ascii="Arial" w:cs="Arial" w:eastAsia="Arial" w:hAnsi="Arial"/>
          <w:sz w:val="16"/>
          <w:szCs w:val="16"/>
          <w:color w:val="auto"/>
        </w:rPr>
        <w:t>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67" w:lineRule="exact"/>
        <w:rPr>
          <w:sz w:val="20"/>
          <w:szCs w:val="20"/>
          <w:color w:val="auto"/>
        </w:rPr>
      </w:pPr>
    </w:p>
    <w:p>
      <w:pPr>
        <w:ind w:left="1180" w:hanging="544"/>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1180" w:right="20" w:hanging="544"/>
        <w:spacing w:after="0" w:line="27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1180" w:right="320" w:hanging="544"/>
        <w:spacing w:after="0" w:line="27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1180" w:hanging="544"/>
        <w:spacing w:after="0" w:line="293" w:lineRule="auto"/>
        <w:tabs>
          <w:tab w:leader="none" w:pos="1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6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77" w:lineRule="exact"/>
        <w:rPr>
          <w:sz w:val="20"/>
          <w:szCs w:val="20"/>
          <w:color w:val="auto"/>
        </w:rPr>
      </w:pPr>
    </w:p>
    <w:p>
      <w:pPr>
        <w:ind w:left="1180" w:right="40" w:hanging="544"/>
        <w:spacing w:after="0" w:line="270" w:lineRule="auto"/>
        <w:tabs>
          <w:tab w:leader="none" w:pos="1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87" w:lineRule="exact"/>
        <w:rPr>
          <w:rFonts w:ascii="Arial" w:cs="Arial" w:eastAsia="Arial" w:hAnsi="Arial"/>
          <w:sz w:val="17"/>
          <w:szCs w:val="17"/>
          <w:color w:val="auto"/>
        </w:rPr>
      </w:pPr>
    </w:p>
    <w:p>
      <w:pPr>
        <w:ind w:left="1180" w:right="160" w:hanging="544"/>
        <w:spacing w:after="0" w:line="27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1180" w:hanging="544"/>
        <w:spacing w:after="0" w:line="25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hanging="544"/>
        <w:spacing w:after="0" w:line="264"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180" w:hanging="544"/>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1180" w:right="240" w:hanging="544"/>
        <w:spacing w:after="0" w:line="277"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75" w:lineRule="exact"/>
        <w:rPr>
          <w:rFonts w:ascii="Arial" w:cs="Arial" w:eastAsia="Arial" w:hAnsi="Arial"/>
          <w:sz w:val="18"/>
          <w:szCs w:val="18"/>
          <w:color w:val="auto"/>
        </w:rPr>
      </w:pPr>
    </w:p>
    <w:p>
      <w:pPr>
        <w:ind w:left="1180" w:right="240" w:hanging="544"/>
        <w:spacing w:after="0" w:line="308" w:lineRule="auto"/>
        <w:tabs>
          <w:tab w:leader="none" w:pos="11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1180" w:right="40" w:hanging="544"/>
        <w:spacing w:after="0" w:line="277"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1180" w:right="300" w:hanging="544"/>
        <w:spacing w:after="0" w:line="277"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1180" w:hanging="544"/>
        <w:spacing w:after="0" w:line="264"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1180" w:hanging="544"/>
        <w:spacing w:after="0"/>
        <w:tabs>
          <w:tab w:leader="none" w:pos="1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extends the stated maturity of the principal of, or the time of payment of any installment of interest on, any debt securities of such series;</w:t>
      </w:r>
    </w:p>
    <w:p>
      <w:pPr>
        <w:spacing w:after="0" w:line="153" w:lineRule="exact"/>
        <w:rPr>
          <w:rFonts w:ascii="Arial" w:cs="Arial" w:eastAsia="Arial" w:hAnsi="Arial"/>
          <w:sz w:val="16"/>
          <w:szCs w:val="16"/>
          <w:color w:val="auto"/>
        </w:rPr>
      </w:pPr>
    </w:p>
    <w:p>
      <w:pPr>
        <w:ind w:left="1180" w:hanging="544"/>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80" w:hanging="544"/>
        <w:spacing w:after="0" w:line="277"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1180" w:right="720" w:hanging="544"/>
        <w:spacing w:after="0" w:line="264"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waives a default in respect of a covenant or provision which cannot be modified or amended without the consent of each affected holder.</w:t>
      </w:r>
    </w:p>
    <w:p>
      <w:pPr>
        <w:spacing w:after="0" w:line="24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indenture and the debt securities will be governed by, and construed in accordance with, the internal laws of the State of New York.</w:t>
      </w:r>
    </w:p>
    <w:p>
      <w:pPr>
        <w:spacing w:after="0" w:line="34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7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240" w:top="459"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65"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9"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or selling security holders may sell the securities being offered hereby in the following manner or any manner specified in a prospectus supplement:</w:t>
      </w:r>
    </w:p>
    <w:p>
      <w:pPr>
        <w:spacing w:after="0" w:line="76" w:lineRule="exact"/>
        <w:rPr>
          <w:sz w:val="20"/>
          <w:szCs w:val="20"/>
          <w:color w:val="auto"/>
        </w:rPr>
      </w:pPr>
    </w:p>
    <w:p>
      <w:pPr>
        <w:ind w:left="1180" w:hanging="544"/>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jc w:val="both"/>
        <w:ind w:left="200" w:right="180" w:firstLine="441"/>
        <w:spacing w:after="0" w:line="302"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4"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58" w:lineRule="exact"/>
        <w:rPr>
          <w:sz w:val="20"/>
          <w:szCs w:val="20"/>
          <w:color w:val="auto"/>
        </w:rPr>
      </w:pPr>
    </w:p>
    <w:p>
      <w:pPr>
        <w:jc w:val="both"/>
        <w:ind w:left="200" w:right="240" w:firstLine="441"/>
        <w:spacing w:after="0" w:line="312"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47"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4"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4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2018, and the effectiveness of our internal control over financial reporting as of December 31, 2018, as set forth in their reports, which are incorporated by reference into this prospectus and elsewhere in the registration statement. Our financial statements and our management’s assessment of the effectiveness of internal control over financial reporting as of December 31, 2018, are incorporated by reference in reliance on Ernst &amp; Young LLP’s reports, given on their authority as experts in accounting and auditing.</w:t>
      </w:r>
    </w:p>
    <w:p>
      <w:pPr>
        <w:spacing w:after="0" w:line="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240" w:top="459" w:right="5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1463675</wp:posOffset>
            </wp:positionV>
            <wp:extent cx="2872740" cy="677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2872740" cy="67754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$750,000,000 1.375%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1678940</wp:posOffset>
            </wp:positionV>
            <wp:extent cx="11233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 SUPPLEMENT</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240665</wp:posOffset>
            </wp:positionV>
            <wp:extent cx="11233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6120" w:type="dxa"/>
            <w:vAlign w:val="bottom"/>
            <w:gridSpan w:val="2"/>
          </w:tcPr>
          <w:p>
            <w:pPr>
              <w:jc w:val="center"/>
              <w:ind w:right="903"/>
              <w:spacing w:after="0"/>
              <w:rPr>
                <w:sz w:val="20"/>
                <w:szCs w:val="20"/>
                <w:color w:val="auto"/>
              </w:rPr>
            </w:pPr>
            <w:r>
              <w:rPr>
                <w:rFonts w:ascii="Arial" w:cs="Arial" w:eastAsia="Arial" w:hAnsi="Arial"/>
                <w:sz w:val="22"/>
                <w:szCs w:val="22"/>
                <w:i w:val="1"/>
                <w:iCs w:val="1"/>
                <w:color w:val="auto"/>
                <w:w w:val="89"/>
              </w:rPr>
              <w:t>Joint Book-Running Managers</w:t>
            </w:r>
          </w:p>
        </w:tc>
        <w:tc>
          <w:tcPr>
            <w:tcW w:w="1960" w:type="dxa"/>
            <w:vAlign w:val="bottom"/>
          </w:tcPr>
          <w:p>
            <w:pPr>
              <w:spacing w:after="0"/>
              <w:rPr>
                <w:sz w:val="23"/>
                <w:szCs w:val="23"/>
                <w:color w:val="auto"/>
              </w:rPr>
            </w:pPr>
          </w:p>
        </w:tc>
      </w:tr>
      <w:tr>
        <w:trPr>
          <w:trHeight w:val="613"/>
        </w:trPr>
        <w:tc>
          <w:tcPr>
            <w:tcW w:w="2960" w:type="dxa"/>
            <w:vAlign w:val="bottom"/>
            <w:gridSpan w:val="3"/>
          </w:tcPr>
          <w:p>
            <w:pPr>
              <w:spacing w:after="0"/>
              <w:rPr>
                <w:sz w:val="20"/>
                <w:szCs w:val="20"/>
                <w:color w:val="auto"/>
              </w:rPr>
            </w:pPr>
            <w:r>
              <w:rPr>
                <w:rFonts w:ascii="Arial" w:cs="Arial" w:eastAsia="Arial" w:hAnsi="Arial"/>
                <w:sz w:val="32"/>
                <w:szCs w:val="32"/>
                <w:b w:val="1"/>
                <w:bCs w:val="1"/>
                <w:color w:val="auto"/>
              </w:rPr>
              <w:t>BofA Securities</w:t>
            </w:r>
          </w:p>
        </w:tc>
        <w:tc>
          <w:tcPr>
            <w:tcW w:w="3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32"/>
                <w:szCs w:val="32"/>
                <w:b w:val="1"/>
                <w:bCs w:val="1"/>
                <w:color w:val="auto"/>
              </w:rPr>
              <w:t>MUFG</w:t>
            </w:r>
          </w:p>
        </w:tc>
      </w:tr>
      <w:tr>
        <w:trPr>
          <w:trHeight w:val="534"/>
        </w:trPr>
        <w:tc>
          <w:tcPr>
            <w:tcW w:w="1240" w:type="dxa"/>
            <w:vAlign w:val="bottom"/>
            <w:gridSpan w:val="2"/>
          </w:tcPr>
          <w:p>
            <w:pPr>
              <w:spacing w:after="0"/>
              <w:rPr>
                <w:sz w:val="20"/>
                <w:szCs w:val="20"/>
                <w:color w:val="auto"/>
              </w:rPr>
            </w:pPr>
            <w:r>
              <w:rPr>
                <w:rFonts w:ascii="Arial" w:cs="Arial" w:eastAsia="Arial" w:hAnsi="Arial"/>
                <w:sz w:val="25"/>
                <w:szCs w:val="25"/>
                <w:b w:val="1"/>
                <w:bCs w:val="1"/>
                <w:color w:val="auto"/>
              </w:rPr>
              <w:t>Barclays</w:t>
            </w:r>
          </w:p>
        </w:tc>
        <w:tc>
          <w:tcPr>
            <w:tcW w:w="1720" w:type="dxa"/>
            <w:vAlign w:val="bottom"/>
          </w:tcPr>
          <w:p>
            <w:pPr>
              <w:ind w:left="320"/>
              <w:spacing w:after="0"/>
              <w:rPr>
                <w:sz w:val="20"/>
                <w:szCs w:val="20"/>
                <w:color w:val="auto"/>
              </w:rPr>
            </w:pPr>
            <w:r>
              <w:rPr>
                <w:rFonts w:ascii="Arial" w:cs="Arial" w:eastAsia="Arial" w:hAnsi="Arial"/>
                <w:sz w:val="25"/>
                <w:szCs w:val="25"/>
                <w:b w:val="1"/>
                <w:bCs w:val="1"/>
                <w:color w:val="auto"/>
              </w:rPr>
              <w:t>Citigroup</w:t>
            </w:r>
          </w:p>
        </w:tc>
        <w:tc>
          <w:tcPr>
            <w:tcW w:w="3200" w:type="dxa"/>
            <w:vAlign w:val="bottom"/>
          </w:tcPr>
          <w:p>
            <w:pPr>
              <w:ind w:left="360"/>
              <w:spacing w:after="0"/>
              <w:rPr>
                <w:sz w:val="20"/>
                <w:szCs w:val="20"/>
                <w:color w:val="auto"/>
              </w:rPr>
            </w:pPr>
            <w:r>
              <w:rPr>
                <w:rFonts w:ascii="Arial" w:cs="Arial" w:eastAsia="Arial" w:hAnsi="Arial"/>
                <w:sz w:val="25"/>
                <w:szCs w:val="25"/>
                <w:b w:val="1"/>
                <w:bCs w:val="1"/>
                <w:color w:val="auto"/>
              </w:rPr>
              <w:t>J.P. Morgan</w:t>
            </w:r>
          </w:p>
        </w:tc>
        <w:tc>
          <w:tcPr>
            <w:tcW w:w="2920" w:type="dxa"/>
            <w:vAlign w:val="bottom"/>
          </w:tcPr>
          <w:p>
            <w:pPr>
              <w:ind w:left="40"/>
              <w:spacing w:after="0"/>
              <w:rPr>
                <w:sz w:val="20"/>
                <w:szCs w:val="20"/>
                <w:color w:val="auto"/>
              </w:rPr>
            </w:pPr>
            <w:r>
              <w:rPr>
                <w:rFonts w:ascii="Arial" w:cs="Arial" w:eastAsia="Arial" w:hAnsi="Arial"/>
                <w:sz w:val="25"/>
                <w:szCs w:val="25"/>
                <w:b w:val="1"/>
                <w:bCs w:val="1"/>
                <w:color w:val="auto"/>
              </w:rPr>
              <w:t>Mizuho Securities</w:t>
            </w:r>
          </w:p>
        </w:tc>
        <w:tc>
          <w:tcPr>
            <w:tcW w:w="1960" w:type="dxa"/>
            <w:vAlign w:val="bottom"/>
          </w:tcPr>
          <w:p>
            <w:pPr>
              <w:jc w:val="right"/>
              <w:spacing w:after="0"/>
              <w:rPr>
                <w:sz w:val="20"/>
                <w:szCs w:val="20"/>
                <w:color w:val="auto"/>
              </w:rPr>
            </w:pPr>
            <w:r>
              <w:rPr>
                <w:rFonts w:ascii="Arial" w:cs="Arial" w:eastAsia="Arial" w:hAnsi="Arial"/>
                <w:sz w:val="25"/>
                <w:szCs w:val="25"/>
                <w:b w:val="1"/>
                <w:bCs w:val="1"/>
                <w:color w:val="auto"/>
              </w:rPr>
              <w:t>Morgan Stanley</w:t>
            </w:r>
          </w:p>
        </w:tc>
      </w:tr>
      <w:tr>
        <w:trPr>
          <w:trHeight w:val="42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0" w:type="dxa"/>
            <w:vAlign w:val="bottom"/>
          </w:tcPr>
          <w:p>
            <w:pPr>
              <w:jc w:val="center"/>
              <w:ind w:left="1807"/>
              <w:spacing w:after="0"/>
              <w:rPr>
                <w:sz w:val="20"/>
                <w:szCs w:val="20"/>
                <w:color w:val="auto"/>
              </w:rPr>
            </w:pPr>
            <w:r>
              <w:rPr>
                <w:rFonts w:ascii="Arial" w:cs="Arial" w:eastAsia="Arial" w:hAnsi="Arial"/>
                <w:sz w:val="22"/>
                <w:szCs w:val="22"/>
                <w:i w:val="1"/>
                <w:iCs w:val="1"/>
                <w:color w:val="auto"/>
                <w:w w:val="90"/>
              </w:rPr>
              <w:t>Co-Managers</w:t>
            </w:r>
          </w:p>
        </w:tc>
        <w:tc>
          <w:tcPr>
            <w:tcW w:w="2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86"/>
        </w:trPr>
        <w:tc>
          <w:tcPr>
            <w:tcW w:w="2960" w:type="dxa"/>
            <w:vAlign w:val="bottom"/>
            <w:gridSpan w:val="3"/>
          </w:tcPr>
          <w:p>
            <w:pPr>
              <w:spacing w:after="0"/>
              <w:rPr>
                <w:sz w:val="20"/>
                <w:szCs w:val="20"/>
                <w:color w:val="auto"/>
              </w:rPr>
            </w:pPr>
            <w:r>
              <w:rPr>
                <w:rFonts w:ascii="Arial" w:cs="Arial" w:eastAsia="Arial" w:hAnsi="Arial"/>
                <w:sz w:val="22"/>
                <w:szCs w:val="22"/>
                <w:b w:val="1"/>
                <w:bCs w:val="1"/>
                <w:color w:val="auto"/>
              </w:rPr>
              <w:t>Siebert Williams Shank</w:t>
            </w:r>
          </w:p>
        </w:tc>
        <w:tc>
          <w:tcPr>
            <w:tcW w:w="3200" w:type="dxa"/>
            <w:vAlign w:val="bottom"/>
          </w:tcPr>
          <w:p>
            <w:pPr>
              <w:ind w:left="1520"/>
              <w:spacing w:after="0"/>
              <w:rPr>
                <w:sz w:val="20"/>
                <w:szCs w:val="20"/>
                <w:color w:val="auto"/>
              </w:rPr>
            </w:pPr>
            <w:r>
              <w:rPr>
                <w:rFonts w:ascii="Arial" w:cs="Arial" w:eastAsia="Arial" w:hAnsi="Arial"/>
                <w:sz w:val="22"/>
                <w:szCs w:val="22"/>
                <w:b w:val="1"/>
                <w:bCs w:val="1"/>
                <w:color w:val="auto"/>
              </w:rPr>
              <w:t>US Bancorp</w:t>
            </w:r>
          </w:p>
        </w:tc>
        <w:tc>
          <w:tcPr>
            <w:tcW w:w="2920" w:type="dxa"/>
            <w:vAlign w:val="bottom"/>
          </w:tcPr>
          <w:p>
            <w:pPr>
              <w:ind w:left="1300"/>
              <w:spacing w:after="0"/>
              <w:rPr>
                <w:sz w:val="20"/>
                <w:szCs w:val="20"/>
                <w:color w:val="auto"/>
              </w:rPr>
            </w:pPr>
            <w:r>
              <w:rPr>
                <w:rFonts w:ascii="Arial" w:cs="Arial" w:eastAsia="Arial" w:hAnsi="Arial"/>
                <w:sz w:val="22"/>
                <w:szCs w:val="22"/>
                <w:b w:val="1"/>
                <w:bCs w:val="1"/>
                <w:color w:val="auto"/>
              </w:rPr>
              <w:t>BNP PARIBAS</w:t>
            </w:r>
          </w:p>
        </w:tc>
        <w:tc>
          <w:tcPr>
            <w:tcW w:w="1960" w:type="dxa"/>
            <w:vAlign w:val="bottom"/>
          </w:tcPr>
          <w:p>
            <w:pPr>
              <w:jc w:val="right"/>
              <w:spacing w:after="0"/>
              <w:rPr>
                <w:sz w:val="20"/>
                <w:szCs w:val="20"/>
                <w:color w:val="auto"/>
              </w:rPr>
            </w:pPr>
            <w:r>
              <w:rPr>
                <w:rFonts w:ascii="Arial" w:cs="Arial" w:eastAsia="Arial" w:hAnsi="Arial"/>
                <w:sz w:val="22"/>
                <w:szCs w:val="22"/>
                <w:b w:val="1"/>
                <w:bCs w:val="1"/>
                <w:color w:val="auto"/>
              </w:rPr>
              <w:t>HSBC</w:t>
            </w:r>
          </w:p>
        </w:tc>
      </w:tr>
      <w:tr>
        <w:trPr>
          <w:trHeight w:val="287"/>
        </w:trPr>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95"/>
        </w:trPr>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240"/>
      </w:cols>
      <w:pgMar w:left="240" w:top="459"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lowerRoman"/>
      <w:start w:val="1"/>
    </w:lvl>
  </w:abstractNum>
  <w:abstractNum w:abstractNumId="8">
    <w:nsid w:val="189A769B"/>
    <w:multiLevelType w:val="hybridMultilevel"/>
    <w:lvl w:ilvl="0">
      <w:lvlJc w:val="left"/>
      <w:lvlText w:val="•"/>
      <w:numFmt w:val="bullet"/>
      <w:start w:val="1"/>
    </w:lvl>
    <w:lvl w:ilvl="1">
      <w:lvlJc w:val="left"/>
      <w:lvlText w:val="(%2)"/>
      <w:numFmt w:val="decimal"/>
      <w:start w:val="1"/>
    </w:lvl>
  </w:abstractNum>
  <w:abstractNum w:abstractNumId="9">
    <w:nsid w:val="54E49EB4"/>
    <w:multiLevelType w:val="hybridMultilevel"/>
    <w:lvl w:ilvl="0">
      <w:lvlJc w:val="left"/>
      <w:lvlText w:val="(%1)"/>
      <w:numFmt w:val="decimal"/>
      <w:start w:val="2"/>
    </w:lvl>
  </w:abstractNum>
  <w:abstractNum w:abstractNumId="10">
    <w:nsid w:val="71F32454"/>
    <w:multiLevelType w:val="hybridMultilevel"/>
    <w:lvl w:ilvl="0">
      <w:lvlJc w:val="left"/>
      <w:lvlText w:val="•"/>
      <w:numFmt w:val="bullet"/>
      <w:start w:val="1"/>
    </w:lvl>
    <w:lvl w:ilvl="1">
      <w:lvlJc w:val="left"/>
      <w:lvlText w:val="(%2)"/>
      <w:numFmt w:val="decimal"/>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lvl w:ilvl="1">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lvl w:ilvl="1">
      <w:lvlJc w:val="left"/>
      <w:lvlText w:val="•"/>
      <w:numFmt w:val="bullet"/>
      <w:start w:val="1"/>
    </w:lvl>
  </w:abstractNum>
  <w:abstractNum w:abstractNumId="31">
    <w:nsid w:val="5C482A97"/>
    <w:multiLevelType w:val="hybridMultilevel"/>
    <w:lvl w:ilvl="0">
      <w:lvlJc w:val="left"/>
      <w:lvlText w:val="•"/>
      <w:numFmt w:val="bullet"/>
      <w:start w:val="1"/>
    </w:lvl>
    <w:lvl w:ilvl="1">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lvl w:ilvl="1">
      <w:lvlJc w:val="left"/>
      <w:lvlText w:val="•"/>
      <w:numFmt w:val="bullet"/>
      <w:start w:val="1"/>
    </w:lvl>
  </w:abstractNum>
  <w:abstractNum w:abstractNumId="35">
    <w:nsid w:val="2D517796"/>
    <w:multiLevelType w:val="hybridMultilevel"/>
    <w:lvl w:ilvl="0">
      <w:lvlJc w:val="left"/>
      <w:lvlText w:val="•"/>
      <w:numFmt w:val="bullet"/>
      <w:start w:val="1"/>
    </w:lvl>
    <w:lvl w:ilvl="1">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jpe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jpeg"/><Relationship Id="rId85" Type="http://schemas.openxmlformats.org/officeDocument/2006/relationships/image" Target="media/image74.png"/><Relationship Id="rId86" Type="http://schemas.openxmlformats.org/officeDocument/2006/relationships/image" Target="media/image75.png"/><Relationship Id="rId48" Type="http://schemas.openxmlformats.org/officeDocument/2006/relationships/hyperlink" Target="http://www.sec.gov/ix?doc=/Archives/edgar/data/97476/000009747620000009/txn-20191231.htm" TargetMode="External"/><Relationship Id="rId49" Type="http://schemas.openxmlformats.org/officeDocument/2006/relationships/hyperlink" Target="http://www.sec.gov/ix?doc=/Archives/edgar/data/97476/000119312520043531/d858415d8k.htm" TargetMode="External"/><Relationship Id="rId60" Type="http://schemas.openxmlformats.org/officeDocument/2006/relationships/hyperlink" Target="http://www.sec.gov/Archives/edgar/data/97476/000156459019003839/txn-10k_20181231.htm" TargetMode="External"/><Relationship Id="rId61"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2020-03-04T15:08:29Z</dcterms:created>
  <dcterms:modified xsi:type="dcterms:W3CDTF">2020-03-04T15:08:29Z</dcterms:modified>
</cp:coreProperties>
</file>