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399415</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418465</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280" w:right="2380" w:hanging="272"/>
        <w:spacing w:after="0" w:line="57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2008</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260"/>
        <w:spacing w:after="0"/>
        <w:tabs>
          <w:tab w:leader="none" w:pos="3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400050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399415</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5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412115</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200" w:lineRule="exact"/>
        <w:rPr>
          <w:sz w:val="24"/>
          <w:szCs w:val="24"/>
          <w:color w:val="auto"/>
        </w:rPr>
      </w:pPr>
    </w:p>
    <w:p>
      <w:pPr>
        <w:spacing w:after="0" w:line="25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87" w:right="239" w:bottom="85" w:gutter="0" w:footer="0" w:header="0"/>
        </w:sectPr>
      </w:pPr>
    </w:p>
    <w:p>
      <w:pPr>
        <w:spacing w:after="0" w:line="174"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Large accelerated filer S Non-accelerated filer o</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60" w:lineRule="exact"/>
        <w:rPr>
          <w:sz w:val="24"/>
          <w:szCs w:val="24"/>
          <w:color w:val="auto"/>
        </w:rPr>
      </w:pPr>
    </w:p>
    <w:p>
      <w:pPr>
        <w:sectPr>
          <w:pgSz w:w="11900" w:h="16838" w:orient="portrait"/>
          <w:cols w:equalWidth="0" w:num="3">
            <w:col w:w="2260" w:space="720"/>
            <w:col w:w="3960" w:space="720"/>
            <w:col w:w="3760"/>
          </w:cols>
          <w:pgMar w:left="240" w:top="287" w:right="239" w:bottom="85"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1,322,735,591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287" w:right="239" w:bottom="8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revenue</w:t>
            </w:r>
          </w:p>
        </w:tc>
        <w:tc>
          <w:tcPr>
            <w:tcW w:w="4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3,272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4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Basic</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1,347</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20" w:type="dxa"/>
            <w:vAlign w:val="bottom"/>
          </w:tcPr>
          <w:p>
            <w:pPr>
              <w:jc w:val="right"/>
              <w:ind w:right="29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9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662</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Changes in available-for-sale investments: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Reclassification of recognized transactions, net of taxes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Unrecognized net actuarial loss of defined benefit plans: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Reclassification of recognized transactions,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Unrecognized prior service cost of defined benefit plans: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from continuing operations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9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635</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jc w:val="right"/>
              <w:ind w:right="670"/>
              <w:spacing w:after="0"/>
              <w:rPr>
                <w:sz w:val="20"/>
                <w:szCs w:val="20"/>
                <w:color w:val="auto"/>
              </w:rPr>
            </w:pPr>
            <w:r>
              <w:rPr>
                <w:rFonts w:ascii="Arial" w:cs="Arial" w:eastAsia="Arial" w:hAnsi="Arial"/>
                <w:sz w:val="18"/>
                <w:szCs w:val="18"/>
                <w:b w:val="1"/>
                <w:bCs w:val="1"/>
                <w:color w:val="auto"/>
              </w:rPr>
              <w:t>(Millions of dollars, except share amounts)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 of ($25) and ($26)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Raw materials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Finished goods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investments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12,338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profit sharing and retirement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8040" w:type="dxa"/>
            <w:vAlign w:val="bottom"/>
            <w:tcBorders>
              <w:top w:val="single" w:sz="8" w:color="CCEEFF"/>
            </w:tcBorders>
          </w:tcPr>
          <w:p>
            <w:pPr>
              <w:jc w:val="right"/>
              <w:ind w:right="2210"/>
              <w:spacing w:after="0"/>
              <w:rPr>
                <w:sz w:val="20"/>
                <w:szCs w:val="20"/>
                <w:color w:val="auto"/>
              </w:rPr>
            </w:pPr>
            <w:r>
              <w:rPr>
                <w:rFonts w:ascii="Arial" w:cs="Arial" w:eastAsia="Arial" w:hAnsi="Arial"/>
                <w:sz w:val="18"/>
                <w:szCs w:val="18"/>
                <w:color w:val="auto"/>
              </w:rPr>
              <w:t>4</w:t>
            </w:r>
          </w:p>
        </w:tc>
        <w:tc>
          <w:tcPr>
            <w:tcW w:w="7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March 31, 2008 – 1,739,660,927;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2007 – 1,739,632,601</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5"/>
              </w:rPr>
              <w:t>Less treasury common stock at cost. Shares: March 31, 2008 – 416,925,336; December 31, 2007 – 396,421,798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(12,776)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12,338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ind w:left="308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180"/>
              <w:spacing w:after="0"/>
              <w:rPr>
                <w:sz w:val="20"/>
                <w:szCs w:val="20"/>
                <w:color w:val="auto"/>
              </w:rPr>
            </w:pPr>
            <w:r>
              <w:rPr>
                <w:rFonts w:ascii="Arial" w:cs="Arial" w:eastAsia="Arial" w:hAnsi="Arial"/>
                <w:sz w:val="18"/>
                <w:szCs w:val="18"/>
                <w:b w:val="1"/>
                <w:bCs w:val="1"/>
                <w:color w:val="auto"/>
              </w:rPr>
              <w:t>Consolidated Statements of Cash Flows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vMerge w:val="restart"/>
          </w:tcPr>
          <w:p>
            <w:pPr>
              <w:jc w:val="right"/>
              <w:ind w:right="380"/>
              <w:spacing w:after="0"/>
              <w:rPr>
                <w:sz w:val="20"/>
                <w:szCs w:val="20"/>
                <w:color w:val="auto"/>
              </w:rPr>
            </w:pPr>
            <w:r>
              <w:rPr>
                <w:rFonts w:ascii="Arial" w:cs="Arial" w:eastAsia="Arial" w:hAnsi="Arial"/>
                <w:sz w:val="18"/>
                <w:szCs w:val="18"/>
                <w:b w:val="1"/>
                <w:bCs w:val="1"/>
                <w:color w:val="auto"/>
                <w:w w:val="95"/>
              </w:rPr>
              <w:t>For 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Loss on sale of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Change in funded status of retirement plans and accrued retirement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long-term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 January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March 31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40" w:right="9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more than 50,000 customers all over the world buy our products.</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first quarter of 2007, we made an asset acquisition that was integrated into the Semiconductor business segment.</w:t>
      </w:r>
    </w:p>
    <w:p>
      <w:pPr>
        <w:spacing w:after="0" w:line="252" w:lineRule="exact"/>
        <w:rPr>
          <w:rFonts w:ascii="Arial" w:cs="Arial" w:eastAsia="Arial" w:hAnsi="Arial"/>
          <w:sz w:val="18"/>
          <w:szCs w:val="18"/>
          <w:color w:val="auto"/>
        </w:rPr>
      </w:pPr>
    </w:p>
    <w:p>
      <w:pPr>
        <w:ind w:left="340" w:right="4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2007. The consolidated statements of income, statements of comprehensive income and statements of cash flows for the periods ended March 31, 2008 and 2007, and the balance sheet as of March 31, 2008, are not audited but reflect all adjustments that are of a normal recurring nature and are necessary for a fair statement of the results of the periods shown. The consolidated balance sheet as of December 31, 2007,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2007. The results for the three-month period are not necessarily indicative of a full year's results.</w:t>
      </w:r>
    </w:p>
    <w:p>
      <w:pPr>
        <w:spacing w:after="0" w:line="199" w:lineRule="exact"/>
        <w:rPr>
          <w:rFonts w:ascii="Arial" w:cs="Arial" w:eastAsia="Arial" w:hAnsi="Arial"/>
          <w:sz w:val="18"/>
          <w:szCs w:val="18"/>
          <w:color w:val="auto"/>
        </w:rPr>
      </w:pPr>
    </w:p>
    <w:p>
      <w:pPr>
        <w:ind w:left="3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08" w:lineRule="exact"/>
        <w:rPr>
          <w:rFonts w:ascii="Arial" w:cs="Arial" w:eastAsia="Arial" w:hAnsi="Arial"/>
          <w:sz w:val="18"/>
          <w:szCs w:val="18"/>
          <w:color w:val="auto"/>
        </w:rPr>
      </w:pPr>
    </w:p>
    <w:p>
      <w:pPr>
        <w:ind w:left="340" w:right="200"/>
        <w:spacing w:after="0" w:line="297" w:lineRule="auto"/>
        <w:rPr>
          <w:rFonts w:ascii="Arial" w:cs="Arial" w:eastAsia="Arial" w:hAnsi="Arial"/>
          <w:sz w:val="18"/>
          <w:szCs w:val="18"/>
          <w:color w:val="auto"/>
        </w:rPr>
      </w:pPr>
      <w:r>
        <w:rPr>
          <w:rFonts w:ascii="Arial" w:cs="Arial" w:eastAsia="Arial" w:hAnsi="Arial"/>
          <w:sz w:val="16"/>
          <w:szCs w:val="16"/>
          <w:i w:val="1"/>
          <w:iCs w:val="1"/>
          <w:color w:val="auto"/>
        </w:rPr>
        <w:t xml:space="preserve">Changes in Accounting Standards – </w:t>
      </w:r>
      <w:r>
        <w:rPr>
          <w:rFonts w:ascii="Arial" w:cs="Arial" w:eastAsia="Arial" w:hAnsi="Arial"/>
          <w:sz w:val="16"/>
          <w:szCs w:val="16"/>
          <w:color w:val="auto"/>
        </w:rPr>
        <w:t>In September 2006, the Financial Accounting Standards Board (FASB) issued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(SFAS) No. 157,</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provides guidance on how to measure assets and liabilities that are recorded at fair value. SFAS 157 does not expand the use of fair value to any new circumstances, but does require additional disclosures in both annual and quarterly reports. We adopted SFAS 157 and its related amendments for financial assets and liabilities effective as of January 1, 2008 (see Note 5 below). SFAS 157 will be effective for non-financial assets and liabilities in financial statements issued for fiscal years beginning after November 15, 2008.</w:t>
      </w:r>
    </w:p>
    <w:p>
      <w:pPr>
        <w:spacing w:after="0" w:line="185" w:lineRule="exact"/>
        <w:rPr>
          <w:rFonts w:ascii="Arial" w:cs="Arial" w:eastAsia="Arial" w:hAnsi="Arial"/>
          <w:sz w:val="18"/>
          <w:szCs w:val="18"/>
          <w:color w:val="auto"/>
        </w:rPr>
      </w:pPr>
    </w:p>
    <w:p>
      <w:pPr>
        <w:ind w:left="340"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 – An Amendment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133.” </w:t>
      </w:r>
      <w:r>
        <w:rPr>
          <w:rFonts w:ascii="Arial" w:cs="Arial" w:eastAsia="Arial" w:hAnsi="Arial"/>
          <w:sz w:val="18"/>
          <w:szCs w:val="18"/>
          <w:color w:val="auto"/>
        </w:rPr>
        <w:t>This standard applies to derivative instruments, nonderivative instruments that are designated and qualify as hedging instruments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hedged items accounted for under SFAS 133. SFAS 161 does not change the accounting for derivatives and hedging activities, but requires enhanced disclosures concerning the effect on the financial statements from their use. SFAS 161 is effective for financial statements issued for fiscal years and interim periods beginning after November 15, 2008.</w:t>
      </w:r>
    </w:p>
    <w:p>
      <w:pPr>
        <w:spacing w:after="0" w:line="21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 2008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2007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 EPS</w:t>
            </w:r>
          </w:p>
        </w:tc>
        <w:tc>
          <w:tcPr>
            <w:tcW w:w="860" w:type="dxa"/>
            <w:vAlign w:val="bottom"/>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662</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1,327</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1,442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Dilutives: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340" w:right="2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in our 2007 annual report on Form 10-K.</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 recognized:</w:t>
            </w:r>
          </w:p>
        </w:tc>
        <w:tc>
          <w:tcPr>
            <w:tcW w:w="26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COR</w:t>
            </w:r>
          </w:p>
        </w:tc>
        <w:tc>
          <w:tcPr>
            <w:tcW w:w="34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0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R&amp;D</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SG&amp;A</w:t>
            </w:r>
          </w:p>
        </w:tc>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340"/>
        <w:spacing w:after="0" w:line="264" w:lineRule="auto"/>
        <w:rPr>
          <w:sz w:val="20"/>
          <w:szCs w:val="20"/>
          <w:color w:val="auto"/>
        </w:rPr>
      </w:pPr>
      <w:r>
        <w:rPr>
          <w:rFonts w:ascii="Arial" w:cs="Arial" w:eastAsia="Arial" w:hAnsi="Arial"/>
          <w:sz w:val="18"/>
          <w:szCs w:val="18"/>
          <w:color w:val="auto"/>
        </w:rPr>
        <w:t>The amounts above include the impact of recognizing compensation expense related to restricted stock units (RSUs), non-qualified stock options and stock options offered under the employee stock purchase plan. Stock-based compensation expense has not been allocated between segments, but is reflected in Corporate.</w:t>
      </w:r>
    </w:p>
    <w:p>
      <w:pPr>
        <w:spacing w:after="0" w:line="208" w:lineRule="exact"/>
        <w:rPr>
          <w:sz w:val="20"/>
          <w:szCs w:val="20"/>
          <w:color w:val="auto"/>
        </w:rPr>
      </w:pPr>
    </w:p>
    <w:p>
      <w:pPr>
        <w:ind w:left="340" w:right="20" w:hanging="278"/>
        <w:spacing w:after="0" w:line="259" w:lineRule="auto"/>
        <w:tabs>
          <w:tab w:leader="none" w:pos="34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Investment in Auction-Rate Securities.</w:t>
      </w:r>
      <w:r>
        <w:rPr>
          <w:rFonts w:ascii="Arial" w:cs="Arial" w:eastAsia="Arial" w:hAnsi="Arial"/>
          <w:sz w:val="18"/>
          <w:szCs w:val="18"/>
          <w:color w:val="auto"/>
        </w:rPr>
        <w:t xml:space="preserve"> As of December 31, 2007, we had $1.04 billion invested in auction-rate securities. As of March 31, 2008, we had sold down our holdings of these auction-rate securities by $473 million through the normal auction process. In mid-February 2008, liquidity issues in the global credit markets resulted in the failure of auctions representing substantially all of the auction-rate securities we hold, as the amount of securities submitted for sale in those auctions exceeded the amount of bids.</w:t>
      </w:r>
    </w:p>
    <w:p>
      <w:pPr>
        <w:spacing w:after="0" w:line="213" w:lineRule="exact"/>
        <w:rPr>
          <w:rFonts w:ascii="Arial" w:cs="Arial" w:eastAsia="Arial" w:hAnsi="Arial"/>
          <w:sz w:val="18"/>
          <w:szCs w:val="18"/>
          <w:color w:val="auto"/>
        </w:rPr>
      </w:pPr>
    </w:p>
    <w:p>
      <w:pPr>
        <w:ind w:left="340"/>
        <w:spacing w:after="0" w:line="288" w:lineRule="auto"/>
        <w:rPr>
          <w:rFonts w:ascii="Arial" w:cs="Arial" w:eastAsia="Arial" w:hAnsi="Arial"/>
          <w:sz w:val="18"/>
          <w:szCs w:val="18"/>
          <w:color w:val="auto"/>
        </w:rPr>
      </w:pPr>
      <w:r>
        <w:rPr>
          <w:rFonts w:ascii="Arial" w:cs="Arial" w:eastAsia="Arial" w:hAnsi="Arial"/>
          <w:sz w:val="16"/>
          <w:szCs w:val="16"/>
          <w:color w:val="auto"/>
        </w:rPr>
        <w:t>Substantially all of our auction-rate investments are backed by pools of student loans guaranteed by the U.S. Department of Education and we continue to believe that the credit quality of these securities is high based on this guarantee. As of March 31, 2008, these securities were all rated AAA/Aaa by the major credit rating agencies. A small number of our auction-rate investments are covered by bond insurance and were rated Aaa by Moody’s and AA by Fitch as of March 31, 2008. To date we have collected all interest payable on all of our auction-rate securities when due and expect to continue to do so in the future. For each unsuccessful auction, the interest rate moves to a maximum rate defined for each security, generally reset periodically at a level higher than defined short-term interest benchmarks. The principal associated with failed auctions will not be accessible until successful auctions occur, a buyer is found outside of the auction process, the issuers establish a different form of financing to replace these securities, issuers repay principal over time from cash flows prior to final maturity, or final payments come due according to contractual maturities ranging from 15 to 40 years. We understand that issuers and financial markets are working on alternatives that may improve liquidity, although it is not yet clear when or if such efforts will be successful. We expect that we will receive the principal associated with these auction-rate securities through one of the means described above.</w:t>
      </w:r>
    </w:p>
    <w:p>
      <w:pPr>
        <w:spacing w:after="0" w:line="196" w:lineRule="exact"/>
        <w:rPr>
          <w:rFonts w:ascii="Arial" w:cs="Arial" w:eastAsia="Arial" w:hAnsi="Arial"/>
          <w:sz w:val="18"/>
          <w:szCs w:val="18"/>
          <w:color w:val="auto"/>
        </w:rPr>
      </w:pPr>
    </w:p>
    <w:p>
      <w:pPr>
        <w:ind w:left="340" w:right="80"/>
        <w:spacing w:after="0" w:line="264" w:lineRule="auto"/>
        <w:rPr>
          <w:rFonts w:ascii="Arial" w:cs="Arial" w:eastAsia="Arial" w:hAnsi="Arial"/>
          <w:sz w:val="18"/>
          <w:szCs w:val="18"/>
          <w:color w:val="auto"/>
        </w:rPr>
      </w:pPr>
      <w:r>
        <w:rPr>
          <w:rFonts w:ascii="Arial" w:cs="Arial" w:eastAsia="Arial" w:hAnsi="Arial"/>
          <w:sz w:val="18"/>
          <w:szCs w:val="18"/>
          <w:color w:val="auto"/>
        </w:rPr>
        <w:t>Based on the fair value determinations described in Note 5 below, the fair value of our investment in auction-rate securities at March 31, 2008, was $551 million compared with a par value of $571 million. This $20 million difference is considered temporary and is recorded as an unrealized loss, net of taxes, in accumulated other comprehensive income on the balance sheet.</w:t>
      </w:r>
    </w:p>
    <w:p>
      <w:pPr>
        <w:spacing w:after="0" w:line="208" w:lineRule="exact"/>
        <w:rPr>
          <w:rFonts w:ascii="Arial" w:cs="Arial" w:eastAsia="Arial" w:hAnsi="Arial"/>
          <w:sz w:val="18"/>
          <w:szCs w:val="18"/>
          <w:color w:val="auto"/>
        </w:rPr>
      </w:pPr>
    </w:p>
    <w:p>
      <w:pPr>
        <w:ind w:left="340" w:right="20"/>
        <w:spacing w:after="0" w:line="279" w:lineRule="auto"/>
        <w:rPr>
          <w:rFonts w:ascii="Arial" w:cs="Arial" w:eastAsia="Arial" w:hAnsi="Arial"/>
          <w:sz w:val="18"/>
          <w:szCs w:val="18"/>
          <w:color w:val="auto"/>
        </w:rPr>
      </w:pPr>
      <w:r>
        <w:rPr>
          <w:rFonts w:ascii="Arial" w:cs="Arial" w:eastAsia="Arial" w:hAnsi="Arial"/>
          <w:sz w:val="17"/>
          <w:szCs w:val="17"/>
          <w:color w:val="auto"/>
        </w:rPr>
        <w:t>While the recent auction failures will limit our ability to liquidate these investments for some period of time, we do not believe the auction failures will materially impact our ability to fund our working capital needs, capital expenditures, dividend payments or other business requirements. However, as it is not certain when liquidity will return to the markets, or other secondary markets will become available, we have reclassified our remaining investments in auction-rate securities of $551 million from short-term investments to long-term investments as of March 31, 2008.</w:t>
      </w:r>
    </w:p>
    <w:p>
      <w:pPr>
        <w:spacing w:after="0" w:line="19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Fair Value Measurement.</w:t>
      </w:r>
      <w:r>
        <w:rPr>
          <w:rFonts w:ascii="Arial" w:cs="Arial" w:eastAsia="Arial" w:hAnsi="Arial"/>
          <w:sz w:val="18"/>
          <w:szCs w:val="18"/>
          <w:color w:val="auto"/>
        </w:rPr>
        <w:t xml:space="preserve"> As discussed in Note 1, SFAS 157 became effective for measuring and reporting financial assets and liabilities in our financial statements beginning as of January 1, 2008.</w:t>
      </w:r>
    </w:p>
    <w:p>
      <w:pPr>
        <w:spacing w:after="0" w:line="197" w:lineRule="exact"/>
        <w:rPr>
          <w:rFonts w:ascii="Arial" w:cs="Arial" w:eastAsia="Arial" w:hAnsi="Arial"/>
          <w:sz w:val="18"/>
          <w:szCs w:val="18"/>
          <w:color w:val="auto"/>
        </w:rPr>
      </w:pPr>
    </w:p>
    <w:p>
      <w:pPr>
        <w:ind w:left="340" w:right="580"/>
        <w:spacing w:after="0" w:line="308" w:lineRule="auto"/>
        <w:rPr>
          <w:rFonts w:ascii="Arial" w:cs="Arial" w:eastAsia="Arial" w:hAnsi="Arial"/>
          <w:sz w:val="18"/>
          <w:szCs w:val="18"/>
          <w:color w:val="auto"/>
        </w:rPr>
      </w:pPr>
      <w:r>
        <w:rPr>
          <w:rFonts w:ascii="Arial" w:cs="Arial" w:eastAsia="Arial" w:hAnsi="Arial"/>
          <w:sz w:val="17"/>
          <w:szCs w:val="17"/>
          <w:color w:val="auto"/>
        </w:rPr>
        <w:t>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SFAS 157 establishes a three-level hierarchy for disclosure to show the extent and level of judgment used to estimate fair value measurements.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Level 1 – Inputs used to measure fair value are unadjusted quoted prices that are available in active markets for the identical assets or liabilities as of the reporting date.</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Level 2 – Inputs used to measure fair value, other than quoted prices included in Level 1,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2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Level 3 – Inputs used to measure fair value are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investments in student loan auction-rate securities are our only Level 3 assets, and were transferred from Level 2 because quoted prices from broker-dealers were unavailable due to events described in Note 4. We used a discounted cash flow (DCF) model to determine the estimated fair value of these investments as of March 31, 2008. The assumptions used in preparing the DCF model included estimates for the amount and timing of future interest and principal payments and the rate of return required by investors to own these securities in the current environment. In making these assumptions we considered relevant factors including: the formula applicable to each security which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issued student loan asset-backed securities which are not subject to auctions. Our estimate of the rate of return required by investors to own these securities also considers the current reduced liquidity for auction-rate securities.</w:t>
      </w:r>
    </w:p>
    <w:p>
      <w:pPr>
        <w:spacing w:after="0" w:line="20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table below sets forth, by level, our financial assets and liabilities that were accounted for at fair value as of March 31, 2008. The table does not include cash on hand and also does not include assets and liabilities which are measured at historical cost or any basis other than fair value.</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3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Portion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Measured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at Fair 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measured at fair value on a recurring basis: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Corporate commercial paper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Treasury and government agency securities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320"/>
              <w:spacing w:after="0" w:line="201" w:lineRule="exact"/>
              <w:rPr>
                <w:sz w:val="20"/>
                <w:szCs w:val="20"/>
                <w:color w:val="auto"/>
              </w:rPr>
            </w:pPr>
            <w:r>
              <w:rPr>
                <w:rFonts w:ascii="Arial" w:cs="Arial" w:eastAsia="Arial" w:hAnsi="Arial"/>
                <w:sz w:val="18"/>
                <w:szCs w:val="18"/>
                <w:color w:val="auto"/>
                <w:w w:val="95"/>
              </w:rPr>
              <w:t>Mortgage-backed securities – Government Sponsored Enterprise (GSE)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guaranteed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 senior bonds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Auction–rate securities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8800" w:type="dxa"/>
            <w:vAlign w:val="bottom"/>
            <w:gridSpan w:val="9"/>
          </w:tcPr>
          <w:p>
            <w:pPr>
              <w:ind w:left="320"/>
              <w:spacing w:after="0"/>
              <w:rPr>
                <w:sz w:val="20"/>
                <w:szCs w:val="20"/>
                <w:color w:val="auto"/>
              </w:rPr>
            </w:pPr>
            <w:r>
              <w:rPr>
                <w:rFonts w:ascii="Arial" w:cs="Arial" w:eastAsia="Arial" w:hAnsi="Arial"/>
                <w:sz w:val="18"/>
                <w:szCs w:val="18"/>
                <w:color w:val="auto"/>
                <w:w w:val="91"/>
              </w:rPr>
              <w:t>The following table summarizes the change in the fair values for Level 3 items for the quarter ended March 31, 2008.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Changes in fair value during the period ended March 31, 2008 (pre-tax):</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Transfers into Level 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 included in other comprehensive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both"/>
        <w:ind w:left="340" w:right="100"/>
        <w:spacing w:after="0" w:line="292" w:lineRule="auto"/>
        <w:rPr>
          <w:sz w:val="20"/>
          <w:szCs w:val="20"/>
          <w:color w:val="auto"/>
        </w:rPr>
      </w:pPr>
      <w:r>
        <w:rPr>
          <w:rFonts w:ascii="Arial" w:cs="Arial" w:eastAsia="Arial" w:hAnsi="Arial"/>
          <w:sz w:val="16"/>
          <w:szCs w:val="16"/>
          <w:color w:val="auto"/>
        </w:rPr>
        <w:t>All of our assets measured at fair value, except for investments in mutual funds, are classified as available-for-sale securities. Adjustments to fair value of these investments are recorded as an increase or decrease, net of taxes, in accumulated other comprehensive income except where losses are consider to be other-than-temporary, in which case the losses are recorded in other income (expense) net. Our investments in mutual funds, which are intended to generate returns that offset changes in certain liabilities related to deferred compensation arrangements, are classified as trading securities. Adjustments to fair value of both the mutual funds and the related deferred compensation liabilities are recorded in selling, general and administrative expense.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Defined Benefit</w:t>
            </w:r>
          </w:p>
        </w:tc>
        <w:tc>
          <w:tcPr>
            <w:tcW w:w="240" w:type="dxa"/>
            <w:vAlign w:val="bottom"/>
          </w:tcPr>
          <w:p>
            <w:pPr>
              <w:spacing w:after="0"/>
              <w:rPr>
                <w:sz w:val="20"/>
                <w:szCs w:val="20"/>
                <w:color w:val="auto"/>
              </w:rPr>
            </w:pPr>
          </w:p>
        </w:tc>
        <w:tc>
          <w:tcPr>
            <w:tcW w:w="19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Retiree Health Care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three months ended March 31,</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March 31, 2008, the estimated annual effective tax rate for 2008 is about 31 percent. The estimated annual effective tax rate for 2008 differs from the 35 percent statutory corporate tax rate primarily due to the effects of non-U.S. tax rates. The first quarter of 2008 includes a discrete tax benefit of $81 million primarily due to our decision to indefinitely reinvest the accumulated earnings of a non-U.S. subsidiary.</w:t>
      </w:r>
    </w:p>
    <w:p>
      <w:pPr>
        <w:spacing w:after="0" w:line="215"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08" w:lineRule="exact"/>
        <w:rPr>
          <w:rFonts w:ascii="Arial" w:cs="Arial" w:eastAsia="Arial" w:hAnsi="Arial"/>
          <w:sz w:val="18"/>
          <w:szCs w:val="18"/>
          <w:color w:val="auto"/>
        </w:rPr>
      </w:pPr>
    </w:p>
    <w:p>
      <w:pPr>
        <w:ind w:left="340" w:right="120"/>
        <w:spacing w:after="0" w:line="255"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under these agreements,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20" w:lineRule="exact"/>
        <w:rPr>
          <w:rFonts w:ascii="Arial" w:cs="Arial" w:eastAsia="Arial" w:hAnsi="Arial"/>
          <w:sz w:val="18"/>
          <w:szCs w:val="18"/>
          <w:color w:val="auto"/>
        </w:rPr>
      </w:pPr>
    </w:p>
    <w:p>
      <w:pPr>
        <w:ind w:left="340" w:right="12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3" w:lineRule="exact"/>
        <w:rPr>
          <w:rFonts w:ascii="Arial" w:cs="Arial" w:eastAsia="Arial" w:hAnsi="Arial"/>
          <w:sz w:val="18"/>
          <w:szCs w:val="18"/>
          <w:color w:val="auto"/>
        </w:rPr>
      </w:pPr>
    </w:p>
    <w:p>
      <w:pPr>
        <w:ind w:left="340" w:right="6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Discontinued Operations Indemnity – </w:t>
      </w:r>
      <w:r>
        <w:rPr>
          <w:rFonts w:ascii="Arial" w:cs="Arial" w:eastAsia="Arial" w:hAnsi="Arial"/>
          <w:sz w:val="17"/>
          <w:szCs w:val="17"/>
          <w:color w:val="auto"/>
        </w:rPr>
        <w:t>In connection with the sale of the former Sensors &amp; Controls business to an affiliate of Bain Capital, LLC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agreed to indemnify the former business, renamed Sensata Technologies, Inc.,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March 31, 2008, there were no significant liabilities recorded under these indemnification obligations.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ind w:left="340" w:right="3560" w:hanging="332"/>
        <w:spacing w:after="0" w:line="53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 Segment information for continuing operations is as follows:</w:t>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Net Revenue</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5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3,191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Education Technology</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5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5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5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Education Technology</w:t>
            </w: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5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160" w:type="dxa"/>
            <w:vAlign w:val="bottom"/>
            <w:vMerge w:val="restart"/>
          </w:tcPr>
          <w:p>
            <w:pPr>
              <w:jc w:val="right"/>
              <w:ind w:right="293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Texas Instruments, we design, make and sell high-technology components; more than 50,000 customers all over the world buy our products. We have two business segments: Semiconductor and Education Technology. Semiconductor is by far the larger of these segments, accounting for 96 percent of our revenue in 2007. This segment sells integrated circuits, or semiconductors, to electronics designers and manufacturers, many of whom innovate rapidly and bring new products to market multiple times a year. Our Education Technology segment accounts for the remaining 4 percent of our revenue and sells calculators and related technologies to consumers and educators.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details relevant to each segment are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Semiconductor segment invents and produces a variety of semiconductors, commonly called “chips.” These semiconductors are used to accomplish many different things, such as processing data, canceling noise, converting signals, improving resolution and distributing power. We are among the world’s largest semiconductor companies as measured by revenue, having been ranked in the top five for the past decade. Our Semiconductor segment can be affected by cyclical upturns and downturns characteristic of our markets, which sometimes cause wide swings in growth rates from year to year. Prices and manufacturing costs of Semiconductor products tend to decline over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Over the past decade, we have focused most of the resources of our Semiconductor segment on two areas – analog semiconductors and digital signal processors (DSPs). In 2007, about 80 percent of the segment’s revenue came from sales of these two broad types of semiconductors. In general, analog semiconductors and DSPs convert and process signals very quickly, enabling people to talk on a cell phone, hold a real-time videoconference over the Internet, or overcome deafness with a digital hearing aid, for example. Our portfolio includes products that are central to almost all electronic equipment.</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Analog semiconductors are responsible for changing real-world signals – such as sound, temperature, pressure or images – by conditioning them, amplifying them and often converting them to a stream of digital data so the signals can be processed by DSPs. Analog semiconductors also manage power distribution and consumption. Analog semiconductors can have long life cycles that reach into decades. We introduce hundreds of new types of analog semiconductors every year.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Our analog semiconductors can be put into two primary categories: custom products and standard products; most of our standard products are high-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performance analog. Custom products are designed for specific applications for specific customers. Standard products are used by multiple customers,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though some are used only in specific applications and some are used in many different applications. Almost all of our custom and standard products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in nature, which makes them difficult to copy or imitate. Both also typically deliver good gross margins, with margin on standard products being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somewhat higher. While our analog portfolio is primarily comprised of custom and standard products, we also manufacture and sell another category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analog semiconductors known as commodity products. These are sold in high volume to a broad range of customers for use in many different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applications. Commodity products, unlike custom and standard products, are easily imitated, which means differentiation is generally achieved by price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availability.</w:t>
      </w:r>
    </w:p>
    <w:p>
      <w:pPr>
        <w:spacing w:after="0" w:line="2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size of the total market for analog semiconductors was about $36 billion in 2007, and we supplied an estimated 13 percent of this market. Our share of this market has increased over the past five years as we have expanded our portfolio with higher performance products and grown the size and reach of our sales force. We believe that with continued improvements and focus, we can keep increasing our share of the market for analog semiconductors.</w:t>
      </w:r>
    </w:p>
    <w:p>
      <w:pPr>
        <w:spacing w:after="0" w:line="17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DSPs are semiconductors that perform mathematical computations almost instantaneously with a high level of precision. They use complex algorithms to process and improve a stream of digital data. DSPs are ideal for applications that require precise, real-time processing, such as cell phone conversations or receiving digital radio transmissions. The processing speed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and power efficiency of a DSP are important characteristics that often indicate the advanced technical nature of the device. Our portfolio includes DSPs that are among the world’s fastest and most power-efficient.</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portfolio of DSPs includes three categories of products: custom products, application-specific products and standard products. Custom products are designed for specific, individual customers with very high volumes in established markets. Application-specific products are designed for use by multiple customers in established and emerging markets. Standard products are sold into a broad range of applications and often seed the next generations of innovation in signal-processing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are the world’s largest supplier of DSPs with an estimated 65 percent share of the market in 2007. Most of this revenue comes from custom DSPs.</w:t>
      </w:r>
    </w:p>
    <w:p>
      <w:pPr>
        <w:spacing w:after="0" w:line="26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digital television broadcast provides an example of how analog semiconductors and DSPs work together in enabling modern electronic equipment. As a camera focuses on an event, its sensors and microphones send real-world signals to analog semiconductors, which condition and amplify the signals and convert the signals into digital data. A DSP then compresses and enhances the data for transmission as a television broadcast. Next, a television receives the broadcasted signal and its chips reverse the process, outputting the resulting sound and picture. Our portfolio of semiconductor products includes analog and DSP chips that are able to accomplish all of the processing steps described in real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strive to carry levels of inventory that let us meet our customers’ needs as well as fill orders when demand is unexpectedly strong. Having products when and where the customer needs them is an important element in gaining market share.</w:t>
      </w:r>
    </w:p>
    <w:p>
      <w:pPr>
        <w:spacing w:after="0" w:line="1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inventory practices vary by type of product. For standard products, where the risk of obsolescence is low, we generally carry higher levels of inventory. These products usually have many customers and long life cycles and are often ordered in small quantities. Standard product inventory is sometimes held in unfinished form, giving us greater flexibility to meet final package and test configurations. Examples of these products are high-performance analog, standard DSP and standard microcontrollers. (A microcontroller is a microprocessor designed to control a very specific task for electronic equipment.) For custom high-volume products, where the risk of obsolescence is higher, we carry lower levels of inventory when possible. These products usually have a single customer, are sold in high volumes and have comparatively shorter life cycles. Life cycles of these products are often determined by end-equipment upgrade cycles and can be as short as 12 to 24 months. Examples of these products are digital baseband processors for cell phones and custom application-specific analog and digital products. In addition, our inventory levels have generally increased over time due to the impact of consignment programs at our largest customers, our distributors’ desire to carry less inventory and our increased mix of standard products such as high-performance analog.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own and operate semiconductor manufacturing sites in North America, Asia and Europe. Our facilities require substantial investment to construct and are largely fixed-cost assets once in operation. Because we own much of our manufacturing capacity, a significant portion of our operating costs is fixed. In general, these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There is an inherent difference in the cost to manufacture analog semiconductors and DSPs. DSPs generally are on the leading edge of technology, and consequently, they require the most advanced and expensive manufacturing processes and equipment. Additionally, digital chips tend to evolve quickly to more advanced technology levels, requiring new production processes and new equipment every few years. As a result, maintaining an industry leadership position in digital manufacturing requires significant capital spending, along with investment in research and development, in order to develop new production processes and manufacturing capabilities. To reduce the dollars we must spend to produce digital chips, we manufacture some of our products at foundries that are owned and operated by outside parties. Foundries manufactured about 50 percent of our advanced digital chips in 2007.</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5" w:name="page16"/>
    <w:bookmarkEnd w:id="15"/>
    <w:p>
      <w:pPr>
        <w:ind w:right="240"/>
        <w:spacing w:after="0" w:line="276" w:lineRule="auto"/>
        <w:rPr>
          <w:sz w:val="20"/>
          <w:szCs w:val="20"/>
          <w:color w:val="auto"/>
        </w:rPr>
      </w:pPr>
      <w:r>
        <w:rPr>
          <w:rFonts w:ascii="Arial" w:cs="Arial" w:eastAsia="Arial" w:hAnsi="Arial"/>
          <w:sz w:val="17"/>
          <w:szCs w:val="17"/>
          <w:color w:val="auto"/>
        </w:rPr>
        <w:t>In contrast to our DSPs, our analog semiconductors typically require a lower level of investment in manufacturing processes and equipment. While analog chips benefit from unique, proprietary manufacturing processes, these processes can be applied using older, less expensive equipment. In addition, these processes and equipment remain usable for much longer than digital manufacturing processes and equipment. Consequently, the level of capital and manufacturing research and development spending needed to support analog manufacturing is considerably less than is needed for an equivalent level of digital manufacturing. We manufacture a significant majority of our analog chips in our own factories.</w:t>
      </w:r>
    </w:p>
    <w:p>
      <w:pPr>
        <w:spacing w:after="0" w:line="20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to using foundries to produce advanced digital chips, we determined in 2007 to work with foundries to develop the wafer fabrication manufacturing process technologies used in the production of digital chips. Such technologies historically were developed by us and a handful of other large semiconductor companies. But as foundries have become more sophisticated, they now can, and do, develop the same technologies, on the same schedule, with the same capabilities and quality. As a result, it is now more efficient and cost-effective for us to work collaboratively with foundries to develop new digital manufacturing process technologies and avoid duplication of research and investment. We substantially completed this shift in 2007. As we have decreased our spending on digital manufacturing research and development, we have increased spending on our analog manufacturing, where we remain able to differentiate our products through process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 Technology</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Education Technology segment is the world’s leading supplier of handheld graphing calculators. It also designs business and scientific calculators, as well as a wide range of advanced classroom tools that help students and teachers explore math and science interactively. Our products are marketed to consumers through retailers and to schools through instructional dealers. The Education Technology segment has an annual pattern of revenue that is tied to the back-to-school season. As a result, revenue is at its highest in the second and third quarters. This segment represented 4 percent of our revenue in 2007. Prices of Education Technology products tend to be stable.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Implications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2008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for the first quarter reflect our strengthening position in the market for analog semiconductors.</w:t>
      </w:r>
    </w:p>
    <w:p>
      <w:pPr>
        <w:spacing w:after="0" w:line="25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revenue was up 3 percent from the year-ago quarter, due to 20 percent growth in shipments resulting from increased demand for our high-performance analog semiconductors. Our operating profit grew 19 percent. Analog is making us stronger and will be a significant growth opportunity for a very long time. Analog goes into almost every piece of electronic equipment that is made, and we have the technology and the manufacturing power to serve much more of this market than we are addressing today. Analog also has clear benefits for our operating profit, which has grown faster than revenue, and for our cash flow, which we can return to shareholders or reinvest in growth.</w:t>
      </w:r>
    </w:p>
    <w:p>
      <w:pPr>
        <w:spacing w:after="0" w:line="2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Compared with the fourth quarter, our revenue declined 8 percent primarily due to lower shipments resulting from decreased demand for our products used in cell phones, especially high-end, or 3G, cell phones.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believe our long-term opportunity is excellent. We continue to do the things needed to be the better choice for our customers, such as adding sales and applications engineers, investing in new products, and increasing assembly/test capability.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Statements of Income – Selected Items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millions, except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Mar. 31, 2008</w:t>
            </w:r>
          </w:p>
        </w:tc>
        <w:tc>
          <w:tcPr>
            <w:tcW w:w="3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 31, 2007</w:t>
            </w:r>
          </w:p>
        </w:tc>
        <w:tc>
          <w:tcPr>
            <w:tcW w:w="26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Mar. 31, 2007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3,272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 (COR)</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1,516</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1,630</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1,756</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2,465</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2,560</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840</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662</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1,327</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1,347</w:t>
            </w:r>
          </w:p>
        </w:tc>
        <w:tc>
          <w:tcPr>
            <w:tcW w:w="4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1,399</w:t>
            </w: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53.7%</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 was $3.27 billion, up $81 million, or 3 percent, from the year-ago quarter. Compared with the prior quarter, revenue decreased $284 million, or 8 percent.</w:t>
      </w:r>
    </w:p>
    <w:p>
      <w:pPr>
        <w:spacing w:after="0" w:line="19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Gross profit for the first quarter of 2008 was $1.76 billion, or 53.7 percent of revenue. Our profitability has been improving due to a richer mix of more profitable products. Gross profit increased $119 million from the year-ago quarter and declined $170 million from the prior quarter.</w:t>
      </w:r>
    </w:p>
    <w:p>
      <w:pPr>
        <w:spacing w:after="0" w:line="1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Operating expenses for the first quarter of 2008 were $514 million for R&amp;D and $435 million for SG&amp;A. R&amp;D expense decreased $38 million from a year ago as we continue to benefit from our collaborative work with foundries on advanced digital process technologies. R&amp;D expense increased $6 million from the prior quarter due to seasonally higher pay and benefits, partially offset by lower product development costs. SG&amp;A expense increased $30 million from the year-ago quarter primarily due to higher investments in field sales and customer support, especially for emerging regions of the world.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SG&amp;A expense increased $13 million from the prior quarter due to seasonally higher pay and benefits, partially offset by lower advertising expense.</w:t>
      </w:r>
    </w:p>
    <w:p>
      <w:pPr>
        <w:spacing w:after="0" w:line="2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profit for the first quarter was $807 million, or 24.7 percent of revenue. This was an increase of $127 million from the year-ago quarter due to higher gross profit. Operating profit decreased $189 million from the prior quarter due to lower gross profit.</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income (expense) net for the first quarter was $33 million. This was down $6 million from the year-ago quarter and down $13 million from the prior quarter due to lower interest income.</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2008, the estimated annual effective tax rate for 2008 is expected to be about 31 percent (see Note 7 to the Financial Statements for additional information). The tax rate is based on current tax law and does not assume reinstatement of the federal research tax credit, which expired at the end of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tax provision for the first quarter was $178 million, which includes a discrete tax benefit of $81 million. The discrete tax benefit was primarily due to our decision to indefinitely reinvest the accumulated earnings of a non-U.S. subsidiary. Our tax provision in the fourth quarter of 2007 included a discrete tax benefit of $11 million.</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Income from continuing operations was $662 million, an increase of $146 million from the year-ago quarter and a decrease of $91 million from the prior quarter.</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Earnings per share (EPS) for the first quarter were $0.49 and included a discrete tax benefit of $0.06. EPS increased $0.14 from the year-ago quarter and decreased $0.05 from the prior quarter.</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Orders for the first quarter were $3.32 billion. This was an increase of $111 million from the year-ago quarter and a decline of $164 million from the prior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Semiconductor revenue in the first quarter of 2008 was $3.19 billion. This was 2 percent higher than the year-ago quarter primarily due to higher shipments resulting from increased demand for analog products, especially high-performance analog products. Revenue declined 8 percent from the prior quarter primarily due to lower shipments resulting from decreased demand for DSP products sold into cell phone applications.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July 2007, we sold our digital subscriber line (DSL) customer-premises equipment product line, causing a decline in revenue of about $55 million from first quarter 2007 as compared to first quarter 2008. This sale primarily affected our application-specific analog revenue over this period, although there was also some DSP revenue impact.</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Analog product revenue for the first quarter was $1.32 billion. This was up 6 percent compared with a year ago due to increased shipments resulting from stronger demand for high-performance analog products. Revenue was down 4 percent from the prior quarter primarily due to lower shipments resulting from weaker demand for application-specific analog products sold into hard-disk drive and cell phone applications. Revenue from high-performance analog products increased 20 percent from a year ago and was about even with the prior quarter.</w:t>
      </w: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DSP product revenue for the first quarter was $1.12 billion. This was a decrease of 3 percent from a year ago and 18 percent from the prior quarter. Revenue declined from the year-ago quarter because products for low-end cell phones represented a higher proportion of our shipments than in the earlier</w:t>
      </w:r>
    </w:p>
    <w:p>
      <w:pPr>
        <w:ind w:right="300"/>
        <w:spacing w:after="0" w:line="261" w:lineRule="auto"/>
        <w:rPr>
          <w:sz w:val="20"/>
          <w:szCs w:val="20"/>
          <w:color w:val="auto"/>
        </w:rPr>
      </w:pPr>
      <w:r>
        <w:rPr>
          <w:rFonts w:ascii="Arial" w:cs="Arial" w:eastAsia="Arial" w:hAnsi="Arial"/>
          <w:sz w:val="18"/>
          <w:szCs w:val="18"/>
          <w:color w:val="auto"/>
        </w:rPr>
        <w:t>period. Revenue declined from the prior quarter due to lower shipments resulting from reduced demand for products sold into a broad range of cell phone applications.</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remaining semiconductor revenue for the first quarter was $754 million, an increase of 6 percent from a year ago and 2 percent from the prior quarter. Growth in both comparisons was primarily due to increased shipments resulting from higher demand for microcontrollers. Also included in remaining semiconductor revenue is royalty revenue and revenue from sales of reduced-instruction set microprocessors, standard logic products and DLP® products.</w:t>
      </w: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an end-equipment basis, revenue from products for wireless applications was $1.09 billion, a decline of 4 percent from the year-ago quarter primarily due to lower revenue from digital baseband and chipset products. Revenue from baseband and chipset products declined despite an increase in shipments because products for low-end cell phones represented a higher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proportion of shipments than in the earlier period. Compared with prior quarter, revenue declined 18 percent due to lower shipments resulting from decreased demand. Most of the decline in demand was due to an unexpected in-quarter decrease in demand for high-end, or 3G, products, although the previously discussed supplier transition under way at Ericsson Mobile Platforms contributed to a lesser extent.</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profit for the first quarter was $1.73 billion, or 54.3 percent of revenue. This was up $102 million, or 6 percent, from the year-ago quarter primarily due to higher revenue from more-profitable analog products, and to a lesser extent, from microcontrollers. Gross profit was down $165 million, or 9 percent, from the prior quarter due to lower revenue.</w:t>
      </w:r>
    </w:p>
    <w:p>
      <w:pPr>
        <w:spacing w:after="0" w:line="2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profit for the first quarter was $927 million, or 29.0 percent of revenue. This was an increase of $96 million from the year-ago quarter due to higher gross profit. Operating profit decreased $190 million from the prior quarter primarily due to lower gross profit.</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Semiconductor orders in the first quarter were $3.17 billion. This was up 3 percent from the year-ago quarter due to higher demand for analog products and was down 7 percent from the prior quarter primarily due to lower demand for DSP products used in cell phones.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Education technology revenue for the first quarter of 2008 was $81 million. This was an increase of $5 million, or 7 percent, from the year-ago quarter due to higher sales of graphing calculators. Revenue was even with the prior quarter.</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profit for the first quarter was $49 million, or 60.5 percent of revenue. This was an increase of $4 million, or 10 percent, from the year-ago quarter due to higher revenue. Gross profit declined $1 million from the prior quarter.</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profit for the first quarter was $18 million, or 21.9 percent of revenue. This was an increase of $2 million from the year-ago quarter due to higher gross profit and a decrease of $1 million from the prior quarter due to lower gross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end of the first quarter of 2008, total cash (cash and cash equivalents plus short-term investments) was $1.88 billion. This was $1.05 billion lower than the end of 2007. As of the end of the first quarter we reclassified our remaining auction-rate securities, which have a fair value of $551 million, from short-term investments to long-term investments due to reduced liquidity for these securities (see Notes 4 and 5 to the Financial Statements). Accounts receivable were $1.67 billion at the end of the quarter. This was a decrease of $73 million from the end of 2007. Days sales outstanding were 46 at the end of the quarter compared with 44 at the end of 2007.</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Inventory was $1.58 billion at the end of the quarter. This was $160 million higher than the end of 2007. Days of inventory at the end of the first quarter were 94, up 16 days from the prior quarter. About one-third of the increase in inventory was the result of unexpected decreases in demand from our wireless customers in the quarter. Another third of the increase is tied to our changing perspective for demand in the second quarter. When we started manufacturing those products we had higher expectations for second quarter demand than our more conservative current view. In response, we began to lower production levels in early March to reduce our inventory at a measured pace over the next few quarters. The final third of the increased inventory was the result of a planned build, especially in high-performance analog. It was our objective to increase this inventory level to enable us to better service our customers and we plan to maintain this higher level.</w:t>
      </w:r>
    </w:p>
    <w:p>
      <w:pPr>
        <w:spacing w:after="0" w:line="2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Capital spending in the first quarter totaled $219 million. This was an increase of $40 million from a year ago due to higher expenditures for semiconductor assembly/test equipment and facilities. Depreciation in the first three months of 2008 was $241 million, down $11 million from a year ago.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flow from operations for the first quarter of 2008 was $641 million, an increase of $87 million from the year-ago quarter, due to the increase in net income.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quarter of 2008, net cash provided from investing activities was $391 million, compared with cash used of $44 million a year ago. During the quarter, we reduced our holdings of short-term investments to supplement cash flow from operations for share repurchases. We used $874 million of cash in the quarter to repurchase 28.6 million shares of our common stock and paid dividends of $133 million. In the same quarter last year we used $857 million of cash to repurchase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28 million shares of common stock and paid $58 million in dividends. Dividends were higher due to the increase in the quarterly dividend rate in the second and fourth quarters of 2007. The amount of dividend payments was partially offset by the lower number of shares outstanding as a result of the share repurchases.</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2008, we expect: an annual effective tax rate of about 31 percent, R&amp;D expense of $2.0 billion, capital expenditures of $0.9 billion and depreciation of $1.0 billion.</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market risk is contained on pages 58-59 of Exhibit 13 to our Form 10-K for the year ended December 31, 2007,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 as</w:t>
            </w:r>
          </w:p>
        </w:tc>
        <w:tc>
          <w:tcPr>
            <w:tcW w:w="1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Part of</w:t>
            </w:r>
          </w:p>
        </w:tc>
        <w:tc>
          <w:tcPr>
            <w:tcW w:w="1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Publicly</w:t>
            </w:r>
          </w:p>
        </w:tc>
        <w:tc>
          <w:tcPr>
            <w:tcW w:w="1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Price Paid</w:t>
            </w:r>
          </w:p>
        </w:tc>
        <w:tc>
          <w:tcPr>
            <w:tcW w:w="1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180" w:type="dxa"/>
            <w:vAlign w:val="bottom"/>
          </w:tcPr>
          <w:p>
            <w:pPr>
              <w:spacing w:after="0"/>
              <w:rPr>
                <w:sz w:val="18"/>
                <w:szCs w:val="18"/>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80" w:type="dxa"/>
            <w:vAlign w:val="bottom"/>
          </w:tcPr>
          <w:p>
            <w:pPr>
              <w:spacing w:after="0"/>
              <w:rPr>
                <w:sz w:val="22"/>
                <w:szCs w:val="22"/>
                <w:color w:val="auto"/>
              </w:rPr>
            </w:pPr>
          </w:p>
        </w:tc>
        <w:tc>
          <w:tcPr>
            <w:tcW w:w="1320" w:type="dxa"/>
            <w:vAlign w:val="bottom"/>
            <w:tcBorders>
              <w:bottom w:val="single" w:sz="8" w:color="auto"/>
            </w:tcBorders>
          </w:tcPr>
          <w:p>
            <w:pPr>
              <w:jc w:val="center"/>
              <w:ind w:left="9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2008</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21,995,000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30.17</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4,910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February 1 through February 29, 2008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3,638,400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30.24</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3,638,400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4,800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4,800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vMerge w:val="continue"/>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25,633,400</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30.18</w:t>
            </w:r>
          </w:p>
        </w:tc>
        <w:tc>
          <w:tcPr>
            <w:tcW w:w="180" w:type="dxa"/>
            <w:vAlign w:val="bottom"/>
          </w:tcPr>
          <w:p>
            <w:pPr>
              <w:spacing w:after="0"/>
              <w:rPr>
                <w:sz w:val="24"/>
                <w:szCs w:val="24"/>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25,633,400</w:t>
            </w:r>
            <w:r>
              <w:rPr>
                <w:rFonts w:ascii="Arial" w:cs="Arial" w:eastAsia="Arial" w:hAnsi="Arial"/>
                <w:sz w:val="12"/>
                <w:szCs w:val="12"/>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95"/>
              </w:rPr>
              <w:t>4,800 million</w:t>
            </w:r>
            <w:r>
              <w:rPr>
                <w:rFonts w:ascii="Arial" w:cs="Arial" w:eastAsia="Arial" w:hAnsi="Arial"/>
                <w:sz w:val="25"/>
                <w:szCs w:val="25"/>
                <w:color w:val="auto"/>
                <w:w w:val="95"/>
                <w:vertAlign w:val="superscript"/>
              </w:rPr>
              <w:t>(2)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08"/>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purchases during the quarter were made through open market purchases under one of the following two authorizations from our Board of Directors:</w:t>
      </w:r>
    </w:p>
    <w:p>
      <w:pPr>
        <w:spacing w:after="0" w:line="46" w:lineRule="exact"/>
        <w:rPr>
          <w:rFonts w:ascii="Arial" w:cs="Arial" w:eastAsia="Arial" w:hAnsi="Arial"/>
          <w:sz w:val="16"/>
          <w:szCs w:val="16"/>
          <w:color w:val="auto"/>
        </w:rPr>
      </w:pPr>
    </w:p>
    <w:p>
      <w:pPr>
        <w:jc w:val="both"/>
        <w:ind w:left="340" w:hanging="8"/>
        <w:spacing w:after="0" w:line="255" w:lineRule="auto"/>
        <w:tabs>
          <w:tab w:leader="none" w:pos="5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authorization to purchase up to $5 billion of additional shares of TI common stock (announced on September 21, 2006) and (b) authorization to purchase up to $5 billion of additional shares of TI common stock (announced on September 21, 2007). No expiration date has been specified for these authorizations.</w:t>
      </w:r>
    </w:p>
    <w:p>
      <w:pPr>
        <w:spacing w:after="0" w:line="217"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table does not include the purchase of 3,000,000 shares pursuant to orders placed in the fourth quarter of 2007, for which trades were settled in the first three business days of the first quarter for $101 million. The purchase of these shares was reflected in Part II, Item 5 of our report on Form 10-K for the year ended December 31,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Designation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of Exhibits in</w:t>
      </w:r>
    </w:p>
    <w:p>
      <w:pPr>
        <w:spacing w:after="0" w:line="9" w:lineRule="exact"/>
        <w:rPr>
          <w:sz w:val="20"/>
          <w:szCs w:val="20"/>
          <w:color w:val="auto"/>
        </w:rPr>
      </w:pPr>
    </w:p>
    <w:p>
      <w:pPr>
        <w:ind w:left="180"/>
        <w:spacing w:after="0"/>
        <w:tabs>
          <w:tab w:leader="none" w:pos="1380" w:val="left"/>
        </w:tabs>
        <w:rPr>
          <w:sz w:val="20"/>
          <w:szCs w:val="20"/>
          <w:color w:val="auto"/>
        </w:rPr>
      </w:pPr>
      <w:r>
        <w:rPr>
          <w:rFonts w:ascii="Arial" w:cs="Arial" w:eastAsia="Arial" w:hAnsi="Arial"/>
          <w:sz w:val="18"/>
          <w:szCs w:val="18"/>
          <w:b w:val="1"/>
          <w:bCs w:val="1"/>
          <w:color w:val="auto"/>
        </w:rPr>
        <w:t>This Report</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25"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225"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25"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right="44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64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10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8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56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2008</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40" w:hanging="6"/>
        <w:spacing w:after="0" w:line="277"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2008</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2008</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80" w:hanging="6"/>
        <w:spacing w:after="0" w:line="342"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2008,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48" w:lineRule="auto"/>
        <w:tabs>
          <w:tab w:leader="none" w:pos="7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2008</w:t>
      </w: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80" w:hanging="6"/>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2008,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48"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2008</w:t>
      </w: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1"/>
    </w:lvl>
    <w:lvl w:ilvl="1">
      <w:lvlJc w:val="left"/>
      <w:lvlText w:val="%2."/>
      <w:numFmt w:val="decimal"/>
      <w:start w:val="4"/>
    </w:lvl>
  </w:abstractNum>
  <w:abstractNum w:abstractNumId="5">
    <w:nsid w:val="DED7263"/>
    <w:multiLevelType w:val="hybridMultilevel"/>
    <w:lvl w:ilvl="0">
      <w:lvlJc w:val="left"/>
      <w:lvlText w:val="%1."/>
      <w:numFmt w:val="decimal"/>
      <w:start w:val="5"/>
    </w:lvl>
    <w:lvl w:ilvl="1">
      <w:lvlJc w:val="left"/>
      <w:lvlText w:val="%2"/>
      <w:numFmt w:val="decimal"/>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2019-12-11T13:32:19Z</dcterms:created>
  <dcterms:modified xsi:type="dcterms:W3CDTF">2019-12-11T13:32:19Z</dcterms:modified>
</cp:coreProperties>
</file>