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0039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00392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VanScoter John C</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01/25/2008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10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2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2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Borders>
              <w:bottom w:val="single" w:sz="8" w:color="2C2C2C"/>
            </w:tcBorders>
          </w:tcPr>
          <w:p>
            <w:pPr>
              <w:jc w:val="right"/>
              <w:ind w:right="93"/>
              <w:spacing w:after="0"/>
              <w:rPr>
                <w:sz w:val="20"/>
                <w:szCs w:val="20"/>
                <w:color w:val="auto"/>
              </w:rPr>
            </w:pPr>
            <w:r>
              <w:rPr>
                <w:rFonts w:ascii="Arial" w:cs="Arial" w:eastAsia="Arial" w:hAnsi="Arial"/>
                <w:sz w:val="17"/>
                <w:szCs w:val="17"/>
                <w:color w:val="0000FF"/>
              </w:rPr>
              <w:t>01/25/2008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20,000</w:t>
            </w:r>
          </w:p>
        </w:tc>
        <w:tc>
          <w:tcPr>
            <w:tcW w:w="54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jc w:val="right"/>
              <w:ind w:right="146"/>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152,443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8,656.18</w:t>
            </w:r>
            <w:r>
              <w:rPr>
                <w:rFonts w:ascii="Arial" w:cs="Arial" w:eastAsia="Arial" w:hAnsi="Arial"/>
                <w:sz w:val="22"/>
                <w:szCs w:val="22"/>
                <w:color w:val="008000"/>
                <w:w w:val="90"/>
                <w:vertAlign w:val="superscript"/>
              </w:rPr>
              <w:t>(2)</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2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2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2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90"/>
              </w:rPr>
              <w:t>4,982.74</w:t>
            </w:r>
            <w:r>
              <w:rPr>
                <w:rFonts w:ascii="Arial" w:cs="Arial" w:eastAsia="Arial" w:hAnsi="Arial"/>
                <w:sz w:val="22"/>
                <w:szCs w:val="22"/>
                <w:color w:val="008000"/>
                <w:w w:val="90"/>
                <w:vertAlign w:val="superscript"/>
              </w:rPr>
              <w:t>(3)</w:t>
            </w:r>
          </w:p>
        </w:tc>
        <w:tc>
          <w:tcPr>
            <w:tcW w:w="980" w:type="dxa"/>
            <w:vAlign w:val="bottom"/>
          </w:tcPr>
          <w:p>
            <w:pPr>
              <w:ind w:left="500"/>
              <w:spacing w:after="0"/>
              <w:rPr>
                <w:sz w:val="20"/>
                <w:szCs w:val="20"/>
                <w:color w:val="auto"/>
              </w:rPr>
            </w:pPr>
            <w:r>
              <w:rPr>
                <w:rFonts w:ascii="Arial" w:cs="Arial" w:eastAsia="Arial" w:hAnsi="Arial"/>
                <w:sz w:val="17"/>
                <w:szCs w:val="17"/>
                <w:color w:val="0000FF"/>
              </w:rPr>
              <w:t>I</w:t>
            </w:r>
          </w:p>
        </w:tc>
        <w:tc>
          <w:tcPr>
            <w:tcW w:w="820" w:type="dxa"/>
            <w:vAlign w:val="bottom"/>
          </w:tcPr>
          <w:p>
            <w:pPr>
              <w:ind w:left="10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10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9"/>
        </w:trPr>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29.79</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01/25/2008</w:t>
            </w:r>
          </w:p>
        </w:tc>
        <w:tc>
          <w:tcPr>
            <w:tcW w:w="1120" w:type="dxa"/>
            <w:vAlign w:val="bottom"/>
          </w:tcPr>
          <w:p>
            <w:pPr>
              <w:spacing w:after="0"/>
              <w:rPr>
                <w:sz w:val="17"/>
                <w:szCs w:val="17"/>
                <w:color w:val="auto"/>
              </w:rPr>
            </w:pPr>
          </w:p>
        </w:tc>
        <w:tc>
          <w:tcPr>
            <w:tcW w:w="840" w:type="dxa"/>
            <w:vAlign w:val="bottom"/>
          </w:tcPr>
          <w:p>
            <w:pPr>
              <w:ind w:left="180"/>
              <w:spacing w:after="0"/>
              <w:rPr>
                <w:sz w:val="20"/>
                <w:szCs w:val="20"/>
                <w:color w:val="auto"/>
              </w:rPr>
            </w:pPr>
            <w:r>
              <w:rPr>
                <w:rFonts w:ascii="Arial" w:cs="Arial" w:eastAsia="Arial" w:hAnsi="Arial"/>
                <w:sz w:val="13"/>
                <w:szCs w:val="13"/>
                <w:color w:val="0000FF"/>
              </w:rPr>
              <w:t>A</w:t>
            </w:r>
          </w:p>
        </w:tc>
        <w:tc>
          <w:tcPr>
            <w:tcW w:w="520" w:type="dxa"/>
            <w:vAlign w:val="bottom"/>
          </w:tcPr>
          <w:p>
            <w:pPr>
              <w:ind w:left="80"/>
              <w:spacing w:after="0"/>
              <w:rPr>
                <w:sz w:val="20"/>
                <w:szCs w:val="20"/>
                <w:color w:val="auto"/>
              </w:rPr>
            </w:pPr>
            <w:r>
              <w:rPr>
                <w:rFonts w:ascii="Arial" w:cs="Arial" w:eastAsia="Arial" w:hAnsi="Arial"/>
                <w:sz w:val="13"/>
                <w:szCs w:val="13"/>
                <w:color w:val="0000FF"/>
              </w:rPr>
              <w:t>60,000</w:t>
            </w:r>
          </w:p>
        </w:tc>
        <w:tc>
          <w:tcPr>
            <w:tcW w:w="300" w:type="dxa"/>
            <w:vAlign w:val="bottom"/>
          </w:tcPr>
          <w:p>
            <w:pPr>
              <w:spacing w:after="0"/>
              <w:rPr>
                <w:sz w:val="17"/>
                <w:szCs w:val="17"/>
                <w:color w:val="auto"/>
              </w:rPr>
            </w:pPr>
          </w:p>
        </w:tc>
        <w:tc>
          <w:tcPr>
            <w:tcW w:w="820" w:type="dxa"/>
            <w:vAlign w:val="bottom"/>
          </w:tcPr>
          <w:p>
            <w:pPr>
              <w:ind w:left="340"/>
              <w:spacing w:after="0"/>
              <w:rPr>
                <w:sz w:val="20"/>
                <w:szCs w:val="20"/>
                <w:color w:val="auto"/>
              </w:rPr>
            </w:pPr>
            <w:r>
              <w:rPr>
                <w:rFonts w:ascii="Arial" w:cs="Arial" w:eastAsia="Arial" w:hAnsi="Arial"/>
                <w:sz w:val="11"/>
                <w:szCs w:val="11"/>
                <w:color w:val="008000"/>
              </w:rPr>
              <w:t>(4)</w:t>
            </w:r>
          </w:p>
        </w:tc>
        <w:tc>
          <w:tcPr>
            <w:tcW w:w="760" w:type="dxa"/>
            <w:vAlign w:val="bottom"/>
          </w:tcPr>
          <w:p>
            <w:pPr>
              <w:ind w:left="80"/>
              <w:spacing w:after="0"/>
              <w:rPr>
                <w:sz w:val="20"/>
                <w:szCs w:val="20"/>
                <w:color w:val="auto"/>
              </w:rPr>
            </w:pPr>
            <w:r>
              <w:rPr>
                <w:rFonts w:ascii="Arial" w:cs="Arial" w:eastAsia="Arial" w:hAnsi="Arial"/>
                <w:sz w:val="13"/>
                <w:szCs w:val="13"/>
                <w:color w:val="0000FF"/>
              </w:rPr>
              <w:t>01/25/2018</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60,000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300"/>
              <w:spacing w:after="0"/>
              <w:rPr>
                <w:sz w:val="20"/>
                <w:szCs w:val="20"/>
                <w:color w:val="auto"/>
              </w:rPr>
            </w:pPr>
            <w:r>
              <w:rPr>
                <w:rFonts w:ascii="Arial" w:cs="Arial" w:eastAsia="Arial" w:hAnsi="Arial"/>
                <w:sz w:val="13"/>
                <w:szCs w:val="13"/>
                <w:color w:val="0000FF"/>
              </w:rPr>
              <w:t>60,000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7"/>
                <w:szCs w:val="17"/>
                <w:color w:val="auto"/>
              </w:rPr>
            </w:pPr>
          </w:p>
        </w:tc>
      </w:tr>
      <w:tr>
        <w:trPr>
          <w:trHeight w:val="109"/>
        </w:trPr>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72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Award of restricted stock units pursuant to 2000 Long Term Incentive Plan.</w:t>
      </w:r>
    </w:p>
    <w:p>
      <w:pPr>
        <w:spacing w:after="0" w:line="51" w:lineRule="exact"/>
        <w:rPr>
          <w:rFonts w:ascii="Arial" w:cs="Arial" w:eastAsia="Arial" w:hAnsi="Arial"/>
          <w:sz w:val="13"/>
          <w:szCs w:val="13"/>
          <w:color w:val="008000"/>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12-31-07. (Interests in this account are denominated in units. Consequently, share amount shown is an estimate.) This statement does not include changes in beneficial ownership of shares held in this account occurring after 12-31-07 that are eligible for deferred reporting on Form 5.</w:t>
      </w:r>
    </w:p>
    <w:p>
      <w:pPr>
        <w:spacing w:after="0" w:line="9" w:lineRule="exact"/>
        <w:rPr>
          <w:rFonts w:ascii="Arial" w:cs="Arial" w:eastAsia="Arial" w:hAnsi="Arial"/>
          <w:sz w:val="13"/>
          <w:szCs w:val="13"/>
          <w:color w:val="008000"/>
        </w:rPr>
      </w:pPr>
    </w:p>
    <w:p>
      <w:pPr>
        <w:ind w:left="40" w:right="20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12-31-07. (Interests in this account are denominated in units. Consequently, share amount shown is an estimate.) This statement does not include changes in beneficial ownership of shares held in such account occurring after 12-31-07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25, 2009.</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01/29/2008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17458"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2019-12-16T02:56:26Z</dcterms:created>
  <dcterms:modified xsi:type="dcterms:W3CDTF">2019-12-16T02:56:26Z</dcterms:modified>
</cp:coreProperties>
</file>