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2856865</wp:posOffset>
            </wp:positionH>
            <wp:positionV relativeFrom="paragraph">
              <wp:posOffset>424815</wp:posOffset>
            </wp:positionV>
            <wp:extent cx="1543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320"/>
        <w:spacing w:after="0"/>
        <w:rPr>
          <w:sz w:val="20"/>
          <w:szCs w:val="20"/>
          <w:color w:val="auto"/>
        </w:rPr>
      </w:pPr>
      <w:r>
        <w:rPr>
          <w:rFonts w:ascii="Arial" w:cs="Arial" w:eastAsia="Arial" w:hAnsi="Arial"/>
          <w:sz w:val="17"/>
          <w:szCs w:val="17"/>
          <w:b w:val="1"/>
          <w:bCs w:val="1"/>
          <w:color w:val="auto"/>
        </w:rPr>
        <w:t>DATE OF REPORT (DATE OF EARLIEST EVENT REPORTED): September 17,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2874010</wp:posOffset>
            </wp:positionH>
            <wp:positionV relativeFrom="paragraph">
              <wp:posOffset>445135</wp:posOffset>
            </wp:positionV>
            <wp:extent cx="15093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787" w:right="7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80" w:space="720"/>
            <w:col w:w="2660"/>
          </w:cols>
          <w:pgMar w:left="240" w:top="787" w:right="739" w:bottom="1440" w:gutter="0" w:footer="0" w:header="0"/>
          <w:type w:val="continuous"/>
        </w:sectPr>
      </w:pPr>
    </w:p>
    <w:p>
      <w:pPr>
        <w:spacing w:after="0" w:line="30"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787" w:right="73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2874010</wp:posOffset>
            </wp:positionH>
            <wp:positionV relativeFrom="paragraph">
              <wp:posOffset>437515</wp:posOffset>
            </wp:positionV>
            <wp:extent cx="15093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1342390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787"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8.01. Other Events</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Registrant’s news release dated September 17, 2009, regarding a planned dividend increase, attached hereto as Exhibit 99 is incorporated by reference herein.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ITEM 9.01. Exhibits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30"/>
        </w:trPr>
        <w:tc>
          <w:tcPr>
            <w:tcW w:w="1280" w:type="dxa"/>
            <w:vAlign w:val="bottom"/>
          </w:tcPr>
          <w:p>
            <w:pPr>
              <w:jc w:val="center"/>
              <w:spacing w:after="0"/>
              <w:rPr>
                <w:sz w:val="20"/>
                <w:szCs w:val="20"/>
                <w:color w:val="auto"/>
              </w:rPr>
            </w:pPr>
            <w:r>
              <w:rPr>
                <w:rFonts w:ascii="Arial" w:cs="Arial" w:eastAsia="Arial" w:hAnsi="Arial"/>
                <w:sz w:val="18"/>
                <w:szCs w:val="18"/>
                <w:color w:val="auto"/>
                <w:w w:val="88"/>
              </w:rPr>
              <w:t>Report</w:t>
            </w:r>
          </w:p>
        </w:tc>
        <w:tc>
          <w:tcPr>
            <w:tcW w:w="10140" w:type="dxa"/>
            <w:vAlign w:val="bottom"/>
            <w:gridSpan w:val="2"/>
          </w:tcPr>
          <w:p>
            <w:pPr>
              <w:ind w:left="940"/>
              <w:spacing w:after="0"/>
              <w:rPr>
                <w:sz w:val="20"/>
                <w:szCs w:val="20"/>
                <w:color w:val="auto"/>
              </w:rPr>
            </w:pPr>
            <w:r>
              <w:rPr>
                <w:rFonts w:ascii="Arial" w:cs="Arial" w:eastAsia="Arial" w:hAnsi="Arial"/>
                <w:sz w:val="18"/>
                <w:szCs w:val="18"/>
                <w:color w:val="auto"/>
              </w:rPr>
              <w:t>Description of Exhibit</w:t>
            </w:r>
          </w:p>
        </w:tc>
      </w:tr>
      <w:tr>
        <w:trPr>
          <w:trHeight w:val="223"/>
        </w:trPr>
        <w:tc>
          <w:tcPr>
            <w:tcW w:w="128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9200" w:type="dxa"/>
            <w:vAlign w:val="bottom"/>
            <w:tcBorders>
              <w:bottom w:val="single" w:sz="8" w:color="auto"/>
            </w:tcBorders>
          </w:tcPr>
          <w:p>
            <w:pPr>
              <w:spacing w:after="0"/>
              <w:rPr>
                <w:sz w:val="19"/>
                <w:szCs w:val="19"/>
                <w:color w:val="auto"/>
              </w:rPr>
            </w:pPr>
          </w:p>
        </w:tc>
      </w:tr>
      <w:tr>
        <w:trPr>
          <w:trHeight w:val="418"/>
        </w:trPr>
        <w:tc>
          <w:tcPr>
            <w:tcW w:w="12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140" w:type="dxa"/>
            <w:vAlign w:val="bottom"/>
            <w:gridSpan w:val="2"/>
          </w:tcPr>
          <w:p>
            <w:pPr>
              <w:ind w:left="940"/>
              <w:spacing w:after="0"/>
              <w:rPr>
                <w:sz w:val="20"/>
                <w:szCs w:val="20"/>
                <w:color w:val="auto"/>
              </w:rPr>
            </w:pPr>
            <w:r>
              <w:rPr>
                <w:rFonts w:ascii="Arial" w:cs="Arial" w:eastAsia="Arial" w:hAnsi="Arial"/>
                <w:sz w:val="18"/>
                <w:szCs w:val="18"/>
                <w:color w:val="auto"/>
              </w:rPr>
              <w:t>Registrant’s News Release</w:t>
            </w: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940"/>
              <w:spacing w:after="0"/>
              <w:rPr>
                <w:sz w:val="20"/>
                <w:szCs w:val="20"/>
                <w:color w:val="auto"/>
              </w:rPr>
            </w:pPr>
            <w:r>
              <w:rPr>
                <w:rFonts w:ascii="Arial" w:cs="Arial" w:eastAsia="Arial" w:hAnsi="Arial"/>
                <w:sz w:val="18"/>
                <w:szCs w:val="18"/>
                <w:color w:val="auto"/>
              </w:rPr>
              <w:t>Dated September 17, 2009 (furnished pursuant to Item 8.01)</w:t>
            </w: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341"/>
        <w:spacing w:after="0"/>
        <w:tabs>
          <w:tab w:leader="none" w:pos="660" w:val="left"/>
        </w:tabs>
        <w:numPr>
          <w:ilvl w:val="2"/>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660" w:right="440" w:hanging="341"/>
        <w:spacing w:after="0" w:line="277" w:lineRule="auto"/>
        <w:tabs>
          <w:tab w:leader="none" w:pos="66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660" w:hanging="341"/>
        <w:spacing w:after="0"/>
        <w:tabs>
          <w:tab w:leader="none" w:pos="66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660" w:hanging="341"/>
        <w:spacing w:after="0"/>
        <w:tabs>
          <w:tab w:leader="none" w:pos="66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660" w:hanging="341"/>
        <w:spacing w:after="0"/>
        <w:tabs>
          <w:tab w:leader="none" w:pos="66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660" w:hanging="341"/>
        <w:spacing w:after="0"/>
        <w:tabs>
          <w:tab w:leader="none" w:pos="660" w:val="left"/>
        </w:tabs>
        <w:numPr>
          <w:ilvl w:val="2"/>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660" w:right="740" w:hanging="341"/>
        <w:spacing w:after="0" w:line="277" w:lineRule="auto"/>
        <w:tabs>
          <w:tab w:leader="none" w:pos="660" w:val="left"/>
        </w:tabs>
        <w:numPr>
          <w:ilvl w:val="2"/>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660" w:hanging="341"/>
        <w:spacing w:after="0"/>
        <w:tabs>
          <w:tab w:leader="none" w:pos="660" w:val="left"/>
        </w:tabs>
        <w:numPr>
          <w:ilvl w:val="2"/>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640" w:hanging="335"/>
        <w:spacing w:after="0"/>
        <w:tabs>
          <w:tab w:leader="none" w:pos="640" w:val="left"/>
        </w:tabs>
        <w:numPr>
          <w:ilvl w:val="1"/>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640" w:right="220" w:hanging="335"/>
        <w:spacing w:after="0" w:line="277" w:lineRule="auto"/>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640" w:hanging="335"/>
        <w:spacing w:after="0"/>
        <w:tabs>
          <w:tab w:leader="none" w:pos="640" w:val="left"/>
        </w:tabs>
        <w:numPr>
          <w:ilvl w:val="1"/>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640" w:hanging="321"/>
        <w:spacing w:after="0"/>
        <w:tabs>
          <w:tab w:leader="none" w:pos="640" w:val="left"/>
        </w:tabs>
        <w:numPr>
          <w:ilvl w:val="2"/>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640" w:hanging="335"/>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660" w:hanging="36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63" w:lineRule="exact"/>
        <w:rPr>
          <w:rFonts w:ascii="Arial" w:cs="Arial" w:eastAsia="Arial" w:hAnsi="Arial"/>
          <w:sz w:val="17"/>
          <w:szCs w:val="17"/>
          <w:color w:val="auto"/>
        </w:rPr>
      </w:pPr>
    </w:p>
    <w:p>
      <w:pPr>
        <w:ind w:left="660" w:hanging="36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660" w:hanging="341"/>
        <w:spacing w:after="0"/>
        <w:tabs>
          <w:tab w:leader="none" w:pos="66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660" w:right="360" w:hanging="341"/>
        <w:spacing w:after="0" w:line="277" w:lineRule="auto"/>
        <w:tabs>
          <w:tab w:leader="none" w:pos="66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00" w:lineRule="exact"/>
        <w:rPr>
          <w:sz w:val="20"/>
          <w:szCs w:val="20"/>
          <w:color w:val="auto"/>
        </w:rPr>
      </w:pPr>
    </w:p>
    <w:p>
      <w:pPr>
        <w:spacing w:after="0" w:line="24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ectPr>
          <w:pgSz w:w="11900" w:h="16838" w:orient="portrait"/>
          <w:cols w:equalWidth="0" w:num="1">
            <w:col w:w="11420"/>
          </w:cols>
          <w:pgMar w:left="240" w:top="368" w:right="239" w:bottom="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580" w:val="left"/>
          <w:tab w:leader="none" w:pos="6080" w:val="left"/>
        </w:tabs>
        <w:rPr>
          <w:sz w:val="20"/>
          <w:szCs w:val="20"/>
          <w:color w:val="auto"/>
        </w:rPr>
      </w:pPr>
      <w:r>
        <w:rPr>
          <w:rFonts w:ascii="Arial" w:cs="Arial" w:eastAsia="Arial" w:hAnsi="Arial"/>
          <w:sz w:val="18"/>
          <w:szCs w:val="18"/>
          <w:color w:val="auto"/>
        </w:rPr>
        <w:t>Date: September 17,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883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12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increases dividend</w:t>
      </w:r>
    </w:p>
    <w:p>
      <w:pPr>
        <w:spacing w:after="0" w:line="200" w:lineRule="exact"/>
        <w:rPr>
          <w:sz w:val="20"/>
          <w:szCs w:val="20"/>
          <w:color w:val="auto"/>
        </w:rPr>
      </w:pPr>
    </w:p>
    <w:p>
      <w:pPr>
        <w:spacing w:after="0" w:line="2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DALLAS (Sept. 17, 2009) – Texas Instruments Incorporated (TI) (NYSE: TXN) today announced that it plans to raise its quarterly cash dividend $0.01 per common share. TI’s new quarterly dividend will be $0.12 per share, resulting in annual dividend payments of $0.48 per common share. TI’s current quarterly dividend is $0.11 per common share.</w:t>
      </w:r>
    </w:p>
    <w:p>
      <w:pPr>
        <w:spacing w:after="0" w:line="20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new quarterly dividend will be payable November 16, 2009, to stockholders of record on October 30, 2009, contingent upon formal declaration by the board of directors at its regular meeting in October.</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marks the sixth consecutive year TI has increased its dividend. The company has paid dividends to its shareholders on an uninterrupted basis since June 1, 1962.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00" w:lineRule="exact"/>
        <w:rPr>
          <w:sz w:val="20"/>
          <w:szCs w:val="20"/>
          <w:color w:val="auto"/>
        </w:rPr>
      </w:pPr>
    </w:p>
    <w:p>
      <w:pPr>
        <w:spacing w:after="0" w:line="29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spacing w:after="0" w:line="24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500" w:hanging="141"/>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500" w:hanging="141"/>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00" w:hanging="141"/>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00" w:hanging="141"/>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00" w:hanging="141"/>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500" w:hanging="141"/>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00" w:hanging="141"/>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00" w:hanging="141"/>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500" w:hanging="141"/>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00" w:hanging="141"/>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ectPr>
          <w:pgSz w:w="11900" w:h="16838" w:orient="portrait"/>
          <w:cols w:equalWidth="0" w:num="1">
            <w:col w:w="11420"/>
          </w:cols>
          <w:pgMar w:left="240" w:top="368" w:right="239" w:bottom="0" w:gutter="0" w:footer="0" w:header="0"/>
        </w:sectPr>
      </w:pPr>
    </w:p>
    <w:p>
      <w:pPr>
        <w:spacing w:after="0" w:line="200" w:lineRule="exact"/>
        <w:rPr>
          <w:sz w:val="20"/>
          <w:szCs w:val="20"/>
          <w:color w:val="auto"/>
        </w:rPr>
      </w:pPr>
    </w:p>
    <w:p>
      <w:pPr>
        <w:spacing w:after="0" w:line="29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The financial impact of inadequate or excess TI inventory that results from demand that differs from projections;</w:t>
      </w:r>
    </w:p>
    <w:p>
      <w:pPr>
        <w:sectPr>
          <w:pgSz w:w="11900" w:h="16838" w:orient="portrait"/>
          <w:cols w:equalWidth="0" w:num="1">
            <w:col w:w="11420"/>
          </w:cols>
          <w:pgMar w:left="240" w:top="368" w:right="239" w:bottom="0" w:gutter="0" w:footer="0" w:header="0"/>
          <w:type w:val="continuous"/>
        </w:sectPr>
      </w:pPr>
    </w:p>
    <w:bookmarkStart w:id="4" w:name="page5"/>
    <w:bookmarkEnd w:id="4"/>
    <w:p>
      <w:pPr>
        <w:ind w:left="500" w:hanging="141"/>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00" w:hanging="141"/>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00" w:hanging="14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release are made only as of the date of this release, and the Company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Texas Instruments (NYSE: TXN) helps customers solve problems and develop new electronics that make the world smarter, healthier, safer, greener and more fun. A global semiconductor company, TI innovates through design, sales and manufacturing operations in more than 30 countries. For more information, go to www.ti.com.</w:t>
      </w:r>
    </w:p>
    <w:sectPr>
      <w:pgSz w:w="11900" w:h="16838" w:orient="portrait"/>
      <w:cols w:equalWidth="0" w:num="1">
        <w:col w:w="11400"/>
      </w:cols>
      <w:pgMar w:left="240" w:top="6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2019-12-10T03:36:49Z</dcterms:created>
  <dcterms:modified xsi:type="dcterms:W3CDTF">2019-12-10T03:36:49Z</dcterms:modified>
</cp:coreProperties>
</file>