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5"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21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-649605</wp:posOffset>
            </wp:positionV>
            <wp:extent cx="59690" cy="6629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2940"/>
                    </a:xfrm>
                    <a:prstGeom prst="rect">
                      <a:avLst/>
                    </a:prstGeom>
                    <a:noFill/>
                  </pic:spPr>
                </pic:pic>
              </a:graphicData>
            </a:graphic>
          </wp:anchor>
        </w:drawing>
        <w:drawing>
          <wp:anchor simplePos="0" relativeHeight="251657728" behindDoc="1" locked="0" layoutInCell="0" allowOverlap="1">
            <wp:simplePos x="0" y="0"/>
            <wp:positionH relativeFrom="column">
              <wp:posOffset>4135755</wp:posOffset>
            </wp:positionH>
            <wp:positionV relativeFrom="paragraph">
              <wp:posOffset>-649605</wp:posOffset>
            </wp:positionV>
            <wp:extent cx="59690" cy="662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294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6117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11759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WEST TERESA L</w:t>
        </w:r>
      </w:hyperlink>
    </w:p>
    <w:p>
      <w:pPr>
        <w:spacing w:after="0" w:line="323"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08/05/2009</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4" w:right="660" w:hanging="4"/>
        <w:spacing w:after="0" w:line="254"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904"/>
        <w:spacing w:after="0"/>
        <w:rPr>
          <w:sz w:val="20"/>
          <w:szCs w:val="20"/>
          <w:color w:val="auto"/>
        </w:rPr>
      </w:pPr>
      <w:r>
        <w:rPr>
          <w:rFonts w:ascii="Arial" w:cs="Arial" w:eastAsia="Arial" w:hAnsi="Arial"/>
          <w:sz w:val="17"/>
          <w:szCs w:val="17"/>
          <w:color w:val="0000FF"/>
        </w:rPr>
        <w:t>Senior Vice President</w:t>
      </w:r>
    </w:p>
    <w:p>
      <w:pPr>
        <w:spacing w:after="0" w:line="331" w:lineRule="exact"/>
        <w:rPr>
          <w:sz w:val="24"/>
          <w:szCs w:val="24"/>
          <w:color w:val="auto"/>
        </w:rPr>
      </w:pPr>
    </w:p>
    <w:p>
      <w:pPr>
        <w:sectPr>
          <w:pgSz w:w="11900" w:h="16838" w:orient="portrait"/>
          <w:cols w:equalWidth="0" w:num="3">
            <w:col w:w="3340" w:space="720"/>
            <w:col w:w="3320" w:space="656"/>
            <w:col w:w="3484"/>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60" w:type="dxa"/>
            <w:vAlign w:val="bottom"/>
          </w:tcPr>
          <w:p>
            <w:pPr>
              <w:ind w:left="42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940" w:type="dxa"/>
            <w:vAlign w:val="bottom"/>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660" w:type="dxa"/>
            <w:vAlign w:val="bottom"/>
            <w:gridSpan w:val="4"/>
          </w:tcPr>
          <w:p>
            <w:pPr>
              <w:ind w:left="60"/>
              <w:spacing w:after="0" w:line="132" w:lineRule="exact"/>
              <w:rPr>
                <w:sz w:val="20"/>
                <w:szCs w:val="20"/>
                <w:color w:val="auto"/>
              </w:rPr>
            </w:pPr>
            <w:r>
              <w:rPr>
                <w:rFonts w:ascii="Arial" w:cs="Arial" w:eastAsia="Arial" w:hAnsi="Arial"/>
                <w:sz w:val="12"/>
                <w:szCs w:val="12"/>
                <w:b w:val="1"/>
                <w:bCs w:val="1"/>
                <w:color w:val="auto"/>
              </w:rPr>
              <w:t>Transaction  Disposed Of (D) (Instr. 3, 4 and</w:t>
            </w:r>
          </w:p>
        </w:tc>
        <w:tc>
          <w:tcPr>
            <w:tcW w:w="140" w:type="dxa"/>
            <w:vAlign w:val="bottom"/>
          </w:tcPr>
          <w:p>
            <w:pPr>
              <w:spacing w:after="0"/>
              <w:rPr>
                <w:sz w:val="11"/>
                <w:szCs w:val="11"/>
                <w:color w:val="auto"/>
              </w:rPr>
            </w:pPr>
          </w:p>
        </w:tc>
        <w:tc>
          <w:tcPr>
            <w:tcW w:w="64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20"/>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700" w:type="dxa"/>
            <w:vAlign w:val="bottom"/>
            <w:vMerge w:val="restart"/>
          </w:tcPr>
          <w:p>
            <w:pPr>
              <w:jc w:val="right"/>
              <w:ind w:right="15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380" w:type="dxa"/>
            <w:vAlign w:val="bottom"/>
            <w:gridSpan w:val="3"/>
          </w:tcPr>
          <w:p>
            <w:pPr>
              <w:jc w:val="center"/>
              <w:ind w:left="28"/>
              <w:spacing w:after="0"/>
              <w:rPr>
                <w:sz w:val="20"/>
                <w:szCs w:val="20"/>
                <w:color w:val="auto"/>
              </w:rPr>
            </w:pPr>
            <w:r>
              <w:rPr>
                <w:rFonts w:ascii="Arial" w:cs="Arial" w:eastAsia="Arial" w:hAnsi="Arial"/>
                <w:sz w:val="17"/>
                <w:szCs w:val="17"/>
                <w:color w:val="0000FF"/>
                <w:w w:val="92"/>
              </w:rPr>
              <w:t>85,732</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 Self</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3"/>
          </w:tcPr>
          <w:p>
            <w:pPr>
              <w:jc w:val="center"/>
              <w:ind w:left="28"/>
              <w:spacing w:after="0" w:line="214" w:lineRule="exact"/>
              <w:rPr>
                <w:sz w:val="20"/>
                <w:szCs w:val="20"/>
                <w:color w:val="auto"/>
              </w:rPr>
            </w:pPr>
            <w:r>
              <w:rPr>
                <w:rFonts w:ascii="Arial" w:cs="Arial" w:eastAsia="Arial" w:hAnsi="Arial"/>
                <w:sz w:val="17"/>
                <w:szCs w:val="17"/>
                <w:color w:val="0000FF"/>
                <w:w w:val="85"/>
              </w:rPr>
              <w:t>1,400</w:t>
            </w:r>
            <w:r>
              <w:rPr>
                <w:rFonts w:ascii="Arial" w:cs="Arial" w:eastAsia="Arial" w:hAnsi="Arial"/>
                <w:sz w:val="22"/>
                <w:szCs w:val="22"/>
                <w:color w:val="008000"/>
                <w:w w:val="85"/>
                <w:vertAlign w:val="superscript"/>
              </w:rPr>
              <w:t>(1)</w:t>
            </w:r>
          </w:p>
        </w:tc>
        <w:tc>
          <w:tcPr>
            <w:tcW w:w="300" w:type="dxa"/>
            <w:vAlign w:val="bottom"/>
          </w:tcPr>
          <w:p>
            <w:pPr>
              <w:spacing w:after="0"/>
              <w:rPr>
                <w:sz w:val="18"/>
                <w:szCs w:val="18"/>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For</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gridSpan w:val="3"/>
            <w:vMerge w:val="restart"/>
          </w:tcPr>
          <w:p>
            <w:pPr>
              <w:jc w:val="center"/>
              <w:ind w:left="8"/>
              <w:spacing w:after="0"/>
              <w:rPr>
                <w:sz w:val="20"/>
                <w:szCs w:val="20"/>
                <w:color w:val="auto"/>
              </w:rPr>
            </w:pPr>
            <w:r>
              <w:rPr>
                <w:rFonts w:ascii="Arial" w:cs="Arial" w:eastAsia="Arial" w:hAnsi="Arial"/>
                <w:sz w:val="17"/>
                <w:szCs w:val="17"/>
                <w:color w:val="0000FF"/>
                <w:w w:val="88"/>
              </w:rPr>
              <w:t>220.45</w:t>
            </w:r>
            <w:r>
              <w:rPr>
                <w:rFonts w:ascii="Arial" w:cs="Arial" w:eastAsia="Arial" w:hAnsi="Arial"/>
                <w:sz w:val="22"/>
                <w:szCs w:val="22"/>
                <w:color w:val="008000"/>
                <w:w w:val="88"/>
                <w:vertAlign w:val="superscript"/>
              </w:rPr>
              <w:t>(2)</w:t>
            </w:r>
          </w:p>
        </w:tc>
        <w:tc>
          <w:tcPr>
            <w:tcW w:w="30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380" w:type="dxa"/>
            <w:vAlign w:val="bottom"/>
            <w:gridSpan w:val="3"/>
            <w:vMerge w:val="restart"/>
          </w:tcPr>
          <w:p>
            <w:pPr>
              <w:jc w:val="center"/>
              <w:ind w:left="8"/>
              <w:spacing w:after="0"/>
              <w:rPr>
                <w:sz w:val="20"/>
                <w:szCs w:val="20"/>
                <w:color w:val="auto"/>
              </w:rPr>
            </w:pPr>
            <w:r>
              <w:rPr>
                <w:rFonts w:ascii="Arial" w:cs="Arial" w:eastAsia="Arial" w:hAnsi="Arial"/>
                <w:sz w:val="17"/>
                <w:szCs w:val="17"/>
                <w:color w:val="0000FF"/>
                <w:w w:val="87"/>
              </w:rPr>
              <w:t>5,955.88</w:t>
            </w:r>
            <w:r>
              <w:rPr>
                <w:rFonts w:ascii="Arial" w:cs="Arial" w:eastAsia="Arial" w:hAnsi="Arial"/>
                <w:sz w:val="22"/>
                <w:szCs w:val="22"/>
                <w:color w:val="008000"/>
                <w:w w:val="87"/>
                <w:vertAlign w:val="superscript"/>
              </w:rPr>
              <w:t>(3)</w:t>
            </w:r>
          </w:p>
        </w:tc>
        <w:tc>
          <w:tcPr>
            <w:tcW w:w="300" w:type="dxa"/>
            <w:vAlign w:val="bottom"/>
          </w:tcPr>
          <w:p>
            <w:pPr>
              <w:spacing w:after="0"/>
              <w:rPr>
                <w:sz w:val="22"/>
                <w:szCs w:val="22"/>
                <w:color w:val="auto"/>
              </w:rPr>
            </w:pPr>
          </w:p>
        </w:tc>
        <w:tc>
          <w:tcPr>
            <w:tcW w:w="70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 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60" w:type="dxa"/>
            <w:vAlign w:val="bottom"/>
            <w:tcBorders>
              <w:top w:val="single" w:sz="8" w:color="2C2C2C"/>
            </w:tcBorders>
          </w:tcPr>
          <w:p>
            <w:pPr>
              <w:spacing w:after="0"/>
              <w:rPr>
                <w:sz w:val="19"/>
                <w:szCs w:val="19"/>
                <w:color w:val="auto"/>
              </w:rPr>
            </w:pPr>
          </w:p>
        </w:tc>
        <w:tc>
          <w:tcPr>
            <w:tcW w:w="644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60" w:type="dxa"/>
            <w:vAlign w:val="bottom"/>
            <w:gridSpan w:val="8"/>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6"/>
              </w:rPr>
              <w:t>Transaction</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Code (Instr.</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2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6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60" w:type="dxa"/>
            <w:vAlign w:val="bottom"/>
          </w:tcPr>
          <w:p>
            <w:pPr>
              <w:ind w:left="60"/>
              <w:spacing w:after="0"/>
              <w:rPr>
                <w:sz w:val="20"/>
                <w:szCs w:val="20"/>
                <w:color w:val="auto"/>
              </w:rPr>
            </w:pPr>
            <w:r>
              <w:rPr>
                <w:rFonts w:ascii="Arial" w:cs="Arial" w:eastAsia="Arial" w:hAnsi="Arial"/>
                <w:sz w:val="13"/>
                <w:szCs w:val="13"/>
                <w:color w:val="0000FF"/>
              </w:rPr>
              <w:t>Contractual</w:t>
            </w:r>
          </w:p>
        </w:tc>
        <w:tc>
          <w:tcPr>
            <w:tcW w:w="8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4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60" w:type="dxa"/>
            <w:vAlign w:val="bottom"/>
            <w:vMerge w:val="restart"/>
          </w:tcPr>
          <w:p>
            <w:pPr>
              <w:ind w:left="20"/>
              <w:spacing w:after="0"/>
              <w:rPr>
                <w:sz w:val="20"/>
                <w:szCs w:val="20"/>
                <w:color w:val="auto"/>
              </w:rPr>
            </w:pPr>
            <w:r>
              <w:rPr>
                <w:rFonts w:ascii="Arial" w:cs="Arial" w:eastAsia="Arial" w:hAnsi="Arial"/>
                <w:sz w:val="17"/>
                <w:szCs w:val="17"/>
                <w:color w:val="0000FF"/>
                <w:w w:val="99"/>
              </w:rPr>
              <w:t>104.18</w:t>
            </w: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vMerge w:val="restart"/>
          </w:tcPr>
          <w:p>
            <w:pPr>
              <w:ind w:left="320"/>
              <w:spacing w:after="0"/>
              <w:rPr>
                <w:sz w:val="20"/>
                <w:szCs w:val="20"/>
                <w:color w:val="auto"/>
              </w:rPr>
            </w:pPr>
            <w:r>
              <w:rPr>
                <w:rFonts w:ascii="Arial" w:cs="Arial" w:eastAsia="Arial" w:hAnsi="Arial"/>
                <w:sz w:val="26"/>
                <w:szCs w:val="26"/>
                <w:color w:val="0000FF"/>
                <w:vertAlign w:val="subscript"/>
              </w:rPr>
              <w:t>0</w:t>
            </w:r>
            <w:r>
              <w:rPr>
                <w:rFonts w:ascii="Arial" w:cs="Arial" w:eastAsia="Arial" w:hAnsi="Arial"/>
                <w:sz w:val="11"/>
                <w:szCs w:val="11"/>
                <w:color w:val="008000"/>
              </w:rPr>
              <w:t>(4)</w:t>
            </w: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3"/>
                <w:szCs w:val="13"/>
                <w:color w:val="0000FF"/>
              </w:rPr>
              <w:t>Stock</w:t>
            </w:r>
          </w:p>
        </w:tc>
        <w:tc>
          <w:tcPr>
            <w:tcW w:w="800" w:type="dxa"/>
            <w:vAlign w:val="bottom"/>
          </w:tcPr>
          <w:p>
            <w:pPr>
              <w:ind w:left="22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24.38</w:t>
            </w:r>
          </w:p>
        </w:tc>
        <w:tc>
          <w:tcPr>
            <w:tcW w:w="1060" w:type="dxa"/>
            <w:vAlign w:val="bottom"/>
          </w:tcPr>
          <w:p>
            <w:pPr>
              <w:jc w:val="right"/>
              <w:ind w:right="118"/>
              <w:spacing w:after="0" w:line="131" w:lineRule="exact"/>
              <w:rPr>
                <w:sz w:val="20"/>
                <w:szCs w:val="20"/>
                <w:color w:val="auto"/>
              </w:rPr>
            </w:pPr>
            <w:r>
              <w:rPr>
                <w:rFonts w:ascii="Arial" w:cs="Arial" w:eastAsia="Arial" w:hAnsi="Arial"/>
                <w:sz w:val="13"/>
                <w:szCs w:val="13"/>
                <w:color w:val="0000FF"/>
              </w:rPr>
              <w:t>08/05/2009</w:t>
            </w:r>
          </w:p>
        </w:tc>
        <w:tc>
          <w:tcPr>
            <w:tcW w:w="1200" w:type="dxa"/>
            <w:vAlign w:val="bottom"/>
          </w:tcPr>
          <w:p>
            <w:pPr>
              <w:spacing w:after="0"/>
              <w:rPr>
                <w:sz w:val="11"/>
                <w:szCs w:val="11"/>
                <w:color w:val="auto"/>
              </w:rPr>
            </w:pPr>
          </w:p>
        </w:tc>
        <w:tc>
          <w:tcPr>
            <w:tcW w:w="740" w:type="dxa"/>
            <w:vAlign w:val="bottom"/>
          </w:tcPr>
          <w:p>
            <w:pPr>
              <w:ind w:left="200"/>
              <w:spacing w:after="0" w:line="131" w:lineRule="exact"/>
              <w:rPr>
                <w:sz w:val="20"/>
                <w:szCs w:val="20"/>
                <w:color w:val="auto"/>
              </w:rPr>
            </w:pPr>
            <w:r>
              <w:rPr>
                <w:rFonts w:ascii="Arial" w:cs="Arial" w:eastAsia="Arial" w:hAnsi="Arial"/>
                <w:sz w:val="13"/>
                <w:szCs w:val="13"/>
                <w:color w:val="0000FF"/>
              </w:rPr>
              <w:t>I</w:t>
            </w:r>
          </w:p>
        </w:tc>
        <w:tc>
          <w:tcPr>
            <w:tcW w:w="940" w:type="dxa"/>
            <w:vAlign w:val="bottom"/>
          </w:tcPr>
          <w:p>
            <w:pPr>
              <w:ind w:left="480"/>
              <w:spacing w:after="0" w:line="131" w:lineRule="exact"/>
              <w:rPr>
                <w:sz w:val="20"/>
                <w:szCs w:val="20"/>
                <w:color w:val="auto"/>
              </w:rPr>
            </w:pPr>
            <w:r>
              <w:rPr>
                <w:rFonts w:ascii="Arial" w:cs="Arial" w:eastAsia="Arial" w:hAnsi="Arial"/>
                <w:sz w:val="13"/>
                <w:szCs w:val="13"/>
                <w:color w:val="0000FF"/>
              </w:rPr>
              <w:t>104.18</w:t>
            </w:r>
          </w:p>
        </w:tc>
        <w:tc>
          <w:tcPr>
            <w:tcW w:w="86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780" w:type="dxa"/>
            <w:vAlign w:val="bottom"/>
            <w:gridSpan w:val="2"/>
          </w:tcPr>
          <w:p>
            <w:pPr>
              <w:ind w:left="180"/>
              <w:spacing w:after="0" w:line="131"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24.38</w:t>
            </w:r>
          </w:p>
        </w:tc>
        <w:tc>
          <w:tcPr>
            <w:tcW w:w="6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ind w:left="340"/>
              <w:spacing w:after="0" w:line="131"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60" w:type="dxa"/>
            <w:vAlign w:val="bottom"/>
            <w:vMerge w:val="restart"/>
          </w:tcPr>
          <w:p>
            <w:pPr>
              <w:ind w:left="60"/>
              <w:spacing w:after="0"/>
              <w:rPr>
                <w:sz w:val="20"/>
                <w:szCs w:val="20"/>
                <w:color w:val="auto"/>
              </w:rPr>
            </w:pPr>
            <w:r>
              <w:rPr>
                <w:rFonts w:ascii="Arial" w:cs="Arial" w:eastAsia="Arial" w:hAnsi="Arial"/>
                <w:sz w:val="13"/>
                <w:szCs w:val="13"/>
                <w:color w:val="0000FF"/>
              </w:rPr>
              <w:t>Interest</w:t>
            </w:r>
          </w:p>
        </w:tc>
        <w:tc>
          <w:tcPr>
            <w:tcW w:w="8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jc w:val="right"/>
              <w:ind w:right="158"/>
              <w:spacing w:after="0" w:line="148" w:lineRule="exact"/>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Held by custodian for account of minors.</w:t>
      </w:r>
    </w:p>
    <w:p>
      <w:pPr>
        <w:spacing w:after="0" w:line="51" w:lineRule="exact"/>
        <w:rPr>
          <w:rFonts w:ascii="Arial" w:cs="Arial" w:eastAsia="Arial" w:hAnsi="Arial"/>
          <w:sz w:val="13"/>
          <w:szCs w:val="13"/>
          <w:color w:val="008000"/>
        </w:rPr>
      </w:pPr>
    </w:p>
    <w:p>
      <w:pPr>
        <w:ind w:left="40" w:right="14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6-30-09. (Interests in this account are denominated in units. Consequently, share amount shown is an estimate.) This statement does not include changes in beneficial ownership of shares held in this account occurring after 6-30-09 that are eligible for deferred reporting on Form 5.</w:t>
      </w:r>
    </w:p>
    <w:p>
      <w:pPr>
        <w:spacing w:after="0" w:line="10" w:lineRule="exact"/>
        <w:rPr>
          <w:rFonts w:ascii="Arial" w:cs="Arial" w:eastAsia="Arial" w:hAnsi="Arial"/>
          <w:sz w:val="13"/>
          <w:szCs w:val="13"/>
          <w:color w:val="008000"/>
        </w:rPr>
      </w:pPr>
    </w:p>
    <w:p>
      <w:pPr>
        <w:ind w:left="40" w:right="300" w:firstLine="7"/>
        <w:spacing w:after="0" w:line="271"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6-30-09. (Interests in this account are denominated in units. Consequently, share amount shown is an estimate.) This statement does not include changes in beneficial ownership of shares held in such account occurring after 6-30-09 that are eligible for deferred reporting on Form 5.</w:t>
      </w:r>
    </w:p>
    <w:p>
      <w:pPr>
        <w:spacing w:after="0" w:line="10"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Effected in connection with the Issuer's elimination of a fund alternative under the TI Deferred Compensation Plan. Interests denominated in units. Consequently, share interest shown is an estimate.</w:t>
      </w:r>
    </w:p>
    <w:p>
      <w:pPr>
        <w:spacing w:after="0" w:line="79"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Daniel M. Drory, Attorney In</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08/06/2009</w:t>
            </w:r>
          </w:p>
        </w:tc>
        <w:tc>
          <w:tcPr>
            <w:tcW w:w="0" w:type="dxa"/>
            <w:vAlign w:val="bottom"/>
          </w:tcPr>
          <w:p>
            <w:pPr>
              <w:spacing w:after="0"/>
              <w:rPr>
                <w:sz w:val="1"/>
                <w:szCs w:val="1"/>
                <w:color w:val="auto"/>
              </w:rPr>
            </w:pPr>
          </w:p>
        </w:tc>
      </w:tr>
      <w:tr>
        <w:trPr>
          <w:trHeight w:val="92"/>
        </w:trPr>
        <w:tc>
          <w:tcPr>
            <w:tcW w:w="300" w:type="dxa"/>
            <w:vAlign w:val="bottom"/>
            <w:tcBorders>
              <w:top w:val="single" w:sz="8" w:color="auto"/>
              <w:bottom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84"/>
              </w:rPr>
              <w:t>Fact</w:t>
            </w:r>
          </w:p>
        </w:tc>
        <w:tc>
          <w:tcPr>
            <w:tcW w:w="174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300" w:type="dxa"/>
            <w:vAlign w:val="bottom"/>
            <w:tcBorders>
              <w:bottom w:val="single" w:sz="8" w:color="auto"/>
            </w:tcBorders>
            <w:vMerge w:val="continue"/>
          </w:tcPr>
          <w:p>
            <w:pPr>
              <w:spacing w:after="0"/>
              <w:rPr>
                <w:sz w:val="7"/>
                <w:szCs w:val="7"/>
                <w:color w:val="auto"/>
              </w:rPr>
            </w:pPr>
          </w:p>
        </w:tc>
        <w:tc>
          <w:tcPr>
            <w:tcW w:w="174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3471"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2019-12-23T23:10:49Z</dcterms:created>
  <dcterms:modified xsi:type="dcterms:W3CDTF">2019-12-23T23:10:49Z</dcterms:modified>
</cp:coreProperties>
</file>