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9"/>
        <w:spacing w:after="0"/>
        <w:rPr>
          <w:sz w:val="20"/>
          <w:szCs w:val="20"/>
          <w:color w:val="auto"/>
        </w:rPr>
      </w:pPr>
      <w:r>
        <w:rPr>
          <w:rFonts w:ascii="Courier New" w:cs="Courier New" w:eastAsia="Courier New" w:hAnsi="Courier New"/>
          <w:sz w:val="18"/>
          <w:szCs w:val="18"/>
          <w:color w:val="auto"/>
        </w:rPr>
        <w:t>UNITED STATES</w:t>
      </w:r>
    </w:p>
    <w:p>
      <w:pPr>
        <w:jc w:val="center"/>
        <w:ind w:right="30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(Amendment)</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Texas Instruments Inc.</w:t>
      </w:r>
    </w:p>
    <w:p>
      <w:pPr>
        <w:spacing w:after="0" w:line="200" w:lineRule="exact"/>
        <w:rPr>
          <w:sz w:val="24"/>
          <w:szCs w:val="24"/>
          <w:color w:val="auto"/>
        </w:rPr>
      </w:pPr>
    </w:p>
    <w:p>
      <w:pPr>
        <w:sectPr>
          <w:pgSz w:w="11900" w:h="16838" w:orient="portrait"/>
          <w:cols w:equalWidth="0" w:num="2">
            <w:col w:w="2440" w:space="720"/>
            <w:col w:w="70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38" w:orient="portrait"/>
          <w:cols w:equalWidth="0" w:num="2">
            <w:col w:w="2980" w:space="720"/>
            <w:col w:w="6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00" w:lineRule="exact"/>
        <w:rPr>
          <w:sz w:val="24"/>
          <w:szCs w:val="24"/>
          <w:color w:val="auto"/>
        </w:rPr>
      </w:pPr>
    </w:p>
    <w:p>
      <w:pPr>
        <w:sectPr>
          <w:pgSz w:w="11900" w:h="16838" w:orient="portrait"/>
          <w:cols w:equalWidth="0" w:num="2">
            <w:col w:w="2440" w:space="720"/>
            <w:col w:w="7059"/>
          </w:cols>
          <w:pgMar w:left="240" w:top="244" w:right="1440" w:bottom="0" w:gutter="0" w:footer="0" w:header="0"/>
          <w:type w:val="continuous"/>
        </w:sectPr>
      </w:pPr>
    </w:p>
    <w:p>
      <w:pPr>
        <w:spacing w:after="0" w:line="226"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10 Pages</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2 of 10 Pages</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ind w:left="540"/>
        <w:spacing w:after="0" w:line="238" w:lineRule="auto"/>
        <w:rPr>
          <w:sz w:val="20"/>
          <w:szCs w:val="20"/>
          <w:color w:val="auto"/>
        </w:rPr>
      </w:pPr>
      <w:r>
        <w:rPr>
          <w:rFonts w:ascii="Courier New" w:cs="Courier New" w:eastAsia="Courier New" w:hAnsi="Courier New"/>
          <w:sz w:val="18"/>
          <w:szCs w:val="18"/>
          <w:color w:val="auto"/>
        </w:rPr>
        <w:t>36-2668272</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0"/>
        <w:spacing w:after="0"/>
        <w:tabs>
          <w:tab w:leader="none" w:pos="1260" w:val="left"/>
          <w:tab w:leader="none" w:pos="2100" w:val="left"/>
          <w:tab w:leader="none" w:pos="2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tcPr>
          <w:p>
            <w:pPr>
              <w:ind w:left="1800"/>
              <w:spacing w:after="0"/>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6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2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w:t>
            </w:r>
          </w:p>
        </w:tc>
        <w:tc>
          <w:tcPr>
            <w:tcW w:w="2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w:t>
            </w:r>
            <w:r>
              <w:rPr>
                <w:rFonts w:ascii="Courier New" w:cs="Courier New" w:eastAsia="Courier New" w:hAnsi="Courier New"/>
                <w:sz w:val="7"/>
                <w:szCs w:val="7"/>
                <w:color w:val="auto"/>
                <w:w w:val="73"/>
              </w:rPr>
              <w:t>-----------------------------</w:t>
            </w:r>
          </w:p>
        </w:tc>
        <w:tc>
          <w:tcPr>
            <w:tcW w:w="2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20" w:type="dxa"/>
            <w:vAlign w:val="bottom"/>
          </w:tcPr>
          <w:p>
            <w:pPr>
              <w:spacing w:after="0"/>
              <w:rPr>
                <w:sz w:val="17"/>
                <w:szCs w:val="17"/>
                <w:color w:val="auto"/>
              </w:rPr>
            </w:pPr>
          </w:p>
        </w:tc>
        <w:tc>
          <w:tcPr>
            <w:tcW w:w="2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w:t>
            </w:r>
          </w:p>
        </w:tc>
        <w:tc>
          <w:tcPr>
            <w:tcW w:w="2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tabs>
          <w:tab w:leader="none" w:pos="5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w:t>
      </w:r>
    </w:p>
    <w:p>
      <w:pPr>
        <w:ind w:left="3700"/>
        <w:spacing w:after="0" w:line="237" w:lineRule="auto"/>
        <w:rPr>
          <w:sz w:val="20"/>
          <w:szCs w:val="20"/>
          <w:color w:val="auto"/>
        </w:rPr>
      </w:pPr>
      <w:r>
        <w:rPr>
          <w:rFonts w:ascii="Courier New" w:cs="Courier New" w:eastAsia="Courier New" w:hAnsi="Courier New"/>
          <w:sz w:val="18"/>
          <w:szCs w:val="18"/>
          <w:color w:val="auto"/>
        </w:rPr>
        <w:t>Dispositive 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3 of 10 Pages</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Putnam Investments, Inc.</w:t>
      </w:r>
    </w:p>
    <w:p>
      <w:pPr>
        <w:ind w:left="740"/>
        <w:spacing w:after="0" w:line="238" w:lineRule="auto"/>
        <w:rPr>
          <w:sz w:val="20"/>
          <w:szCs w:val="20"/>
          <w:color w:val="auto"/>
        </w:rPr>
      </w:pPr>
      <w:r>
        <w:rPr>
          <w:rFonts w:ascii="Courier New" w:cs="Courier New" w:eastAsia="Courier New" w:hAnsi="Courier New"/>
          <w:sz w:val="18"/>
          <w:szCs w:val="18"/>
          <w:color w:val="auto"/>
        </w:rPr>
        <w:t>04-2539558</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9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303,518</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400" w:space="720"/>
            <w:col w:w="809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3">
            <w:col w:w="1280" w:space="300"/>
            <w:col w:w="860" w:space="720"/>
            <w:col w:w="7059"/>
          </w:cols>
          <w:pgMar w:left="240" w:top="136"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7,716,872</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7,716,872</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4 of 10 Pages</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04-2471937</w:t>
      </w:r>
    </w:p>
    <w:p>
      <w:pPr>
        <w:spacing w:after="0" w:line="5"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9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3"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4">
            <w:col w:w="1280" w:space="300"/>
            <w:col w:w="120" w:space="420"/>
            <w:col w:w="320" w:space="720"/>
            <w:col w:w="7059"/>
          </w:cols>
          <w:pgMar w:left="240" w:top="136" w:right="1440" w:bottom="0" w:gutter="0" w:footer="0" w:header="0"/>
          <w:type w:val="continuous"/>
        </w:sectPr>
      </w:pPr>
    </w:p>
    <w:p>
      <w:pPr>
        <w:ind w:left="5280"/>
        <w:spacing w:after="0" w:line="233" w:lineRule="auto"/>
        <w:tabs>
          <w:tab w:leader="none" w:pos="5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Dispositive Power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w:t>
      </w:r>
    </w:p>
    <w:p>
      <w:pPr>
        <w:ind w:left="3700"/>
        <w:spacing w:after="0" w:line="237" w:lineRule="auto"/>
        <w:rPr>
          <w:sz w:val="20"/>
          <w:szCs w:val="20"/>
          <w:color w:val="auto"/>
        </w:rPr>
      </w:pPr>
      <w:r>
        <w:rPr>
          <w:rFonts w:ascii="Courier New" w:cs="Courier New" w:eastAsia="Courier New" w:hAnsi="Courier New"/>
          <w:sz w:val="18"/>
          <w:szCs w:val="18"/>
          <w:color w:val="auto"/>
        </w:rPr>
        <w:t>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7,197,132</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7,197,132</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5 of 10 Pages</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ind w:left="860"/>
        <w:spacing w:after="0" w:line="238" w:lineRule="auto"/>
        <w:rPr>
          <w:sz w:val="20"/>
          <w:szCs w:val="20"/>
          <w:color w:val="auto"/>
        </w:rPr>
      </w:pPr>
      <w:r>
        <w:rPr>
          <w:rFonts w:ascii="Courier New" w:cs="Courier New" w:eastAsia="Courier New" w:hAnsi="Courier New"/>
          <w:sz w:val="18"/>
          <w:szCs w:val="18"/>
          <w:color w:val="auto"/>
        </w:rPr>
        <w:t>04-6187127</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9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303,518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7059"/>
          </w:cols>
          <w:pgMar w:left="240" w:top="136"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519,740</w:t>
      </w:r>
    </w:p>
    <w:p>
      <w:pPr>
        <w:spacing w:after="0" w:line="4"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519,740</w:t>
      </w:r>
    </w:p>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259" w:firstLine="8"/>
        <w:spacing w:after="0" w:line="235"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0.1%</w:t>
      </w:r>
    </w:p>
    <w:p>
      <w:pPr>
        <w:spacing w:after="0" w:line="4"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 C.</w:t>
        <w:tab/>
        <w:t>20549</w:t>
      </w:r>
    </w:p>
    <w:p>
      <w:pPr>
        <w:sectPr>
          <w:pgSz w:w="11900" w:h="16838" w:orient="portrait"/>
          <w:cols w:equalWidth="0" w:num="1">
            <w:col w:w="10219"/>
          </w:cols>
          <w:pgMar w:left="240" w:top="136" w:right="1440" w:bottom="0" w:gutter="0" w:footer="0" w:header="0"/>
          <w:type w:val="continuous"/>
        </w:sectPr>
      </w:pPr>
    </w:p>
    <w:bookmarkStart w:id="4" w:name="page5"/>
    <w:bookmarkEnd w:id="4"/>
    <w:p>
      <w:pPr>
        <w:jc w:val="center"/>
        <w:ind w:right="30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rPr>
              <w:t>Name of Issuer:</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Texas Instruments Inc.</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7060" w:type="dxa"/>
            <w:vAlign w:val="bottom"/>
            <w:gridSpan w:val="3"/>
          </w:tcPr>
          <w:p>
            <w:pPr>
              <w:spacing w:after="0"/>
              <w:rPr>
                <w:sz w:val="20"/>
                <w:szCs w:val="20"/>
                <w:color w:val="auto"/>
              </w:rPr>
            </w:pPr>
            <w:r>
              <w:rPr>
                <w:rFonts w:ascii="Courier New" w:cs="Courier New" w:eastAsia="Courier New" w:hAnsi="Courier New"/>
                <w:sz w:val="18"/>
                <w:szCs w:val="18"/>
                <w:color w:val="auto"/>
              </w:rPr>
              <w:t>13500 N. Central Expressway, P.O. Box 655474, Dallas, TX 75265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260" w:type="dxa"/>
            <w:vAlign w:val="bottom"/>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Item 2(b)</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c>
          <w:tcPr>
            <w:tcW w:w="3420" w:type="dxa"/>
            <w:vAlign w:val="bottom"/>
          </w:tcPr>
          <w:p>
            <w:pPr>
              <w:ind w:left="1640"/>
              <w:spacing w:after="0"/>
              <w:rPr>
                <w:sz w:val="20"/>
                <w:szCs w:val="20"/>
                <w:color w:val="auto"/>
              </w:rPr>
            </w:pPr>
            <w:r>
              <w:rPr>
                <w:rFonts w:ascii="Courier New" w:cs="Courier New" w:eastAsia="Courier New" w:hAnsi="Courier New"/>
                <w:sz w:val="18"/>
                <w:szCs w:val="18"/>
                <w:color w:val="auto"/>
              </w:rPr>
              <w:t>Address or</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Office or, if NONE,</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Residence:</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Putnam Investments, Inc.</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behalf of itself and:</w:t>
            </w:r>
          </w:p>
        </w:tc>
        <w:tc>
          <w:tcPr>
            <w:tcW w:w="3420" w:type="dxa"/>
            <w:vAlign w:val="bottom"/>
          </w:tcPr>
          <w:p>
            <w:pPr>
              <w:spacing w:after="0"/>
              <w:rPr>
                <w:sz w:val="17"/>
                <w:szCs w:val="17"/>
                <w:color w:val="auto"/>
              </w:rPr>
            </w:pP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*Marsh &amp; McLennan Companies,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w w:val="96"/>
              </w:rPr>
              <w:t>1166 Avenue of the Americas</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("MMC")</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w w:val="98"/>
              </w:rPr>
              <w:t>Putnam Investment Management,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("PIM")</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The Putnam Advisory Company,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("PAC")</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Citizenship: PI, PIM and PAC are corporations organized under Massachusetts law. The citizenship of other persons identified in Item 2(a) is designated as follows:</w:t>
      </w:r>
    </w:p>
    <w:p>
      <w:pPr>
        <w:spacing w:after="0" w:line="200" w:lineRule="exact"/>
        <w:rPr>
          <w:sz w:val="20"/>
          <w:szCs w:val="20"/>
          <w:color w:val="auto"/>
        </w:rPr>
      </w:pPr>
    </w:p>
    <w:p>
      <w:pPr>
        <w:sectPr>
          <w:pgSz w:w="11900" w:h="16838" w:orient="portrait"/>
          <w:cols w:equalWidth="0" w:num="2">
            <w:col w:w="960" w:space="620"/>
            <w:col w:w="8639"/>
          </w:cols>
          <w:pgMar w:left="240" w:top="136" w:right="1440" w:bottom="0" w:gutter="0" w:footer="0" w:header="0"/>
          <w:type w:val="continuous"/>
        </w:sectPr>
      </w:pPr>
    </w:p>
    <w:p>
      <w:pPr>
        <w:spacing w:after="0" w:line="2" w:lineRule="exact"/>
        <w:rPr>
          <w:sz w:val="20"/>
          <w:szCs w:val="20"/>
          <w:color w:val="auto"/>
        </w:rPr>
      </w:pPr>
    </w:p>
    <w:p>
      <w:pPr>
        <w:ind w:left="2120" w:hanging="532"/>
        <w:spacing w:after="0"/>
        <w:tabs>
          <w:tab w:leader="none" w:pos="21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 Delaware law</w:t>
      </w:r>
    </w:p>
    <w:p>
      <w:pPr>
        <w:spacing w:after="0" w:line="4" w:lineRule="exact"/>
        <w:rPr>
          <w:rFonts w:ascii="Courier New" w:cs="Courier New" w:eastAsia="Courier New" w:hAnsi="Courier New"/>
          <w:sz w:val="18"/>
          <w:szCs w:val="18"/>
          <w:color w:val="auto"/>
        </w:rPr>
      </w:pPr>
    </w:p>
    <w:p>
      <w:pPr>
        <w:ind w:left="2120" w:right="3039" w:firstLine="1048"/>
        <w:spacing w:after="0" w:line="290" w:lineRule="auto"/>
        <w:tabs>
          <w:tab w:leader="none" w:pos="370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association known as Massachusetts business trust - Massachusetts law</w:t>
      </w:r>
    </w:p>
    <w:p>
      <w:pPr>
        <w:spacing w:after="0" w:line="3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jc w:val="center"/>
        <w:ind w:right="3159"/>
        <w:spacing w:after="0"/>
        <w:tabs>
          <w:tab w:leader="none" w:pos="3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right="3139"/>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w w:val="99"/>
              </w:rPr>
              <w:t>Bank as defined in</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Section 3(a)(6)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Insurance Company as defined in Section 3(a)(19) of the</w:t>
            </w: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Act</w:t>
            </w:r>
          </w:p>
        </w:tc>
        <w:tc>
          <w:tcPr>
            <w:tcW w:w="3840" w:type="dxa"/>
            <w:vAlign w:val="bottom"/>
          </w:tcPr>
          <w:p>
            <w:pPr>
              <w:spacing w:after="0"/>
              <w:rPr>
                <w:sz w:val="17"/>
                <w:szCs w:val="17"/>
                <w:color w:val="auto"/>
              </w:rPr>
            </w:pP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28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 Investment Company</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Investment Company</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w:t>
            </w:r>
          </w:p>
        </w:tc>
      </w:tr>
    </w:tbl>
    <w:p>
      <w:pPr>
        <w:spacing w:after="0" w:line="200" w:lineRule="exact"/>
        <w:rPr>
          <w:sz w:val="20"/>
          <w:szCs w:val="20"/>
          <w:color w:val="auto"/>
        </w:rPr>
      </w:pPr>
    </w:p>
    <w:p>
      <w:pPr>
        <w:spacing w:after="0" w:line="209" w:lineRule="exact"/>
        <w:rPr>
          <w:sz w:val="20"/>
          <w:szCs w:val="20"/>
          <w:color w:val="auto"/>
        </w:rPr>
      </w:pPr>
    </w:p>
    <w:p>
      <w:pPr>
        <w:ind w:left="1060" w:right="34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(e)( X )</w:t>
        <w:tab/>
        <w:t>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(f)(   )  Employee Benefit Plan, Pension</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Fund which</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is subject to</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the</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provisions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the Employee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Retirement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Income Security</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1974 or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Endowment Fund;</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see (Section</w:t>
            </w:r>
          </w:p>
        </w:tc>
      </w:tr>
    </w:tbl>
    <w:p>
      <w:pPr>
        <w:ind w:left="1060"/>
        <w:spacing w:after="0" w:line="238" w:lineRule="auto"/>
        <w:rPr>
          <w:sz w:val="20"/>
          <w:szCs w:val="20"/>
          <w:color w:val="auto"/>
        </w:rPr>
      </w:pPr>
      <w:r>
        <w:rPr>
          <w:rFonts w:ascii="Courier New" w:cs="Courier New" w:eastAsia="Courier New" w:hAnsi="Courier New"/>
          <w:sz w:val="18"/>
          <w:szCs w:val="18"/>
          <w:color w:val="auto"/>
        </w:rPr>
        <w:t>240.13d-1(b)(1)(ii)(F)</w:t>
      </w:r>
    </w:p>
    <w:p>
      <w:pPr>
        <w:spacing w:after="0" w:line="200" w:lineRule="exact"/>
        <w:rPr>
          <w:sz w:val="20"/>
          <w:szCs w:val="20"/>
          <w:color w:val="auto"/>
        </w:rPr>
      </w:pPr>
    </w:p>
    <w:p>
      <w:pPr>
        <w:spacing w:after="0" w:line="210" w:lineRule="exact"/>
        <w:rPr>
          <w:sz w:val="20"/>
          <w:szCs w:val="20"/>
          <w:color w:val="auto"/>
        </w:rPr>
      </w:pPr>
    </w:p>
    <w:p>
      <w:pPr>
        <w:ind w:left="1060" w:right="38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(g)( X )</w:t>
        <w:tab/>
        <w:t>Parent Holding Company, in accordance with Section 240.13d-1(b)(ii)(G)</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ectPr>
          <w:pgSz w:w="11900" w:h="16838" w:orient="portrait"/>
          <w:cols w:equalWidth="0" w:num="1">
            <w:col w:w="10540"/>
          </w:cols>
          <w:pgMar w:left="240" w:top="541" w:right="1119" w:bottom="0" w:gutter="0" w:footer="0" w:header="0"/>
        </w:sect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M&amp;MC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PAC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w:t>
      </w:r>
    </w:p>
    <w:p>
      <w:pPr>
        <w:spacing w:after="0" w:line="16" w:lineRule="exact"/>
        <w:rPr>
          <w:sz w:val="20"/>
          <w:szCs w:val="20"/>
          <w:color w:val="auto"/>
        </w:rPr>
      </w:pPr>
    </w:p>
    <w:p>
      <w:pPr>
        <w:sectPr>
          <w:pgSz w:w="11900" w:h="16838" w:orient="portrait"/>
          <w:cols w:equalWidth="0" w:num="4">
            <w:col w:w="4560" w:space="720"/>
            <w:col w:w="860" w:space="720"/>
            <w:col w:w="860" w:space="720"/>
            <w:col w:w="2100"/>
          </w:cols>
          <w:pgMar w:left="240" w:top="541" w:right="1119" w:bottom="0" w:gutter="0" w:footer="0" w:header="0"/>
          <w:type w:val="continuous"/>
        </w:sect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(Parent holding</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company to PI)</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(Investment advisers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&amp; subsidiaries of PI)</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(Parent company</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PIM and PAC)</w:t>
      </w:r>
    </w:p>
    <w:p>
      <w:pPr>
        <w:spacing w:after="0" w:line="200" w:lineRule="exact"/>
        <w:rPr>
          <w:sz w:val="20"/>
          <w:szCs w:val="20"/>
          <w:color w:val="auto"/>
        </w:rPr>
      </w:pPr>
    </w:p>
    <w:p>
      <w:pPr>
        <w:sectPr>
          <w:pgSz w:w="11900" w:h="16838" w:orient="portrait"/>
          <w:cols w:equalWidth="0" w:num="3">
            <w:col w:w="4560" w:space="720"/>
            <w:col w:w="2620" w:space="0"/>
            <w:col w:w="2640"/>
          </w:cols>
          <w:pgMar w:left="240" w:top="541" w:right="1119" w:bottom="0" w:gutter="0" w:footer="0" w:header="0"/>
          <w:type w:val="continuous"/>
        </w:sect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Amount Beneficially</w:t>
      </w:r>
    </w:p>
    <w:p>
      <w:pPr>
        <w:sectPr>
          <w:pgSz w:w="11900" w:h="16838" w:orient="portrait"/>
          <w:cols w:equalWidth="0" w:num="1">
            <w:col w:w="10540"/>
          </w:cols>
          <w:pgMar w:left="240" w:top="541" w:right="1119"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Owned: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7,197,132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519,740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7,716,872</w:t>
      </w:r>
    </w:p>
    <w:p>
      <w:pPr>
        <w:spacing w:after="0" w:line="216" w:lineRule="exact"/>
        <w:rPr>
          <w:sz w:val="20"/>
          <w:szCs w:val="20"/>
          <w:color w:val="auto"/>
        </w:rPr>
      </w:pPr>
    </w:p>
    <w:p>
      <w:pPr>
        <w:sectPr>
          <w:pgSz w:w="11900" w:h="16838" w:orient="portrait"/>
          <w:cols w:equalWidth="0" w:num="6">
            <w:col w:w="2440" w:space="720"/>
            <w:col w:w="1400" w:space="720"/>
            <w:col w:w="1160" w:space="420"/>
            <w:col w:w="740" w:space="300"/>
            <w:col w:w="120" w:space="420"/>
            <w:col w:w="2100"/>
          </w:cols>
          <w:pgMar w:left="240" w:top="541" w:right="1119" w:bottom="0" w:gutter="0" w:footer="0" w:header="0"/>
          <w:type w:val="continuous"/>
        </w:sectPr>
      </w:pPr>
    </w:p>
    <w:p>
      <w:pPr>
        <w:spacing w:after="0" w:line="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w:t>
        <w:tab/>
        <w:t>Percent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ectPr>
          <w:pgSz w:w="11900" w:h="16838" w:orient="portrait"/>
          <w:cols w:equalWidth="0" w:num="7">
            <w:col w:w="2980" w:space="720"/>
            <w:col w:w="1380" w:space="720"/>
            <w:col w:w="420" w:space="640"/>
            <w:col w:w="100" w:space="420"/>
            <w:col w:w="420" w:space="640"/>
            <w:col w:w="100" w:space="420"/>
            <w:col w:w="1580"/>
          </w:cols>
          <w:pgMar w:left="240" w:top="541" w:right="1119" w:bottom="0" w:gutter="0" w:footer="0" w:header="0"/>
          <w:type w:val="continuous"/>
        </w:sectPr>
      </w:pPr>
    </w:p>
    <w:p>
      <w:pPr>
        <w:spacing w:after="0" w:line="18"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to which such person has:</w:t>
      </w:r>
    </w:p>
    <w:p>
      <w:pPr>
        <w:spacing w:after="0" w:line="218"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sectPr>
          <w:pgSz w:w="11900" w:h="16838" w:orient="portrait"/>
          <w:cols w:equalWidth="0" w:num="1">
            <w:col w:w="10540"/>
          </w:cols>
          <w:pgMar w:left="240" w:top="541" w:right="1119" w:bottom="0" w:gutter="0" w:footer="0" w:header="0"/>
          <w:type w:val="continuous"/>
        </w:sectPr>
      </w:pPr>
    </w:p>
    <w:p>
      <w:pPr>
        <w:ind w:left="540"/>
        <w:spacing w:after="0"/>
        <w:rPr>
          <w:sz w:val="20"/>
          <w:szCs w:val="20"/>
          <w:color w:val="auto"/>
        </w:rPr>
      </w:pPr>
      <w:r>
        <w:rPr>
          <w:rFonts w:ascii="Courier New" w:cs="Courier New" w:eastAsia="Courier New" w:hAnsi="Courier New"/>
          <w:sz w:val="18"/>
          <w:szCs w:val="18"/>
          <w:color w:val="auto"/>
        </w:rPr>
        <w:t>(but see Item 7)</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shared power to vote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 to direct the vote;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303,518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303,518</w:t>
      </w:r>
    </w:p>
    <w:p>
      <w:pPr>
        <w:spacing w:after="0" w:line="216" w:lineRule="exact"/>
        <w:rPr>
          <w:sz w:val="20"/>
          <w:szCs w:val="20"/>
          <w:color w:val="auto"/>
        </w:rPr>
      </w:pPr>
    </w:p>
    <w:p>
      <w:pPr>
        <w:sectPr>
          <w:pgSz w:w="11900" w:h="16838" w:orient="portrait"/>
          <w:cols w:equalWidth="0" w:num="6">
            <w:col w:w="2980" w:space="720"/>
            <w:col w:w="1380" w:space="720"/>
            <w:col w:w="860" w:space="720"/>
            <w:col w:w="860" w:space="720"/>
            <w:col w:w="420" w:space="100"/>
            <w:col w:w="1060"/>
          </w:cols>
          <w:pgMar w:left="240" w:top="541" w:right="1119" w:bottom="0" w:gutter="0" w:footer="0" w:header="0"/>
          <w:type w:val="continuous"/>
        </w:sectPr>
      </w:pPr>
    </w:p>
    <w:p>
      <w:pPr>
        <w:spacing w:after="0" w:line="7" w:lineRule="exact"/>
        <w:rPr>
          <w:sz w:val="20"/>
          <w:szCs w:val="20"/>
          <w:color w:val="auto"/>
        </w:rPr>
      </w:pPr>
    </w:p>
    <w:p>
      <w:pPr>
        <w:ind w:left="540" w:hanging="532"/>
        <w:spacing w:after="0"/>
        <w:tabs>
          <w:tab w:leader="none" w:pos="5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 to direct the</w:t>
      </w:r>
    </w:p>
    <w:p>
      <w:pPr>
        <w:ind w:left="540"/>
        <w:spacing w:after="0" w:line="238" w:lineRule="auto"/>
        <w:rPr>
          <w:sz w:val="20"/>
          <w:szCs w:val="20"/>
          <w:color w:val="auto"/>
        </w:rPr>
      </w:pPr>
      <w:r>
        <w:rPr>
          <w:rFonts w:ascii="Courier New" w:cs="Courier New" w:eastAsia="Courier New" w:hAnsi="Courier New"/>
          <w:sz w:val="18"/>
          <w:szCs w:val="18"/>
          <w:color w:val="auto"/>
        </w:rPr>
        <w:t>disposition of;</w:t>
      </w:r>
    </w:p>
    <w:p>
      <w:pPr>
        <w:sectPr>
          <w:pgSz w:w="11900" w:h="16838" w:orient="portrait"/>
          <w:cols w:equalWidth="0" w:num="1">
            <w:col w:w="10540"/>
          </w:cols>
          <w:pgMar w:left="240" w:top="541" w:right="1119" w:bottom="0" w:gutter="0" w:footer="0" w:header="0"/>
          <w:type w:val="continuous"/>
        </w:sectPr>
      </w:pPr>
    </w:p>
    <w:p>
      <w:pPr>
        <w:spacing w:after="0" w:line="5" w:lineRule="exact"/>
        <w:rPr>
          <w:sz w:val="20"/>
          <w:szCs w:val="20"/>
          <w:color w:val="auto"/>
        </w:rPr>
      </w:pPr>
    </w:p>
    <w:p>
      <w:pPr>
        <w:ind w:right="340" w:firstLine="527"/>
        <w:spacing w:after="0" w:line="296" w:lineRule="auto"/>
        <w:rPr>
          <w:sz w:val="20"/>
          <w:szCs w:val="20"/>
          <w:color w:val="auto"/>
        </w:rPr>
      </w:pPr>
      <w:r>
        <w:rPr>
          <w:rFonts w:ascii="Courier New" w:cs="Courier New" w:eastAsia="Courier New" w:hAnsi="Courier New"/>
          <w:sz w:val="18"/>
          <w:szCs w:val="18"/>
          <w:color w:val="auto"/>
        </w:rPr>
        <w:t>(but see Item 7) (4) shared power to dispose or to direct the disposition of; (but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w:t>
      </w:r>
    </w:p>
    <w:p>
      <w:pPr>
        <w:spacing w:after="0" w:line="246" w:lineRule="exact"/>
        <w:rPr>
          <w:sz w:val="20"/>
          <w:szCs w:val="20"/>
          <w:color w:val="auto"/>
        </w:rPr>
      </w:pPr>
    </w:p>
    <w:p>
      <w:pPr>
        <w:sectPr>
          <w:pgSz w:w="11900" w:h="16838" w:orient="portrait"/>
          <w:cols w:equalWidth="0" w:num="5">
            <w:col w:w="2980" w:space="720"/>
            <w:col w:w="1380" w:space="720"/>
            <w:col w:w="860" w:space="720"/>
            <w:col w:w="860" w:space="720"/>
            <w:col w:w="1580"/>
          </w:cols>
          <w:pgMar w:left="240" w:top="541" w:right="1119" w:bottom="0" w:gutter="0" w:footer="0" w:header="0"/>
          <w:type w:val="continuous"/>
        </w:sectPr>
      </w:pP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320"/>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five percent of the class of securities, check the following ( X ).</w:t>
      </w:r>
    </w:p>
    <w:p>
      <w:pPr>
        <w:spacing w:after="0" w:line="207"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8"/>
          <w:szCs w:val="18"/>
          <w:color w:val="auto"/>
        </w:rPr>
        <w:t>Item 6. Ownership of More than Five/Ten Percent on Behalf of Another Person:</w:t>
      </w:r>
    </w:p>
    <w:p>
      <w:pPr>
        <w:spacing w:after="0" w:line="6" w:lineRule="exact"/>
        <w:rPr>
          <w:sz w:val="20"/>
          <w:szCs w:val="20"/>
          <w:color w:val="auto"/>
        </w:rPr>
      </w:pPr>
    </w:p>
    <w:p>
      <w:pPr>
        <w:ind w:right="4320"/>
        <w:spacing w:after="0" w:line="238" w:lineRule="auto"/>
        <w:rPr>
          <w:sz w:val="20"/>
          <w:szCs w:val="20"/>
          <w:color w:val="auto"/>
        </w:rPr>
      </w:pPr>
      <w:r>
        <w:rPr>
          <w:rFonts w:ascii="Courier New" w:cs="Courier New" w:eastAsia="Courier New" w:hAnsi="Courier New"/>
          <w:sz w:val="18"/>
          <w:szCs w:val="18"/>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207" w:lineRule="exact"/>
        <w:rPr>
          <w:sz w:val="20"/>
          <w:szCs w:val="20"/>
          <w:color w:val="auto"/>
        </w:rPr>
      </w:pPr>
    </w:p>
    <w:p>
      <w:pPr>
        <w:ind w:right="432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9" w:lineRule="exact"/>
        <w:rPr>
          <w:sz w:val="20"/>
          <w:szCs w:val="20"/>
          <w:color w:val="auto"/>
        </w:rPr>
      </w:pPr>
    </w:p>
    <w:p>
      <w:pPr>
        <w:ind w:right="4320"/>
        <w:spacing w:after="0" w:line="279" w:lineRule="auto"/>
        <w:rPr>
          <w:sz w:val="20"/>
          <w:szCs w:val="20"/>
          <w:color w:val="auto"/>
        </w:rPr>
      </w:pPr>
      <w:r>
        <w:rPr>
          <w:rFonts w:ascii="Courier New" w:cs="Courier New" w:eastAsia="Courier New" w:hAnsi="Courier New"/>
          <w:sz w:val="16"/>
          <w:szCs w:val="16"/>
          <w:color w:val="auto"/>
        </w:rPr>
        <w:t>PI, which is a wholly-owned subsidiary of M&amp;MC, wholly owns two registered investment advisers: Putnam Investment Management, Inc., which is the investment adviser to the</w:t>
      </w:r>
    </w:p>
    <w:p>
      <w:pPr>
        <w:sectPr>
          <w:pgSz w:w="11900" w:h="16838" w:orient="portrait"/>
          <w:cols w:equalWidth="0" w:num="1">
            <w:col w:w="10540"/>
          </w:cols>
          <w:pgMar w:left="240" w:top="541" w:right="1119" w:bottom="0" w:gutter="0" w:footer="0" w:header="0"/>
          <w:type w:val="continuous"/>
        </w:sectPr>
      </w:pPr>
    </w:p>
    <w:bookmarkStart w:id="6" w:name="page7"/>
    <w:bookmarkEnd w:id="6"/>
    <w:p>
      <w:pPr>
        <w:ind w:right="3899"/>
        <w:spacing w:after="0" w:line="238" w:lineRule="auto"/>
        <w:rPr>
          <w:sz w:val="20"/>
          <w:szCs w:val="20"/>
          <w:color w:val="auto"/>
        </w:rPr>
      </w:pPr>
      <w:r>
        <w:rPr>
          <w:rFonts w:ascii="Courier New" w:cs="Courier New" w:eastAsia="Courier New" w:hAnsi="Courier New"/>
          <w:sz w:val="18"/>
          <w:szCs w:val="18"/>
          <w:color w:val="auto"/>
        </w:rPr>
        <w:t>Putnam family of mutual funds and The Putnam Advisory Company, Inc., which is the investment adviser to Putnam's institutional clients. Both subsidiaries have dispository power over the shares as investment managers, but each of the mutual fund's trustees have voting power over the shares held by each fund, and The Putnam Advisory Company, Inc.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208"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9 of 10 Pages</w:t>
      </w:r>
    </w:p>
    <w:p>
      <w:pPr>
        <w:spacing w:after="0" w:line="207"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91"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/s/Frederick S. Marius</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Frederick S. Marius</w:t>
      </w:r>
    </w:p>
    <w:p>
      <w:pPr>
        <w:ind w:left="540"/>
        <w:spacing w:after="0" w:line="238" w:lineRule="auto"/>
        <w:rPr>
          <w:sz w:val="20"/>
          <w:szCs w:val="20"/>
          <w:color w:val="auto"/>
        </w:rPr>
      </w:pPr>
      <w:r>
        <w:rPr>
          <w:rFonts w:ascii="Courier New" w:cs="Courier New" w:eastAsia="Courier New" w:hAnsi="Courier New"/>
          <w:sz w:val="18"/>
          <w:szCs w:val="18"/>
          <w:color w:val="auto"/>
        </w:rPr>
        <w:t>Vice President and Counsel</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26, 1999</w:t>
      </w:r>
    </w:p>
    <w:p>
      <w:pPr>
        <w:spacing w:after="0" w:line="200" w:lineRule="exact"/>
        <w:rPr>
          <w:sz w:val="20"/>
          <w:szCs w:val="20"/>
          <w:color w:val="auto"/>
        </w:rPr>
      </w:pP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Power of Attorney dated November 9, 1992, with respect to duly authorized signatures on behalf of Marsh &amp; McLennan Companies, Inc., Putnam Investments, Inc., Putnam Investment Management, Inc., The Putnam Advisory Company, Inc. and any Putnam Fund wherever applicable.</w:t>
      </w:r>
    </w:p>
    <w:p>
      <w:pPr>
        <w:spacing w:after="0" w:line="210"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an Agreement dated June 28, 1990, with respect to one filing of Schedule 13G on behalf of said entities,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decimal"/>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decimal"/>
      <w:start w:val="2"/>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3"/>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4"/>
    </w:lvl>
  </w:abstractNum>
  <w:abstractNum w:abstractNumId="8">
    <w:nsid w:val="6A2342EC"/>
    <w:multiLevelType w:val="hybridMultilevel"/>
    <w:lvl w:ilvl="0">
      <w:lvlJc w:val="left"/>
      <w:lvlText w:val="-"/>
      <w:numFmt w:val="bullet"/>
      <w:start w:val="1"/>
    </w:lvl>
    <w:lvl w:ilvl="1">
      <w:lvlJc w:val="left"/>
      <w:lvlText w:val="%2."/>
      <w:numFmt w:val="decimal"/>
      <w:start w:val="5"/>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decimal"/>
      <w:start w:val="9"/>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decimal"/>
      <w:start w:val="10"/>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decimal"/>
      <w:start w:val="12"/>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lvl w:ilvl="1">
      <w:lvlJc w:val="left"/>
      <w:lvlText w:val="%2"/>
      <w:numFmt w:val="upperLetter"/>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2"/>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decimal"/>
      <w:start w:val="3"/>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decimal"/>
      <w:start w:val="4"/>
    </w:lvl>
  </w:abstractNum>
  <w:abstractNum w:abstractNumId="26">
    <w:nsid w:val="79A1DEAA"/>
    <w:multiLevelType w:val="hybridMultilevel"/>
    <w:lvl w:ilvl="0">
      <w:lvlJc w:val="left"/>
      <w:lvlText w:val="-"/>
      <w:numFmt w:val="bullet"/>
      <w:start w:val="1"/>
    </w:lvl>
    <w:lvl w:ilvl="1">
      <w:lvlJc w:val="left"/>
      <w:lvlText w:val="%2."/>
      <w:numFmt w:val="decimal"/>
      <w:start w:val="5"/>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decimal"/>
      <w:start w:val="9"/>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0"/>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12"/>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decimal"/>
      <w:start w:val="2"/>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3"/>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4"/>
    </w:lvl>
  </w:abstractNum>
  <w:abstractNum w:abstractNumId="44">
    <w:nsid w:val="D34B6A8"/>
    <w:multiLevelType w:val="hybridMultilevel"/>
    <w:lvl w:ilvl="0">
      <w:lvlJc w:val="left"/>
      <w:lvlText w:val="-"/>
      <w:numFmt w:val="bullet"/>
      <w:start w:val="1"/>
    </w:lvl>
    <w:lvl w:ilvl="1">
      <w:lvlJc w:val="left"/>
      <w:lvlText w:val="%2."/>
      <w:numFmt w:val="decimal"/>
      <w:start w:val="5"/>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decimal"/>
      <w:start w:val="9"/>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10"/>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decimal"/>
      <w:start w:val="1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2"/>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1"/>
    </w:lvl>
    <w:lvl w:ilvl="1">
      <w:lvlJc w:val="left"/>
      <w:lvlText w:val="%2"/>
      <w:numFmt w:val="upperLetter"/>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1."/>
      <w:numFmt w:val="decimal"/>
      <w:start w:val="2"/>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decimal"/>
      <w:start w:val="3"/>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1."/>
      <w:numFmt w:val="decimal"/>
      <w:start w:val="4"/>
    </w:lvl>
  </w:abstractNum>
  <w:abstractNum w:abstractNumId="62">
    <w:nsid w:val="15014ACB"/>
    <w:multiLevelType w:val="hybridMultilevel"/>
    <w:lvl w:ilvl="0">
      <w:lvlJc w:val="left"/>
      <w:lvlText w:val="-"/>
      <w:numFmt w:val="bullet"/>
      <w:start w:val="1"/>
    </w:lvl>
    <w:lvl w:ilvl="1">
      <w:lvlJc w:val="left"/>
      <w:lvlText w:val="%2."/>
      <w:numFmt w:val="decimal"/>
      <w:start w:val="5"/>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decimal"/>
      <w:start w:val="9"/>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decimal"/>
      <w:start w:val="10"/>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1."/>
      <w:numFmt w:val="decimal"/>
      <w:start w:val="1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decimal"/>
      <w:start w:val="12"/>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lvl w:ilvl="1">
      <w:lvlJc w:val="left"/>
      <w:lvlText w:val="**"/>
      <w:numFmt w:val="bullet"/>
      <w:start w:val="1"/>
    </w:lvl>
  </w:abstractNum>
  <w:abstractNum w:abstractNumId="73">
    <w:nsid w:val="7BD3EE7B"/>
    <w:multiLevelType w:val="hybridMultilevel"/>
    <w:lvl w:ilvl="0">
      <w:lvlJc w:val="left"/>
      <w:lvlText w:val="(%1)"/>
      <w:numFmt w:val="lowerLetter"/>
      <w:start w:val="3"/>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2019-12-13T07:50:42Z</dcterms:created>
  <dcterms:modified xsi:type="dcterms:W3CDTF">2019-12-13T07:50:42Z</dcterms:modified>
</cp:coreProperties>
</file>