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589280</wp:posOffset>
            </wp:positionV>
            <wp:extent cx="18307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January 22,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605790</wp:posOffset>
            </wp:positionV>
            <wp:extent cx="18307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1044" w:right="7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1044" w:right="739" w:bottom="1440" w:gutter="0" w:footer="0" w:header="0"/>
          <w:type w:val="continuous"/>
        </w:sectPr>
      </w:pPr>
    </w:p>
    <w:p>
      <w:pPr>
        <w:spacing w:after="0" w:line="15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1044" w:right="73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598805</wp:posOffset>
            </wp:positionV>
            <wp:extent cx="18307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0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Registrant's news release dated January 22, 2007, regarding its fourth quarter and 2006 results of operations and financial condition attached hereto as Exhibit 99 is incorporated by reference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0"/>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70"/>
        </w:trPr>
        <w:tc>
          <w:tcPr>
            <w:tcW w:w="1280" w:type="dxa"/>
            <w:vAlign w:val="bottom"/>
          </w:tcPr>
          <w:p>
            <w:pPr>
              <w:spacing w:after="0"/>
              <w:rPr>
                <w:sz w:val="23"/>
                <w:szCs w:val="23"/>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January 22, 2007 (furnished pursuant to Item 2.02)</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January 22,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-130175</wp:posOffset>
            </wp:positionV>
            <wp:extent cx="3378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4Q06 and 2006 Financial Results</w:t>
      </w:r>
    </w:p>
    <w:p>
      <w:pPr>
        <w:spacing w:after="0" w:line="200" w:lineRule="exact"/>
        <w:rPr>
          <w:sz w:val="20"/>
          <w:szCs w:val="20"/>
          <w:color w:val="auto"/>
        </w:rPr>
      </w:pPr>
    </w:p>
    <w:p>
      <w:pPr>
        <w:spacing w:after="0" w:line="357" w:lineRule="exact"/>
        <w:rPr>
          <w:sz w:val="20"/>
          <w:szCs w:val="20"/>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4Q06 TI Revenue Down 8% Sequentially, Up 4% from Year Ago</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4Q06 EPS of $0.45, Including Research Tax Credit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TI Revenue and Profit Margins in 2006</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High-Performance Analog Revenue Growth of 33% in 2006</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26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Except as noted, financial results are for continuing operations. The sale of TI’s former Sensors &amp; Controls business was completed on April 27, 2006, and that business is reported as a discontinued operation. Also, the Educational &amp; Productivity Solutions segment has been renamed Education Technology to more accurately reflect the strategic focus of this business.</w:t>
      </w:r>
    </w:p>
    <w:p>
      <w:pPr>
        <w:spacing w:after="0" w:line="200" w:lineRule="exact"/>
        <w:rPr>
          <w:sz w:val="20"/>
          <w:szCs w:val="20"/>
          <w:color w:val="auto"/>
        </w:rPr>
      </w:pPr>
    </w:p>
    <w:p>
      <w:pPr>
        <w:spacing w:after="0" w:line="3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DALLAS (Jan. 22, 2007) - Texas Instruments Incorporated (TI) (NYSE: TXN) today reported fourth-quarter 2006 revenue of $3.46 billion. Revenue declined 8 percent compared with the third quarter due to a broad-based decline in company semiconductor product revenue of 5 percent and a seasonal decline in graphing calculator sales. Compared with the same quarter a year ago, revenue grew 4 percent due to higher demand for the company’s semiconductor and calculator products.</w:t>
      </w:r>
    </w:p>
    <w:p>
      <w:pPr>
        <w:spacing w:after="0" w:line="24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For the year, TI revenue grew 16 percent to a record $14.25 billion. Growth was driven primarily by strong demand for the company’s analog products, especially high-performance analog, and DSP products.</w:t>
      </w:r>
    </w:p>
    <w:p>
      <w:pPr>
        <w:spacing w:after="0" w:line="22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the fourth quarter, earnings per share (EPS) from continuing operations were $0.45. This included a $0.05 EPS benefit from the reinstatement of the federal research tax credit, which was signed into law in December 2006 and was retroactive to the beginning of the year. Also, in the quarter TI signed new patent license agreements to replace agreements that had previously expired. These included catch-up payments resulting in a $0.01 EPS benefit to cover the period between expiration of the prior agreements and signing of the new agreements. EPS included $0.03 of expense for stock-based compensation.</w:t>
      </w:r>
    </w:p>
    <w:p>
      <w:pPr>
        <w:spacing w:after="0" w:line="20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For the year, EPS from continuing operations of $1.69 increased 30 percent from the prior year. EPS in 2006 included a full year of stock-option expense of $0.14 resulting in $0.07 of additional expense compared with the prior year. The company began expensing employee stock options in the third quarter of 2005.</w:t>
      </w:r>
    </w:p>
    <w:p>
      <w:pPr>
        <w:spacing w:after="0" w:line="23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“TI delivered important financial achievements in 2006,” said Rich Templeton, TI president and CEO. “Specifically, our semiconductor revenue grew more than one and a half times faster than the market, our earnings per share increased almost twice as fast as our revenue, and our return on invested capital expanded to 21.5 percent. Most important to these results was our high-performance analog product line, which grew revenue 33 percent and continued to raise the bar on gross margin for the entire company.</w:t>
      </w:r>
    </w:p>
    <w:p>
      <w:pPr>
        <w:spacing w:after="0" w:line="24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expected, demand in the fourth quarter of the year was unseasonably weak, and we limited production to reduce our inventories. Even with these pressures, our profitability remained relatively stable, reflecting the benefits of our hybrid manufacturing strategy whereby we outsource to foundries a large part of our most costly production. Challenges continue in the first quarter as we operate in an environment where customers want lower levels of inventory and where growth in the wireless market is skewed to low-priced, basic-featured cell phones instead of higher-priced, full-featured phones.</w:t>
      </w:r>
    </w:p>
    <w:p>
      <w:pPr>
        <w:spacing w:after="0" w:line="20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“Entering 2007, we challenge ourselves to keep improving performance. One way we’ll do this is by changing the way we develop advanced digital process technology. Instead of separately creating our own core technology, we will work collaboratively with our foundry partners to specify and drive the next generations of digital process technology, and we will continue making products on these technologies in our world-class factories. This is a natural extension of our existing relationships with foundries that will increase our R&amp;D efficiency and our capital efficiency while maintaining our responsiveness to customers. Additionally, we will stop production at an older digital factory and move its manufacturing equipment into several of our analog factories to support greater analog output.”</w:t>
      </w:r>
    </w:p>
    <w:p>
      <w:pPr>
        <w:spacing w:after="0" w:line="2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These changes will be made throughout 2007, and when complete are expected to reduce annualized costs by about $200 million. About 500 jobs are expected to be reduced by year end. In total, the company will take restructuring charges of approximately $55 million, about evenly distributed across the four quarters of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8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fourth quarter, gross profit was $1.75 billion, or 50.5 percent of revenue. This was a decrease of $184 million from the prior quarter due to lower revenue. It was an increase of $91 million from the year-ago quarter primarily due to lower depreciation in the Semiconductor segment. For the year, gross profit was $7.26 billion, or a record 50.9 percent of revenue. This was a 21 percent increase from the prior year due primarily to higher revenue, as well as lower depreciation, in the Semiconductor segment.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the fourth quarter, research and development (R&amp;D) expense was $556 million, or 16.0 percent of revenue. R&amp;D expense was down 2 percent from the prior quarter due to seasonally lower pay and benefits. R&amp;D expense increased $63 million from the year-ago quarter due to higher investment in new semiconductor technology, particularly for wireless applications. For the year, R&amp;D expense was $2.20 billion, or 15.4 percent of revenue. This was an increase of $209 million from the prior year due to higher investment in new semiconductor technology and $48 million of additional stock-based compensation expense.</w:t>
      </w:r>
    </w:p>
    <w:p>
      <w:pPr>
        <w:sectPr>
          <w:pgSz w:w="11900" w:h="16838" w:orient="portrait"/>
          <w:cols w:equalWidth="0" w:num="1">
            <w:col w:w="11420"/>
          </w:cols>
          <w:pgMar w:left="240" w:top="125" w:right="239" w:bottom="0" w:gutter="0" w:footer="0" w:header="0"/>
        </w:sectPr>
      </w:pPr>
    </w:p>
    <w:bookmarkStart w:id="3" w:name="page4"/>
    <w:bookmarkEnd w:id="3"/>
    <w:p>
      <w:pPr>
        <w:spacing w:after="0" w:line="4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Selling, general and administrative (SG&amp;A) expense was $425 million, or 12.3 percent of revenue. SG&amp;A expense decreased 2 percent from the prior quarter due to seasonally lower pay and benefits, partially offset by higher marketing expense. SG&amp;A expense was $21 million higher than the year-ago quarter primarily because of increased marketing expense. For the year, SG&amp;A expense was $1.70 billion. This was an increase of $226 million from the prior year primarily due to the combination of higher marketing expense in the Semiconductor segment and $77 million of higher stock-based compensation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83"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the fourth quarter, operating profit was $767 million, or 22.1 percent of revenue. This was a decrease of $163 million from the prior quarter primarily due to lower gross profit in the Semiconductor segment. Operating profit was up slightly from the year-ago quarter. For the year, operating profit was $3.37 billion, or a record 23.6 percent of revenue. This was an increase of $808 million, or 32 percent, due to higher gross profit in the Semiconductor segment.</w:t>
      </w: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the fourth quarter, total stock-based compensation expense of $78 million, or 2.3 percent of revenue, was included in Corporate. This was about even with the prior quarter and a $7 million decrease from the year-ago quarter. For the year, total stock-based compensation was $332 million. This was an increase of $157 million from the prior year, as 2006 was the first full year for employee stock-option expensing, which the company began in the third quarter of 2005.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28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the fourth quarter, OI&amp;E was $70 million. This was an increase of $15 million from the prior quarter and an increase of $19 million from the year-ago quarter, both due to the settlement of all remaining matters related to grants from the Italian government regarding TI’s former memory business operations. For the year, OI&amp;E was $265 million. This was an increase of $60 million from 2005 primarily due to higher interest income.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8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the fourth quarter, income from continuing operations was $671 million, or $0.45 per share. For the year, income from continuing operations was $2.64 billion, or $1.69 per share. Net income was $4.34 billion, or $2.78 per share. This includes $1.09 per share from discontinued operations, almost all of which was from the gain on the sale of the company’s former Sensors &amp; Controls business.</w:t>
      </w:r>
    </w:p>
    <w:p>
      <w:pPr>
        <w:spacing w:after="0" w:line="23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fourth quarter included a cumulative adjustment to income tax expense for the federal research tax credit, which was signed into law in December and was retroactive to the beginning of the year. The overall tax rate, including discrete items and the research tax credit, was 27 percent for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TI orders were $3.08 billion. This was a decrease of $352 million from the prior quarter and a decrease of $411 million from the year-ago quarter.</w:t>
      </w:r>
    </w:p>
    <w:p>
      <w:pPr>
        <w:spacing w:after="0" w:line="46" w:lineRule="exact"/>
        <w:rPr>
          <w:sz w:val="20"/>
          <w:szCs w:val="20"/>
          <w:color w:val="auto"/>
        </w:rPr>
      </w:pPr>
    </w:p>
    <w:p>
      <w:pPr>
        <w:ind w:right="480"/>
        <w:spacing w:after="0" w:line="234" w:lineRule="auto"/>
        <w:rPr>
          <w:sz w:val="20"/>
          <w:szCs w:val="20"/>
          <w:color w:val="auto"/>
        </w:rPr>
      </w:pPr>
      <w:r>
        <w:rPr>
          <w:rFonts w:ascii="Arial" w:cs="Arial" w:eastAsia="Arial" w:hAnsi="Arial"/>
          <w:sz w:val="16"/>
          <w:szCs w:val="16"/>
          <w:color w:val="auto"/>
        </w:rPr>
        <w:t>The decreases were primarily due to lower demand for DSP and DLP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in the company’s Semiconductor segment. For the year, TI orders were $14.02 billion. This was an increase of $1.17 billion from the prior year primarily due to higher demand for the company’s analog products.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8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fourth quarter, cash flow from operations was $846 million. This was an increase of $427 million from the prior quarter primarily due to changes in working capital. For the year, cash flow from operations was $2.45 billion. This was a decrease of $1.15 billion from the prior year primarily due to changes in working capital, particularly for the payment of income taxes related to the gain on the sale of the company’s former Sensors &amp; Controls business, that more than offset higher income from continuing operations.</w:t>
      </w:r>
    </w:p>
    <w:p>
      <w:pPr>
        <w:spacing w:after="0" w:line="24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Total cash (cash and cash equivalents plus short-term investments) was $3.72 billion at the end of the fourth quarter. This was down $467 million from the end of the prior quarter and down $1.61 billion from the end of 2005. In the fourth quarter, the company used $1.13 billion to repurchase 37 million shares and paid $59 million in dividends. For the year, the company used $5.30 billion to repurchase 172 million shares, reducing shares outstanding by 9 percent. In 2006, the company received $3.00 billion of cash from the sale of its former Sensors &amp; Controls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28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the fourth quarter, capital expenditures were $214 million. This was a decrease of $62 million from the prior quarter and a decrease of $120 million from the year-ago quarter. TI’s capital expenditures in the fourth quarter were primarily for equipment used in the assembly and test of semiconductors. For the year, capital expenditures were $1.27 billion. This was about the same as the prior year. TI’s 2006 capital expenditures were primarily for equipment used in the assembly and test of semiconductors, as well as for advanced wafer fabrication equipment used to manufacture semiconductors.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fourth quarter, depreciation was $249 million. This was a decrease of $17 million from the prior quarter and a decrease of $87 million from the year-ago quarter. For the year, depreciation was $1.05 billion. This was a decrease of $294 million compared with 2005. About half of this decline was due to the company’s change at the beginning of 2006 from an accelerated to a straight-line method of depreciation.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28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Accounts receivable were $1.77 billion at the end of the fourth quarter. This was a decrease of $315 million from the prior quarter primarily due to lower revenue. Accounts receivable increased $126 million from the year-ago quarter primarily due to higher revenue. Days sales outstanding were 46 at the end of the fourth quarter compared with 50 at the end of the prior quarter and 45 at the end of 2005.</w:t>
      </w:r>
    </w:p>
    <w:p>
      <w:pPr>
        <w:spacing w:after="0" w:line="23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Inventory was $1.44 billion at the end of the fourth quarter. This was a decrease of $54 million from the prior quarter as the company reduced production levels. Compared with a year ago, when inventory was below desired levels, inventory increased $252 million. Days of inventory at the end of the</w:t>
      </w:r>
    </w:p>
    <w:p>
      <w:pPr>
        <w:sectPr>
          <w:pgSz w:w="11900" w:h="16881" w:orient="portrait"/>
          <w:cols w:equalWidth="0" w:num="1">
            <w:col w:w="11420"/>
          </w:cols>
          <w:pgMar w:left="240" w:top="39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fourth quarter were 75 compared with 73 at the end of the prior quarter and 64 a year ago.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9"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TI intends to provide a mid-quarter update to its financial outlook on March 12, 2007, by issuing a press release and holding a conference call. Both will be available on the company’s web site.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first quarter of 2007, TI expects revenue to be in the following ranges:</w:t>
      </w:r>
    </w:p>
    <w:p>
      <w:pPr>
        <w:spacing w:after="0" w:line="279"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$3.01 billion to $3.28 billion;</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$2.95 billion to $3.20 billion;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$60 million to $80 million.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expects earnings per share to be in the range of $0.28 to $0.34.</w:t>
      </w:r>
    </w:p>
    <w:p>
      <w:pPr>
        <w:spacing w:after="0" w:line="2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2007, TI expects: the annual effective tax rate to be about 28 percent, expense for R&amp;D to be about $2.3 billion, capital expenditures to be about $0.9 billion, and depreciation to be about $1.0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2"/>
              </w:rPr>
              <w:t>For Three Months Ended</w:t>
            </w:r>
          </w:p>
        </w:tc>
        <w:tc>
          <w:tcPr>
            <w:tcW w:w="160" w:type="dxa"/>
            <w:vAlign w:val="bottom"/>
          </w:tcPr>
          <w:p>
            <w:pPr>
              <w:spacing w:after="0"/>
              <w:rPr>
                <w:sz w:val="20"/>
                <w:szCs w:val="20"/>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Dec. 31,</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Sept. 30,</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6"/>
              </w:rPr>
              <w:t>Dec. 31,</w:t>
            </w:r>
          </w:p>
        </w:tc>
        <w:tc>
          <w:tcPr>
            <w:tcW w:w="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Dec. 31,</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Dec. 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3,463</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3,324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14,255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(COR)</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1,667</w:t>
            </w: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6,996</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1,748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7,259</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 % of revenue</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50.9%</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Research and development (R&amp;D)</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556</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2,195</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R&amp;D % of revenue</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15.4%</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425</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1,697</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SG&amp;A % of revenue</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11.9%</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2,696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2,831</w:t>
            </w:r>
          </w:p>
        </w:tc>
        <w:tc>
          <w:tcPr>
            <w:tcW w:w="16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2,564</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10,888</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3,367</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Operating profit % of revenue</w:t>
            </w: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22.1%</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23.6%</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265</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3,625</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987</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2,638</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1,703</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1,469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1,506</w:t>
            </w:r>
          </w:p>
        </w:tc>
        <w:tc>
          <w:tcPr>
            <w:tcW w:w="16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1,606</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1,528</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1,499</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1,560</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expense included in continuing</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8"/>
                <w:szCs w:val="18"/>
                <w:color w:val="auto"/>
              </w:rPr>
              <w:t>R&amp;D</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101</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167</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2"/>
          </w:tcPr>
          <w:p>
            <w:pPr>
              <w:spacing w:after="0"/>
              <w:rPr>
                <w:sz w:val="20"/>
                <w:szCs w:val="20"/>
                <w:color w:val="auto"/>
              </w:rPr>
            </w:pPr>
            <w:r>
              <w:rPr>
                <w:rFonts w:ascii="Arial" w:cs="Arial" w:eastAsia="Arial" w:hAnsi="Arial"/>
                <w:sz w:val="18"/>
                <w:szCs w:val="18"/>
                <w:color w:val="auto"/>
              </w:rPr>
              <w:t>Profit from operations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of revenue</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 30,</w:t>
            </w: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1,183</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2,534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($26), ($29) and ($34)</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Assets of discontinued operations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7,854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7,751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(3,901)</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37"/>
        </w:trPr>
        <w:tc>
          <w:tcPr>
            <w:tcW w:w="67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3,950</w:t>
            </w: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601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Overfunded retirement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8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13,930</w:t>
            </w:r>
          </w:p>
        </w:tc>
        <w:tc>
          <w:tcPr>
            <w:tcW w:w="1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payable and current portion of long-term 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37"/>
        </w:trPr>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$25 par value. Authorized -- 10,000,000 shares. Participating</w:t>
            </w:r>
          </w:p>
        </w:tc>
        <w:tc>
          <w:tcPr>
            <w:tcW w:w="2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preferred. None issued.</w:t>
            </w:r>
          </w:p>
        </w:tc>
        <w:tc>
          <w:tcPr>
            <w:tcW w:w="2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740" w:type="dxa"/>
            <w:vAlign w:val="bottom"/>
          </w:tcPr>
          <w:p>
            <w:pPr>
              <w:ind w:left="180"/>
              <w:spacing w:after="0" w:line="201" w:lineRule="exact"/>
              <w:rPr>
                <w:sz w:val="20"/>
                <w:szCs w:val="20"/>
                <w:color w:val="auto"/>
              </w:rPr>
            </w:pPr>
            <w:r>
              <w:rPr>
                <w:rFonts w:ascii="Arial" w:cs="Arial" w:eastAsia="Arial" w:hAnsi="Arial"/>
                <w:sz w:val="18"/>
                <w:szCs w:val="18"/>
                <w:color w:val="auto"/>
              </w:rPr>
              <w:t>Common stock, $1 par value. Authorized -- 2,400,000,000 shares. Shares issued: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8"/>
                <w:szCs w:val="18"/>
                <w:color w:val="auto"/>
              </w:rPr>
              <w:t>December 31, 2006 -- 1,739,108,694; September 30, 2006 -- 1,739,102,544;</w:t>
            </w:r>
          </w:p>
        </w:tc>
        <w:tc>
          <w:tcPr>
            <w:tcW w:w="2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December 31, 2005 -- 1,738,780,512</w:t>
            </w: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17,529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16,927</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13,394</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Less treasury common stock at cost: Shares: December 31, 2006 -- 289,078,450;</w:t>
            </w:r>
          </w:p>
        </w:tc>
        <w:tc>
          <w:tcPr>
            <w:tcW w:w="2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2006 -- 255,218,212; December 31, 2005 -- 142,190,707</w:t>
            </w:r>
          </w:p>
        </w:tc>
        <w:tc>
          <w:tcPr>
            <w:tcW w:w="24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(7,413)</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compensation</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7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11,360</w:t>
            </w: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13,930</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77"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Presentation reflects adoption of Statement of Financial Accounting Standards No. 158 in the fourth quarter of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267335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77"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2"/>
              </w:rPr>
              <w:t>For Three Months Ended</w:t>
            </w:r>
          </w:p>
        </w:tc>
        <w:tc>
          <w:tcPr>
            <w:tcW w:w="180" w:type="dxa"/>
            <w:vAlign w:val="bottom"/>
          </w:tcPr>
          <w:p>
            <w:pPr>
              <w:spacing w:after="0"/>
              <w:rPr>
                <w:sz w:val="20"/>
                <w:szCs w:val="20"/>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9"/>
              </w:rPr>
              <w:t>Dec. 31,</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 30,</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6"/>
              </w:rPr>
              <w:t>Dec. 31,</w:t>
            </w: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9"/>
              </w:rPr>
              <w:t>Dec. 31,</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9"/>
              </w:rPr>
              <w:t>Dec.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655</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Adjustments to reconcile net income to cash provided by</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 of continuing operations: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Less (income)/loss from discontinued operations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(1,703)</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332</w:t>
            </w:r>
          </w:p>
        </w:tc>
        <w:tc>
          <w:tcPr>
            <w:tcW w:w="1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capitalized software</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(200)</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Increase/(decrease) from changes in: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(116)</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(248)</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(209)</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(156)</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(716)</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accrued retirement costs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(210)</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cash provided by operating activities of continuing</w:t>
            </w: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2,453</w:t>
            </w:r>
          </w:p>
        </w:tc>
        <w:tc>
          <w:tcPr>
            <w:tcW w:w="1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(214)</w:t>
            </w: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(1,272)</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assets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(1,275)</w:t>
            </w: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(1,330)</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(2,690)</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(6,821)</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1,509</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1,887</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8,418</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equity and debt investments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(205)</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Net cash provided by (used in) investing activities of continuing</w:t>
            </w: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3,091</w:t>
            </w:r>
          </w:p>
        </w:tc>
        <w:tc>
          <w:tcPr>
            <w:tcW w:w="1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Proceeds from loans and long-term debt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loans and long-term debt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(586)</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w:t>
            </w: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(199)</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419</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(1,130)</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(5,302)</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Net cash used in financing activities of continuing operations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(1,123)</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(1,631)</w:t>
            </w:r>
          </w:p>
        </w:tc>
        <w:tc>
          <w:tcPr>
            <w:tcW w:w="1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(5,568)</w:t>
            </w: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discontinued operations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6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(247)</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1,941</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1,214</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1,183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829"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Business 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2"/>
              </w:rPr>
              <w:t>For Three Months Ended</w:t>
            </w:r>
          </w:p>
        </w:tc>
        <w:tc>
          <w:tcPr>
            <w:tcW w:w="200" w:type="dxa"/>
            <w:vAlign w:val="bottom"/>
          </w:tcPr>
          <w:p>
            <w:pPr>
              <w:spacing w:after="0"/>
              <w:rPr>
                <w:sz w:val="20"/>
                <w:szCs w:val="20"/>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Years Ended</w:t>
            </w:r>
          </w:p>
        </w:tc>
      </w:tr>
      <w:tr>
        <w:trPr>
          <w:trHeight w:val="191"/>
        </w:trPr>
        <w:tc>
          <w:tcPr>
            <w:tcW w:w="30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1"/>
              </w:rPr>
              <w:t>Dec. 31,</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6"/>
              </w:rPr>
              <w:t>Sept. 30,</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Dec. 31,</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Dec. 31,</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Dec. 31,</w:t>
            </w:r>
          </w:p>
        </w:tc>
        <w:tc>
          <w:tcPr>
            <w:tcW w:w="12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Pr>
          <w:p>
            <w:pPr>
              <w:spacing w:after="0"/>
              <w:rPr>
                <w:sz w:val="20"/>
                <w:szCs w:val="20"/>
                <w:color w:val="auto"/>
              </w:rPr>
            </w:pPr>
          </w:p>
        </w:tc>
      </w:tr>
      <w:tr>
        <w:trPr>
          <w:trHeight w:val="237"/>
        </w:trPr>
        <w:tc>
          <w:tcPr>
            <w:tcW w:w="3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11,829</w:t>
            </w:r>
          </w:p>
        </w:tc>
        <w:tc>
          <w:tcPr>
            <w:tcW w:w="120" w:type="dxa"/>
            <w:vAlign w:val="bottom"/>
            <w:shd w:val="clear" w:color="auto" w:fill="CCEEFF"/>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Education Technology</w:t>
            </w:r>
          </w:p>
        </w:tc>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525</w:t>
            </w: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r>
      <w:tr>
        <w:trPr>
          <w:trHeight w:val="20"/>
        </w:trPr>
        <w:tc>
          <w:tcPr>
            <w:tcW w:w="3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12,335</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718"/>
        </w:trPr>
        <w:tc>
          <w:tcPr>
            <w:tcW w:w="3080" w:type="dxa"/>
            <w:vAlign w:val="bottom"/>
          </w:tcPr>
          <w:p>
            <w:pPr>
              <w:spacing w:after="0"/>
              <w:rPr>
                <w:sz w:val="24"/>
                <w:szCs w:val="24"/>
                <w:color w:val="auto"/>
              </w:rPr>
            </w:pPr>
          </w:p>
        </w:tc>
        <w:tc>
          <w:tcPr>
            <w:tcW w:w="436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Business Segment Profit (Loss)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w w:val="93"/>
              </w:rPr>
              <w:t>(Millions of dollars)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40"/>
        </w:trPr>
        <w:tc>
          <w:tcPr>
            <w:tcW w:w="3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2"/>
              </w:rPr>
              <w:t>For Three Months Ended</w:t>
            </w:r>
          </w:p>
        </w:tc>
        <w:tc>
          <w:tcPr>
            <w:tcW w:w="200" w:type="dxa"/>
            <w:vAlign w:val="bottom"/>
          </w:tcPr>
          <w:p>
            <w:pPr>
              <w:spacing w:after="0"/>
              <w:rPr>
                <w:sz w:val="24"/>
                <w:szCs w:val="24"/>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Years Ended</w:t>
            </w:r>
          </w:p>
        </w:tc>
      </w:tr>
      <w:tr>
        <w:trPr>
          <w:trHeight w:val="191"/>
        </w:trPr>
        <w:tc>
          <w:tcPr>
            <w:tcW w:w="30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1"/>
              </w:rPr>
              <w:t>Dec. 31,</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6"/>
              </w:rPr>
              <w:t>Sept. 30,</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Dec. 31,</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Dec. 31,</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Dec. 31,</w:t>
            </w:r>
          </w:p>
        </w:tc>
        <w:tc>
          <w:tcPr>
            <w:tcW w:w="12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Pr>
          <w:p>
            <w:pPr>
              <w:spacing w:after="0"/>
              <w:rPr>
                <w:sz w:val="20"/>
                <w:szCs w:val="20"/>
                <w:color w:val="auto"/>
              </w:rPr>
            </w:pPr>
          </w:p>
        </w:tc>
      </w:tr>
      <w:tr>
        <w:trPr>
          <w:trHeight w:val="237"/>
        </w:trPr>
        <w:tc>
          <w:tcPr>
            <w:tcW w:w="3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20" w:type="dxa"/>
            <w:vAlign w:val="bottom"/>
            <w:shd w:val="clear" w:color="auto" w:fill="CCEEFF"/>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Education Technology</w:t>
            </w:r>
          </w:p>
        </w:tc>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r>
      <w:tr>
        <w:trPr>
          <w:trHeight w:val="24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1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(160)</w:t>
            </w: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(664)</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r>
      <w:tr>
        <w:trPr>
          <w:trHeight w:val="20"/>
        </w:trPr>
        <w:tc>
          <w:tcPr>
            <w:tcW w:w="30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Profit from operations in Corporate includes, in millions of dollars, stock-based compensation expense of $78, $79 and $85 for fourth quarter and third quarter of 2006 and fourth quarter of 2005, and $332 and $175 for years ended December 31, 2006 and 2005.</w:t>
      </w:r>
    </w:p>
    <w:p>
      <w:pPr>
        <w:spacing w:after="0" w:line="2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Profit from operations from Semiconductor for the year ended December 31, 2006, includes, in millions of dollars, second-quarter benefits of $60 from a royalty settlement and $57 from a sales tax refund.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283" w:lineRule="exact"/>
        <w:rPr>
          <w:sz w:val="20"/>
          <w:szCs w:val="20"/>
          <w:color w:val="auto"/>
        </w:rPr>
      </w:pPr>
    </w:p>
    <w:p>
      <w:pPr>
        <w:jc w:val="both"/>
        <w:ind w:left="340" w:hanging="143"/>
        <w:spacing w:after="0" w:line="31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in the fourth quarter was $3.39 billion. This was a decrease of 5 percent from the prior quarter due to a broad-based decline in demand. Compared with a year ago, revenue increased 4 percent primarily due to higher demand for analog products. For the year, Semiconductor revenue was $13.73 billion. This was an increase of 16 percent due to higher demand for analog products, especially high-performance analog, and DSP products.</w:t>
      </w:r>
    </w:p>
    <w:p>
      <w:pPr>
        <w:spacing w:after="0" w:line="201" w:lineRule="exact"/>
        <w:rPr>
          <w:sz w:val="20"/>
          <w:szCs w:val="20"/>
          <w:color w:val="auto"/>
        </w:rPr>
      </w:pPr>
    </w:p>
    <w:p>
      <w:pPr>
        <w:jc w:val="both"/>
        <w:ind w:left="980" w:hanging="180"/>
        <w:spacing w:after="0" w:line="285"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fourth quarter, analog revenue was down 4 percent from the prior quarter primarily due to a broad-based decline in demand. Analog revenue increased 9 percent from the year-ago quarter primarily due to demand for high-performance analog products. Revenue from high-performance analog products declined 4 percent from the prior quarter and increased 22 percent from a year ago. For the year, analog revenue increased 18 percent primarily due to demand for high-performance analog products. Revenue from high-performance analog products increased 33 percent primarily due to market-share gains. In 2006, about 40 percent of total Semiconductor revenue came from analog.</w:t>
      </w:r>
    </w:p>
    <w:p>
      <w:pPr>
        <w:spacing w:after="0" w:line="2" w:lineRule="exact"/>
        <w:rPr>
          <w:rFonts w:ascii="Arial" w:cs="Arial" w:eastAsia="Arial" w:hAnsi="Arial"/>
          <w:sz w:val="16"/>
          <w:szCs w:val="16"/>
          <w:color w:val="auto"/>
        </w:rPr>
      </w:pPr>
    </w:p>
    <w:p>
      <w:pPr>
        <w:jc w:val="both"/>
        <w:ind w:left="980" w:hanging="180"/>
        <w:spacing w:after="0" w:line="250"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fourth quarter, DSP revenue was down 11 percent from the prior quarter primarily due to lower demand for wireless products. DSP revenue decreased 2 percent from the year-ago quarter primarily due to lower demand for broadband residential gateway as well as wireless products. For the year, DSP revenue increased 16 percent due to demand for wireless products. In 2006, about 40 percent of total Semiconductor revenue came from DSP.</w:t>
      </w:r>
    </w:p>
    <w:p>
      <w:pPr>
        <w:spacing w:after="0" w:line="1" w:lineRule="exact"/>
        <w:rPr>
          <w:rFonts w:ascii="Arial" w:cs="Arial" w:eastAsia="Arial" w:hAnsi="Arial"/>
          <w:sz w:val="18"/>
          <w:szCs w:val="18"/>
          <w:color w:val="auto"/>
        </w:rPr>
      </w:pPr>
    </w:p>
    <w:p>
      <w:pPr>
        <w:jc w:val="both"/>
        <w:ind w:left="980" w:hanging="180"/>
        <w:spacing w:after="0" w:line="29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fourth quarter, TI’s remaining Semiconductor revenue was 2 percent higher than the prior quarter due to higher royalties. Revenue was lower for RISC microprocessors, DLP products, standard logic products and microcontrollers. TI’s remaining Semiconductor revenue increased 5 percent from the year-ago quarter due to higher royalties and standard logic revenue. Revenue from RISC microprocessors, DLP products and microcontrollers was about even with the year-ago quarter. For the year, TI’s remaining Semiconductor revenue increased 14 percent as growth in standard logic products, DLP products, RISC microprocessors and microcontrollers more than offset a decline in royalties.</w:t>
      </w:r>
    </w:p>
    <w:p>
      <w:pPr>
        <w:spacing w:after="0" w:line="216" w:lineRule="exact"/>
        <w:rPr>
          <w:rFonts w:ascii="Arial" w:cs="Arial" w:eastAsia="Arial" w:hAnsi="Arial"/>
          <w:sz w:val="16"/>
          <w:szCs w:val="16"/>
          <w:color w:val="auto"/>
        </w:rPr>
      </w:pPr>
    </w:p>
    <w:p>
      <w:pPr>
        <w:jc w:val="both"/>
        <w:ind w:left="340" w:right="20" w:hanging="143"/>
        <w:spacing w:after="0" w:line="271"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fourth quarter, gross profit was $1.73 billion, or 51.1 percent of revenue. This was a decrease of $113 million from the prior quarter due to lower revenue and an increase of $85 million from the year-ago quarter primarily due to lower depreciation. For the year, gross profit was $7.05 billion, or 51.3 percent of revenue. This was an increase of $1.28 billion, or 22 percent, due to higher revenue, as well as lower depreciation.</w:t>
      </w:r>
    </w:p>
    <w:p>
      <w:pPr>
        <w:jc w:val="both"/>
        <w:ind w:left="340" w:hanging="143"/>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fourth quarter, operating profit was $908 million, or 26.8 percent of revenue. This was a decline of $100 million from the prior quarter due to lower gross profit. Operating profit was about even with the year-ago quarter. For the year, operating profit was $3.83 billion, or a record 27.9 percent of revenue. This was an increase of $1.02 billion due to higher gross profit.</w:t>
      </w:r>
    </w:p>
    <w:p>
      <w:pPr>
        <w:spacing w:after="0" w:line="1" w:lineRule="exact"/>
        <w:rPr>
          <w:rFonts w:ascii="Arial" w:cs="Arial" w:eastAsia="Arial" w:hAnsi="Arial"/>
          <w:sz w:val="18"/>
          <w:szCs w:val="18"/>
          <w:color w:val="auto"/>
        </w:rPr>
      </w:pPr>
    </w:p>
    <w:p>
      <w:pPr>
        <w:jc w:val="both"/>
        <w:ind w:left="340" w:hanging="143"/>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orders were $3.00 billion. This was a decrease of 9 percent from the prior quarter and 12 percent from the year-ago quarter due to lower demand for DSP and DLP products. For the year, Semiconductor orders were $13.49 billion. This was an increase of 9 percent due to higher demand for analog products.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Highlights</w:t>
      </w:r>
    </w:p>
    <w:p>
      <w:pPr>
        <w:spacing w:after="0" w:line="283" w:lineRule="exact"/>
        <w:rPr>
          <w:sz w:val="20"/>
          <w:szCs w:val="20"/>
          <w:color w:val="auto"/>
        </w:rPr>
      </w:pPr>
    </w:p>
    <w:p>
      <w:pPr>
        <w:jc w:val="both"/>
        <w:ind w:left="340" w:hanging="143"/>
        <w:spacing w:after="0" w:line="20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announced “eCosto,” a single-chip cell-phone technology that will lower the system costs of advanced multimedia phones, making them more affordable for the mass market. The first product in the new “eCosto” platform integrates an OMAP</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applications processor and the modem function, using TI’s differentiated digital RF processor (DRP</w:t>
      </w:r>
      <w:r>
        <w:rPr>
          <w:rFonts w:ascii="Arial" w:cs="Arial" w:eastAsia="Arial" w:hAnsi="Arial"/>
          <w:sz w:val="30"/>
          <w:szCs w:val="30"/>
          <w:color w:val="auto"/>
          <w:vertAlign w:val="superscript"/>
        </w:rPr>
        <w:t>TM</w:t>
      </w:r>
      <w:r>
        <w:rPr>
          <w:rFonts w:ascii="Arial" w:cs="Arial" w:eastAsia="Arial" w:hAnsi="Arial"/>
          <w:sz w:val="18"/>
          <w:szCs w:val="18"/>
          <w:color w:val="auto"/>
        </w:rPr>
        <w:t>) technology. The product will be manufactured using a 65-nanometer CMOS process and will support the GSM, GPRS and EDGE wireless standards.</w:t>
      </w:r>
    </w:p>
    <w:p>
      <w:pPr>
        <w:spacing w:after="0" w:line="2" w:lineRule="exact"/>
        <w:rPr>
          <w:rFonts w:ascii="Arial" w:cs="Arial" w:eastAsia="Arial" w:hAnsi="Arial"/>
          <w:sz w:val="18"/>
          <w:szCs w:val="18"/>
          <w:color w:val="auto"/>
        </w:rPr>
      </w:pPr>
    </w:p>
    <w:p>
      <w:pPr>
        <w:ind w:left="340" w:right="20" w:hanging="143"/>
        <w:spacing w:after="0" w:line="209" w:lineRule="auto"/>
        <w:tabs>
          <w:tab w:leader="none" w:pos="340" w:val="left"/>
        </w:tabs>
        <w:numPr>
          <w:ilvl w:val="0"/>
          <w:numId w:val="7"/>
        </w:numPr>
        <w:rPr>
          <w:rFonts w:ascii="Arial" w:cs="Arial" w:eastAsia="Arial" w:hAnsi="Arial"/>
          <w:sz w:val="31"/>
          <w:szCs w:val="31"/>
          <w:color w:val="auto"/>
          <w:vertAlign w:val="superscript"/>
        </w:rPr>
      </w:pPr>
      <w:r>
        <w:rPr>
          <w:rFonts w:ascii="Arial" w:cs="Arial" w:eastAsia="Arial" w:hAnsi="Arial"/>
          <w:sz w:val="16"/>
          <w:szCs w:val="16"/>
          <w:color w:val="auto"/>
        </w:rPr>
        <w:t>TI began sampling four new DaVinci</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processors specifically tuned for the automotive, video security and video telephony markets. The DSP-based digital media processors offer improved video performance with a 50 percent cost reduction over previous generations of TI’s digital media processors.</w:t>
      </w:r>
    </w:p>
    <w:p>
      <w:pPr>
        <w:spacing w:after="0" w:line="2" w:lineRule="exact"/>
        <w:rPr>
          <w:rFonts w:ascii="Arial" w:cs="Arial" w:eastAsia="Arial" w:hAnsi="Arial"/>
          <w:sz w:val="31"/>
          <w:szCs w:val="31"/>
          <w:color w:val="auto"/>
          <w:vertAlign w:val="superscript"/>
        </w:rPr>
      </w:pPr>
    </w:p>
    <w:p>
      <w:pPr>
        <w:jc w:val="both"/>
        <w:ind w:left="340" w:hanging="143"/>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introduced two new high-performance analog precision operational amplifiers for the high-voltage industrial market. The first devices developed with TI’s BiCom3HV silicon germanium process technology, these 36-volt amplifiers deliver significant improvements in power consumption, bandwidth and package size.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 Technology</w:t>
      </w:r>
    </w:p>
    <w:p>
      <w:pPr>
        <w:spacing w:after="0" w:line="283" w:lineRule="exact"/>
        <w:rPr>
          <w:sz w:val="20"/>
          <w:szCs w:val="20"/>
          <w:color w:val="auto"/>
        </w:rPr>
      </w:pPr>
    </w:p>
    <w:p>
      <w:pPr>
        <w:jc w:val="both"/>
        <w:ind w:left="340" w:hanging="143"/>
        <w:spacing w:after="0" w:line="271"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fourth quarter, revenue was $78 million. This was a decrease of $104 million from the prior quarter due to the seasonal decline for graphing calculators with the end of the back-to-school season. It was an increase of $11 million from the year-ago quarter due to stronger demand for graphing calculators. For the year, revenue was $525 million. This was a 4 percent increase due to higher demand for graphing calculators.</w:t>
      </w:r>
    </w:p>
    <w:p>
      <w:pPr>
        <w:jc w:val="both"/>
        <w:ind w:left="340" w:hanging="143"/>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gross profit was $45 million, or 57.7 percent of revenue. Gross profit decreased $71 million from the prior quarter due to lower revenue, and increased $10 million from the year-ago quarter primarily due to higher revenue. For the year, gross profit of $321 million, or a record 61.1 percent of revenue, increased $21 million primarily due to higher revenue, as well as product cost reductions.</w:t>
      </w:r>
    </w:p>
    <w:p>
      <w:pPr>
        <w:spacing w:after="0" w:line="1" w:lineRule="exact"/>
        <w:rPr>
          <w:rFonts w:ascii="Arial" w:cs="Arial" w:eastAsia="Arial" w:hAnsi="Arial"/>
          <w:sz w:val="18"/>
          <w:szCs w:val="18"/>
          <w:color w:val="auto"/>
        </w:rPr>
      </w:pPr>
    </w:p>
    <w:p>
      <w:pPr>
        <w:jc w:val="both"/>
        <w:ind w:left="340" w:hanging="143"/>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operating profit was $19 million, or 23.9 percent of revenue. This was a decrease of $64 million compared with the prior quarter due to lower gross profit. It was an increase of $9 million from the year-ago quarter due to higher gross profit. For the year, operating profit was $200 million, or a record 38.0 percent of revenue. This was an increase of $12 million due to higher gross profit.</w:t>
      </w:r>
    </w:p>
    <w:p>
      <w:pPr>
        <w:spacing w:after="0" w:line="244" w:lineRule="exact"/>
        <w:rPr>
          <w:rFonts w:ascii="Arial" w:cs="Arial" w:eastAsia="Arial" w:hAnsi="Arial"/>
          <w:sz w:val="18"/>
          <w:szCs w:val="18"/>
          <w:color w:val="auto"/>
        </w:rPr>
      </w:pPr>
    </w:p>
    <w:p>
      <w:pPr>
        <w:ind w:left="5660" w:hanging="126"/>
        <w:spacing w:after="0"/>
        <w:tabs>
          <w:tab w:leader="none" w:pos="5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ectPr>
          <w:pgSz w:w="11900" w:h="16875" w:orient="portrait"/>
          <w:cols w:equalWidth="0" w:num="1">
            <w:col w:w="11420"/>
          </w:cols>
          <w:pgMar w:left="240" w:top="391" w:right="239" w:bottom="0" w:gutter="0" w:footer="0" w:header="0"/>
        </w:sectPr>
      </w:pPr>
    </w:p>
    <w:bookmarkStart w:id="10" w:name="page11"/>
    <w:bookmarkEnd w:id="10"/>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DRP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DaVinci</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o"/>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2019-12-13T07:31:39Z</dcterms:created>
  <dcterms:modified xsi:type="dcterms:W3CDTF">2019-12-13T07:31:39Z</dcterms:modified>
</cp:coreProperties>
</file>