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01"/>
        <w:spacing w:after="0"/>
        <w:rPr>
          <w:sz w:val="20"/>
          <w:szCs w:val="20"/>
          <w:color w:val="auto"/>
        </w:rPr>
      </w:pPr>
      <w:r>
        <w:rPr>
          <w:rFonts w:ascii="Courier New" w:cs="Courier New" w:eastAsia="Courier New" w:hAnsi="Courier New"/>
          <w:sz w:val="16"/>
          <w:szCs w:val="16"/>
          <w:color w:val="auto"/>
        </w:rPr>
        <w:t>SCHEDULE 14A INFORMATION</w:t>
      </w:r>
    </w:p>
    <w:p>
      <w:pPr>
        <w:spacing w:after="0" w:line="4" w:lineRule="exact"/>
        <w:rPr>
          <w:sz w:val="24"/>
          <w:szCs w:val="24"/>
          <w:color w:val="auto"/>
        </w:rPr>
      </w:pPr>
    </w:p>
    <w:p>
      <w:pPr>
        <w:ind w:left="1641"/>
        <w:spacing w:after="0"/>
        <w:rPr>
          <w:sz w:val="20"/>
          <w:szCs w:val="20"/>
          <w:color w:val="auto"/>
        </w:rPr>
      </w:pPr>
      <w:r>
        <w:rPr>
          <w:rFonts w:ascii="Courier New" w:cs="Courier New" w:eastAsia="Courier New" w:hAnsi="Courier New"/>
          <w:sz w:val="16"/>
          <w:szCs w:val="16"/>
          <w:color w:val="auto"/>
        </w:rPr>
        <w:t>Proxy Statement Pursuant to Section 14(a)</w:t>
      </w:r>
    </w:p>
    <w:p>
      <w:pPr>
        <w:spacing w:after="0" w:line="4" w:lineRule="exact"/>
        <w:rPr>
          <w:sz w:val="24"/>
          <w:szCs w:val="24"/>
          <w:color w:val="auto"/>
        </w:rPr>
      </w:pPr>
    </w:p>
    <w:p>
      <w:pPr>
        <w:ind w:left="1721"/>
        <w:spacing w:after="0"/>
        <w:rPr>
          <w:sz w:val="20"/>
          <w:szCs w:val="20"/>
          <w:color w:val="auto"/>
        </w:rPr>
      </w:pPr>
      <w:r>
        <w:rPr>
          <w:rFonts w:ascii="Courier New" w:cs="Courier New" w:eastAsia="Courier New" w:hAnsi="Courier New"/>
          <w:sz w:val="16"/>
          <w:szCs w:val="16"/>
          <w:color w:val="auto"/>
        </w:rPr>
        <w:t>of the Securities Exchange Act of 1934</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Registrant [X]</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90" w:lineRule="exact"/>
        <w:rPr>
          <w:sz w:val="24"/>
          <w:szCs w:val="24"/>
          <w:color w:val="auto"/>
        </w:rPr>
      </w:pPr>
    </w:p>
    <w:p>
      <w:pPr>
        <w:ind w:left="1" w:right="7239" w:hanging="1"/>
        <w:spacing w:after="0" w:line="486" w:lineRule="auto"/>
        <w:tabs>
          <w:tab w:leader="none" w:pos="19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Preliminary proxy statement [X] Definitive proxy statement</w:t>
      </w:r>
    </w:p>
    <w:p>
      <w:pPr>
        <w:spacing w:after="0" w:line="3"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spacing w:after="0" w:line="188"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14a-11(c) or Rule 14a-12</w:t>
      </w:r>
    </w:p>
    <w:p>
      <w:pPr>
        <w:spacing w:after="0" w:line="373" w:lineRule="exact"/>
        <w:rPr>
          <w:sz w:val="24"/>
          <w:szCs w:val="24"/>
          <w:color w:val="auto"/>
        </w:rPr>
      </w:pPr>
    </w:p>
    <w:p>
      <w:pPr>
        <w:jc w:val="center"/>
        <w:ind w:right="3118"/>
        <w:spacing w:after="0"/>
        <w:rPr>
          <w:sz w:val="20"/>
          <w:szCs w:val="20"/>
          <w:color w:val="auto"/>
        </w:rPr>
      </w:pPr>
      <w:r>
        <w:rPr>
          <w:rFonts w:ascii="Courier New" w:cs="Courier New" w:eastAsia="Courier New" w:hAnsi="Courier New"/>
          <w:sz w:val="16"/>
          <w:szCs w:val="16"/>
          <w:color w:val="auto"/>
        </w:rPr>
        <w:t>TEXAS INSTRUMENTS INCORPORATED</w:t>
      </w:r>
    </w:p>
    <w:p>
      <w:pPr>
        <w:spacing w:after="0" w:line="4" w:lineRule="exact"/>
        <w:rPr>
          <w:sz w:val="24"/>
          <w:szCs w:val="24"/>
          <w:color w:val="auto"/>
        </w:rPr>
      </w:pPr>
    </w:p>
    <w:p>
      <w:pPr>
        <w:ind w:left="13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4"/>
          <w:szCs w:val="24"/>
          <w:color w:val="auto"/>
        </w:rPr>
      </w:pPr>
    </w:p>
    <w:p>
      <w:pPr>
        <w:ind w:left="1241"/>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4"/>
          <w:szCs w:val="24"/>
          <w:color w:val="auto"/>
        </w:rPr>
      </w:pPr>
    </w:p>
    <w:p>
      <w:pPr>
        <w:ind w:left="481" w:hanging="481"/>
        <w:spacing w:after="0"/>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$125 per Exchange Act Rule 0-11(c)(1)(ii), 14a-6(i)(1), or 14a-6(j)(2).</w:t>
      </w:r>
    </w:p>
    <w:p>
      <w:pPr>
        <w:spacing w:after="0" w:line="190" w:lineRule="exact"/>
        <w:rPr>
          <w:sz w:val="24"/>
          <w:szCs w:val="24"/>
          <w:color w:val="auto"/>
        </w:rPr>
      </w:pPr>
    </w:p>
    <w:p>
      <w:pPr>
        <w:ind w:left="481" w:right="3199" w:hanging="481"/>
        <w:spacing w:after="0" w:line="242" w:lineRule="auto"/>
        <w:tabs>
          <w:tab w:leader="none" w:pos="1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$500 per each party to the controversy pursuant to Exchange Act Rule 14a-6(i)(3).</w:t>
      </w:r>
    </w:p>
    <w:p>
      <w:pPr>
        <w:spacing w:after="0" w:line="189" w:lineRule="exact"/>
        <w:rPr>
          <w:sz w:val="24"/>
          <w:szCs w:val="24"/>
          <w:color w:val="auto"/>
        </w:rPr>
      </w:pPr>
    </w:p>
    <w:p>
      <w:pPr>
        <w:ind w:left="201" w:hanging="201"/>
        <w:spacing w:after="0"/>
        <w:tabs>
          <w:tab w:leader="none" w:pos="201"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97" w:lineRule="exact"/>
        <w:rPr>
          <w:rFonts w:ascii="Courier New" w:cs="Courier New" w:eastAsia="Courier New" w:hAnsi="Courier New"/>
          <w:sz w:val="15"/>
          <w:szCs w:val="15"/>
          <w:color w:val="auto"/>
        </w:rPr>
      </w:pPr>
    </w:p>
    <w:p>
      <w:pPr>
        <w:ind w:left="961" w:hanging="481"/>
        <w:spacing w:after="0"/>
        <w:tabs>
          <w:tab w:leader="none" w:pos="9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0" w:lineRule="exact"/>
        <w:rPr>
          <w:rFonts w:ascii="Courier New" w:cs="Courier New" w:eastAsia="Courier New" w:hAnsi="Courier New"/>
          <w:sz w:val="16"/>
          <w:szCs w:val="16"/>
          <w:color w:val="auto"/>
        </w:rPr>
      </w:pPr>
    </w:p>
    <w:p>
      <w:pPr>
        <w:ind w:left="961" w:right="3119" w:hanging="481"/>
        <w:spacing w:after="0" w:line="242" w:lineRule="auto"/>
        <w:tabs>
          <w:tab w:leader="none" w:pos="9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90" w:lineRule="exact"/>
        <w:rPr>
          <w:sz w:val="24"/>
          <w:szCs w:val="24"/>
          <w:color w:val="auto"/>
        </w:rPr>
      </w:pPr>
    </w:p>
    <w:p>
      <w:pPr>
        <w:jc w:val="both"/>
        <w:ind w:left="481" w:right="2819" w:hanging="481"/>
        <w:spacing w:after="0" w:line="243" w:lineRule="auto"/>
        <w:tabs>
          <w:tab w:leader="none" w:pos="19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7"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1"/>
          </w:cols>
          <w:pgMar w:left="239" w:top="768" w:right="1440" w:bottom="1440" w:gutter="0" w:footer="0" w:header="0"/>
        </w:sectPr>
      </w:pPr>
    </w:p>
    <w:bookmarkStart w:id="1" w:name="page2"/>
    <w:bookmarkEnd w:id="1"/>
    <w:p>
      <w:pPr>
        <w:ind w:left="480"/>
        <w:spacing w:after="0"/>
        <w:tabs>
          <w:tab w:leader="none" w:pos="2760" w:val="left"/>
        </w:tabs>
        <w:rPr>
          <w:sz w:val="20"/>
          <w:szCs w:val="20"/>
          <w:color w:val="auto"/>
        </w:rPr>
      </w:pPr>
      <w:r>
        <w:rPr>
          <w:rFonts w:ascii="Courier New" w:cs="Courier New" w:eastAsia="Courier New" w:hAnsi="Courier New"/>
          <w:sz w:val="16"/>
          <w:szCs w:val="16"/>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200" w:lineRule="exact"/>
        <w:rPr>
          <w:sz w:val="20"/>
          <w:szCs w:val="20"/>
          <w:color w:val="auto"/>
        </w:rPr>
      </w:pPr>
    </w:p>
    <w:p>
      <w:pPr>
        <w:spacing w:after="0" w:line="35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NOTICE OF ANNUAL MEETING OF STOCKHOLDERS</w:t>
      </w:r>
    </w:p>
    <w:p>
      <w:pPr>
        <w:spacing w:after="0" w:line="188"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April 21, 1994</w:t>
      </w:r>
    </w:p>
    <w:p>
      <w:pPr>
        <w:spacing w:after="0" w:line="200" w:lineRule="exact"/>
        <w:rPr>
          <w:sz w:val="20"/>
          <w:szCs w:val="20"/>
          <w:color w:val="auto"/>
        </w:rPr>
      </w:pPr>
    </w:p>
    <w:p>
      <w:pPr>
        <w:spacing w:after="0" w:line="360"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We are pleased to invite you to attend the 1994 Annual Meeting of Stockholders which will be held on Thursday, April 21, 1994 at the North Building Cafeteria on the Company's property, 13500 North Central Expressway, Dallas, Texas, at 10:00 a.m. (Dallas time). The meeting will be held for the following purposes:</w:t>
      </w:r>
    </w:p>
    <w:p>
      <w:pPr>
        <w:spacing w:after="0" w:line="200" w:lineRule="exact"/>
        <w:rPr>
          <w:sz w:val="20"/>
          <w:szCs w:val="20"/>
          <w:color w:val="auto"/>
        </w:rPr>
      </w:pPr>
    </w:p>
    <w:p>
      <w:pPr>
        <w:spacing w:after="0" w:line="357" w:lineRule="exact"/>
        <w:rPr>
          <w:sz w:val="20"/>
          <w:szCs w:val="20"/>
          <w:color w:val="auto"/>
        </w:rPr>
      </w:pPr>
    </w:p>
    <w:p>
      <w:pPr>
        <w:ind w:left="960" w:hanging="481"/>
        <w:spacing w:after="0"/>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directors for the ensuing year; and</w:t>
      </w:r>
    </w:p>
    <w:p>
      <w:pPr>
        <w:spacing w:after="0" w:line="190" w:lineRule="exact"/>
        <w:rPr>
          <w:rFonts w:ascii="Courier New" w:cs="Courier New" w:eastAsia="Courier New" w:hAnsi="Courier New"/>
          <w:sz w:val="16"/>
          <w:szCs w:val="16"/>
          <w:color w:val="auto"/>
        </w:rPr>
      </w:pPr>
    </w:p>
    <w:p>
      <w:pPr>
        <w:ind w:left="960" w:right="3119" w:hanging="481"/>
        <w:spacing w:after="0" w:line="242"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matters as may properly come before the meeting.</w:t>
      </w:r>
    </w:p>
    <w:p>
      <w:pPr>
        <w:spacing w:after="0" w:line="374" w:lineRule="exact"/>
        <w:rPr>
          <w:sz w:val="20"/>
          <w:szCs w:val="20"/>
          <w:color w:val="auto"/>
        </w:rPr>
      </w:pPr>
    </w:p>
    <w:p>
      <w:pPr>
        <w:ind w:right="3299"/>
        <w:spacing w:after="0" w:line="242" w:lineRule="auto"/>
        <w:rPr>
          <w:sz w:val="20"/>
          <w:szCs w:val="20"/>
          <w:color w:val="auto"/>
        </w:rPr>
      </w:pPr>
      <w:r>
        <w:rPr>
          <w:rFonts w:ascii="Courier New" w:cs="Courier New" w:eastAsia="Courier New" w:hAnsi="Courier New"/>
          <w:sz w:val="16"/>
          <w:szCs w:val="16"/>
          <w:color w:val="auto"/>
        </w:rPr>
        <w:t>Stockholders of record at the close of business on February 22, 1994 are entitled to notice of and to vote at the annual meeting.</w:t>
      </w:r>
    </w:p>
    <w:p>
      <w:pPr>
        <w:spacing w:after="0" w:line="189"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Stockholders are urged to sign, date and return the enclosed proxy as promptly as possible. You may revoke your proxy at any time before the shares to which the proxy relates are voted at the meeting.</w:t>
      </w:r>
    </w:p>
    <w:p>
      <w:pPr>
        <w:spacing w:after="0" w:line="371"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RICHARD J. AGNICH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Richard J. Agnich</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Secretary and General Counsel</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 1994</w:t>
      </w:r>
    </w:p>
    <w:p>
      <w:pPr>
        <w:sectPr>
          <w:pgSz w:w="11900" w:h="16838" w:orient="portrait"/>
          <w:cols w:equalWidth="0" w:num="1">
            <w:col w:w="10219"/>
          </w:cols>
          <w:pgMar w:left="240" w:top="1039" w:right="1440" w:bottom="1440" w:gutter="0" w:footer="0" w:header="0"/>
        </w:sectPr>
      </w:pPr>
    </w:p>
    <w:bookmarkStart w:id="2" w:name="page3"/>
    <w:bookmarkEnd w:id="2"/>
    <w:p>
      <w:pPr>
        <w:ind w:left="480"/>
        <w:spacing w:after="0"/>
        <w:tabs>
          <w:tab w:leader="none" w:pos="2760" w:val="left"/>
        </w:tabs>
        <w:rPr>
          <w:sz w:val="20"/>
          <w:szCs w:val="20"/>
          <w:color w:val="auto"/>
        </w:rPr>
      </w:pPr>
      <w:r>
        <w:rPr>
          <w:rFonts w:ascii="Courier New" w:cs="Courier New" w:eastAsia="Courier New" w:hAnsi="Courier New"/>
          <w:sz w:val="16"/>
          <w:szCs w:val="16"/>
          <w:color w:val="auto"/>
        </w:rPr>
        <w:t>[Company Logo]</w:t>
      </w:r>
      <w:r>
        <w:rPr>
          <w:sz w:val="20"/>
          <w:szCs w:val="20"/>
          <w:color w:val="auto"/>
        </w:rPr>
        <w:tab/>
      </w:r>
      <w:r>
        <w:rPr>
          <w:rFonts w:ascii="Courier New" w:cs="Courier New" w:eastAsia="Courier New" w:hAnsi="Courier New"/>
          <w:sz w:val="16"/>
          <w:szCs w:val="16"/>
          <w:color w:val="auto"/>
        </w:rPr>
        <w:t>TEXAS INSTRUMENTS</w:t>
      </w:r>
    </w:p>
    <w:p>
      <w:pPr>
        <w:spacing w:after="0" w:line="188"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EXECUTIVE OFFICES: NORTH BUILDING, 13500 NORTH CENTRAL EXPRESSWAY,</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DALLAS, TEXAS</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MAILING ADDRESS: POST OFFICE BOX 655474, DALLAS, TEXAS 75265-5474</w:t>
      </w:r>
    </w:p>
    <w:p>
      <w:pPr>
        <w:spacing w:after="0" w:line="37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PROXY STATEMENT</w:t>
      </w:r>
    </w:p>
    <w:p>
      <w:pPr>
        <w:spacing w:after="0" w:line="18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March 2, 1994</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board of directors of Texas Instruments Incorporated (the Company or TI) is requesting your proxy for the Annual Meeting of Stockholders on April 21, 1994. By executing and returning the enclosed proxy card, you authorize the persons named in the proxy to represent you and vote your shares in connection with the purposes set forth in the Notice of Annual Meeting.</w:t>
      </w:r>
    </w:p>
    <w:p>
      <w:pPr>
        <w:spacing w:after="0" w:line="187"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If you attend the meeting, you may of course vote in person. But if you are not present, your shares can be voted only if you have returned a properly executed proxy. If a proxy in the accompanying form is duly executed and returned, the shares represented thereby will be voted as specified therein, and if no specification is made, the shares will be voted in accordance with the recommendations of the board of directors. You may revoke the proxy at any time before it is exercised.</w:t>
      </w:r>
    </w:p>
    <w:p>
      <w:pPr>
        <w:spacing w:after="0" w:line="18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ELECTION OF DIRECTORS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Directors are to be elected at the Annual Meeting to hold office until the next Annual Meeting of Stockholders and until their successors are elected and qualified. Unless authority to vote for directors is withheld in the proxy, the persons named in the proxy will vote for the election of the following nominees, who have been designated by the board of directors: JAMES R. ADAMS, JAMES B. BUSEY IV, GERALD W. FRONTERHOUSE, JERRY R. JUNKINS, WILLIAM S. LEE, WILLIAM B. MITCHELL, DAVID M. RODERICK, GLORIA M. SHATTO, WILLIAM P. WEBER and CLAYTON K. YEUTTER.</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for Directorship</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All of the nominees for directorship are now directors of the Company. While it is not anticipated that any of the nominees will be unable to serve, if any nominee is not a candidate for election as a director at the meeting, the proxy will be voted for the election of a substitute nominee proposed by the present board of directors or the number of directors will be reduced accordingly.</w:t>
      </w:r>
    </w:p>
    <w:p>
      <w:pPr>
        <w:sectPr>
          <w:pgSz w:w="11900" w:h="16838" w:orient="portrait"/>
          <w:cols w:equalWidth="0" w:num="1">
            <w:col w:w="10219"/>
          </w:cols>
          <w:pgMar w:left="240" w:top="103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1"/>
        </w:trPr>
        <w:tc>
          <w:tcPr>
            <w:tcW w:w="3080" w:type="dxa"/>
            <w:vAlign w:val="bottom"/>
          </w:tcPr>
          <w:p>
            <w:pPr>
              <w:spacing w:after="0"/>
              <w:rPr>
                <w:sz w:val="20"/>
                <w:szCs w:val="20"/>
                <w:color w:val="auto"/>
              </w:rPr>
            </w:pPr>
            <w:r>
              <w:rPr>
                <w:rFonts w:ascii="Courier New" w:cs="Courier New" w:eastAsia="Courier New" w:hAnsi="Courier New"/>
                <w:sz w:val="16"/>
                <w:szCs w:val="16"/>
                <w:color w:val="auto"/>
              </w:rPr>
              <w:t>[Photo of J.R. Adams]</w:t>
            </w:r>
          </w:p>
        </w:tc>
        <w:tc>
          <w:tcPr>
            <w:tcW w:w="1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JAMES R. ADAMS</w:t>
            </w:r>
          </w:p>
        </w:tc>
        <w:tc>
          <w:tcPr>
            <w:tcW w:w="2500" w:type="dxa"/>
            <w:vAlign w:val="bottom"/>
            <w:gridSpan w:val="2"/>
          </w:tcPr>
          <w:p>
            <w:pPr>
              <w:spacing w:after="0"/>
              <w:rPr>
                <w:sz w:val="20"/>
                <w:szCs w:val="20"/>
                <w:color w:val="auto"/>
              </w:rPr>
            </w:pPr>
            <w:r>
              <w:rPr>
                <w:rFonts w:ascii="Courier New" w:cs="Courier New" w:eastAsia="Courier New" w:hAnsi="Courier New"/>
                <w:sz w:val="16"/>
                <w:szCs w:val="16"/>
                <w:color w:val="auto"/>
              </w:rPr>
              <w:t>Director</w:t>
            </w: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Chair, Audit Committee; member, Board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Organization and Nominating and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Stockholder Relations and Public Policy</w:t>
            </w:r>
          </w:p>
        </w:tc>
      </w:tr>
      <w:tr>
        <w:trPr>
          <w:trHeight w:val="185"/>
        </w:trPr>
        <w:tc>
          <w:tcPr>
            <w:tcW w:w="3080" w:type="dxa"/>
            <w:vAlign w:val="bottom"/>
          </w:tcPr>
          <w:p>
            <w:pPr>
              <w:spacing w:after="0"/>
              <w:rPr>
                <w:sz w:val="16"/>
                <w:szCs w:val="16"/>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Committees.</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Group president, Southwestern Bell</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Corporation since July 1992; president and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chief executive officer of Southwestern</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Bell Telephone Company, 1988-92. Director,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Telefonos de Mexico.</w:t>
            </w:r>
          </w:p>
        </w:tc>
      </w:tr>
      <w:tr>
        <w:trPr>
          <w:trHeight w:val="554"/>
        </w:trPr>
        <w:tc>
          <w:tcPr>
            <w:tcW w:w="3080" w:type="dxa"/>
            <w:vAlign w:val="bottom"/>
          </w:tcPr>
          <w:p>
            <w:pPr>
              <w:spacing w:after="0"/>
              <w:rPr>
                <w:sz w:val="20"/>
                <w:szCs w:val="20"/>
                <w:color w:val="auto"/>
              </w:rPr>
            </w:pPr>
            <w:r>
              <w:rPr>
                <w:rFonts w:ascii="Courier New" w:cs="Courier New" w:eastAsia="Courier New" w:hAnsi="Courier New"/>
                <w:sz w:val="16"/>
                <w:szCs w:val="16"/>
                <w:color w:val="auto"/>
              </w:rPr>
              <w:t>[Photo of J.B. Busey IV]</w:t>
            </w:r>
          </w:p>
        </w:tc>
        <w:tc>
          <w:tcPr>
            <w:tcW w:w="220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JAMES B. BUSEY IV</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Member, Board Organization and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Nominating, Finance, Stockholder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Relations and Public Policy and Trust</w:t>
            </w:r>
          </w:p>
        </w:tc>
      </w:tr>
      <w:tr>
        <w:trPr>
          <w:trHeight w:val="185"/>
        </w:trPr>
        <w:tc>
          <w:tcPr>
            <w:tcW w:w="3080" w:type="dxa"/>
            <w:vAlign w:val="bottom"/>
          </w:tcPr>
          <w:p>
            <w:pPr>
              <w:spacing w:after="0"/>
              <w:rPr>
                <w:sz w:val="16"/>
                <w:szCs w:val="16"/>
                <w:color w:val="auto"/>
              </w:rPr>
            </w:pPr>
          </w:p>
        </w:tc>
        <w:tc>
          <w:tcPr>
            <w:tcW w:w="2200" w:type="dxa"/>
            <w:vAlign w:val="bottom"/>
            <w:gridSpan w:val="3"/>
          </w:tcPr>
          <w:p>
            <w:pPr>
              <w:ind w:left="380"/>
              <w:spacing w:after="0"/>
              <w:rPr>
                <w:sz w:val="20"/>
                <w:szCs w:val="20"/>
                <w:color w:val="auto"/>
              </w:rPr>
            </w:pPr>
            <w:r>
              <w:rPr>
                <w:rFonts w:ascii="Courier New" w:cs="Courier New" w:eastAsia="Courier New" w:hAnsi="Courier New"/>
                <w:sz w:val="16"/>
                <w:szCs w:val="16"/>
                <w:color w:val="auto"/>
              </w:rPr>
              <w:t>Review Committees.</w:t>
            </w:r>
          </w:p>
        </w:tc>
        <w:tc>
          <w:tcPr>
            <w:tcW w:w="2220" w:type="dxa"/>
            <w:vAlign w:val="bottom"/>
          </w:tcPr>
          <w:p>
            <w:pPr>
              <w:spacing w:after="0"/>
              <w:rPr>
                <w:sz w:val="16"/>
                <w:szCs w:val="16"/>
                <w:color w:val="auto"/>
              </w:rPr>
            </w:pP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President and chief executive officer of</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Armed Forces Communications and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Electronics Association since October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1992.  Deputy Secretary, Department of</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Transportation, 1991-June 1992;</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Administrator, Federal Aviation</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Administration, 1989-91; retired from U.S.</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Navy as Admiral in 1989.  Director,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Association of Naval Aviation and S.T.</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Research Corporation.</w:t>
            </w:r>
          </w:p>
        </w:tc>
      </w:tr>
      <w:tr>
        <w:trPr>
          <w:trHeight w:val="554"/>
        </w:trPr>
        <w:tc>
          <w:tcPr>
            <w:tcW w:w="3080" w:type="dxa"/>
            <w:vAlign w:val="bottom"/>
          </w:tcPr>
          <w:p>
            <w:pPr>
              <w:spacing w:after="0"/>
              <w:rPr>
                <w:sz w:val="20"/>
                <w:szCs w:val="20"/>
                <w:color w:val="auto"/>
              </w:rPr>
            </w:pPr>
            <w:r>
              <w:rPr>
                <w:rFonts w:ascii="Courier New" w:cs="Courier New" w:eastAsia="Courier New" w:hAnsi="Courier New"/>
                <w:sz w:val="16"/>
                <w:szCs w:val="16"/>
                <w:color w:val="auto"/>
              </w:rPr>
              <w:t>[Photo of G.W. Fronterhouse]</w:t>
            </w: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GERALD W. FRONTERHOUSE  Director</w:t>
            </w: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Chair, Trust Review Committee; member,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Audit, Compensation and Finance</w:t>
            </w:r>
          </w:p>
        </w:tc>
      </w:tr>
      <w:tr>
        <w:trPr>
          <w:trHeight w:val="185"/>
        </w:trPr>
        <w:tc>
          <w:tcPr>
            <w:tcW w:w="3080" w:type="dxa"/>
            <w:vAlign w:val="bottom"/>
          </w:tcPr>
          <w:p>
            <w:pPr>
              <w:spacing w:after="0"/>
              <w:rPr>
                <w:sz w:val="16"/>
                <w:szCs w:val="16"/>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Committees.</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70"/>
        </w:trPr>
        <w:tc>
          <w:tcPr>
            <w:tcW w:w="3080" w:type="dxa"/>
            <w:vAlign w:val="bottom"/>
          </w:tcPr>
          <w:p>
            <w:pPr>
              <w:spacing w:after="0"/>
              <w:rPr>
                <w:sz w:val="24"/>
                <w:szCs w:val="24"/>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Consultant.</w:t>
            </w:r>
          </w:p>
        </w:tc>
        <w:tc>
          <w:tcPr>
            <w:tcW w:w="28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Former chief executive</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officer (1985-88) of First  RepublicBank</w:t>
            </w:r>
          </w:p>
        </w:tc>
      </w:tr>
      <w:tr>
        <w:trPr>
          <w:trHeight w:val="185"/>
        </w:trPr>
        <w:tc>
          <w:tcPr>
            <w:tcW w:w="3080" w:type="dxa"/>
            <w:vAlign w:val="bottom"/>
          </w:tcPr>
          <w:p>
            <w:pPr>
              <w:spacing w:after="0"/>
              <w:rPr>
                <w:sz w:val="16"/>
                <w:szCs w:val="16"/>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Corporation.</w:t>
            </w:r>
          </w:p>
        </w:tc>
        <w:tc>
          <w:tcPr>
            <w:tcW w:w="284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Treasurer and director,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Hoblitzelle Foundation; director, Zale</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Lipshy University Medical, Inc.; trustee,</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Southwestern Medical Foundation and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Children's Medical Foundation.</w:t>
            </w:r>
          </w:p>
        </w:tc>
      </w:tr>
      <w:tr>
        <w:trPr>
          <w:trHeight w:val="554"/>
        </w:trPr>
        <w:tc>
          <w:tcPr>
            <w:tcW w:w="3080" w:type="dxa"/>
            <w:vAlign w:val="bottom"/>
          </w:tcPr>
          <w:p>
            <w:pPr>
              <w:spacing w:after="0"/>
              <w:rPr>
                <w:sz w:val="20"/>
                <w:szCs w:val="20"/>
                <w:color w:val="auto"/>
              </w:rPr>
            </w:pPr>
            <w:r>
              <w:rPr>
                <w:rFonts w:ascii="Courier New" w:cs="Courier New" w:eastAsia="Courier New" w:hAnsi="Courier New"/>
                <w:sz w:val="16"/>
                <w:szCs w:val="16"/>
                <w:color w:val="auto"/>
              </w:rPr>
              <w:t>[Photo of J.R. Junkins]</w:t>
            </w:r>
          </w:p>
        </w:tc>
        <w:tc>
          <w:tcPr>
            <w:tcW w:w="1920" w:type="dxa"/>
            <w:vAlign w:val="bottom"/>
            <w:gridSpan w:val="2"/>
          </w:tcPr>
          <w:p>
            <w:pPr>
              <w:ind w:left="380"/>
              <w:spacing w:after="0"/>
              <w:rPr>
                <w:sz w:val="20"/>
                <w:szCs w:val="20"/>
                <w:color w:val="auto"/>
              </w:rPr>
            </w:pPr>
            <w:r>
              <w:rPr>
                <w:rFonts w:ascii="Courier New" w:cs="Courier New" w:eastAsia="Courier New" w:hAnsi="Courier New"/>
                <w:sz w:val="16"/>
                <w:szCs w:val="16"/>
                <w:color w:val="auto"/>
                <w:w w:val="98"/>
              </w:rPr>
              <w:t>JERRY R. JUNKINS</w:t>
            </w:r>
          </w:p>
        </w:tc>
        <w:tc>
          <w:tcPr>
            <w:tcW w:w="25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Chairman of the Board,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President and Chief Executive Officer</w:t>
            </w: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Chair, Benefit Plans and Finance</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Committees; member, Board Organization and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Nominating Committee.</w:t>
            </w: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Chairman of the board since 1988;</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president and chief executive officer of</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the Company since 1985.  Joined the</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Company in 1959; elected vice president in</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1977 and executive vice president</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in 1982.  Director, Caterpillar Inc. and</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The Procter &amp; Gamble Company; member, The</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Business Council, The Business Roundtable</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and National Academy of Engineering;</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trustee, Southern Methodist University.</w:t>
            </w:r>
          </w:p>
        </w:tc>
      </w:tr>
      <w:tr>
        <w:trPr>
          <w:trHeight w:val="370"/>
        </w:trPr>
        <w:tc>
          <w:tcPr>
            <w:tcW w:w="3080" w:type="dxa"/>
            <w:vAlign w:val="bottom"/>
          </w:tcPr>
          <w:p>
            <w:pPr>
              <w:spacing w:after="0"/>
              <w:rPr>
                <w:sz w:val="24"/>
                <w:szCs w:val="24"/>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2</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70"/>
        </w:trPr>
        <w:tc>
          <w:tcPr>
            <w:tcW w:w="3080" w:type="dxa"/>
            <w:vAlign w:val="bottom"/>
          </w:tcPr>
          <w:p>
            <w:pPr>
              <w:spacing w:after="0"/>
              <w:rPr>
                <w:sz w:val="20"/>
                <w:szCs w:val="20"/>
                <w:color w:val="auto"/>
              </w:rPr>
            </w:pPr>
            <w:r>
              <w:rPr>
                <w:rFonts w:ascii="Courier New" w:cs="Courier New" w:eastAsia="Courier New" w:hAnsi="Courier New"/>
                <w:sz w:val="16"/>
                <w:szCs w:val="16"/>
                <w:color w:val="auto"/>
              </w:rPr>
              <w:t>[Photo: W.S. Lee]</w:t>
            </w:r>
          </w:p>
        </w:tc>
        <w:tc>
          <w:tcPr>
            <w:tcW w:w="1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WILLIAM S. LEE</w:t>
            </w:r>
          </w:p>
        </w:tc>
        <w:tc>
          <w:tcPr>
            <w:tcW w:w="2500" w:type="dxa"/>
            <w:vAlign w:val="bottom"/>
            <w:gridSpan w:val="2"/>
          </w:tcPr>
          <w:p>
            <w:pPr>
              <w:spacing w:after="0"/>
              <w:rPr>
                <w:sz w:val="20"/>
                <w:szCs w:val="20"/>
                <w:color w:val="auto"/>
              </w:rPr>
            </w:pPr>
            <w:r>
              <w:rPr>
                <w:rFonts w:ascii="Courier New" w:cs="Courier New" w:eastAsia="Courier New" w:hAnsi="Courier New"/>
                <w:sz w:val="16"/>
                <w:szCs w:val="16"/>
                <w:color w:val="auto"/>
              </w:rPr>
              <w:t>Director</w:t>
            </w: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Chair, Compensation Committee; member,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Board Organization and Nominating</w:t>
            </w:r>
          </w:p>
        </w:tc>
      </w:tr>
      <w:tr>
        <w:trPr>
          <w:trHeight w:val="185"/>
        </w:trPr>
        <w:tc>
          <w:tcPr>
            <w:tcW w:w="3080" w:type="dxa"/>
            <w:vAlign w:val="bottom"/>
          </w:tcPr>
          <w:p>
            <w:pPr>
              <w:spacing w:after="0"/>
              <w:rPr>
                <w:sz w:val="16"/>
                <w:szCs w:val="16"/>
                <w:color w:val="auto"/>
              </w:rPr>
            </w:pPr>
          </w:p>
        </w:tc>
        <w:tc>
          <w:tcPr>
            <w:tcW w:w="1580" w:type="dxa"/>
            <w:vAlign w:val="bottom"/>
          </w:tcPr>
          <w:p>
            <w:pPr>
              <w:ind w:left="380"/>
              <w:spacing w:after="0"/>
              <w:rPr>
                <w:sz w:val="20"/>
                <w:szCs w:val="20"/>
                <w:color w:val="auto"/>
              </w:rPr>
            </w:pPr>
            <w:r>
              <w:rPr>
                <w:rFonts w:ascii="Courier New" w:cs="Courier New" w:eastAsia="Courier New" w:hAnsi="Courier New"/>
                <w:sz w:val="16"/>
                <w:szCs w:val="16"/>
                <w:color w:val="auto"/>
              </w:rPr>
              <w:t>Committee.</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Chairman of the board and chief executive</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officer of Duke Power Company since 1982;</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president since 1989. Director, J. P.</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w w:val="99"/>
              </w:rPr>
              <w:t>Morgan &amp; Co. Incorporated, Morgan Guaranty</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Trust Company of New York, Knight-Ridder,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Inc. and The Liberty Corporation; member,</w:t>
            </w:r>
          </w:p>
        </w:tc>
      </w:tr>
      <w:tr>
        <w:trPr>
          <w:trHeight w:val="185"/>
        </w:trPr>
        <w:tc>
          <w:tcPr>
            <w:tcW w:w="3080" w:type="dxa"/>
            <w:vAlign w:val="bottom"/>
          </w:tcPr>
          <w:p>
            <w:pPr>
              <w:spacing w:after="0"/>
              <w:rPr>
                <w:sz w:val="16"/>
                <w:szCs w:val="16"/>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The Business Council and National Academy</w:t>
            </w:r>
          </w:p>
        </w:tc>
      </w:tr>
      <w:tr>
        <w:trPr>
          <w:trHeight w:val="185"/>
        </w:trPr>
        <w:tc>
          <w:tcPr>
            <w:tcW w:w="3080" w:type="dxa"/>
            <w:vAlign w:val="bottom"/>
          </w:tcPr>
          <w:p>
            <w:pPr>
              <w:spacing w:after="0"/>
              <w:rPr>
                <w:sz w:val="16"/>
                <w:szCs w:val="16"/>
                <w:color w:val="auto"/>
              </w:rPr>
            </w:pPr>
          </w:p>
        </w:tc>
        <w:tc>
          <w:tcPr>
            <w:tcW w:w="192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of Engineering.</w:t>
            </w:r>
          </w:p>
        </w:tc>
        <w:tc>
          <w:tcPr>
            <w:tcW w:w="28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554"/>
        </w:trPr>
        <w:tc>
          <w:tcPr>
            <w:tcW w:w="3080" w:type="dxa"/>
            <w:vAlign w:val="bottom"/>
          </w:tcPr>
          <w:p>
            <w:pPr>
              <w:spacing w:after="0"/>
              <w:rPr>
                <w:sz w:val="20"/>
                <w:szCs w:val="20"/>
                <w:color w:val="auto"/>
              </w:rPr>
            </w:pPr>
            <w:r>
              <w:rPr>
                <w:rFonts w:ascii="Courier New" w:cs="Courier New" w:eastAsia="Courier New" w:hAnsi="Courier New"/>
                <w:sz w:val="16"/>
                <w:szCs w:val="16"/>
                <w:color w:val="auto"/>
              </w:rPr>
              <w:t>[Photo: W.B. Mitchell]</w:t>
            </w:r>
          </w:p>
        </w:tc>
        <w:tc>
          <w:tcPr>
            <w:tcW w:w="2200" w:type="dxa"/>
            <w:vAlign w:val="bottom"/>
            <w:gridSpan w:val="3"/>
          </w:tcPr>
          <w:p>
            <w:pPr>
              <w:ind w:left="380"/>
              <w:spacing w:after="0"/>
              <w:rPr>
                <w:sz w:val="20"/>
                <w:szCs w:val="20"/>
                <w:color w:val="auto"/>
              </w:rPr>
            </w:pPr>
            <w:r>
              <w:rPr>
                <w:rFonts w:ascii="Courier New" w:cs="Courier New" w:eastAsia="Courier New" w:hAnsi="Courier New"/>
                <w:sz w:val="16"/>
                <w:szCs w:val="16"/>
                <w:color w:val="auto"/>
                <w:w w:val="98"/>
              </w:rPr>
              <w:t>WILLIAM B. MITCHELL</w:t>
            </w:r>
          </w:p>
        </w:tc>
        <w:tc>
          <w:tcPr>
            <w:tcW w:w="2220" w:type="dxa"/>
            <w:vAlign w:val="bottom"/>
          </w:tcPr>
          <w:p>
            <w:pPr>
              <w:ind w:left="200"/>
              <w:spacing w:after="0"/>
              <w:rPr>
                <w:sz w:val="20"/>
                <w:szCs w:val="20"/>
                <w:color w:val="auto"/>
              </w:rPr>
            </w:pPr>
            <w:r>
              <w:rPr>
                <w:rFonts w:ascii="Courier New" w:cs="Courier New" w:eastAsia="Courier New" w:hAnsi="Courier New"/>
                <w:sz w:val="16"/>
                <w:szCs w:val="16"/>
                <w:color w:val="auto"/>
              </w:rPr>
              <w:t>Vice Chairman</w:t>
            </w:r>
          </w:p>
        </w:tc>
      </w:tr>
      <w:tr>
        <w:trPr>
          <w:trHeight w:val="370"/>
        </w:trPr>
        <w:tc>
          <w:tcPr>
            <w:tcW w:w="3080" w:type="dxa"/>
            <w:vAlign w:val="bottom"/>
          </w:tcPr>
          <w:p>
            <w:pPr>
              <w:spacing w:after="0"/>
              <w:rPr>
                <w:sz w:val="24"/>
                <w:szCs w:val="24"/>
                <w:color w:val="auto"/>
              </w:rPr>
            </w:pPr>
          </w:p>
        </w:tc>
        <w:tc>
          <w:tcPr>
            <w:tcW w:w="44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Member, Benefit Plans and Finance</w:t>
            </w:r>
          </w:p>
        </w:tc>
      </w:tr>
    </w:tbl>
    <w:p>
      <w:pPr>
        <w:sectPr>
          <w:pgSz w:w="11900" w:h="16838" w:orient="portrait"/>
          <w:cols w:equalWidth="0" w:num="1">
            <w:col w:w="10219"/>
          </w:cols>
          <w:pgMar w:left="240" w:top="485" w:right="1440" w:bottom="0" w:gutter="0" w:footer="0" w:header="0"/>
        </w:sectPr>
      </w:pPr>
    </w:p>
    <w:bookmarkStart w:id="4" w:name="page5"/>
    <w:bookmarkEnd w:id="4"/>
    <w:p>
      <w:pPr>
        <w:ind w:left="3460"/>
        <w:spacing w:after="0"/>
        <w:rPr>
          <w:sz w:val="20"/>
          <w:szCs w:val="20"/>
          <w:color w:val="auto"/>
        </w:rPr>
      </w:pPr>
      <w:r>
        <w:rPr>
          <w:rFonts w:ascii="Courier New" w:cs="Courier New" w:eastAsia="Courier New" w:hAnsi="Courier New"/>
          <w:sz w:val="16"/>
          <w:szCs w:val="16"/>
          <w:color w:val="auto"/>
        </w:rPr>
        <w:t>Committees.</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Vice chairman of the Company since</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December 1993. Joined the Company in 1961;</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elected vice president in 1984 and</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executive vice president in 1987.</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Director, American Electronics</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Association.</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40" w:type="dxa"/>
            <w:vAlign w:val="bottom"/>
          </w:tcPr>
          <w:p>
            <w:pPr>
              <w:spacing w:after="0"/>
              <w:rPr>
                <w:sz w:val="20"/>
                <w:szCs w:val="20"/>
                <w:color w:val="auto"/>
              </w:rPr>
            </w:pPr>
            <w:r>
              <w:rPr>
                <w:rFonts w:ascii="Courier New" w:cs="Courier New" w:eastAsia="Courier New" w:hAnsi="Courier New"/>
                <w:sz w:val="16"/>
                <w:szCs w:val="16"/>
                <w:color w:val="auto"/>
              </w:rPr>
              <w:t>[Photo: D.M. Roderick]</w:t>
            </w: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rPr>
              <w:t>DAVID M. RODERICK</w:t>
            </w:r>
          </w:p>
        </w:tc>
        <w:tc>
          <w:tcPr>
            <w:tcW w:w="2220" w:type="dxa"/>
            <w:vAlign w:val="bottom"/>
          </w:tcPr>
          <w:p>
            <w:pPr>
              <w:spacing w:after="0"/>
              <w:rPr>
                <w:sz w:val="20"/>
                <w:szCs w:val="20"/>
                <w:color w:val="auto"/>
              </w:rPr>
            </w:pPr>
            <w:r>
              <w:rPr>
                <w:rFonts w:ascii="Courier New" w:cs="Courier New" w:eastAsia="Courier New" w:hAnsi="Courier New"/>
                <w:sz w:val="16"/>
                <w:szCs w:val="16"/>
                <w:color w:val="auto"/>
              </w:rPr>
              <w:t>Director</w:t>
            </w:r>
          </w:p>
        </w:tc>
      </w:tr>
      <w:tr>
        <w:trPr>
          <w:trHeight w:val="370"/>
        </w:trPr>
        <w:tc>
          <w:tcPr>
            <w:tcW w:w="2840" w:type="dxa"/>
            <w:vAlign w:val="bottom"/>
          </w:tcPr>
          <w:p>
            <w:pPr>
              <w:spacing w:after="0"/>
              <w:rPr>
                <w:sz w:val="24"/>
                <w:szCs w:val="24"/>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Chair, Board Organization and Nominating</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99"/>
              </w:rPr>
              <w:t>Committee; member, Audit, Compensation and</w:t>
            </w:r>
          </w:p>
        </w:tc>
      </w:tr>
      <w:tr>
        <w:trPr>
          <w:trHeight w:val="185"/>
        </w:trPr>
        <w:tc>
          <w:tcPr>
            <w:tcW w:w="2840" w:type="dxa"/>
            <w:vAlign w:val="bottom"/>
          </w:tcPr>
          <w:p>
            <w:pPr>
              <w:spacing w:after="0"/>
              <w:rPr>
                <w:sz w:val="16"/>
                <w:szCs w:val="16"/>
                <w:color w:val="auto"/>
              </w:rPr>
            </w:pP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w w:val="98"/>
              </w:rPr>
              <w:t>Finance Committees.</w:t>
            </w:r>
          </w:p>
        </w:tc>
        <w:tc>
          <w:tcPr>
            <w:tcW w:w="2220" w:type="dxa"/>
            <w:vAlign w:val="bottom"/>
          </w:tcPr>
          <w:p>
            <w:pPr>
              <w:spacing w:after="0"/>
              <w:rPr>
                <w:sz w:val="16"/>
                <w:szCs w:val="16"/>
                <w:color w:val="auto"/>
              </w:rPr>
            </w:pPr>
          </w:p>
        </w:tc>
      </w:tr>
      <w:tr>
        <w:trPr>
          <w:trHeight w:val="370"/>
        </w:trPr>
        <w:tc>
          <w:tcPr>
            <w:tcW w:w="2840" w:type="dxa"/>
            <w:vAlign w:val="bottom"/>
          </w:tcPr>
          <w:p>
            <w:pPr>
              <w:spacing w:after="0"/>
              <w:rPr>
                <w:sz w:val="24"/>
                <w:szCs w:val="24"/>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Chairman of the board and chief executive</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99"/>
              </w:rPr>
              <w:t>officer of USX Corporation from 1979 until</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retirement in 1989. Director, USX</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Corporation, Aetna Life and Casualty</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Company, The Procter &amp; Gamble Company and</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Kelso &amp; Company; trustee, Carnegie-Mellon</w:t>
            </w:r>
          </w:p>
        </w:tc>
      </w:tr>
      <w:tr>
        <w:trPr>
          <w:trHeight w:val="185"/>
        </w:trPr>
        <w:tc>
          <w:tcPr>
            <w:tcW w:w="2840" w:type="dxa"/>
            <w:vAlign w:val="bottom"/>
          </w:tcPr>
          <w:p>
            <w:pPr>
              <w:spacing w:after="0"/>
              <w:rPr>
                <w:sz w:val="16"/>
                <w:szCs w:val="16"/>
                <w:color w:val="auto"/>
              </w:rPr>
            </w:pP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w w:val="98"/>
              </w:rPr>
              <w:t>University; member,</w:t>
            </w: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The Business Council.</w:t>
            </w:r>
          </w:p>
        </w:tc>
      </w:tr>
      <w:tr>
        <w:trPr>
          <w:trHeight w:val="554"/>
        </w:trPr>
        <w:tc>
          <w:tcPr>
            <w:tcW w:w="2840" w:type="dxa"/>
            <w:vAlign w:val="bottom"/>
          </w:tcPr>
          <w:p>
            <w:pPr>
              <w:spacing w:after="0"/>
              <w:rPr>
                <w:sz w:val="20"/>
                <w:szCs w:val="20"/>
                <w:color w:val="auto"/>
              </w:rPr>
            </w:pPr>
            <w:r>
              <w:rPr>
                <w:rFonts w:ascii="Courier New" w:cs="Courier New" w:eastAsia="Courier New" w:hAnsi="Courier New"/>
                <w:sz w:val="16"/>
                <w:szCs w:val="16"/>
                <w:color w:val="auto"/>
              </w:rPr>
              <w:t>[Photo: G.M. Shatto]</w:t>
            </w: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rPr>
              <w:t>GLORIA M. SHATTO</w:t>
            </w: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370"/>
        </w:trPr>
        <w:tc>
          <w:tcPr>
            <w:tcW w:w="2840" w:type="dxa"/>
            <w:vAlign w:val="bottom"/>
          </w:tcPr>
          <w:p>
            <w:pPr>
              <w:spacing w:after="0"/>
              <w:rPr>
                <w:sz w:val="24"/>
                <w:szCs w:val="24"/>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Chair, Stockholder Relations and Public</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Policy Committee; member, Compensation</w:t>
            </w:r>
          </w:p>
        </w:tc>
      </w:tr>
      <w:tr>
        <w:trPr>
          <w:trHeight w:val="185"/>
        </w:trPr>
        <w:tc>
          <w:tcPr>
            <w:tcW w:w="2840" w:type="dxa"/>
            <w:vAlign w:val="bottom"/>
          </w:tcPr>
          <w:p>
            <w:pPr>
              <w:spacing w:after="0"/>
              <w:rPr>
                <w:sz w:val="16"/>
                <w:szCs w:val="16"/>
                <w:color w:val="auto"/>
              </w:rPr>
            </w:pP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rPr>
              <w:t>Committee.</w:t>
            </w:r>
          </w:p>
        </w:tc>
        <w:tc>
          <w:tcPr>
            <w:tcW w:w="2220" w:type="dxa"/>
            <w:vAlign w:val="bottom"/>
          </w:tcPr>
          <w:p>
            <w:pPr>
              <w:spacing w:after="0"/>
              <w:rPr>
                <w:sz w:val="16"/>
                <w:szCs w:val="16"/>
                <w:color w:val="auto"/>
              </w:rPr>
            </w:pPr>
          </w:p>
        </w:tc>
      </w:tr>
      <w:tr>
        <w:trPr>
          <w:trHeight w:val="370"/>
        </w:trPr>
        <w:tc>
          <w:tcPr>
            <w:tcW w:w="2840" w:type="dxa"/>
            <w:vAlign w:val="bottom"/>
          </w:tcPr>
          <w:p>
            <w:pPr>
              <w:spacing w:after="0"/>
              <w:rPr>
                <w:sz w:val="24"/>
                <w:szCs w:val="24"/>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President of Berry College since 1980.</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Director, Becton Dickinson and Company,</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Georgia Power Company, K mart Corporation</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and The Southern Company.</w:t>
            </w:r>
          </w:p>
        </w:tc>
      </w:tr>
      <w:tr>
        <w:trPr>
          <w:trHeight w:val="370"/>
        </w:trPr>
        <w:tc>
          <w:tcPr>
            <w:tcW w:w="2840" w:type="dxa"/>
            <w:vAlign w:val="bottom"/>
          </w:tcPr>
          <w:p>
            <w:pPr>
              <w:spacing w:after="0"/>
              <w:rPr>
                <w:sz w:val="24"/>
                <w:szCs w:val="24"/>
                <w:color w:val="auto"/>
              </w:rPr>
            </w:pPr>
          </w:p>
        </w:tc>
        <w:tc>
          <w:tcPr>
            <w:tcW w:w="2440" w:type="dxa"/>
            <w:vAlign w:val="bottom"/>
          </w:tcPr>
          <w:p>
            <w:pPr>
              <w:ind w:left="720"/>
              <w:spacing w:after="0"/>
              <w:rPr>
                <w:sz w:val="20"/>
                <w:szCs w:val="20"/>
                <w:color w:val="auto"/>
              </w:rPr>
            </w:pPr>
            <w:r>
              <w:rPr>
                <w:rFonts w:ascii="Courier New" w:cs="Courier New" w:eastAsia="Courier New" w:hAnsi="Courier New"/>
                <w:sz w:val="16"/>
                <w:szCs w:val="16"/>
                <w:color w:val="auto"/>
              </w:rPr>
              <w:t>3</w:t>
            </w:r>
          </w:p>
        </w:tc>
        <w:tc>
          <w:tcPr>
            <w:tcW w:w="2220" w:type="dxa"/>
            <w:vAlign w:val="bottom"/>
          </w:tcPr>
          <w:p>
            <w:pPr>
              <w:spacing w:after="0"/>
              <w:rPr>
                <w:sz w:val="24"/>
                <w:szCs w:val="24"/>
                <w:color w:val="auto"/>
              </w:rPr>
            </w:pPr>
          </w:p>
        </w:tc>
      </w:tr>
      <w:tr>
        <w:trPr>
          <w:trHeight w:val="370"/>
        </w:trPr>
        <w:tc>
          <w:tcPr>
            <w:tcW w:w="2840" w:type="dxa"/>
            <w:vAlign w:val="bottom"/>
          </w:tcPr>
          <w:p>
            <w:pPr>
              <w:spacing w:after="0"/>
              <w:rPr>
                <w:sz w:val="20"/>
                <w:szCs w:val="20"/>
                <w:color w:val="auto"/>
              </w:rPr>
            </w:pPr>
            <w:r>
              <w:rPr>
                <w:rFonts w:ascii="Courier New" w:cs="Courier New" w:eastAsia="Courier New" w:hAnsi="Courier New"/>
                <w:sz w:val="16"/>
                <w:szCs w:val="16"/>
                <w:color w:val="auto"/>
              </w:rPr>
              <w:t>[Photo: W.P. Weber]</w:t>
            </w: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WILLIAM P. WEBER  Vice Chairman</w:t>
            </w:r>
          </w:p>
        </w:tc>
      </w:tr>
      <w:tr>
        <w:trPr>
          <w:trHeight w:val="370"/>
        </w:trPr>
        <w:tc>
          <w:tcPr>
            <w:tcW w:w="2840" w:type="dxa"/>
            <w:vAlign w:val="bottom"/>
          </w:tcPr>
          <w:p>
            <w:pPr>
              <w:spacing w:after="0"/>
              <w:rPr>
                <w:sz w:val="24"/>
                <w:szCs w:val="24"/>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Member, Benefit Plans and Finance</w:t>
            </w:r>
          </w:p>
        </w:tc>
      </w:tr>
      <w:tr>
        <w:trPr>
          <w:trHeight w:val="185"/>
        </w:trPr>
        <w:tc>
          <w:tcPr>
            <w:tcW w:w="2840" w:type="dxa"/>
            <w:vAlign w:val="bottom"/>
          </w:tcPr>
          <w:p>
            <w:pPr>
              <w:spacing w:after="0"/>
              <w:rPr>
                <w:sz w:val="16"/>
                <w:szCs w:val="16"/>
                <w:color w:val="auto"/>
              </w:rPr>
            </w:pP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rPr>
              <w:t>Committees.</w:t>
            </w:r>
          </w:p>
        </w:tc>
        <w:tc>
          <w:tcPr>
            <w:tcW w:w="2220" w:type="dxa"/>
            <w:vAlign w:val="bottom"/>
          </w:tcPr>
          <w:p>
            <w:pPr>
              <w:spacing w:after="0"/>
              <w:rPr>
                <w:sz w:val="16"/>
                <w:szCs w:val="16"/>
                <w:color w:val="auto"/>
              </w:rPr>
            </w:pPr>
          </w:p>
        </w:tc>
      </w:tr>
      <w:tr>
        <w:trPr>
          <w:trHeight w:val="370"/>
        </w:trPr>
        <w:tc>
          <w:tcPr>
            <w:tcW w:w="2840" w:type="dxa"/>
            <w:vAlign w:val="bottom"/>
          </w:tcPr>
          <w:p>
            <w:pPr>
              <w:spacing w:after="0"/>
              <w:rPr>
                <w:sz w:val="24"/>
                <w:szCs w:val="24"/>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Vice chairman of the Company since</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December 1993.  Joined the Company in</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1962; elected vice president in 1979 and</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executive vice president in 1984.</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Director, Semiconductor Industry</w:t>
            </w:r>
          </w:p>
        </w:tc>
      </w:tr>
      <w:tr>
        <w:trPr>
          <w:trHeight w:val="185"/>
        </w:trPr>
        <w:tc>
          <w:tcPr>
            <w:tcW w:w="2840" w:type="dxa"/>
            <w:vAlign w:val="bottom"/>
          </w:tcPr>
          <w:p>
            <w:pPr>
              <w:spacing w:after="0"/>
              <w:rPr>
                <w:sz w:val="16"/>
                <w:szCs w:val="16"/>
                <w:color w:val="auto"/>
              </w:rPr>
            </w:pP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rPr>
              <w:t>Association.</w:t>
            </w:r>
          </w:p>
        </w:tc>
        <w:tc>
          <w:tcPr>
            <w:tcW w:w="2220" w:type="dxa"/>
            <w:vAlign w:val="bottom"/>
          </w:tcPr>
          <w:p>
            <w:pPr>
              <w:spacing w:after="0"/>
              <w:rPr>
                <w:sz w:val="16"/>
                <w:szCs w:val="16"/>
                <w:color w:val="auto"/>
              </w:rPr>
            </w:pPr>
          </w:p>
        </w:tc>
      </w:tr>
      <w:tr>
        <w:trPr>
          <w:trHeight w:val="554"/>
        </w:trPr>
        <w:tc>
          <w:tcPr>
            <w:tcW w:w="2840" w:type="dxa"/>
            <w:vAlign w:val="bottom"/>
          </w:tcPr>
          <w:p>
            <w:pPr>
              <w:spacing w:after="0"/>
              <w:rPr>
                <w:sz w:val="20"/>
                <w:szCs w:val="20"/>
                <w:color w:val="auto"/>
              </w:rPr>
            </w:pPr>
            <w:r>
              <w:rPr>
                <w:rFonts w:ascii="Courier New" w:cs="Courier New" w:eastAsia="Courier New" w:hAnsi="Courier New"/>
                <w:sz w:val="16"/>
                <w:szCs w:val="16"/>
                <w:color w:val="auto"/>
              </w:rPr>
              <w:t>[Photo of C.K. Yeutter]</w:t>
            </w: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rPr>
              <w:t>CLAYTON K. YEUTTER</w:t>
            </w:r>
          </w:p>
        </w:tc>
        <w:tc>
          <w:tcPr>
            <w:tcW w:w="2220" w:type="dxa"/>
            <w:vAlign w:val="bottom"/>
          </w:tcPr>
          <w:p>
            <w:pPr>
              <w:ind w:left="100"/>
              <w:spacing w:after="0"/>
              <w:rPr>
                <w:sz w:val="20"/>
                <w:szCs w:val="20"/>
                <w:color w:val="auto"/>
              </w:rPr>
            </w:pPr>
            <w:r>
              <w:rPr>
                <w:rFonts w:ascii="Courier New" w:cs="Courier New" w:eastAsia="Courier New" w:hAnsi="Courier New"/>
                <w:sz w:val="16"/>
                <w:szCs w:val="16"/>
                <w:color w:val="auto"/>
              </w:rPr>
              <w:t>Director</w:t>
            </w:r>
          </w:p>
        </w:tc>
      </w:tr>
      <w:tr>
        <w:trPr>
          <w:trHeight w:val="370"/>
        </w:trPr>
        <w:tc>
          <w:tcPr>
            <w:tcW w:w="2840" w:type="dxa"/>
            <w:vAlign w:val="bottom"/>
          </w:tcPr>
          <w:p>
            <w:pPr>
              <w:spacing w:after="0"/>
              <w:rPr>
                <w:sz w:val="24"/>
                <w:szCs w:val="24"/>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Member, Audit, Finance, Stockholder</w:t>
            </w:r>
          </w:p>
        </w:tc>
      </w:tr>
      <w:tr>
        <w:trPr>
          <w:trHeight w:val="185"/>
        </w:trPr>
        <w:tc>
          <w:tcPr>
            <w:tcW w:w="2840" w:type="dxa"/>
            <w:vAlign w:val="bottom"/>
          </w:tcPr>
          <w:p>
            <w:pPr>
              <w:spacing w:after="0"/>
              <w:rPr>
                <w:sz w:val="16"/>
                <w:szCs w:val="16"/>
                <w:color w:val="auto"/>
              </w:rPr>
            </w:pPr>
          </w:p>
        </w:tc>
        <w:tc>
          <w:tcPr>
            <w:tcW w:w="466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Relations and Public Policy and Trust</w:t>
            </w:r>
          </w:p>
        </w:tc>
      </w:tr>
      <w:tr>
        <w:trPr>
          <w:trHeight w:val="185"/>
        </w:trPr>
        <w:tc>
          <w:tcPr>
            <w:tcW w:w="2840" w:type="dxa"/>
            <w:vAlign w:val="bottom"/>
          </w:tcPr>
          <w:p>
            <w:pPr>
              <w:spacing w:after="0"/>
              <w:rPr>
                <w:sz w:val="16"/>
                <w:szCs w:val="16"/>
                <w:color w:val="auto"/>
              </w:rPr>
            </w:pPr>
          </w:p>
        </w:tc>
        <w:tc>
          <w:tcPr>
            <w:tcW w:w="2440" w:type="dxa"/>
            <w:vAlign w:val="bottom"/>
          </w:tcPr>
          <w:p>
            <w:pPr>
              <w:ind w:left="620"/>
              <w:spacing w:after="0"/>
              <w:rPr>
                <w:sz w:val="20"/>
                <w:szCs w:val="20"/>
                <w:color w:val="auto"/>
              </w:rPr>
            </w:pPr>
            <w:r>
              <w:rPr>
                <w:rFonts w:ascii="Courier New" w:cs="Courier New" w:eastAsia="Courier New" w:hAnsi="Courier New"/>
                <w:sz w:val="16"/>
                <w:szCs w:val="16"/>
                <w:color w:val="auto"/>
              </w:rPr>
              <w:t>Review Committees.</w:t>
            </w:r>
          </w:p>
        </w:tc>
        <w:tc>
          <w:tcPr>
            <w:tcW w:w="2220" w:type="dxa"/>
            <w:vAlign w:val="bottom"/>
          </w:tcPr>
          <w:p>
            <w:pPr>
              <w:spacing w:after="0"/>
              <w:rPr>
                <w:sz w:val="16"/>
                <w:szCs w:val="16"/>
                <w:color w:val="auto"/>
              </w:rPr>
            </w:pPr>
          </w:p>
        </w:tc>
      </w:tr>
    </w:tbl>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Of counsel, Hogan &amp; Hartson. Counsellor to</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President Bush for domestic policy during</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1992; chairman, Republican National</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Committee, 1991-February 1992; Secretary,</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Department of Agriculture, 1989-91; U.S.</w:t>
      </w:r>
    </w:p>
    <w:p>
      <w:pPr>
        <w:spacing w:after="0" w:line="4" w:lineRule="exact"/>
        <w:rPr>
          <w:sz w:val="20"/>
          <w:szCs w:val="20"/>
          <w:color w:val="auto"/>
        </w:rPr>
      </w:pPr>
    </w:p>
    <w:p>
      <w:pPr>
        <w:ind w:left="3460"/>
        <w:spacing w:after="0"/>
        <w:tabs>
          <w:tab w:leader="none" w:pos="6520" w:val="left"/>
        </w:tabs>
        <w:rPr>
          <w:sz w:val="20"/>
          <w:szCs w:val="20"/>
          <w:color w:val="auto"/>
        </w:rPr>
      </w:pPr>
      <w:r>
        <w:rPr>
          <w:rFonts w:ascii="Courier New" w:cs="Courier New" w:eastAsia="Courier New" w:hAnsi="Courier New"/>
          <w:sz w:val="16"/>
          <w:szCs w:val="16"/>
          <w:color w:val="auto"/>
        </w:rPr>
        <w:t>Trade Representative, 1985-89.</w:t>
      </w:r>
      <w:r>
        <w:rPr>
          <w:sz w:val="20"/>
          <w:szCs w:val="20"/>
          <w:color w:val="auto"/>
        </w:rPr>
        <w:tab/>
      </w:r>
      <w:r>
        <w:rPr>
          <w:rFonts w:ascii="Courier New" w:cs="Courier New" w:eastAsia="Courier New" w:hAnsi="Courier New"/>
          <w:sz w:val="15"/>
          <w:szCs w:val="15"/>
          <w:color w:val="auto"/>
        </w:rPr>
        <w:t>Director,</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B.A.T. Industries P.L.C., Caterpillar</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Inc., ConAgra, Inc., FMC Corporation,</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Lindsay Manufacturing Co. and Oppenheimer</w:t>
      </w:r>
    </w:p>
    <w:p>
      <w:pPr>
        <w:spacing w:after="0" w:line="4"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Funds.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0" w:right="1440" w:bottom="1440" w:gutter="0" w:footer="0" w:header="0"/>
        </w:sectPr>
      </w:pPr>
    </w:p>
    <w:bookmarkStart w:id="5" w:name="page6"/>
    <w:bookmarkEnd w:id="5"/>
    <w:p>
      <w:pPr>
        <w:ind w:right="3019"/>
        <w:spacing w:after="0" w:line="242" w:lineRule="auto"/>
        <w:rPr>
          <w:sz w:val="20"/>
          <w:szCs w:val="20"/>
          <w:color w:val="auto"/>
        </w:rPr>
      </w:pPr>
      <w:r>
        <w:rPr>
          <w:rFonts w:ascii="Courier New" w:cs="Courier New" w:eastAsia="Courier New" w:hAnsi="Courier New"/>
          <w:sz w:val="16"/>
          <w:szCs w:val="16"/>
          <w:color w:val="auto"/>
        </w:rPr>
        <w:t>The ages and holdings of common stock of the nominees and the year in which each became a director are as follows: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5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Common Stock</w:t>
            </w:r>
          </w:p>
        </w:tc>
      </w:tr>
      <w:tr>
        <w:trPr>
          <w:trHeight w:val="185"/>
        </w:trPr>
        <w:tc>
          <w:tcPr>
            <w:tcW w:w="2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40" w:type="dxa"/>
            <w:vAlign w:val="bottom"/>
          </w:tcPr>
          <w:p>
            <w:pPr>
              <w:ind w:left="240"/>
              <w:spacing w:after="0"/>
              <w:rPr>
                <w:sz w:val="20"/>
                <w:szCs w:val="20"/>
                <w:color w:val="auto"/>
              </w:rPr>
            </w:pPr>
            <w:r>
              <w:rPr>
                <w:rFonts w:ascii="Courier New" w:cs="Courier New" w:eastAsia="Courier New" w:hAnsi="Courier New"/>
                <w:sz w:val="16"/>
                <w:szCs w:val="16"/>
                <w:color w:val="auto"/>
              </w:rPr>
              <w:t>Director</w:t>
            </w:r>
          </w:p>
        </w:tc>
        <w:tc>
          <w:tcPr>
            <w:tcW w:w="254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Ownership at</w:t>
            </w:r>
          </w:p>
        </w:tc>
      </w:tr>
      <w:tr>
        <w:trPr>
          <w:trHeight w:val="185"/>
        </w:trPr>
        <w:tc>
          <w:tcPr>
            <w:tcW w:w="2600" w:type="dxa"/>
            <w:vAlign w:val="bottom"/>
          </w:tcPr>
          <w:p>
            <w:pPr>
              <w:ind w:left="760"/>
              <w:spacing w:after="0"/>
              <w:rPr>
                <w:sz w:val="20"/>
                <w:szCs w:val="20"/>
                <w:color w:val="auto"/>
              </w:rPr>
            </w:pPr>
            <w:r>
              <w:rPr>
                <w:rFonts w:ascii="Courier New" w:cs="Courier New" w:eastAsia="Courier New" w:hAnsi="Courier New"/>
                <w:sz w:val="16"/>
                <w:szCs w:val="16"/>
                <w:color w:val="auto"/>
              </w:rPr>
              <w:t>Nominee</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Age</w:t>
            </w:r>
          </w:p>
        </w:tc>
        <w:tc>
          <w:tcPr>
            <w:tcW w:w="1440" w:type="dxa"/>
            <w:vAlign w:val="bottom"/>
          </w:tcPr>
          <w:p>
            <w:pPr>
              <w:ind w:left="340"/>
              <w:spacing w:after="0"/>
              <w:rPr>
                <w:sz w:val="20"/>
                <w:szCs w:val="20"/>
                <w:color w:val="auto"/>
              </w:rPr>
            </w:pPr>
            <w:r>
              <w:rPr>
                <w:rFonts w:ascii="Courier New" w:cs="Courier New" w:eastAsia="Courier New" w:hAnsi="Courier New"/>
                <w:sz w:val="16"/>
                <w:szCs w:val="16"/>
                <w:color w:val="auto"/>
              </w:rPr>
              <w:t>Since</w:t>
            </w:r>
          </w:p>
        </w:tc>
        <w:tc>
          <w:tcPr>
            <w:tcW w:w="254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December 31, 1993*</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c>
          <w:tcPr>
            <w:tcW w:w="2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600" w:type="dxa"/>
            <w:vAlign w:val="bottom"/>
          </w:tcPr>
          <w:p>
            <w:pPr>
              <w:spacing w:after="0"/>
              <w:rPr>
                <w:sz w:val="20"/>
                <w:szCs w:val="20"/>
                <w:color w:val="auto"/>
              </w:rPr>
            </w:pPr>
            <w:r>
              <w:rPr>
                <w:rFonts w:ascii="Courier New" w:cs="Courier New" w:eastAsia="Courier New" w:hAnsi="Courier New"/>
                <w:sz w:val="16"/>
                <w:szCs w:val="16"/>
                <w:color w:val="auto"/>
              </w:rPr>
              <w:t>James R. Adams</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54</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1989</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500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James B. Busey IV</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61</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1992</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600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Gerald W. Fronterhouse</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57</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1986</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1,400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Jerry R. Junkins</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56</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1984</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384,153</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William S. Lee</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64</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1990</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2,000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William B. Mitchell</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58</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1990</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99,365</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David M. Roderick</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69</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1986</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300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Gloria M. Shatto</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62</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1992</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500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53</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1984</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143,890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Clayton K. Yeutter</w:t>
            </w:r>
          </w:p>
        </w:tc>
        <w:tc>
          <w:tcPr>
            <w:tcW w:w="10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63</w:t>
            </w:r>
          </w:p>
        </w:tc>
        <w:tc>
          <w:tcPr>
            <w:tcW w:w="1440" w:type="dxa"/>
            <w:vAlign w:val="bottom"/>
          </w:tcPr>
          <w:p>
            <w:pPr>
              <w:ind w:left="440"/>
              <w:spacing w:after="0"/>
              <w:rPr>
                <w:sz w:val="20"/>
                <w:szCs w:val="20"/>
                <w:color w:val="auto"/>
              </w:rPr>
            </w:pPr>
            <w:r>
              <w:rPr>
                <w:rFonts w:ascii="Courier New" w:cs="Courier New" w:eastAsia="Courier New" w:hAnsi="Courier New"/>
                <w:sz w:val="16"/>
                <w:szCs w:val="16"/>
                <w:color w:val="auto"/>
              </w:rPr>
              <w:t>1992</w:t>
            </w:r>
          </w:p>
        </w:tc>
        <w:tc>
          <w:tcPr>
            <w:tcW w:w="254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400</w:t>
            </w:r>
          </w:p>
        </w:tc>
      </w:tr>
      <w:tr>
        <w:trPr>
          <w:trHeight w:val="185"/>
        </w:trPr>
        <w:tc>
          <w:tcPr>
            <w:tcW w:w="2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540" w:type="dxa"/>
            <w:vAlign w:val="bottom"/>
          </w:tcPr>
          <w:p>
            <w:pPr>
              <w:spacing w:after="0"/>
              <w:rPr>
                <w:sz w:val="16"/>
                <w:szCs w:val="16"/>
                <w:color w:val="auto"/>
              </w:rPr>
            </w:pPr>
          </w:p>
        </w:tc>
      </w:tr>
    </w:tbl>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*Includes shares subject to acquisition within 60 days by Messrs. Junkins, Mitchell, and Weber for 337,440, 82,928 and 135,690 shares, respectively, and shares credited to profit sharing stock accounts for Messrs. Junkins, Mitchell and Weber in the amounts of 4,758, 2,378 and 2,575, respectively. Each nominee owns less than 1% of the Company's common stock.</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and Committee Meetings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During 1993, the board held eleven meetings. In addition, the following committees of the board held the number of meetings indicated: Audit, six; Benefit Plans, three; Board Organization and Nominating, seven; Compensation, nine; Finance, seven; Stockholder Relations and Public Policy, four; and Trust Review, four. Overall attendance at board and committee meetings was approximately 94%.</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of the Board</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Audit Committee has the responsibility to make recommendations to the board with respect to the appointment of the independent public accountants and other matters. This committee also has the responsibility to approve certain non-audit services of the independent public accountants; to review the scope of the annual audit, proposed changes in major accounting policies, reports of compliance of management and operating personnel with the Company's code of ethics and other matters; and to report to the board concerning the adequacy of the Company's system of internal accounting controls, other factors affecting the integrity of published financial reports and other matters.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Benefit Plans Committee has the responsibility to institute, revise or terminate incentive plans of the Company other than plans approved by stockholders, and institute, revise or terminate pension, profit sharing and other benefit plans, other than any incentive or benefit plan or amendment thereto that would benefit only officers of the Company or disproportionately benefit officers more than other employees. This committee also has the responsibility to report to the board concerning general levels of increases in compensation for employees, compensation and benefits philosophies and programs of the Company and other matters.</w:t>
      </w:r>
    </w:p>
    <w:p>
      <w:pPr>
        <w:spacing w:after="0" w:line="18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5</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Board Organization and Nominating Committee has the responsibility to make recommendations to the board with respect to nominees to be designated by the board for election as directors, the structure, size and composition of the board, compensation of board members, the organization and responsibilities of board committees and other matters. This committee also has the responsibility to report to the board concerning the general responsibilities and functions of the board, a desirable balance of expertise among board members, overall Company organizational health, with particular reference to succession plans for top management positions within TI, and other matters.</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Any stockholder who wishes to recommend a prospective nominee for the board of directors for the committee's consideration may write David M. Roderick, Chair, Board Organization and Nominating Committee, c/o Texas Instruments Incorporated, Post Office Box 655474, M.S. 407, Dallas, Texas 75265-5474.</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Compensation Committee has the responsibility to make changes in officers' compensation and to take actions that are required to be taken by the committee under the Company's incentive plans, stock option plans, stock option purchase plans and other employee benefit plans. This committee also has the responsibility to make recommendations to the board with respect to revisions in and actions under such plans that are required to be approved by the board, the institution of plans that benefit only officers of the Company or disproportionately benefit officers of the Company more than other employees, the institution of plans permitting the issuance of stock of the Company and other matters.</w:t>
      </w:r>
    </w:p>
    <w:p>
      <w:pPr>
        <w:sectPr>
          <w:pgSz w:w="11900" w:h="16838" w:orient="portrait"/>
          <w:cols w:equalWidth="0" w:num="1">
            <w:col w:w="10219"/>
          </w:cols>
          <w:pgMar w:left="240" w:top="487" w:right="1440" w:bottom="0" w:gutter="0" w:footer="0" w:header="0"/>
        </w:sectPr>
      </w:pPr>
    </w:p>
    <w:bookmarkStart w:id="6" w:name="page7"/>
    <w:bookmarkEnd w:id="6"/>
    <w:p>
      <w:pPr>
        <w:ind w:right="2919"/>
        <w:spacing w:after="0" w:line="244" w:lineRule="auto"/>
        <w:rPr>
          <w:sz w:val="20"/>
          <w:szCs w:val="20"/>
          <w:color w:val="auto"/>
        </w:rPr>
      </w:pPr>
      <w:r>
        <w:rPr>
          <w:rFonts w:ascii="Courier New" w:cs="Courier New" w:eastAsia="Courier New" w:hAnsi="Courier New"/>
          <w:sz w:val="16"/>
          <w:szCs w:val="16"/>
          <w:color w:val="auto"/>
        </w:rPr>
        <w:t>The Finance Committee has the responsibility to make recommendations to the board with respect to the annual capital authorization funding level, issuance of equity and long-term debt and other matters. This committee also has the responsibility to approve the annual financing plan and other matters; and to report to the board concerning developments in financial markets and other matters.</w:t>
      </w:r>
    </w:p>
    <w:p>
      <w:pPr>
        <w:spacing w:after="0" w:line="188"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Stockholder Relations and Public Policy Committee has responsibility to make recommendations to the board with respect to matters bearing on the relationship between management and stockholders, public issues and other matters. This committee also has the responsibility to report to the board concerning the contribution policies of the Company and of the TI Foundation, revisions in TI's code of ethics and other matters.</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Trust Review Committee has the responsibility to make recommendations to the board with respect to the selection of trustees of benefit plan trust funds, assignment of funds to trustees and establishment and amendment of funding policies and methods of benefit plans and other matters. This committee also has the responsibility to select investment managers and assign funds to investment managers of benefit plan trust funds; to approve the compensation of trustees and investment managers and other matters; and to report to the board concerning the performance and adequacy of trustees and investment managers.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Compensation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 are not employees are annually paid a retainer of $40,000, a fee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$7,500 for each committee on which they serve, $2,500 for service as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chair, $2,500 for attendance at the Company's strategic planning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conference, and $2,500 for attendance at the Company's annual planning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conference. Compensation for other designated activities, such as visits to TI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facilities and attendance at certain company events, is provided at the rate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$1,000 per day. In 1993, the Company made payments (an aggregate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$26,669) relating to premiums for life, medical, dental, travel and accident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insurance policies covering directors.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Subject to certain limitations, directors may elect that all or part of their fees be deferred until retirement from the board or other specified times. Deferred fees earn interest from the Company at a rate (currently based on interest rates on certain certificates of deposit) determined from time to time by the board or the Compensation Committee.</w:t>
      </w:r>
    </w:p>
    <w:p>
      <w:pPr>
        <w:spacing w:after="0" w:line="18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6"/>
          <w:szCs w:val="16"/>
          <w:color w:val="auto"/>
        </w:rPr>
        <w:t>6</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Company maintains a directors retirement plan under which directors who have not at any time been entitled to receive benefits under a pension plan maintained by the Company will, upon retirement from the board, death, or disability, after at least five years of service as a director, be entitled to receive benefits. The benefits will be payable for life, or if greater, the number of years served as a director, and will be in an annual amount equal to 75% of the annual retainer payable to directors for the year in which the director retires, dies, or becomes disabled. Individuals who were directors on February 18, 1994 will receive a reduced benefit equal to 60% of the annual retainer payable to directors for the year in which they retire unless they elect to forego life, medical, dental and accident insurance currently provided by the Company. Directors may elect to receive the retirement benefit in the form of a lump sum payment in lieu of periodic payments.</w:t>
      </w:r>
    </w:p>
    <w:p>
      <w:pPr>
        <w:spacing w:after="0" w:line="191"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Each director who has completed five years of service as a member of the board of directors, and whose board membership terminates as a result of ineligibility for reelection after the attainment of a specified age or, in the case of non-employee directors, as a result of death or disability, will be eligible to participate in a Director Award Program. The program was established to promote the Company's interest in supporting educational institutions. The Company may contribute a total of $500,000 with respect to each eligible director to up to three eligible educational institutions (or other charitable institutions approved by the Board Organization and Nominating Committee) recommended by the director and approved by the Company. The contributions will be made in five annual installments of $100,000 each, commencing as soon as practicable following the director's death. Directors derive no financial benefit from the program and all charitable deductions will accrue solely to the Company.</w:t>
      </w:r>
    </w:p>
    <w:p>
      <w:pPr>
        <w:spacing w:after="0" w:line="190"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EXECUTIVE COMPENSATION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Overview</w:t>
      </w:r>
    </w:p>
    <w:p>
      <w:pPr>
        <w:spacing w:after="0" w:line="190"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The Company is committed to building shareholder value through improved performance and growth. To achieve this objective, TI seeks to create an environment in which employees recognize that they are valued as individuals and treated with respect, dignity and fairness.</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Company uses a merit-based system of compensation to encourage individual employees to achieve their productive and creative potential, and to link individual financial goals to Company performance. The Company regularly compares its compensation system with those of competitors and refines its system as necessary to encourage a motivated and productive work force.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tables provide information regarding the compensation of the</w:t>
      </w:r>
    </w:p>
    <w:p>
      <w:pPr>
        <w:sectPr>
          <w:pgSz w:w="11900" w:h="16838" w:orient="portrait"/>
          <w:cols w:equalWidth="0" w:num="1">
            <w:col w:w="10219"/>
          </w:cols>
          <w:pgMar w:left="240" w:top="142" w:right="1440" w:bottom="0" w:gutter="0" w:footer="0" w:header="0"/>
        </w:sectPr>
      </w:pPr>
    </w:p>
    <w:bookmarkStart w:id="7" w:name="page8"/>
    <w:bookmarkEnd w:id="7"/>
    <w:p>
      <w:pPr>
        <w:ind w:right="3299"/>
        <w:spacing w:after="0" w:line="242" w:lineRule="auto"/>
        <w:rPr>
          <w:sz w:val="20"/>
          <w:szCs w:val="20"/>
          <w:color w:val="auto"/>
        </w:rPr>
      </w:pPr>
      <w:r>
        <w:rPr>
          <w:rFonts w:ascii="Courier New" w:cs="Courier New" w:eastAsia="Courier New" w:hAnsi="Courier New"/>
          <w:sz w:val="16"/>
          <w:szCs w:val="16"/>
          <w:color w:val="auto"/>
        </w:rPr>
        <w:t>Company's Chief Executive Officer and each of the four other most highly compensated executive officers.</w:t>
      </w:r>
    </w:p>
    <w:p>
      <w:pPr>
        <w:spacing w:after="0" w:line="2"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142" w:right="1440" w:bottom="1440" w:gutter="0" w:footer="0" w:header="0"/>
        </w:sectPr>
      </w:pPr>
    </w:p>
    <w:bookmarkStart w:id="8" w:name="page9"/>
    <w:bookmarkEnd w:id="8"/>
    <w:p>
      <w:pPr>
        <w:ind w:left="1"/>
        <w:spacing w:after="0"/>
        <w:rPr>
          <w:sz w:val="20"/>
          <w:szCs w:val="20"/>
          <w:color w:val="auto"/>
        </w:rPr>
      </w:pPr>
      <w:r>
        <w:rPr>
          <w:rFonts w:ascii="Courier New" w:cs="Courier New" w:eastAsia="Courier New" w:hAnsi="Courier New"/>
          <w:sz w:val="16"/>
          <w:szCs w:val="16"/>
          <w:color w:val="auto"/>
        </w:rPr>
        <w:t>Summary Compensation Table</w:t>
      </w:r>
    </w:p>
    <w:p>
      <w:pPr>
        <w:spacing w:after="0" w:line="190" w:lineRule="exact"/>
        <w:rPr>
          <w:sz w:val="20"/>
          <w:szCs w:val="20"/>
          <w:color w:val="auto"/>
        </w:rPr>
      </w:pPr>
    </w:p>
    <w:p>
      <w:pPr>
        <w:ind w:left="1" w:right="2880"/>
        <w:spacing w:after="0" w:line="243" w:lineRule="auto"/>
        <w:rPr>
          <w:sz w:val="20"/>
          <w:szCs w:val="20"/>
          <w:color w:val="auto"/>
        </w:rPr>
      </w:pPr>
      <w:r>
        <w:rPr>
          <w:rFonts w:ascii="Courier New" w:cs="Courier New" w:eastAsia="Courier New" w:hAnsi="Courier New"/>
          <w:sz w:val="16"/>
          <w:szCs w:val="16"/>
          <w:color w:val="auto"/>
        </w:rPr>
        <w:t>The following table sets forth information with respect to the compensation of the Company's Chief Executive Officer and each of the four other most highly compensated executive officers for services in all capacities to the Company in 1991, 1992 and 1993.</w:t>
      </w:r>
    </w:p>
    <w:p>
      <w:pPr>
        <w:spacing w:after="0" w:line="37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900" w:type="dxa"/>
            <w:vAlign w:val="bottom"/>
            <w:gridSpan w:val="3"/>
          </w:tcPr>
          <w:p>
            <w:pPr>
              <w:jc w:val="right"/>
              <w:ind w:right="600"/>
              <w:spacing w:after="0"/>
              <w:rPr>
                <w:sz w:val="20"/>
                <w:szCs w:val="20"/>
                <w:color w:val="auto"/>
              </w:rPr>
            </w:pPr>
            <w:r>
              <w:rPr>
                <w:rFonts w:ascii="Courier New" w:cs="Courier New" w:eastAsia="Courier New" w:hAnsi="Courier New"/>
                <w:sz w:val="16"/>
                <w:szCs w:val="16"/>
                <w:color w:val="auto"/>
              </w:rPr>
              <w:t>Annual Compensation</w:t>
            </w:r>
          </w:p>
        </w:tc>
        <w:tc>
          <w:tcPr>
            <w:tcW w:w="380" w:type="dxa"/>
            <w:vAlign w:val="bottom"/>
          </w:tcPr>
          <w:p>
            <w:pPr>
              <w:spacing w:after="0"/>
              <w:rPr>
                <w:sz w:val="15"/>
                <w:szCs w:val="15"/>
                <w:color w:val="auto"/>
              </w:rPr>
            </w:pPr>
          </w:p>
        </w:tc>
        <w:tc>
          <w:tcPr>
            <w:tcW w:w="3700" w:type="dxa"/>
            <w:vAlign w:val="bottom"/>
            <w:gridSpan w:val="4"/>
          </w:tcPr>
          <w:p>
            <w:pPr>
              <w:jc w:val="right"/>
              <w:ind w:right="560"/>
              <w:spacing w:after="0"/>
              <w:rPr>
                <w:sz w:val="20"/>
                <w:szCs w:val="20"/>
                <w:color w:val="auto"/>
              </w:rPr>
            </w:pPr>
            <w:r>
              <w:rPr>
                <w:rFonts w:ascii="Courier New" w:cs="Courier New" w:eastAsia="Courier New" w:hAnsi="Courier New"/>
                <w:sz w:val="16"/>
                <w:szCs w:val="16"/>
                <w:color w:val="auto"/>
              </w:rPr>
              <w:t>Long-Term Compensation</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5"/>
        </w:trPr>
        <w:tc>
          <w:tcPr>
            <w:tcW w:w="1640" w:type="dxa"/>
            <w:vAlign w:val="bottom"/>
          </w:tcPr>
          <w:p>
            <w:pPr>
              <w:spacing w:after="0"/>
              <w:rPr>
                <w:sz w:val="16"/>
                <w:szCs w:val="16"/>
                <w:color w:val="auto"/>
              </w:rPr>
            </w:pPr>
          </w:p>
        </w:tc>
        <w:tc>
          <w:tcPr>
            <w:tcW w:w="3840" w:type="dxa"/>
            <w:vAlign w:val="bottom"/>
            <w:gridSpan w:val="5"/>
          </w:tcPr>
          <w:p>
            <w:pPr>
              <w:spacing w:after="0"/>
              <w:rPr>
                <w:sz w:val="20"/>
                <w:szCs w:val="20"/>
                <w:color w:val="auto"/>
              </w:rPr>
            </w:pPr>
            <w:r>
              <w:rPr>
                <w:rFonts w:ascii="Courier New" w:cs="Courier New" w:eastAsia="Courier New" w:hAnsi="Courier New"/>
                <w:sz w:val="16"/>
                <w:szCs w:val="16"/>
                <w:color w:val="auto"/>
              </w:rPr>
              <w:t>--------------------------------------</w:t>
            </w:r>
          </w:p>
        </w:tc>
        <w:tc>
          <w:tcPr>
            <w:tcW w:w="3700" w:type="dxa"/>
            <w:vAlign w:val="bottom"/>
            <w:gridSpan w:val="4"/>
          </w:tcPr>
          <w:p>
            <w:pPr>
              <w:jc w:val="right"/>
              <w:ind w:right="160"/>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Awards</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ind w:right="560"/>
              <w:spacing w:after="0"/>
              <w:rPr>
                <w:sz w:val="20"/>
                <w:szCs w:val="20"/>
                <w:color w:val="auto"/>
              </w:rPr>
            </w:pPr>
            <w:r>
              <w:rPr>
                <w:rFonts w:ascii="Courier New" w:cs="Courier New" w:eastAsia="Courier New" w:hAnsi="Courier New"/>
                <w:sz w:val="16"/>
                <w:szCs w:val="16"/>
                <w:color w:val="auto"/>
              </w:rPr>
              <w:t>Payouts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6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Other</w:t>
            </w:r>
          </w:p>
        </w:tc>
        <w:tc>
          <w:tcPr>
            <w:tcW w:w="38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7"/>
              </w:rPr>
              <w:t>Restricted</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Stock</w:t>
            </w: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Name and</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Annual</w:t>
            </w:r>
          </w:p>
        </w:tc>
        <w:tc>
          <w:tcPr>
            <w:tcW w:w="380" w:type="dxa"/>
            <w:vAlign w:val="bottom"/>
          </w:tcPr>
          <w:p>
            <w:pPr>
              <w:spacing w:after="0"/>
              <w:rPr>
                <w:sz w:val="16"/>
                <w:szCs w:val="16"/>
                <w:color w:val="auto"/>
              </w:rPr>
            </w:pP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Stock</w:t>
            </w:r>
          </w:p>
        </w:tc>
        <w:tc>
          <w:tcPr>
            <w:tcW w:w="920" w:type="dxa"/>
            <w:vAlign w:val="bottom"/>
          </w:tcPr>
          <w:p>
            <w:pPr>
              <w:jc w:val="right"/>
              <w:ind w:right="160"/>
              <w:spacing w:after="0"/>
              <w:rPr>
                <w:sz w:val="20"/>
                <w:szCs w:val="20"/>
                <w:color w:val="auto"/>
              </w:rPr>
            </w:pPr>
            <w:r>
              <w:rPr>
                <w:rFonts w:ascii="Courier New" w:cs="Courier New" w:eastAsia="Courier New" w:hAnsi="Courier New"/>
                <w:sz w:val="16"/>
                <w:szCs w:val="16"/>
                <w:color w:val="auto"/>
                <w:w w:val="98"/>
              </w:rPr>
              <w:t>Options</w:t>
            </w: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Long-Term</w:t>
            </w:r>
          </w:p>
        </w:tc>
        <w:tc>
          <w:tcPr>
            <w:tcW w:w="1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All Other</w:t>
            </w:r>
          </w:p>
        </w:tc>
      </w:tr>
      <w:tr>
        <w:trPr>
          <w:trHeight w:val="185"/>
        </w:trPr>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Principal</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w w:val="97"/>
              </w:rPr>
              <w:t>Compensation</w:t>
            </w:r>
          </w:p>
        </w:tc>
        <w:tc>
          <w:tcPr>
            <w:tcW w:w="11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Awards</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(in</w:t>
            </w:r>
          </w:p>
        </w:tc>
        <w:tc>
          <w:tcPr>
            <w:tcW w:w="164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Incentive Plan</w:t>
            </w:r>
          </w:p>
        </w:tc>
        <w:tc>
          <w:tcPr>
            <w:tcW w:w="12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Compensa-</w:t>
            </w:r>
          </w:p>
        </w:tc>
      </w:tr>
      <w:tr>
        <w:trPr>
          <w:trHeight w:val="185"/>
        </w:trPr>
        <w:tc>
          <w:tcPr>
            <w:tcW w:w="1640" w:type="dxa"/>
            <w:vAlign w:val="bottom"/>
          </w:tcPr>
          <w:p>
            <w:pPr>
              <w:ind w:left="280"/>
              <w:spacing w:after="0"/>
              <w:rPr>
                <w:sz w:val="20"/>
                <w:szCs w:val="20"/>
                <w:color w:val="auto"/>
              </w:rPr>
            </w:pPr>
            <w:r>
              <w:rPr>
                <w:rFonts w:ascii="Courier New" w:cs="Courier New" w:eastAsia="Courier New" w:hAnsi="Courier New"/>
                <w:sz w:val="16"/>
                <w:szCs w:val="16"/>
                <w:color w:val="auto"/>
              </w:rPr>
              <w:t>Position</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Year</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Salary</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Bonus</w:t>
            </w:r>
          </w:p>
        </w:tc>
        <w:tc>
          <w:tcPr>
            <w:tcW w:w="9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1160" w:type="dxa"/>
            <w:vAlign w:val="bottom"/>
            <w:gridSpan w:val="2"/>
          </w:tcPr>
          <w:p>
            <w:pPr>
              <w:ind w:left="480"/>
              <w:spacing w:after="0"/>
              <w:rPr>
                <w:sz w:val="20"/>
                <w:szCs w:val="20"/>
                <w:color w:val="auto"/>
              </w:rPr>
            </w:pPr>
            <w:r>
              <w:rPr>
                <w:rFonts w:ascii="Courier New" w:cs="Courier New" w:eastAsia="Courier New" w:hAnsi="Courier New"/>
                <w:sz w:val="16"/>
                <w:szCs w:val="16"/>
                <w:color w:val="auto"/>
                <w:w w:val="98"/>
              </w:rPr>
              <w:t>Payouts</w:t>
            </w:r>
          </w:p>
        </w:tc>
        <w:tc>
          <w:tcPr>
            <w:tcW w:w="1400" w:type="dxa"/>
            <w:vAlign w:val="bottom"/>
          </w:tcPr>
          <w:p>
            <w:pPr>
              <w:jc w:val="right"/>
              <w:ind w:right="60"/>
              <w:spacing w:after="0"/>
              <w:rPr>
                <w:sz w:val="20"/>
                <w:szCs w:val="20"/>
                <w:color w:val="auto"/>
              </w:rPr>
            </w:pPr>
            <w:r>
              <w:rPr>
                <w:rFonts w:ascii="Courier New" w:cs="Courier New" w:eastAsia="Courier New" w:hAnsi="Courier New"/>
                <w:sz w:val="16"/>
                <w:szCs w:val="16"/>
                <w:color w:val="auto"/>
              </w:rPr>
              <w:t>tion(3)</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w w:val="99"/>
              </w:rPr>
              <w:t>- ---------------</w:t>
            </w:r>
          </w:p>
        </w:tc>
        <w:tc>
          <w:tcPr>
            <w:tcW w:w="560" w:type="dxa"/>
            <w:vAlign w:val="bottom"/>
          </w:tcPr>
          <w:p>
            <w:pPr>
              <w:ind w:left="180"/>
              <w:spacing w:after="0"/>
              <w:rPr>
                <w:sz w:val="20"/>
                <w:szCs w:val="20"/>
                <w:color w:val="auto"/>
              </w:rPr>
            </w:pPr>
            <w:r>
              <w:rPr>
                <w:rFonts w:ascii="Courier New" w:cs="Courier New" w:eastAsia="Courier New" w:hAnsi="Courier New"/>
                <w:sz w:val="16"/>
                <w:szCs w:val="16"/>
                <w:color w:val="auto"/>
                <w:w w:val="93"/>
              </w:rPr>
              <w:t>----</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w w:val="98"/>
              </w:rPr>
              <w:t>--------</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6"/>
                <w:szCs w:val="16"/>
                <w:color w:val="auto"/>
              </w:rPr>
            </w:pPr>
          </w:p>
        </w:tc>
        <w:tc>
          <w:tcPr>
            <w:tcW w:w="14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8"/>
              </w:rPr>
              <w:t>-----------</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J.R. Junkins</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$691,850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$740,000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50,000</w:t>
            </w:r>
          </w:p>
        </w:tc>
        <w:tc>
          <w:tcPr>
            <w:tcW w:w="240" w:type="dxa"/>
            <w:vAlign w:val="bottom"/>
          </w:tcPr>
          <w:p>
            <w:pPr>
              <w:spacing w:after="0"/>
              <w:rPr>
                <w:sz w:val="24"/>
                <w:szCs w:val="24"/>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71,032</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$600,000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$300,000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$262,500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50,000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12,678</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President</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$600,000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60,000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11,600</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&amp; CEO</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W.B. Mitchell</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$348,100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$320,000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22,000</w:t>
            </w:r>
          </w:p>
        </w:tc>
        <w:tc>
          <w:tcPr>
            <w:tcW w:w="240" w:type="dxa"/>
            <w:vAlign w:val="bottom"/>
          </w:tcPr>
          <w:p>
            <w:pPr>
              <w:spacing w:after="0"/>
              <w:rPr>
                <w:sz w:val="24"/>
                <w:szCs w:val="24"/>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37,248</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Vice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$333,500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$150,000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$102,900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25,000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8,890</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$306,000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30,000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7,945</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W.P. Weber</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$382,800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$400,000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22,000</w:t>
            </w:r>
          </w:p>
        </w:tc>
        <w:tc>
          <w:tcPr>
            <w:tcW w:w="240" w:type="dxa"/>
            <w:vAlign w:val="bottom"/>
          </w:tcPr>
          <w:p>
            <w:pPr>
              <w:spacing w:after="0"/>
              <w:rPr>
                <w:sz w:val="24"/>
                <w:szCs w:val="24"/>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36,522</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Vice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$367,600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$150,000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$102,900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25,000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6,955</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Chairman</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$345,600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30,000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6,239</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W.F. Hayes</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$277,700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$300,000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15,000</w:t>
            </w:r>
          </w:p>
        </w:tc>
        <w:tc>
          <w:tcPr>
            <w:tcW w:w="240" w:type="dxa"/>
            <w:vAlign w:val="bottom"/>
          </w:tcPr>
          <w:p>
            <w:pPr>
              <w:spacing w:after="0"/>
              <w:rPr>
                <w:sz w:val="24"/>
                <w:szCs w:val="24"/>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25,752</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Executive</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$248,200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$130,000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$ 87,500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15,000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5,207</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$225,350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$ 37,563</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13,000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4,738</w:t>
            </w:r>
          </w:p>
        </w:tc>
      </w:tr>
      <w:tr>
        <w:trPr>
          <w:trHeight w:val="370"/>
        </w:trPr>
        <w:tc>
          <w:tcPr>
            <w:tcW w:w="164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$298,200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$250,000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24"/>
                <w:szCs w:val="24"/>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$ 75,208</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18,000</w:t>
            </w:r>
          </w:p>
        </w:tc>
        <w:tc>
          <w:tcPr>
            <w:tcW w:w="240" w:type="dxa"/>
            <w:vAlign w:val="bottom"/>
          </w:tcPr>
          <w:p>
            <w:pPr>
              <w:spacing w:after="0"/>
              <w:rPr>
                <w:sz w:val="24"/>
                <w:szCs w:val="24"/>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7"/>
              </w:rPr>
              <w:t>28,894</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Senior</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1992</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$276,900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$110,000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$154,350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18,000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5,340</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Vice President,</w:t>
            </w:r>
          </w:p>
        </w:tc>
        <w:tc>
          <w:tcPr>
            <w:tcW w:w="560" w:type="dxa"/>
            <w:vAlign w:val="bottom"/>
          </w:tcPr>
          <w:p>
            <w:pPr>
              <w:spacing w:after="0"/>
              <w:rPr>
                <w:sz w:val="20"/>
                <w:szCs w:val="20"/>
                <w:color w:val="auto"/>
              </w:rPr>
            </w:pPr>
            <w:r>
              <w:rPr>
                <w:rFonts w:ascii="Courier New" w:cs="Courier New" w:eastAsia="Courier New" w:hAnsi="Courier New"/>
                <w:sz w:val="16"/>
                <w:szCs w:val="16"/>
                <w:color w:val="auto"/>
              </w:rPr>
              <w:t>1991</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$260,400</w:t>
            </w:r>
          </w:p>
        </w:tc>
        <w:tc>
          <w:tcPr>
            <w:tcW w:w="98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0</w:t>
            </w:r>
          </w:p>
        </w:tc>
        <w:tc>
          <w:tcPr>
            <w:tcW w:w="9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jc w:val="right"/>
              <w:ind w:right="260"/>
              <w:spacing w:after="0"/>
              <w:rPr>
                <w:sz w:val="20"/>
                <w:szCs w:val="20"/>
                <w:color w:val="auto"/>
              </w:rPr>
            </w:pPr>
            <w:r>
              <w:rPr>
                <w:rFonts w:ascii="Courier New" w:cs="Courier New" w:eastAsia="Courier New" w:hAnsi="Courier New"/>
                <w:sz w:val="16"/>
                <w:szCs w:val="16"/>
                <w:color w:val="auto"/>
                <w:w w:val="97"/>
              </w:rPr>
              <w:t>15,000</w:t>
            </w:r>
          </w:p>
        </w:tc>
        <w:tc>
          <w:tcPr>
            <w:tcW w:w="240" w:type="dxa"/>
            <w:vAlign w:val="bottom"/>
          </w:tcPr>
          <w:p>
            <w:pPr>
              <w:spacing w:after="0"/>
              <w:rPr>
                <w:sz w:val="16"/>
                <w:szCs w:val="16"/>
                <w:color w:val="auto"/>
              </w:rPr>
            </w:pPr>
          </w:p>
        </w:tc>
        <w:tc>
          <w:tcPr>
            <w:tcW w:w="1400" w:type="dxa"/>
            <w:vAlign w:val="bottom"/>
          </w:tcPr>
          <w:p>
            <w:pPr>
              <w:jc w:val="right"/>
              <w:ind w:right="740"/>
              <w:spacing w:after="0"/>
              <w:rPr>
                <w:sz w:val="20"/>
                <w:szCs w:val="20"/>
                <w:color w:val="auto"/>
              </w:rPr>
            </w:pPr>
            <w:r>
              <w:rPr>
                <w:rFonts w:ascii="Courier New" w:cs="Courier New" w:eastAsia="Courier New" w:hAnsi="Courier New"/>
                <w:sz w:val="16"/>
                <w:szCs w:val="16"/>
                <w:color w:val="auto"/>
              </w:rPr>
              <w:t>0</w:t>
            </w:r>
          </w:p>
        </w:tc>
        <w:tc>
          <w:tcPr>
            <w:tcW w:w="240" w:type="dxa"/>
            <w:vAlign w:val="bottom"/>
          </w:tcPr>
          <w:p>
            <w:pPr>
              <w:ind w:left="140"/>
              <w:spacing w:after="0"/>
              <w:rPr>
                <w:sz w:val="20"/>
                <w:szCs w:val="20"/>
                <w:color w:val="auto"/>
              </w:rPr>
            </w:pPr>
            <w:r>
              <w:rPr>
                <w:rFonts w:ascii="Courier New" w:cs="Courier New" w:eastAsia="Courier New" w:hAnsi="Courier New"/>
                <w:sz w:val="16"/>
                <w:szCs w:val="16"/>
                <w:color w:val="auto"/>
                <w:w w:val="82"/>
              </w:rPr>
              <w:t>$</w:t>
            </w:r>
          </w:p>
        </w:tc>
        <w:tc>
          <w:tcPr>
            <w:tcW w:w="9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4,933</w:t>
            </w: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Secretary &amp;</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General Counsel</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370"/>
        </w:trPr>
        <w:tc>
          <w:tcPr>
            <w:tcW w:w="3160" w:type="dxa"/>
            <w:vAlign w:val="bottom"/>
            <w:gridSpan w:val="3"/>
          </w:tcPr>
          <w:p>
            <w:pPr>
              <w:spacing w:after="0"/>
              <w:rPr>
                <w:sz w:val="20"/>
                <w:szCs w:val="20"/>
                <w:color w:val="auto"/>
              </w:rPr>
            </w:pPr>
            <w:r>
              <w:rPr>
                <w:rFonts w:ascii="Courier New" w:cs="Courier New" w:eastAsia="Courier New" w:hAnsi="Courier New"/>
                <w:sz w:val="16"/>
                <w:szCs w:val="16"/>
                <w:color w:val="auto"/>
              </w:rPr>
              <w:t>- -----------------------</w:t>
            </w: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0"/>
        </w:trPr>
        <w:tc>
          <w:tcPr>
            <w:tcW w:w="2200" w:type="dxa"/>
            <w:vAlign w:val="bottom"/>
            <w:gridSpan w:val="2"/>
          </w:tcPr>
          <w:p>
            <w:pPr>
              <w:spacing w:after="0"/>
              <w:rPr>
                <w:sz w:val="20"/>
                <w:szCs w:val="20"/>
                <w:color w:val="auto"/>
              </w:rPr>
            </w:pPr>
            <w:r>
              <w:rPr>
                <w:rFonts w:ascii="Courier New" w:cs="Courier New" w:eastAsia="Courier New" w:hAnsi="Courier New"/>
                <w:sz w:val="16"/>
                <w:szCs w:val="16"/>
                <w:color w:val="auto"/>
              </w:rPr>
              <w:t>(1)The dollar value of</w:t>
            </w:r>
          </w:p>
        </w:tc>
        <w:tc>
          <w:tcPr>
            <w:tcW w:w="5340" w:type="dxa"/>
            <w:vAlign w:val="bottom"/>
            <w:gridSpan w:val="6"/>
          </w:tcPr>
          <w:p>
            <w:pPr>
              <w:spacing w:after="0"/>
              <w:rPr>
                <w:sz w:val="20"/>
                <w:szCs w:val="20"/>
                <w:color w:val="auto"/>
              </w:rPr>
            </w:pPr>
            <w:r>
              <w:rPr>
                <w:rFonts w:ascii="Courier New" w:cs="Courier New" w:eastAsia="Courier New" w:hAnsi="Courier New"/>
                <w:sz w:val="16"/>
                <w:szCs w:val="16"/>
                <w:color w:val="auto"/>
              </w:rPr>
              <w:t>perquisites and other personal benefits for each of</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5"/>
        </w:trPr>
        <w:tc>
          <w:tcPr>
            <w:tcW w:w="3160" w:type="dxa"/>
            <w:vAlign w:val="bottom"/>
            <w:gridSpan w:val="3"/>
          </w:tcPr>
          <w:p>
            <w:pPr>
              <w:spacing w:after="0"/>
              <w:rPr>
                <w:sz w:val="20"/>
                <w:szCs w:val="20"/>
                <w:color w:val="auto"/>
              </w:rPr>
            </w:pPr>
            <w:r>
              <w:rPr>
                <w:rFonts w:ascii="Courier New" w:cs="Courier New" w:eastAsia="Courier New" w:hAnsi="Courier New"/>
                <w:sz w:val="16"/>
                <w:szCs w:val="16"/>
                <w:color w:val="auto"/>
              </w:rPr>
              <w:t>the named executive officers was</w:t>
            </w:r>
          </w:p>
        </w:tc>
        <w:tc>
          <w:tcPr>
            <w:tcW w:w="346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less than the established reporting</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1640" w:type="dxa"/>
            <w:vAlign w:val="bottom"/>
          </w:tcPr>
          <w:p>
            <w:pPr>
              <w:spacing w:after="0"/>
              <w:rPr>
                <w:sz w:val="20"/>
                <w:szCs w:val="20"/>
                <w:color w:val="auto"/>
              </w:rPr>
            </w:pPr>
            <w:r>
              <w:rPr>
                <w:rFonts w:ascii="Courier New" w:cs="Courier New" w:eastAsia="Courier New" w:hAnsi="Courier New"/>
                <w:sz w:val="16"/>
                <w:szCs w:val="16"/>
                <w:color w:val="auto"/>
              </w:rPr>
              <w:t>thresholds.</w:t>
            </w: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spacing w:after="0" w:line="188" w:lineRule="exact"/>
        <w:rPr>
          <w:sz w:val="20"/>
          <w:szCs w:val="20"/>
          <w:color w:val="auto"/>
        </w:rPr>
      </w:pPr>
    </w:p>
    <w:p>
      <w:pPr>
        <w:ind w:left="1"/>
        <w:spacing w:after="0"/>
        <w:tabs>
          <w:tab w:leader="none" w:pos="741" w:val="left"/>
        </w:tabs>
        <w:rPr>
          <w:sz w:val="20"/>
          <w:szCs w:val="20"/>
          <w:color w:val="auto"/>
        </w:rPr>
      </w:pPr>
      <w:r>
        <w:rPr>
          <w:rFonts w:ascii="Courier New" w:cs="Courier New" w:eastAsia="Courier New" w:hAnsi="Courier New"/>
          <w:sz w:val="16"/>
          <w:szCs w:val="16"/>
          <w:color w:val="auto"/>
        </w:rPr>
        <w:t>(2)(a)</w:t>
        <w:tab/>
        <w:t>For purposes of the table, stock awarded under the Company's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former Incentive Compensation Plan is valued at market on the date of award.</w:t>
      </w:r>
    </w:p>
    <w:p>
      <w:pPr>
        <w:spacing w:after="0" w:line="190" w:lineRule="exact"/>
        <w:rPr>
          <w:sz w:val="20"/>
          <w:szCs w:val="20"/>
          <w:color w:val="auto"/>
        </w:rPr>
      </w:pPr>
    </w:p>
    <w:p>
      <w:pPr>
        <w:ind w:left="1" w:right="3180" w:hanging="1"/>
        <w:spacing w:after="0" w:line="243"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vesting schedule for the stock awarded to Mr. Agnich in 1993 under the Company's former Incentive Compensation Plan is 1,340 shares, payable first quarter 1994 (450 shares), first quarter 1995 (445 shares) and first quarter 1996 (445 shares).</w:t>
      </w:r>
    </w:p>
    <w:p>
      <w:pPr>
        <w:spacing w:after="0" w:line="189" w:lineRule="exact"/>
        <w:rPr>
          <w:rFonts w:ascii="Courier New" w:cs="Courier New" w:eastAsia="Courier New" w:hAnsi="Courier New"/>
          <w:sz w:val="16"/>
          <w:szCs w:val="16"/>
          <w:color w:val="auto"/>
        </w:rPr>
      </w:pPr>
    </w:p>
    <w:p>
      <w:pPr>
        <w:ind w:left="1" w:right="2880" w:hanging="1"/>
        <w:spacing w:after="0" w:line="244"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vesting schedule for the stock awarded in 1992 under the Company's former Incentive Compensation Plan is as follows: Mr. Junkins, 7,500 shares, payable first quarter 1993 (3,750 shares) and first quarter 1994 (3,750 shares); Mr. Mitchell, 2,940 shares, payable first quarter 1993 (1,500 shares) and first quarter 1994 (1,440 shares); Mr. Weber, 2,940 shares, payable first quarter 1993 (1,500 shares) and first quarter 1994 (1,440 shares); Mr. Hayes, 2,500 shares, payable first quarter 1993 (1,500 shares) and first quarter 1994 (1,000 shares); and Mr. Agnich, 4,410 shares, payable first quarter 1993 (2,205 shares) and first quarter 1994 (2,205 shares).</w:t>
      </w:r>
    </w:p>
    <w:p>
      <w:pPr>
        <w:spacing w:after="0" w:line="189" w:lineRule="exact"/>
        <w:rPr>
          <w:rFonts w:ascii="Courier New" w:cs="Courier New" w:eastAsia="Courier New" w:hAnsi="Courier New"/>
          <w:sz w:val="16"/>
          <w:szCs w:val="16"/>
          <w:color w:val="auto"/>
        </w:rPr>
      </w:pPr>
    </w:p>
    <w:p>
      <w:pPr>
        <w:ind w:left="1" w:right="2880" w:hanging="1"/>
        <w:spacing w:after="0" w:line="243"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vesting schedule for the stock awarded to Mr. Hayes in 1991 under the Company's former Incentive Compensation Plan is 1,000 shares, payable first quarter 1992.</w:t>
      </w:r>
    </w:p>
    <w:p>
      <w:pPr>
        <w:spacing w:after="0" w:line="188" w:lineRule="exact"/>
        <w:rPr>
          <w:rFonts w:ascii="Courier New" w:cs="Courier New" w:eastAsia="Courier New" w:hAnsi="Courier New"/>
          <w:sz w:val="16"/>
          <w:szCs w:val="16"/>
          <w:color w:val="auto"/>
        </w:rPr>
      </w:pPr>
    </w:p>
    <w:p>
      <w:pPr>
        <w:ind w:left="1" w:right="2880" w:hanging="1"/>
        <w:spacing w:after="0" w:line="243"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December 31, 1993, the total number and value of unvested shares were as follows: Mr. Junkins, 3,750 shares, valued at $238,125; Mr. Mitchell, 1,440 shares, valued at $91,440; Mr. Weber, 1,440 shares, valued at $91,440; Mr.</w:t>
      </w:r>
    </w:p>
    <w:p>
      <w:pPr>
        <w:spacing w:after="0" w:line="3" w:lineRule="exact"/>
        <w:rPr>
          <w:rFonts w:ascii="Courier New" w:cs="Courier New" w:eastAsia="Courier New" w:hAnsi="Courier New"/>
          <w:sz w:val="16"/>
          <w:szCs w:val="16"/>
          <w:color w:val="auto"/>
        </w:rPr>
      </w:pPr>
    </w:p>
    <w:p>
      <w:pPr>
        <w:ind w:left="1" w:right="2880"/>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Hayes, 1,000 shares valued at $63,500; and Mr. Agnich, 3,545 shares, valued at $225,108.</w:t>
      </w:r>
    </w:p>
    <w:p>
      <w:pPr>
        <w:spacing w:after="0" w:line="188" w:lineRule="exact"/>
        <w:rPr>
          <w:rFonts w:ascii="Courier New" w:cs="Courier New" w:eastAsia="Courier New" w:hAnsi="Courier New"/>
          <w:sz w:val="16"/>
          <w:szCs w:val="16"/>
          <w:color w:val="auto"/>
        </w:rPr>
      </w:pPr>
    </w:p>
    <w:p>
      <w:pPr>
        <w:ind w:left="1" w:right="3180" w:hanging="1"/>
        <w:spacing w:after="0" w:line="242" w:lineRule="auto"/>
        <w:tabs>
          <w:tab w:leader="none" w:pos="48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 equivalent payments are paid on stock incentive awards at the same rate as dividends on the Company's common stock.</w:t>
      </w:r>
    </w:p>
    <w:p>
      <w:pPr>
        <w:spacing w:after="0" w:line="187"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8</w:t>
      </w:r>
    </w:p>
    <w:p>
      <w:pPr>
        <w:spacing w:after="0" w:line="190" w:lineRule="exact"/>
        <w:rPr>
          <w:sz w:val="20"/>
          <w:szCs w:val="20"/>
          <w:color w:val="auto"/>
        </w:rPr>
      </w:pPr>
    </w:p>
    <w:p>
      <w:pPr>
        <w:ind w:left="1" w:right="3180" w:hanging="1"/>
        <w:spacing w:after="0" w:line="243" w:lineRule="auto"/>
        <w:tabs>
          <w:tab w:leader="none" w:pos="4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1993, the Company made payments relating to premiums with respect to life, travel and accident insurance policies in the following amounts: Mr. Junkins, $11,349; Mr. Mitchell, $5,363; Mr. Weber, $3,201; Mr. Hayes, $993; and Mr. Agnich, $1,333.</w:t>
      </w:r>
    </w:p>
    <w:p>
      <w:pPr>
        <w:spacing w:after="0" w:line="190" w:lineRule="exact"/>
        <w:rPr>
          <w:sz w:val="20"/>
          <w:szCs w:val="20"/>
          <w:color w:val="auto"/>
        </w:rPr>
      </w:pPr>
    </w:p>
    <w:p>
      <w:pPr>
        <w:ind w:left="1" w:right="3080"/>
        <w:spacing w:after="0" w:line="242" w:lineRule="auto"/>
        <w:rPr>
          <w:sz w:val="20"/>
          <w:szCs w:val="20"/>
          <w:color w:val="auto"/>
        </w:rPr>
      </w:pPr>
      <w:r>
        <w:rPr>
          <w:rFonts w:ascii="Courier New" w:cs="Courier New" w:eastAsia="Courier New" w:hAnsi="Courier New"/>
          <w:sz w:val="16"/>
          <w:szCs w:val="16"/>
          <w:color w:val="auto"/>
        </w:rPr>
        <w:t>During 1993, the Company made matching contributions to the cash or deferred compensation account (401(k)) under the U.S. profit sharing plan in the</w:t>
      </w:r>
    </w:p>
    <w:p>
      <w:pPr>
        <w:sectPr>
          <w:pgSz w:w="11900" w:h="16838" w:orient="portrait"/>
          <w:cols w:equalWidth="0" w:num="1">
            <w:col w:w="10381"/>
          </w:cols>
          <w:pgMar w:left="239" w:top="485" w:right="1279" w:bottom="0" w:gutter="0" w:footer="0" w:header="0"/>
        </w:sectPr>
      </w:pPr>
    </w:p>
    <w:bookmarkStart w:id="9" w:name="page10"/>
    <w:bookmarkEnd w:id="9"/>
    <w:p>
      <w:pPr>
        <w:ind w:right="3299"/>
        <w:spacing w:after="0" w:line="242" w:lineRule="auto"/>
        <w:rPr>
          <w:sz w:val="20"/>
          <w:szCs w:val="20"/>
          <w:color w:val="auto"/>
        </w:rPr>
      </w:pPr>
      <w:r>
        <w:rPr>
          <w:rFonts w:ascii="Courier New" w:cs="Courier New" w:eastAsia="Courier New" w:hAnsi="Courier New"/>
          <w:sz w:val="16"/>
          <w:szCs w:val="16"/>
          <w:color w:val="auto"/>
        </w:rPr>
        <w:t>following amounts: Mr. Junkins, $4,497; Mr. Mitchell, $4,496; Mr. Weber, $4,497; Mr. Hayes, $4,497; and Mr. Agnich, $4,497.</w:t>
      </w:r>
    </w:p>
    <w:p>
      <w:pPr>
        <w:spacing w:after="0" w:line="189" w:lineRule="exact"/>
        <w:rPr>
          <w:sz w:val="20"/>
          <w:szCs w:val="20"/>
          <w:color w:val="auto"/>
        </w:rPr>
      </w:pPr>
    </w:p>
    <w:p>
      <w:pPr>
        <w:ind w:right="2719"/>
        <w:spacing w:after="0" w:line="243" w:lineRule="auto"/>
        <w:rPr>
          <w:sz w:val="20"/>
          <w:szCs w:val="20"/>
          <w:color w:val="auto"/>
        </w:rPr>
      </w:pPr>
      <w:r>
        <w:rPr>
          <w:rFonts w:ascii="Courier New" w:cs="Courier New" w:eastAsia="Courier New" w:hAnsi="Courier New"/>
          <w:sz w:val="16"/>
          <w:szCs w:val="16"/>
          <w:color w:val="auto"/>
        </w:rPr>
        <w:t>For 1993, the profit sharing contributions (plus the ERISA reductions for which the Company will provide an offsetting supplemental benefit) were as follows: Mr. Junkins, $55,186; Mr. Mitchell, $27,389; Mr. Weber, $28,824; Mr. Hayes, $20,262; and Mr. Agnich, $23,064.</w:t>
      </w:r>
    </w:p>
    <w:p>
      <w:pPr>
        <w:sectPr>
          <w:pgSz w:w="11900" w:h="16838" w:orient="portrait"/>
          <w:cols w:equalWidth="0" w:num="1">
            <w:col w:w="10219"/>
          </w:cols>
          <w:pgMar w:left="240" w:top="142" w:right="1440" w:bottom="1440" w:gutter="0" w:footer="0" w:header="0"/>
        </w:sectPr>
      </w:pPr>
    </w:p>
    <w:bookmarkStart w:id="10" w:name="page11"/>
    <w:bookmarkEnd w:id="10"/>
    <w:p>
      <w:pPr>
        <w:ind w:left="1"/>
        <w:spacing w:after="0"/>
        <w:rPr>
          <w:sz w:val="20"/>
          <w:szCs w:val="20"/>
          <w:color w:val="auto"/>
        </w:rPr>
      </w:pPr>
      <w:r>
        <w:rPr>
          <w:rFonts w:ascii="Courier New" w:cs="Courier New" w:eastAsia="Courier New" w:hAnsi="Courier New"/>
          <w:sz w:val="16"/>
          <w:szCs w:val="16"/>
          <w:color w:val="auto"/>
        </w:rPr>
        <w:t>Table of Option Grants in 1993</w:t>
      </w:r>
    </w:p>
    <w:p>
      <w:pPr>
        <w:spacing w:after="0" w:line="190" w:lineRule="exact"/>
        <w:rPr>
          <w:sz w:val="20"/>
          <w:szCs w:val="20"/>
          <w:color w:val="auto"/>
        </w:rPr>
      </w:pPr>
    </w:p>
    <w:p>
      <w:pPr>
        <w:ind w:left="1" w:right="4120"/>
        <w:spacing w:after="0" w:line="244" w:lineRule="auto"/>
        <w:rPr>
          <w:sz w:val="20"/>
          <w:szCs w:val="20"/>
          <w:color w:val="auto"/>
        </w:rPr>
      </w:pPr>
      <w:r>
        <w:rPr>
          <w:rFonts w:ascii="Courier New" w:cs="Courier New" w:eastAsia="Courier New" w:hAnsi="Courier New"/>
          <w:sz w:val="16"/>
          <w:szCs w:val="16"/>
          <w:color w:val="auto"/>
        </w:rPr>
        <w:t>The following table sets forth details regarding stock options granted to the named executive officers in 1993. In addition, there are shown the hypothetical gains or "option spreads" that would exist for the respective options. These gains are based on assumed rates of annual compound stock appreciation of 5% and 10% from the date the options were granted over the full option term.</w:t>
      </w:r>
    </w:p>
    <w:p>
      <w:pPr>
        <w:spacing w:after="0" w:line="371"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5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5"/>
          </w:tcPr>
          <w:p>
            <w:pPr>
              <w:jc w:val="right"/>
              <w:ind w:right="20"/>
              <w:spacing w:after="0"/>
              <w:rPr>
                <w:sz w:val="20"/>
                <w:szCs w:val="20"/>
                <w:color w:val="auto"/>
              </w:rPr>
            </w:pPr>
            <w:r>
              <w:rPr>
                <w:rFonts w:ascii="Courier New" w:cs="Courier New" w:eastAsia="Courier New" w:hAnsi="Courier New"/>
                <w:sz w:val="16"/>
                <w:szCs w:val="16"/>
                <w:color w:val="auto"/>
              </w:rPr>
              <w:t>Potential Realizable Value at</w:t>
            </w:r>
          </w:p>
        </w:tc>
        <w:tc>
          <w:tcPr>
            <w:tcW w:w="2100" w:type="dxa"/>
            <w:vAlign w:val="bottom"/>
          </w:tcPr>
          <w:p>
            <w:pPr>
              <w:spacing w:after="0"/>
              <w:rPr>
                <w:sz w:val="15"/>
                <w:szCs w:val="15"/>
                <w:color w:val="auto"/>
              </w:rPr>
            </w:pPr>
          </w:p>
        </w:tc>
      </w:tr>
      <w:tr>
        <w:trPr>
          <w:trHeight w:val="185"/>
        </w:trPr>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20" w:type="dxa"/>
            <w:vAlign w:val="bottom"/>
            <w:gridSpan w:val="6"/>
          </w:tcPr>
          <w:p>
            <w:pPr>
              <w:jc w:val="right"/>
              <w:ind w:right="1540"/>
              <w:spacing w:after="0"/>
              <w:rPr>
                <w:sz w:val="20"/>
                <w:szCs w:val="20"/>
                <w:color w:val="auto"/>
              </w:rPr>
            </w:pPr>
            <w:r>
              <w:rPr>
                <w:rFonts w:ascii="Courier New" w:cs="Courier New" w:eastAsia="Courier New" w:hAnsi="Courier New"/>
                <w:sz w:val="16"/>
                <w:szCs w:val="16"/>
                <w:color w:val="auto"/>
              </w:rPr>
              <w:t>Assumed Annual Rates of Stock Price</w:t>
            </w:r>
          </w:p>
        </w:tc>
      </w:tr>
      <w:tr>
        <w:trPr>
          <w:trHeight w:val="185"/>
        </w:trPr>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20" w:type="dxa"/>
            <w:vAlign w:val="bottom"/>
            <w:gridSpan w:val="6"/>
          </w:tcPr>
          <w:p>
            <w:pPr>
              <w:ind w:left="40"/>
              <w:spacing w:after="0"/>
              <w:rPr>
                <w:sz w:val="20"/>
                <w:szCs w:val="20"/>
                <w:color w:val="auto"/>
              </w:rPr>
            </w:pPr>
            <w:r>
              <w:rPr>
                <w:rFonts w:ascii="Courier New" w:cs="Courier New" w:eastAsia="Courier New" w:hAnsi="Courier New"/>
                <w:sz w:val="16"/>
                <w:szCs w:val="16"/>
                <w:color w:val="auto"/>
              </w:rPr>
              <w:t>Appreciation for Option Term (10 Years)</w:t>
            </w:r>
          </w:p>
        </w:tc>
      </w:tr>
      <w:tr>
        <w:trPr>
          <w:trHeight w:val="185"/>
        </w:trPr>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340" w:type="dxa"/>
            <w:vAlign w:val="bottom"/>
            <w:gridSpan w:val="8"/>
          </w:tcPr>
          <w:p>
            <w:pPr>
              <w:jc w:val="right"/>
              <w:ind w:right="100"/>
              <w:spacing w:after="0"/>
              <w:rPr>
                <w:sz w:val="20"/>
                <w:szCs w:val="20"/>
                <w:color w:val="auto"/>
              </w:rPr>
            </w:pPr>
            <w:r>
              <w:rPr>
                <w:rFonts w:ascii="Courier New" w:cs="Courier New" w:eastAsia="Courier New" w:hAnsi="Courier New"/>
                <w:sz w:val="16"/>
                <w:szCs w:val="16"/>
                <w:color w:val="auto"/>
                <w:w w:val="99"/>
              </w:rPr>
              <w:t>----------------------------------------------------------------</w:t>
            </w:r>
          </w:p>
        </w:tc>
      </w:tr>
      <w:tr>
        <w:trPr>
          <w:trHeight w:val="185"/>
        </w:trPr>
        <w:tc>
          <w:tcPr>
            <w:tcW w:w="1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tcPr>
          <w:p>
            <w:pPr>
              <w:jc w:val="right"/>
              <w:ind w:right="1540"/>
              <w:spacing w:after="0"/>
              <w:rPr>
                <w:sz w:val="20"/>
                <w:szCs w:val="20"/>
                <w:color w:val="auto"/>
              </w:rPr>
            </w:pPr>
            <w:r>
              <w:rPr>
                <w:rFonts w:ascii="Courier New" w:cs="Courier New" w:eastAsia="Courier New" w:hAnsi="Courier New"/>
                <w:sz w:val="16"/>
                <w:szCs w:val="16"/>
                <w:color w:val="auto"/>
              </w:rPr>
              <w:t>10%</w:t>
            </w:r>
          </w:p>
        </w:tc>
      </w:tr>
      <w:tr>
        <w:trPr>
          <w:trHeight w:val="185"/>
        </w:trPr>
        <w:tc>
          <w:tcPr>
            <w:tcW w:w="1540" w:type="dxa"/>
            <w:vAlign w:val="bottom"/>
          </w:tcPr>
          <w:p>
            <w:pPr>
              <w:spacing w:after="0"/>
              <w:rPr>
                <w:sz w:val="16"/>
                <w:szCs w:val="16"/>
                <w:color w:val="auto"/>
              </w:rPr>
            </w:pPr>
          </w:p>
        </w:tc>
        <w:tc>
          <w:tcPr>
            <w:tcW w:w="1780" w:type="dxa"/>
            <w:vAlign w:val="bottom"/>
            <w:gridSpan w:val="3"/>
          </w:tcPr>
          <w:p>
            <w:pPr>
              <w:spacing w:after="0"/>
              <w:rPr>
                <w:sz w:val="20"/>
                <w:szCs w:val="20"/>
                <w:color w:val="auto"/>
              </w:rPr>
            </w:pPr>
            <w:r>
              <w:rPr>
                <w:rFonts w:ascii="Courier New" w:cs="Courier New" w:eastAsia="Courier New" w:hAnsi="Courier New"/>
                <w:sz w:val="16"/>
                <w:szCs w:val="16"/>
                <w:color w:val="auto"/>
              </w:rPr>
              <w:t>Options % Of Total</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9"/>
                <w:szCs w:val="9"/>
                <w:color w:val="auto"/>
                <w:w w:val="70"/>
              </w:rPr>
              <w:t>-----------------------------</w:t>
            </w: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0" w:type="dxa"/>
            <w:vAlign w:val="bottom"/>
            <w:gridSpan w:val="4"/>
          </w:tcPr>
          <w:p>
            <w:pPr>
              <w:jc w:val="right"/>
              <w:ind w:right="100"/>
              <w:spacing w:after="0"/>
              <w:rPr>
                <w:sz w:val="20"/>
                <w:szCs w:val="20"/>
                <w:color w:val="auto"/>
              </w:rPr>
            </w:pPr>
            <w:r>
              <w:rPr>
                <w:rFonts w:ascii="Courier New" w:cs="Courier New" w:eastAsia="Courier New" w:hAnsi="Courier New"/>
                <w:sz w:val="16"/>
                <w:szCs w:val="16"/>
                <w:color w:val="auto"/>
              </w:rPr>
              <w:t>---------------------------------</w:t>
            </w:r>
          </w:p>
        </w:tc>
      </w:tr>
      <w:tr>
        <w:trPr>
          <w:trHeight w:val="185"/>
        </w:trPr>
        <w:tc>
          <w:tcPr>
            <w:tcW w:w="15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Granted</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Options</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Stock</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Stock</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85"/>
        </w:trPr>
        <w:tc>
          <w:tcPr>
            <w:tcW w:w="1540" w:type="dxa"/>
            <w:vAlign w:val="bottom"/>
          </w:tcPr>
          <w:p>
            <w:pPr>
              <w:spacing w:after="0"/>
              <w:rPr>
                <w:sz w:val="16"/>
                <w:szCs w:val="16"/>
                <w:color w:val="auto"/>
              </w:rPr>
            </w:pPr>
          </w:p>
        </w:tc>
        <w:tc>
          <w:tcPr>
            <w:tcW w:w="76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(in</w:t>
            </w:r>
          </w:p>
        </w:tc>
        <w:tc>
          <w:tcPr>
            <w:tcW w:w="1020" w:type="dxa"/>
            <w:vAlign w:val="bottom"/>
            <w:gridSpan w:val="2"/>
          </w:tcPr>
          <w:p>
            <w:pPr>
              <w:spacing w:after="0"/>
              <w:rPr>
                <w:sz w:val="20"/>
                <w:szCs w:val="20"/>
                <w:color w:val="auto"/>
              </w:rPr>
            </w:pPr>
            <w:r>
              <w:rPr>
                <w:rFonts w:ascii="Courier New" w:cs="Courier New" w:eastAsia="Courier New" w:hAnsi="Courier New"/>
                <w:sz w:val="16"/>
                <w:szCs w:val="16"/>
                <w:color w:val="auto"/>
              </w:rPr>
              <w:t>Granted to</w:t>
            </w: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w w:val="96"/>
              </w:rPr>
              <w:t>Exercise</w:t>
            </w:r>
          </w:p>
        </w:tc>
        <w:tc>
          <w:tcPr>
            <w:tcW w:w="192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Expir- Price(per</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500" w:type="dxa"/>
            <w:vAlign w:val="bottom"/>
            <w:gridSpan w:val="3"/>
          </w:tcPr>
          <w:p>
            <w:pPr>
              <w:jc w:val="right"/>
              <w:ind w:right="220"/>
              <w:spacing w:after="0"/>
              <w:rPr>
                <w:sz w:val="20"/>
                <w:szCs w:val="20"/>
                <w:color w:val="auto"/>
              </w:rPr>
            </w:pPr>
            <w:r>
              <w:rPr>
                <w:rFonts w:ascii="Courier New" w:cs="Courier New" w:eastAsia="Courier New" w:hAnsi="Courier New"/>
                <w:sz w:val="16"/>
                <w:szCs w:val="16"/>
                <w:color w:val="auto"/>
              </w:rPr>
              <w:t>Price (per</w:t>
            </w:r>
          </w:p>
        </w:tc>
        <w:tc>
          <w:tcPr>
            <w:tcW w:w="2100" w:type="dxa"/>
            <w:vAlign w:val="bottom"/>
          </w:tcPr>
          <w:p>
            <w:pPr>
              <w:spacing w:after="0"/>
              <w:rPr>
                <w:sz w:val="16"/>
                <w:szCs w:val="16"/>
                <w:color w:val="auto"/>
              </w:rPr>
            </w:pPr>
          </w:p>
        </w:tc>
      </w:tr>
      <w:tr>
        <w:trPr>
          <w:trHeight w:val="185"/>
        </w:trPr>
        <w:tc>
          <w:tcPr>
            <w:tcW w:w="154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shares)</w:t>
            </w:r>
          </w:p>
        </w:tc>
        <w:tc>
          <w:tcPr>
            <w:tcW w:w="860" w:type="dxa"/>
            <w:vAlign w:val="bottom"/>
          </w:tcPr>
          <w:p>
            <w:pPr>
              <w:spacing w:after="0"/>
              <w:rPr>
                <w:sz w:val="20"/>
                <w:szCs w:val="20"/>
                <w:color w:val="auto"/>
              </w:rPr>
            </w:pPr>
            <w:r>
              <w:rPr>
                <w:rFonts w:ascii="Courier New" w:cs="Courier New" w:eastAsia="Courier New" w:hAnsi="Courier New"/>
                <w:sz w:val="16"/>
                <w:szCs w:val="16"/>
                <w:color w:val="auto"/>
                <w:w w:val="97"/>
              </w:rPr>
              <w:t>Employees</w:t>
            </w:r>
          </w:p>
        </w:tc>
        <w:tc>
          <w:tcPr>
            <w:tcW w:w="160" w:type="dxa"/>
            <w:vAlign w:val="bottom"/>
          </w:tcPr>
          <w:p>
            <w:pPr>
              <w:spacing w:after="0"/>
              <w:rPr>
                <w:sz w:val="16"/>
                <w:szCs w:val="16"/>
                <w:color w:val="auto"/>
              </w:rPr>
            </w:pPr>
          </w:p>
        </w:tc>
        <w:tc>
          <w:tcPr>
            <w:tcW w:w="186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Price (per  ation</w:t>
            </w:r>
          </w:p>
        </w:tc>
        <w:tc>
          <w:tcPr>
            <w:tcW w:w="960" w:type="dxa"/>
            <w:vAlign w:val="bottom"/>
          </w:tcPr>
          <w:p>
            <w:pPr>
              <w:ind w:left="100"/>
              <w:spacing w:after="0"/>
              <w:rPr>
                <w:sz w:val="20"/>
                <w:szCs w:val="20"/>
                <w:color w:val="auto"/>
              </w:rPr>
            </w:pPr>
            <w:r>
              <w:rPr>
                <w:rFonts w:ascii="Courier New" w:cs="Courier New" w:eastAsia="Courier New" w:hAnsi="Courier New"/>
                <w:sz w:val="16"/>
                <w:szCs w:val="16"/>
                <w:color w:val="auto"/>
              </w:rPr>
              <w:t>share)</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share)</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100" w:type="dxa"/>
            <w:vAlign w:val="bottom"/>
          </w:tcPr>
          <w:p>
            <w:pPr>
              <w:spacing w:after="0"/>
              <w:rPr>
                <w:sz w:val="16"/>
                <w:szCs w:val="16"/>
                <w:color w:val="auto"/>
              </w:rPr>
            </w:pPr>
          </w:p>
        </w:tc>
      </w:tr>
      <w:tr>
        <w:trPr>
          <w:trHeight w:val="185"/>
        </w:trPr>
        <w:tc>
          <w:tcPr>
            <w:tcW w:w="1540" w:type="dxa"/>
            <w:vAlign w:val="bottom"/>
          </w:tcPr>
          <w:p>
            <w:pPr>
              <w:ind w:left="480"/>
              <w:spacing w:after="0"/>
              <w:rPr>
                <w:sz w:val="20"/>
                <w:szCs w:val="20"/>
                <w:color w:val="auto"/>
              </w:rPr>
            </w:pPr>
            <w:r>
              <w:rPr>
                <w:rFonts w:ascii="Courier New" w:cs="Courier New" w:eastAsia="Courier New" w:hAnsi="Courier New"/>
                <w:sz w:val="16"/>
                <w:szCs w:val="16"/>
                <w:color w:val="auto"/>
              </w:rPr>
              <w:t>Name</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w w:val="95"/>
              </w:rPr>
              <w:t>(1)  in</w:t>
            </w:r>
          </w:p>
        </w:tc>
        <w:tc>
          <w:tcPr>
            <w:tcW w:w="860" w:type="dxa"/>
            <w:vAlign w:val="bottom"/>
          </w:tcPr>
          <w:p>
            <w:pPr>
              <w:spacing w:after="0"/>
              <w:rPr>
                <w:sz w:val="20"/>
                <w:szCs w:val="20"/>
                <w:color w:val="auto"/>
              </w:rPr>
            </w:pPr>
            <w:r>
              <w:rPr>
                <w:rFonts w:ascii="Courier New" w:cs="Courier New" w:eastAsia="Courier New" w:hAnsi="Courier New"/>
                <w:sz w:val="16"/>
                <w:szCs w:val="16"/>
                <w:color w:val="auto"/>
              </w:rPr>
              <w:t>1993</w:t>
            </w:r>
          </w:p>
        </w:tc>
        <w:tc>
          <w:tcPr>
            <w:tcW w:w="1060" w:type="dxa"/>
            <w:vAlign w:val="bottom"/>
            <w:gridSpan w:val="2"/>
          </w:tcPr>
          <w:p>
            <w:pPr>
              <w:spacing w:after="0"/>
              <w:rPr>
                <w:sz w:val="20"/>
                <w:szCs w:val="20"/>
                <w:color w:val="auto"/>
              </w:rPr>
            </w:pPr>
            <w:r>
              <w:rPr>
                <w:rFonts w:ascii="Courier New" w:cs="Courier New" w:eastAsia="Courier New" w:hAnsi="Courier New"/>
                <w:sz w:val="16"/>
                <w:szCs w:val="16"/>
                <w:color w:val="auto"/>
              </w:rPr>
              <w:t>share)</w:t>
            </w:r>
          </w:p>
        </w:tc>
        <w:tc>
          <w:tcPr>
            <w:tcW w:w="400" w:type="dxa"/>
            <w:vAlign w:val="bottom"/>
          </w:tcPr>
          <w:p>
            <w:pPr>
              <w:spacing w:after="0"/>
              <w:rPr>
                <w:sz w:val="20"/>
                <w:szCs w:val="20"/>
                <w:color w:val="auto"/>
              </w:rPr>
            </w:pPr>
            <w:r>
              <w:rPr>
                <w:rFonts w:ascii="Courier New" w:cs="Courier New" w:eastAsia="Courier New" w:hAnsi="Courier New"/>
                <w:sz w:val="16"/>
                <w:szCs w:val="16"/>
                <w:color w:val="auto"/>
                <w:w w:val="98"/>
              </w:rPr>
              <w:t>Date</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12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Gain</w:t>
            </w:r>
          </w:p>
        </w:tc>
        <w:tc>
          <w:tcPr>
            <w:tcW w:w="3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1500" w:type="dxa"/>
            <w:vAlign w:val="bottom"/>
            <w:gridSpan w:val="3"/>
          </w:tcPr>
          <w:p>
            <w:pPr>
              <w:jc w:val="right"/>
              <w:ind w:right="120"/>
              <w:spacing w:after="0"/>
              <w:rPr>
                <w:sz w:val="20"/>
                <w:szCs w:val="20"/>
                <w:color w:val="auto"/>
              </w:rPr>
            </w:pPr>
            <w:r>
              <w:rPr>
                <w:rFonts w:ascii="Courier New" w:cs="Courier New" w:eastAsia="Courier New" w:hAnsi="Courier New"/>
                <w:sz w:val="16"/>
                <w:szCs w:val="16"/>
                <w:color w:val="auto"/>
              </w:rPr>
              <w:t>Gain</w:t>
            </w:r>
          </w:p>
        </w:tc>
        <w:tc>
          <w:tcPr>
            <w:tcW w:w="2100" w:type="dxa"/>
            <w:vAlign w:val="bottom"/>
          </w:tcPr>
          <w:p>
            <w:pPr>
              <w:spacing w:after="0"/>
              <w:rPr>
                <w:sz w:val="16"/>
                <w:szCs w:val="16"/>
                <w:color w:val="auto"/>
              </w:rPr>
            </w:pPr>
          </w:p>
        </w:tc>
      </w:tr>
      <w:tr>
        <w:trPr>
          <w:trHeight w:val="185"/>
        </w:trPr>
        <w:tc>
          <w:tcPr>
            <w:tcW w:w="3320" w:type="dxa"/>
            <w:vAlign w:val="bottom"/>
            <w:gridSpan w:val="4"/>
          </w:tcPr>
          <w:p>
            <w:pPr>
              <w:spacing w:after="0"/>
              <w:rPr>
                <w:sz w:val="20"/>
                <w:szCs w:val="20"/>
                <w:color w:val="auto"/>
              </w:rPr>
            </w:pPr>
            <w:r>
              <w:rPr>
                <w:rFonts w:ascii="Courier New" w:cs="Courier New" w:eastAsia="Courier New" w:hAnsi="Courier New"/>
                <w:sz w:val="16"/>
                <w:szCs w:val="16"/>
                <w:color w:val="auto"/>
                <w:w w:val="95"/>
              </w:rPr>
              <w:t>- --------------- ------- ----------</w:t>
            </w:r>
          </w:p>
        </w:tc>
        <w:tc>
          <w:tcPr>
            <w:tcW w:w="130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 ---------</w:t>
            </w:r>
          </w:p>
        </w:tc>
        <w:tc>
          <w:tcPr>
            <w:tcW w:w="16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85"/>
              </w:rPr>
              <w:t>-------------------</w:t>
            </w:r>
          </w:p>
        </w:tc>
        <w:tc>
          <w:tcPr>
            <w:tcW w:w="1500" w:type="dxa"/>
            <w:vAlign w:val="bottom"/>
            <w:gridSpan w:val="3"/>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J.R. Junkins</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50,000</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5.8</w:t>
            </w:r>
          </w:p>
        </w:tc>
        <w:tc>
          <w:tcPr>
            <w:tcW w:w="1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$54.75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4/15/03</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$89.18</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w w:val="99"/>
              </w:rPr>
              <w:t>1,721,599</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$142.01</w:t>
            </w:r>
          </w:p>
        </w:tc>
        <w:tc>
          <w:tcPr>
            <w:tcW w:w="380" w:type="dxa"/>
            <w:vAlign w:val="bottom"/>
          </w:tcPr>
          <w:p>
            <w:pPr>
              <w:spacing w:after="0"/>
              <w:rPr>
                <w:sz w:val="24"/>
                <w:szCs w:val="24"/>
                <w:color w:val="auto"/>
              </w:rPr>
            </w:pPr>
          </w:p>
        </w:tc>
        <w:tc>
          <w:tcPr>
            <w:tcW w:w="210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$4,362,870</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W.B. Mitchell</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22,000</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w:t>
            </w:r>
          </w:p>
        </w:tc>
        <w:tc>
          <w:tcPr>
            <w:tcW w:w="1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$54.75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4/15/03</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$89.18</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757,504</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$142.01</w:t>
            </w:r>
          </w:p>
        </w:tc>
        <w:tc>
          <w:tcPr>
            <w:tcW w:w="380" w:type="dxa"/>
            <w:vAlign w:val="bottom"/>
          </w:tcPr>
          <w:p>
            <w:pPr>
              <w:spacing w:after="0"/>
              <w:rPr>
                <w:sz w:val="24"/>
                <w:szCs w:val="24"/>
                <w:color w:val="auto"/>
              </w:rPr>
            </w:pPr>
          </w:p>
        </w:tc>
        <w:tc>
          <w:tcPr>
            <w:tcW w:w="210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$1,919,663</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W.P. Weber</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22,000</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2.6</w:t>
            </w:r>
          </w:p>
        </w:tc>
        <w:tc>
          <w:tcPr>
            <w:tcW w:w="1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$54.75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4/15/03</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$89.18</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757,504</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$142.01</w:t>
            </w:r>
          </w:p>
        </w:tc>
        <w:tc>
          <w:tcPr>
            <w:tcW w:w="380" w:type="dxa"/>
            <w:vAlign w:val="bottom"/>
          </w:tcPr>
          <w:p>
            <w:pPr>
              <w:spacing w:after="0"/>
              <w:rPr>
                <w:sz w:val="24"/>
                <w:szCs w:val="24"/>
                <w:color w:val="auto"/>
              </w:rPr>
            </w:pPr>
          </w:p>
        </w:tc>
        <w:tc>
          <w:tcPr>
            <w:tcW w:w="210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$1,919,663</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W.F. Hayes</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15,000</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1.7</w:t>
            </w:r>
          </w:p>
        </w:tc>
        <w:tc>
          <w:tcPr>
            <w:tcW w:w="1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$54.75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4/15/03</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$89.18</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516,480</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$142.01</w:t>
            </w:r>
          </w:p>
        </w:tc>
        <w:tc>
          <w:tcPr>
            <w:tcW w:w="380" w:type="dxa"/>
            <w:vAlign w:val="bottom"/>
          </w:tcPr>
          <w:p>
            <w:pPr>
              <w:spacing w:after="0"/>
              <w:rPr>
                <w:sz w:val="24"/>
                <w:szCs w:val="24"/>
                <w:color w:val="auto"/>
              </w:rPr>
            </w:pPr>
          </w:p>
        </w:tc>
        <w:tc>
          <w:tcPr>
            <w:tcW w:w="210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$1,308,861</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7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18,000</w:t>
            </w:r>
          </w:p>
        </w:tc>
        <w:tc>
          <w:tcPr>
            <w:tcW w:w="8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2.1</w:t>
            </w:r>
          </w:p>
        </w:tc>
        <w:tc>
          <w:tcPr>
            <w:tcW w:w="160" w:type="dxa"/>
            <w:vAlign w:val="bottom"/>
          </w:tcPr>
          <w:p>
            <w:pPr>
              <w:spacing w:after="0"/>
              <w:rPr>
                <w:sz w:val="24"/>
                <w:szCs w:val="24"/>
                <w:color w:val="auto"/>
              </w:rPr>
            </w:pP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$54.75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4/15/03</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$89.18</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619,776</w:t>
            </w: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$142.01</w:t>
            </w:r>
          </w:p>
        </w:tc>
        <w:tc>
          <w:tcPr>
            <w:tcW w:w="380" w:type="dxa"/>
            <w:vAlign w:val="bottom"/>
          </w:tcPr>
          <w:p>
            <w:pPr>
              <w:spacing w:after="0"/>
              <w:rPr>
                <w:sz w:val="24"/>
                <w:szCs w:val="24"/>
                <w:color w:val="auto"/>
              </w:rPr>
            </w:pPr>
          </w:p>
        </w:tc>
        <w:tc>
          <w:tcPr>
            <w:tcW w:w="2100" w:type="dxa"/>
            <w:vAlign w:val="bottom"/>
          </w:tcPr>
          <w:p>
            <w:pPr>
              <w:jc w:val="right"/>
              <w:ind w:right="780"/>
              <w:spacing w:after="0"/>
              <w:rPr>
                <w:sz w:val="20"/>
                <w:szCs w:val="20"/>
                <w:color w:val="auto"/>
              </w:rPr>
            </w:pPr>
            <w:r>
              <w:rPr>
                <w:rFonts w:ascii="Courier New" w:cs="Courier New" w:eastAsia="Courier New" w:hAnsi="Courier New"/>
                <w:sz w:val="16"/>
                <w:szCs w:val="16"/>
                <w:color w:val="auto"/>
              </w:rPr>
              <w:t>$1,570,633</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w w:val="98"/>
              </w:rPr>
              <w:t>All stockholders</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$89.18</w:t>
            </w:r>
          </w:p>
        </w:tc>
        <w:tc>
          <w:tcPr>
            <w:tcW w:w="1780" w:type="dxa"/>
            <w:vAlign w:val="bottom"/>
            <w:gridSpan w:val="3"/>
          </w:tcPr>
          <w:p>
            <w:pPr>
              <w:jc w:val="right"/>
              <w:ind w:right="60"/>
              <w:spacing w:after="0"/>
              <w:rPr>
                <w:sz w:val="20"/>
                <w:szCs w:val="20"/>
                <w:color w:val="auto"/>
              </w:rPr>
            </w:pPr>
            <w:r>
              <w:rPr>
                <w:rFonts w:ascii="Courier New" w:cs="Courier New" w:eastAsia="Courier New" w:hAnsi="Courier New"/>
                <w:sz w:val="16"/>
                <w:szCs w:val="16"/>
                <w:color w:val="auto"/>
                <w:w w:val="99"/>
              </w:rPr>
              <w:t>$2,859,000,132(3)</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$142.01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248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w w:val="97"/>
              </w:rPr>
              <w:t>7,245,267,664(3)</w:t>
            </w:r>
          </w:p>
        </w:tc>
      </w:tr>
      <w:tr>
        <w:trPr>
          <w:trHeight w:val="370"/>
        </w:trPr>
        <w:tc>
          <w:tcPr>
            <w:tcW w:w="1540" w:type="dxa"/>
            <w:vAlign w:val="bottom"/>
          </w:tcPr>
          <w:p>
            <w:pPr>
              <w:spacing w:after="0"/>
              <w:rPr>
                <w:sz w:val="20"/>
                <w:szCs w:val="20"/>
                <w:color w:val="auto"/>
              </w:rPr>
            </w:pPr>
            <w:r>
              <w:rPr>
                <w:rFonts w:ascii="Courier New" w:cs="Courier New" w:eastAsia="Courier New" w:hAnsi="Courier New"/>
                <w:sz w:val="16"/>
                <w:szCs w:val="16"/>
                <w:color w:val="auto"/>
              </w:rPr>
              <w:t>Employees</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$89.18</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162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243,569,904(4)</w:t>
            </w: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$142.01</w:t>
            </w:r>
          </w:p>
        </w:tc>
        <w:tc>
          <w:tcPr>
            <w:tcW w:w="100" w:type="dxa"/>
            <w:vAlign w:val="bottom"/>
          </w:tcPr>
          <w:p>
            <w:pPr>
              <w:jc w:val="right"/>
              <w:spacing w:after="0"/>
              <w:rPr>
                <w:sz w:val="20"/>
                <w:szCs w:val="20"/>
                <w:color w:val="auto"/>
              </w:rPr>
            </w:pPr>
            <w:r>
              <w:rPr>
                <w:rFonts w:ascii="Courier New" w:cs="Courier New" w:eastAsia="Courier New" w:hAnsi="Courier New"/>
                <w:sz w:val="16"/>
                <w:szCs w:val="16"/>
                <w:color w:val="auto"/>
                <w:w w:val="82"/>
              </w:rPr>
              <w:t>$</w:t>
            </w:r>
          </w:p>
        </w:tc>
        <w:tc>
          <w:tcPr>
            <w:tcW w:w="2480" w:type="dxa"/>
            <w:vAlign w:val="bottom"/>
            <w:gridSpan w:val="2"/>
          </w:tcPr>
          <w:p>
            <w:pPr>
              <w:jc w:val="right"/>
              <w:ind w:right="880"/>
              <w:spacing w:after="0"/>
              <w:rPr>
                <w:sz w:val="20"/>
                <w:szCs w:val="20"/>
                <w:color w:val="auto"/>
              </w:rPr>
            </w:pPr>
            <w:r>
              <w:rPr>
                <w:rFonts w:ascii="Courier New" w:cs="Courier New" w:eastAsia="Courier New" w:hAnsi="Courier New"/>
                <w:sz w:val="16"/>
                <w:szCs w:val="16"/>
                <w:color w:val="auto"/>
              </w:rPr>
              <w:t>617,253,959(4)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through TI profit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sharing plans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1" w:right="4120" w:hanging="1"/>
        <w:spacing w:after="0" w:line="244" w:lineRule="auto"/>
        <w:tabs>
          <w:tab w:leader="none" w:pos="48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nonqualified options may become exercisable on a graduated basis beginning after one year if specified earnings per share levels are attained. These options are fully exercisable during the ninth and tenth year without regard to earnings per share and also may become fully exercisable in the event of a change in control (as defined in the options) of the Company.</w:t>
      </w:r>
    </w:p>
    <w:p>
      <w:pPr>
        <w:spacing w:after="0" w:line="187" w:lineRule="exact"/>
        <w:rPr>
          <w:sz w:val="20"/>
          <w:szCs w:val="20"/>
          <w:color w:val="auto"/>
        </w:rPr>
      </w:pPr>
    </w:p>
    <w:p>
      <w:pPr>
        <w:ind w:left="1" w:right="4120"/>
        <w:spacing w:after="0" w:line="243" w:lineRule="auto"/>
        <w:rPr>
          <w:sz w:val="20"/>
          <w:szCs w:val="20"/>
          <w:color w:val="auto"/>
        </w:rPr>
      </w:pPr>
      <w:r>
        <w:rPr>
          <w:rFonts w:ascii="Courier New" w:cs="Courier New" w:eastAsia="Courier New" w:hAnsi="Courier New"/>
          <w:sz w:val="16"/>
          <w:szCs w:val="16"/>
          <w:color w:val="auto"/>
        </w:rPr>
        <w:t>Currently, the exercise price may be paid by delivery of already-owned shares and tax withholding obligations related to exercise may be paid in shares, subject to certain conditions.</w:t>
      </w:r>
    </w:p>
    <w:p>
      <w:pPr>
        <w:spacing w:after="0" w:line="187" w:lineRule="exact"/>
        <w:rPr>
          <w:sz w:val="20"/>
          <w:szCs w:val="20"/>
          <w:color w:val="auto"/>
        </w:rPr>
      </w:pPr>
    </w:p>
    <w:p>
      <w:pPr>
        <w:ind w:left="481" w:hanging="481"/>
        <w:spacing w:after="0"/>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price of TI common stock at the end of the 10-year term of the</w:t>
      </w:r>
    </w:p>
    <w:p>
      <w:pPr>
        <w:spacing w:after="0" w:line="5" w:lineRule="exact"/>
        <w:rPr>
          <w:sz w:val="20"/>
          <w:szCs w:val="20"/>
          <w:color w:val="auto"/>
        </w:rPr>
      </w:pPr>
    </w:p>
    <w:p>
      <w:pPr>
        <w:ind w:left="1" w:right="4020"/>
        <w:spacing w:after="0" w:line="242" w:lineRule="auto"/>
        <w:rPr>
          <w:sz w:val="20"/>
          <w:szCs w:val="20"/>
          <w:color w:val="auto"/>
        </w:rPr>
      </w:pPr>
      <w:r>
        <w:rPr>
          <w:rFonts w:ascii="Courier New" w:cs="Courier New" w:eastAsia="Courier New" w:hAnsi="Courier New"/>
          <w:sz w:val="16"/>
          <w:szCs w:val="16"/>
          <w:color w:val="auto"/>
        </w:rPr>
        <w:t>stock options granted at a 5% annual appreciation would be $89.18 and at a 10% annual appreciation would be $142.01.</w:t>
      </w:r>
    </w:p>
    <w:p>
      <w:pPr>
        <w:spacing w:after="0" w:line="189" w:lineRule="exact"/>
        <w:rPr>
          <w:sz w:val="20"/>
          <w:szCs w:val="20"/>
          <w:color w:val="auto"/>
        </w:rPr>
      </w:pPr>
    </w:p>
    <w:p>
      <w:pPr>
        <w:ind w:left="1" w:right="4020" w:hanging="1"/>
        <w:spacing w:after="0" w:line="243" w:lineRule="auto"/>
        <w:tabs>
          <w:tab w:leader="none" w:pos="4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gain is calculated from $54.75, the exercise price of the options listed above, based on all the outstanding shares of common stock on April 15, 1993, the grant date of the options.</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data presented for all employees represents the gain employees</w:t>
      </w:r>
    </w:p>
    <w:p>
      <w:pPr>
        <w:spacing w:after="0" w:line="5" w:lineRule="exact"/>
        <w:rPr>
          <w:sz w:val="20"/>
          <w:szCs w:val="20"/>
          <w:color w:val="auto"/>
        </w:rPr>
      </w:pPr>
    </w:p>
    <w:p>
      <w:pPr>
        <w:ind w:left="1" w:right="4120"/>
        <w:spacing w:after="0" w:line="243" w:lineRule="auto"/>
        <w:rPr>
          <w:sz w:val="20"/>
          <w:szCs w:val="20"/>
          <w:color w:val="auto"/>
        </w:rPr>
      </w:pPr>
      <w:r>
        <w:rPr>
          <w:rFonts w:ascii="Courier New" w:cs="Courier New" w:eastAsia="Courier New" w:hAnsi="Courier New"/>
          <w:sz w:val="16"/>
          <w:szCs w:val="16"/>
          <w:color w:val="auto"/>
        </w:rPr>
        <w:t>would realize through the appreciation of the stock price of TI stock held in TI profit sharing plans from the date of grant of the stock options listed above, assuming 5% and 10% annual appreciation over the 10-year option term.</w:t>
      </w:r>
    </w:p>
    <w:p>
      <w:pPr>
        <w:spacing w:after="0" w:line="187" w:lineRule="exact"/>
        <w:rPr>
          <w:sz w:val="20"/>
          <w:szCs w:val="20"/>
          <w:color w:val="auto"/>
        </w:rPr>
      </w:pPr>
    </w:p>
    <w:p>
      <w:pPr>
        <w:ind w:left="3561"/>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521"/>
          </w:cols>
          <w:pgMar w:left="239" w:top="485" w:right="139" w:bottom="1440" w:gutter="0" w:footer="0" w:header="0"/>
        </w:sectPr>
      </w:pPr>
    </w:p>
    <w:bookmarkStart w:id="11" w:name="page12"/>
    <w:bookmarkEnd w:id="11"/>
    <w:p>
      <w:pPr>
        <w:ind w:left="1"/>
        <w:spacing w:after="0"/>
        <w:rPr>
          <w:sz w:val="20"/>
          <w:szCs w:val="20"/>
          <w:color w:val="auto"/>
        </w:rPr>
      </w:pPr>
      <w:r>
        <w:rPr>
          <w:rFonts w:ascii="Courier New" w:cs="Courier New" w:eastAsia="Courier New" w:hAnsi="Courier New"/>
          <w:sz w:val="16"/>
          <w:szCs w:val="16"/>
          <w:color w:val="auto"/>
        </w:rPr>
        <w:t>Table of Option Exercises in 1993 and Year-End Option Values</w:t>
      </w:r>
    </w:p>
    <w:p>
      <w:pPr>
        <w:spacing w:after="0" w:line="190" w:lineRule="exact"/>
        <w:rPr>
          <w:sz w:val="20"/>
          <w:szCs w:val="20"/>
          <w:color w:val="auto"/>
        </w:rPr>
      </w:pPr>
    </w:p>
    <w:p>
      <w:pPr>
        <w:ind w:left="1" w:right="3360"/>
        <w:spacing w:after="0" w:line="243" w:lineRule="auto"/>
        <w:rPr>
          <w:sz w:val="20"/>
          <w:szCs w:val="20"/>
          <w:color w:val="auto"/>
        </w:rPr>
      </w:pPr>
      <w:r>
        <w:rPr>
          <w:rFonts w:ascii="Courier New" w:cs="Courier New" w:eastAsia="Courier New" w:hAnsi="Courier New"/>
          <w:sz w:val="16"/>
          <w:szCs w:val="16"/>
          <w:color w:val="auto"/>
        </w:rPr>
        <w:t>The following table sets forth information with respect to the named executive officers concerning the exercise of options during 1993, and unexercised options held as of December 31, 1993.</w:t>
      </w:r>
    </w:p>
    <w:p>
      <w:pPr>
        <w:spacing w:after="0" w:line="200" w:lineRule="exact"/>
        <w:rPr>
          <w:sz w:val="20"/>
          <w:szCs w:val="20"/>
          <w:color w:val="auto"/>
        </w:rPr>
      </w:pPr>
    </w:p>
    <w:p>
      <w:pPr>
        <w:spacing w:after="0" w:line="356"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1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6"/>
                <w:szCs w:val="16"/>
                <w:color w:val="auto"/>
              </w:rPr>
              <w:t>Value of</w:t>
            </w:r>
          </w:p>
        </w:tc>
        <w:tc>
          <w:tcPr>
            <w:tcW w:w="1300" w:type="dxa"/>
            <w:vAlign w:val="bottom"/>
          </w:tcPr>
          <w:p>
            <w:pPr>
              <w:spacing w:after="0"/>
              <w:rPr>
                <w:sz w:val="15"/>
                <w:szCs w:val="15"/>
                <w:color w:val="auto"/>
              </w:rPr>
            </w:pPr>
          </w:p>
        </w:tc>
      </w:tr>
      <w:tr>
        <w:trPr>
          <w:trHeight w:val="185"/>
        </w:trPr>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Number of</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rPr>
              <w:t>Unexercised</w:t>
            </w:r>
          </w:p>
        </w:tc>
      </w:tr>
      <w:tr>
        <w:trPr>
          <w:trHeight w:val="185"/>
        </w:trPr>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Unexercised</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rPr>
              <w:t>In-the-Money</w:t>
            </w:r>
          </w:p>
        </w:tc>
      </w:tr>
      <w:tr>
        <w:trPr>
          <w:trHeight w:val="185"/>
        </w:trPr>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Options at</w:t>
            </w: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Options at</w:t>
            </w:r>
          </w:p>
        </w:tc>
      </w:tr>
      <w:tr>
        <w:trPr>
          <w:trHeight w:val="185"/>
        </w:trPr>
        <w:tc>
          <w:tcPr>
            <w:tcW w:w="1340" w:type="dxa"/>
            <w:vAlign w:val="bottom"/>
          </w:tcPr>
          <w:p>
            <w:pPr>
              <w:spacing w:after="0"/>
              <w:rPr>
                <w:sz w:val="16"/>
                <w:szCs w:val="16"/>
                <w:color w:val="auto"/>
              </w:rPr>
            </w:pP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Shares</w:t>
            </w:r>
          </w:p>
        </w:tc>
        <w:tc>
          <w:tcPr>
            <w:tcW w:w="6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tcPr>
          <w:p>
            <w:pPr>
              <w:jc w:val="right"/>
              <w:ind w:right="260"/>
              <w:spacing w:after="0"/>
              <w:rPr>
                <w:sz w:val="20"/>
                <w:szCs w:val="20"/>
                <w:color w:val="auto"/>
              </w:rPr>
            </w:pPr>
            <w:r>
              <w:rPr>
                <w:rFonts w:ascii="Courier New" w:cs="Courier New" w:eastAsia="Courier New" w:hAnsi="Courier New"/>
                <w:sz w:val="16"/>
                <w:szCs w:val="16"/>
                <w:color w:val="auto"/>
                <w:w w:val="98"/>
              </w:rPr>
              <w:t>December 31, 1993(3)</w:t>
            </w:r>
          </w:p>
        </w:tc>
        <w:tc>
          <w:tcPr>
            <w:tcW w:w="24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December 31, 1993 (2)(3)</w:t>
            </w:r>
          </w:p>
        </w:tc>
        <w:tc>
          <w:tcPr>
            <w:tcW w:w="1300" w:type="dxa"/>
            <w:vAlign w:val="bottom"/>
          </w:tcPr>
          <w:p>
            <w:pPr>
              <w:spacing w:after="0"/>
              <w:rPr>
                <w:sz w:val="16"/>
                <w:szCs w:val="16"/>
                <w:color w:val="auto"/>
              </w:rPr>
            </w:pPr>
          </w:p>
        </w:tc>
      </w:tr>
      <w:tr>
        <w:trPr>
          <w:trHeight w:val="185"/>
        </w:trPr>
        <w:tc>
          <w:tcPr>
            <w:tcW w:w="13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Acquired on</w:t>
            </w:r>
          </w:p>
        </w:tc>
        <w:tc>
          <w:tcPr>
            <w:tcW w:w="660" w:type="dxa"/>
            <w:vAlign w:val="bottom"/>
          </w:tcPr>
          <w:p>
            <w:pPr>
              <w:spacing w:after="0"/>
              <w:rPr>
                <w:sz w:val="16"/>
                <w:szCs w:val="16"/>
                <w:color w:val="auto"/>
              </w:rPr>
            </w:pPr>
          </w:p>
        </w:tc>
        <w:tc>
          <w:tcPr>
            <w:tcW w:w="136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Value</w:t>
            </w:r>
          </w:p>
        </w:tc>
        <w:tc>
          <w:tcPr>
            <w:tcW w:w="148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6"/>
              </w:rPr>
              <w:t>-----------------------------</w:t>
            </w:r>
          </w:p>
        </w:tc>
        <w:tc>
          <w:tcPr>
            <w:tcW w:w="1060" w:type="dxa"/>
            <w:vAlign w:val="bottom"/>
          </w:tcPr>
          <w:p>
            <w:pPr>
              <w:spacing w:after="0"/>
              <w:rPr>
                <w:sz w:val="16"/>
                <w:szCs w:val="16"/>
                <w:color w:val="auto"/>
              </w:rPr>
            </w:pPr>
          </w:p>
        </w:tc>
        <w:tc>
          <w:tcPr>
            <w:tcW w:w="3700" w:type="dxa"/>
            <w:vAlign w:val="bottom"/>
            <w:gridSpan w:val="4"/>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185"/>
        </w:trPr>
        <w:tc>
          <w:tcPr>
            <w:tcW w:w="1340" w:type="dxa"/>
            <w:vAlign w:val="bottom"/>
          </w:tcPr>
          <w:p>
            <w:pPr>
              <w:ind w:left="380"/>
              <w:spacing w:after="0"/>
              <w:rPr>
                <w:sz w:val="20"/>
                <w:szCs w:val="20"/>
                <w:color w:val="auto"/>
              </w:rPr>
            </w:pPr>
            <w:r>
              <w:rPr>
                <w:rFonts w:ascii="Courier New" w:cs="Courier New" w:eastAsia="Courier New" w:hAnsi="Courier New"/>
                <w:sz w:val="16"/>
                <w:szCs w:val="16"/>
                <w:color w:val="auto"/>
              </w:rPr>
              <w:t>Name</w:t>
            </w:r>
          </w:p>
        </w:tc>
        <w:tc>
          <w:tcPr>
            <w:tcW w:w="1260" w:type="dxa"/>
            <w:vAlign w:val="bottom"/>
          </w:tcPr>
          <w:p>
            <w:pPr>
              <w:jc w:val="right"/>
              <w:ind w:right="120"/>
              <w:spacing w:after="0"/>
              <w:rPr>
                <w:sz w:val="20"/>
                <w:szCs w:val="20"/>
                <w:color w:val="auto"/>
              </w:rPr>
            </w:pPr>
            <w:r>
              <w:rPr>
                <w:rFonts w:ascii="Courier New" w:cs="Courier New" w:eastAsia="Courier New" w:hAnsi="Courier New"/>
                <w:sz w:val="16"/>
                <w:szCs w:val="16"/>
                <w:color w:val="auto"/>
                <w:w w:val="98"/>
              </w:rPr>
              <w:t>Exercise(1)</w:t>
            </w:r>
          </w:p>
        </w:tc>
        <w:tc>
          <w:tcPr>
            <w:tcW w:w="2300" w:type="dxa"/>
            <w:vAlign w:val="bottom"/>
            <w:gridSpan w:val="3"/>
          </w:tcPr>
          <w:p>
            <w:pPr>
              <w:spacing w:after="0"/>
              <w:rPr>
                <w:sz w:val="20"/>
                <w:szCs w:val="20"/>
                <w:color w:val="auto"/>
              </w:rPr>
            </w:pPr>
            <w:r>
              <w:rPr>
                <w:rFonts w:ascii="Courier New" w:cs="Courier New" w:eastAsia="Courier New" w:hAnsi="Courier New"/>
                <w:sz w:val="16"/>
                <w:szCs w:val="16"/>
                <w:color w:val="auto"/>
                <w:w w:val="98"/>
              </w:rPr>
              <w:t>Realized(2)  Exercisable</w:t>
            </w:r>
          </w:p>
        </w:tc>
        <w:tc>
          <w:tcPr>
            <w:tcW w:w="3740" w:type="dxa"/>
            <w:vAlign w:val="bottom"/>
            <w:gridSpan w:val="4"/>
          </w:tcPr>
          <w:p>
            <w:pPr>
              <w:jc w:val="right"/>
              <w:ind w:right="680"/>
              <w:spacing w:after="0"/>
              <w:rPr>
                <w:sz w:val="20"/>
                <w:szCs w:val="20"/>
                <w:color w:val="auto"/>
              </w:rPr>
            </w:pPr>
            <w:r>
              <w:rPr>
                <w:rFonts w:ascii="Courier New" w:cs="Courier New" w:eastAsia="Courier New" w:hAnsi="Courier New"/>
                <w:sz w:val="16"/>
                <w:szCs w:val="16"/>
                <w:color w:val="auto"/>
              </w:rPr>
              <w:t>Unexercisable  Exercisable</w:t>
            </w:r>
          </w:p>
        </w:tc>
        <w:tc>
          <w:tcPr>
            <w:tcW w:w="2220" w:type="dxa"/>
            <w:vAlign w:val="bottom"/>
            <w:gridSpan w:val="2"/>
          </w:tcPr>
          <w:p>
            <w:pPr>
              <w:spacing w:after="0"/>
              <w:rPr>
                <w:sz w:val="20"/>
                <w:szCs w:val="20"/>
                <w:color w:val="auto"/>
              </w:rPr>
            </w:pPr>
            <w:r>
              <w:rPr>
                <w:rFonts w:ascii="Courier New" w:cs="Courier New" w:eastAsia="Courier New" w:hAnsi="Courier New"/>
                <w:sz w:val="16"/>
                <w:szCs w:val="16"/>
                <w:color w:val="auto"/>
              </w:rPr>
              <w:t>Unexercisable</w:t>
            </w:r>
          </w:p>
        </w:tc>
      </w:tr>
      <w:tr>
        <w:trPr>
          <w:trHeight w:val="185"/>
        </w:trPr>
        <w:tc>
          <w:tcPr>
            <w:tcW w:w="2600" w:type="dxa"/>
            <w:vAlign w:val="bottom"/>
            <w:gridSpan w:val="2"/>
          </w:tcPr>
          <w:p>
            <w:pPr>
              <w:spacing w:after="0"/>
              <w:rPr>
                <w:sz w:val="20"/>
                <w:szCs w:val="20"/>
                <w:color w:val="auto"/>
              </w:rPr>
            </w:pPr>
            <w:r>
              <w:rPr>
                <w:rFonts w:ascii="Courier New" w:cs="Courier New" w:eastAsia="Courier New" w:hAnsi="Courier New"/>
                <w:sz w:val="16"/>
                <w:szCs w:val="16"/>
                <w:color w:val="auto"/>
                <w:w w:val="86"/>
              </w:rPr>
              <w:t>- ------------- ---------------</w:t>
            </w:r>
          </w:p>
        </w:tc>
        <w:tc>
          <w:tcPr>
            <w:tcW w:w="202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w:t>
            </w:r>
          </w:p>
        </w:tc>
        <w:tc>
          <w:tcPr>
            <w:tcW w:w="148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78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w w:val="98"/>
              </w:rPr>
              <w:t>-----------</w:t>
            </w: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r>
      <w:tr>
        <w:trPr>
          <w:trHeight w:val="370"/>
        </w:trPr>
        <w:tc>
          <w:tcPr>
            <w:tcW w:w="1340" w:type="dxa"/>
            <w:vAlign w:val="bottom"/>
          </w:tcPr>
          <w:p>
            <w:pPr>
              <w:spacing w:after="0"/>
              <w:rPr>
                <w:sz w:val="20"/>
                <w:szCs w:val="20"/>
                <w:color w:val="auto"/>
              </w:rPr>
            </w:pPr>
            <w:r>
              <w:rPr>
                <w:rFonts w:ascii="Courier New" w:cs="Courier New" w:eastAsia="Courier New" w:hAnsi="Courier New"/>
                <w:sz w:val="16"/>
                <w:szCs w:val="16"/>
                <w:color w:val="auto"/>
              </w:rPr>
              <w:t>J.R. Junkins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32,310</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921,800</w:t>
            </w:r>
          </w:p>
        </w:tc>
        <w:tc>
          <w:tcPr>
            <w:tcW w:w="1480" w:type="dxa"/>
            <w:vAlign w:val="bottom"/>
            <w:gridSpan w:val="2"/>
          </w:tcPr>
          <w:p>
            <w:pPr>
              <w:jc w:val="right"/>
              <w:ind w:right="540"/>
              <w:spacing w:after="0"/>
              <w:rPr>
                <w:sz w:val="20"/>
                <w:szCs w:val="20"/>
                <w:color w:val="auto"/>
              </w:rPr>
            </w:pPr>
            <w:r>
              <w:rPr>
                <w:rFonts w:ascii="Courier New" w:cs="Courier New" w:eastAsia="Courier New" w:hAnsi="Courier New"/>
                <w:sz w:val="16"/>
                <w:szCs w:val="16"/>
                <w:color w:val="auto"/>
              </w:rPr>
              <w:t>165,452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258,238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4,577,705</w:t>
            </w:r>
          </w:p>
        </w:tc>
        <w:tc>
          <w:tcPr>
            <w:tcW w:w="920" w:type="dxa"/>
            <w:vAlign w:val="bottom"/>
          </w:tcPr>
          <w:p>
            <w:pPr>
              <w:spacing w:after="0"/>
              <w:rPr>
                <w:sz w:val="24"/>
                <w:szCs w:val="24"/>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$6,092,583</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W.B. Mitchell</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72,762</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w w:val="99"/>
              </w:rPr>
              <w:t>1,204,123</w:t>
            </w:r>
          </w:p>
        </w:tc>
        <w:tc>
          <w:tcPr>
            <w:tcW w:w="2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124,238</w:t>
            </w:r>
          </w:p>
        </w:tc>
        <w:tc>
          <w:tcPr>
            <w:tcW w:w="6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c>
          <w:tcPr>
            <w:tcW w:w="92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$2,943,533</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W.P. Weber</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30,000</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591,750</w:t>
            </w:r>
          </w:p>
        </w:tc>
        <w:tc>
          <w:tcPr>
            <w:tcW w:w="2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7"/>
              </w:rPr>
              <w:t>48,762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128,238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w w:val="97"/>
              </w:rPr>
              <w:t>1,110,617</w:t>
            </w:r>
          </w:p>
        </w:tc>
        <w:tc>
          <w:tcPr>
            <w:tcW w:w="92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$3,026,843</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W.F. Hayes</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13,876</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296,048</w:t>
            </w:r>
          </w:p>
        </w:tc>
        <w:tc>
          <w:tcPr>
            <w:tcW w:w="2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w w:val="97"/>
              </w:rPr>
              <w:t>28,174</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60,450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589,508</w:t>
            </w:r>
          </w:p>
        </w:tc>
        <w:tc>
          <w:tcPr>
            <w:tcW w:w="92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$1,358,078</w:t>
            </w:r>
          </w:p>
        </w:tc>
      </w:tr>
      <w:tr>
        <w:trPr>
          <w:trHeight w:val="185"/>
        </w:trPr>
        <w:tc>
          <w:tcPr>
            <w:tcW w:w="1340" w:type="dxa"/>
            <w:vAlign w:val="bottom"/>
          </w:tcPr>
          <w:p>
            <w:pPr>
              <w:spacing w:after="0"/>
              <w:rPr>
                <w:sz w:val="20"/>
                <w:szCs w:val="20"/>
                <w:color w:val="auto"/>
              </w:rPr>
            </w:pPr>
            <w:r>
              <w:rPr>
                <w:rFonts w:ascii="Courier New" w:cs="Courier New" w:eastAsia="Courier New" w:hAnsi="Courier New"/>
                <w:sz w:val="16"/>
                <w:szCs w:val="16"/>
                <w:color w:val="auto"/>
              </w:rPr>
              <w:t>R.J. Agnich</w:t>
            </w:r>
          </w:p>
        </w:tc>
        <w:tc>
          <w:tcPr>
            <w:tcW w:w="12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27,159</w:t>
            </w:r>
          </w:p>
        </w:tc>
        <w:tc>
          <w:tcPr>
            <w:tcW w:w="660" w:type="dxa"/>
            <w:vAlign w:val="bottom"/>
          </w:tcPr>
          <w:p>
            <w:pPr>
              <w:ind w:left="560"/>
              <w:spacing w:after="0"/>
              <w:rPr>
                <w:sz w:val="20"/>
                <w:szCs w:val="20"/>
                <w:color w:val="auto"/>
              </w:rPr>
            </w:pPr>
            <w:r>
              <w:rPr>
                <w:rFonts w:ascii="Courier New" w:cs="Courier New" w:eastAsia="Courier New" w:hAnsi="Courier New"/>
                <w:sz w:val="16"/>
                <w:szCs w:val="16"/>
                <w:color w:val="auto"/>
                <w:w w:val="82"/>
              </w:rPr>
              <w:t>$</w:t>
            </w:r>
          </w:p>
        </w:tc>
        <w:tc>
          <w:tcPr>
            <w:tcW w:w="13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775,215</w:t>
            </w:r>
          </w:p>
        </w:tc>
        <w:tc>
          <w:tcPr>
            <w:tcW w:w="280" w:type="dxa"/>
            <w:vAlign w:val="bottom"/>
          </w:tcPr>
          <w:p>
            <w:pPr>
              <w:spacing w:after="0"/>
              <w:rPr>
                <w:sz w:val="16"/>
                <w:szCs w:val="16"/>
                <w:color w:val="auto"/>
              </w:rPr>
            </w:pPr>
          </w:p>
        </w:tc>
        <w:tc>
          <w:tcPr>
            <w:tcW w:w="120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4,302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75,288</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81,463</w:t>
            </w:r>
          </w:p>
        </w:tc>
        <w:tc>
          <w:tcPr>
            <w:tcW w:w="92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Courier New" w:cs="Courier New" w:eastAsia="Courier New" w:hAnsi="Courier New"/>
                <w:sz w:val="16"/>
                <w:szCs w:val="16"/>
                <w:color w:val="auto"/>
              </w:rPr>
              <w:t>$1,708,640</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1" w:hanging="481"/>
        <w:spacing w:after="0"/>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These shares were acquired upon the exercise of options granted from</w:t>
      </w:r>
    </w:p>
    <w:p>
      <w:pPr>
        <w:spacing w:after="0" w:line="5" w:lineRule="exact"/>
        <w:rPr>
          <w:rFonts w:ascii="Courier New" w:cs="Courier New" w:eastAsia="Courier New" w:hAnsi="Courier New"/>
          <w:sz w:val="16"/>
          <w:szCs w:val="16"/>
          <w:color w:val="auto"/>
        </w:rPr>
      </w:pPr>
    </w:p>
    <w:p>
      <w:pPr>
        <w:ind w:left="1" w:right="3460"/>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1983 through 1985 in the case of Mr. Junkins; from 1983 through 1988 in the case of Mr. Mitchell; in 1984 in the case of Mr. Weber; and 1983 through 1986 in the case of Messrs. Hayes and Agnich.</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value of underlying securities at exercise date or year-end,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the case may be, minus the exercise price.</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(3) Exercisable options or portions thereof relate to options granted</w:t>
      </w:r>
    </w:p>
    <w:p>
      <w:pPr>
        <w:spacing w:after="0" w:line="5" w:lineRule="exact"/>
        <w:rPr>
          <w:sz w:val="20"/>
          <w:szCs w:val="20"/>
          <w:color w:val="auto"/>
        </w:rPr>
      </w:pPr>
    </w:p>
    <w:p>
      <w:pPr>
        <w:ind w:left="1" w:right="3460"/>
        <w:spacing w:after="0" w:line="242" w:lineRule="auto"/>
        <w:rPr>
          <w:sz w:val="20"/>
          <w:szCs w:val="20"/>
          <w:color w:val="auto"/>
        </w:rPr>
      </w:pPr>
      <w:r>
        <w:rPr>
          <w:rFonts w:ascii="Courier New" w:cs="Courier New" w:eastAsia="Courier New" w:hAnsi="Courier New"/>
          <w:sz w:val="16"/>
          <w:szCs w:val="16"/>
          <w:color w:val="auto"/>
        </w:rPr>
        <w:t>during 1985-1988; unexercisable options or portions thereof relate to options granted during 1985-1993.</w:t>
      </w:r>
    </w:p>
    <w:p>
      <w:pPr>
        <w:spacing w:after="0" w:line="372"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861"/>
          </w:cols>
          <w:pgMar w:left="239" w:top="485" w:right="799" w:bottom="1440" w:gutter="0" w:footer="0" w:header="0"/>
        </w:sectPr>
      </w:pPr>
    </w:p>
    <w:bookmarkStart w:id="12" w:name="page13"/>
    <w:bookmarkEnd w:id="12"/>
    <w:p>
      <w:pPr>
        <w:ind w:left="1"/>
        <w:spacing w:after="0"/>
        <w:rPr>
          <w:sz w:val="20"/>
          <w:szCs w:val="20"/>
          <w:color w:val="auto"/>
        </w:rPr>
      </w:pPr>
      <w:r>
        <w:rPr>
          <w:rFonts w:ascii="Courier New" w:cs="Courier New" w:eastAsia="Courier New" w:hAnsi="Courier New"/>
          <w:sz w:val="16"/>
          <w:szCs w:val="16"/>
          <w:color w:val="auto"/>
        </w:rPr>
        <w:t>Pension Plan Table</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The following table sets forth the approximate annual benefits relating to the U.S. pension plan that would be payable as of December 31, 1993 under various assumptions as to average credited earnings (as defined in the plan) and years of credited service (as defined in the plan) to employees in higher salary classifications who are 65 years of age as of such date. Benefits are based on eligible earnings. Eligible earnings include (a) salary as shown in the summary compensation table; (b) bonus as shown in the summary compensation table; and (c) the value, at the time of payment, of stock awarded under the Company's former Incentive Compensation Plan (see "Restricted Stock Awards" column, and related footnote, in the summary compensation table). Other elements of compensation shown in the summary compensation table or referred to in the footnotes to that table are not included in eligible earnings.</w:t>
      </w:r>
    </w:p>
    <w:p>
      <w:pPr>
        <w:spacing w:after="0" w:line="37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Estimated</w:t>
            </w:r>
          </w:p>
        </w:tc>
        <w:tc>
          <w:tcPr>
            <w:tcW w:w="3840" w:type="dxa"/>
            <w:vAlign w:val="bottom"/>
            <w:gridSpan w:val="4"/>
          </w:tcPr>
          <w:p>
            <w:pPr>
              <w:spacing w:after="0"/>
              <w:rPr>
                <w:sz w:val="20"/>
                <w:szCs w:val="20"/>
                <w:color w:val="auto"/>
              </w:rPr>
            </w:pPr>
            <w:r>
              <w:rPr>
                <w:rFonts w:ascii="Courier New" w:cs="Courier New" w:eastAsia="Courier New" w:hAnsi="Courier New"/>
                <w:sz w:val="16"/>
                <w:szCs w:val="16"/>
                <w:color w:val="auto"/>
              </w:rPr>
              <w:t>Annual Benefits Under Pension Plan for</w:t>
            </w:r>
          </w:p>
        </w:tc>
        <w:tc>
          <w:tcPr>
            <w:tcW w:w="960" w:type="dxa"/>
            <w:vAlign w:val="bottom"/>
          </w:tcPr>
          <w:p>
            <w:pPr>
              <w:spacing w:after="0"/>
              <w:rPr>
                <w:sz w:val="15"/>
                <w:szCs w:val="15"/>
                <w:color w:val="auto"/>
              </w:rPr>
            </w:pPr>
          </w:p>
        </w:tc>
      </w:tr>
      <w:tr>
        <w:trPr>
          <w:trHeight w:val="185"/>
        </w:trPr>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60" w:type="dxa"/>
            <w:vAlign w:val="bottom"/>
          </w:tcPr>
          <w:p>
            <w:pPr>
              <w:spacing w:after="0"/>
              <w:rPr>
                <w:sz w:val="20"/>
                <w:szCs w:val="20"/>
                <w:color w:val="auto"/>
              </w:rPr>
            </w:pPr>
            <w:r>
              <w:rPr>
                <w:rFonts w:ascii="Courier New" w:cs="Courier New" w:eastAsia="Courier New" w:hAnsi="Courier New"/>
                <w:sz w:val="16"/>
                <w:szCs w:val="16"/>
                <w:color w:val="auto"/>
              </w:rPr>
              <w:t>Specified</w:t>
            </w:r>
          </w:p>
        </w:tc>
        <w:tc>
          <w:tcPr>
            <w:tcW w:w="3840" w:type="dxa"/>
            <w:vAlign w:val="bottom"/>
            <w:gridSpan w:val="4"/>
          </w:tcPr>
          <w:p>
            <w:pPr>
              <w:spacing w:after="0"/>
              <w:rPr>
                <w:sz w:val="20"/>
                <w:szCs w:val="20"/>
                <w:color w:val="auto"/>
              </w:rPr>
            </w:pPr>
            <w:r>
              <w:rPr>
                <w:rFonts w:ascii="Courier New" w:cs="Courier New" w:eastAsia="Courier New" w:hAnsi="Courier New"/>
                <w:sz w:val="16"/>
                <w:szCs w:val="16"/>
                <w:color w:val="auto"/>
              </w:rPr>
              <w:t>Years of Credited Service(2)(3)</w:t>
            </w:r>
          </w:p>
        </w:tc>
        <w:tc>
          <w:tcPr>
            <w:tcW w:w="960" w:type="dxa"/>
            <w:vAlign w:val="bottom"/>
          </w:tcPr>
          <w:p>
            <w:pPr>
              <w:spacing w:after="0"/>
              <w:rPr>
                <w:sz w:val="16"/>
                <w:szCs w:val="16"/>
                <w:color w:val="auto"/>
              </w:rPr>
            </w:pP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Average</w:t>
            </w:r>
          </w:p>
        </w:tc>
        <w:tc>
          <w:tcPr>
            <w:tcW w:w="202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7"/>
              </w:rPr>
              <w:t>--------------------------------------------------------------------</w:t>
            </w: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Credited</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1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(1)   15</w:t>
            </w:r>
          </w:p>
        </w:tc>
        <w:tc>
          <w:tcPr>
            <w:tcW w:w="6820" w:type="dxa"/>
            <w:vAlign w:val="bottom"/>
            <w:gridSpan w:val="7"/>
          </w:tcPr>
          <w:p>
            <w:pPr>
              <w:spacing w:after="0"/>
              <w:rPr>
                <w:sz w:val="20"/>
                <w:szCs w:val="20"/>
                <w:color w:val="auto"/>
              </w:rPr>
            </w:pPr>
            <w:r>
              <w:rPr>
                <w:rFonts w:ascii="Courier New" w:cs="Courier New" w:eastAsia="Courier New" w:hAnsi="Courier New"/>
                <w:sz w:val="16"/>
                <w:szCs w:val="16"/>
                <w:color w:val="auto"/>
              </w:rPr>
              <w:t>Years  20 Years  25 Years  30 Years  35 Years  40 Years  45 Years</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w w:val="87"/>
              </w:rPr>
              <w:t>- --------</w:t>
            </w:r>
          </w:p>
        </w:tc>
        <w:tc>
          <w:tcPr>
            <w:tcW w:w="1060" w:type="dxa"/>
            <w:vAlign w:val="bottom"/>
          </w:tcPr>
          <w:p>
            <w:pPr>
              <w:ind w:left="30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w w:val="96"/>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860" w:type="dxa"/>
            <w:vAlign w:val="bottom"/>
          </w:tcPr>
          <w:p>
            <w:pPr>
              <w:spacing w:after="0"/>
              <w:rPr>
                <w:sz w:val="20"/>
                <w:szCs w:val="20"/>
                <w:color w:val="auto"/>
              </w:rPr>
            </w:pPr>
            <w:r>
              <w:rPr>
                <w:rFonts w:ascii="Courier New" w:cs="Courier New" w:eastAsia="Courier New" w:hAnsi="Courier New"/>
                <w:sz w:val="16"/>
                <w:szCs w:val="16"/>
                <w:color w:val="auto"/>
              </w:rPr>
              <w:t>$250,000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$ 53,694</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$ 71,593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$ 89,491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$107,389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$125,287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$144,037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$162,787</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$350,000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$ 76,194</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$101,593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$126,991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$152,389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$177,787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$204,037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$230,287</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$450,000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$ 98,694</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$131,593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$164,491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$197,389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$230,287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$264,037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$297,787</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$550,000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$121,194</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$161,593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$201,991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$242,389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$282,787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$324,037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$365,287</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$650,000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$143,694</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$191,593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$239,491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$287,389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$335,287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$384,037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$432,787</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$750,000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$166,194</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$221,593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$276,991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$332,389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$387,787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$444,037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$500,287</w:t>
            </w:r>
          </w:p>
        </w:tc>
      </w:tr>
      <w:tr>
        <w:trPr>
          <w:trHeight w:val="185"/>
        </w:trPr>
        <w:tc>
          <w:tcPr>
            <w:tcW w:w="860" w:type="dxa"/>
            <w:vAlign w:val="bottom"/>
          </w:tcPr>
          <w:p>
            <w:pPr>
              <w:spacing w:after="0"/>
              <w:rPr>
                <w:sz w:val="20"/>
                <w:szCs w:val="20"/>
                <w:color w:val="auto"/>
              </w:rPr>
            </w:pPr>
            <w:r>
              <w:rPr>
                <w:rFonts w:ascii="Courier New" w:cs="Courier New" w:eastAsia="Courier New" w:hAnsi="Courier New"/>
                <w:sz w:val="16"/>
                <w:szCs w:val="16"/>
                <w:color w:val="auto"/>
              </w:rPr>
              <w:t>$850,000</w:t>
            </w:r>
          </w:p>
        </w:tc>
        <w:tc>
          <w:tcPr>
            <w:tcW w:w="1060" w:type="dxa"/>
            <w:vAlign w:val="bottom"/>
          </w:tcPr>
          <w:p>
            <w:pPr>
              <w:ind w:left="100"/>
              <w:spacing w:after="0"/>
              <w:rPr>
                <w:sz w:val="20"/>
                <w:szCs w:val="20"/>
                <w:color w:val="auto"/>
              </w:rPr>
            </w:pPr>
            <w:r>
              <w:rPr>
                <w:rFonts w:ascii="Courier New" w:cs="Courier New" w:eastAsia="Courier New" w:hAnsi="Courier New"/>
                <w:sz w:val="16"/>
                <w:szCs w:val="16"/>
                <w:color w:val="auto"/>
              </w:rPr>
              <w:t>$188,694</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$251,593</w:t>
            </w:r>
          </w:p>
        </w:tc>
        <w:tc>
          <w:tcPr>
            <w:tcW w:w="960" w:type="dxa"/>
            <w:vAlign w:val="bottom"/>
          </w:tcPr>
          <w:p>
            <w:pPr>
              <w:spacing w:after="0"/>
              <w:rPr>
                <w:sz w:val="20"/>
                <w:szCs w:val="20"/>
                <w:color w:val="auto"/>
              </w:rPr>
            </w:pPr>
            <w:r>
              <w:rPr>
                <w:rFonts w:ascii="Courier New" w:cs="Courier New" w:eastAsia="Courier New" w:hAnsi="Courier New"/>
                <w:sz w:val="16"/>
                <w:szCs w:val="16"/>
                <w:color w:val="auto"/>
              </w:rPr>
              <w:t>$314,491</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$377,389</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$440,287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$504,037</w:t>
            </w:r>
          </w:p>
        </w:tc>
        <w:tc>
          <w:tcPr>
            <w:tcW w:w="960" w:type="dxa"/>
            <w:vAlign w:val="bottom"/>
          </w:tcPr>
          <w:p>
            <w:pPr>
              <w:jc w:val="right"/>
              <w:ind w:right="100"/>
              <w:spacing w:after="0"/>
              <w:rPr>
                <w:sz w:val="20"/>
                <w:szCs w:val="20"/>
                <w:color w:val="auto"/>
              </w:rPr>
            </w:pPr>
            <w:r>
              <w:rPr>
                <w:rFonts w:ascii="Courier New" w:cs="Courier New" w:eastAsia="Courier New" w:hAnsi="Courier New"/>
                <w:sz w:val="16"/>
                <w:szCs w:val="16"/>
                <w:color w:val="auto"/>
                <w:w w:val="98"/>
              </w:rPr>
              <w:t>$567,787</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481" w:hanging="481"/>
        <w:spacing w:after="0"/>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Calculated by dividing (a) the average annual eligible earnings</w:t>
      </w:r>
    </w:p>
    <w:p>
      <w:pPr>
        <w:spacing w:after="0" w:line="5"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during the five consecutive years of highest earnings prior to 1993 multiplied by the total years of credited service prior to 1993, plus 1993 eligible earnings, by (b) the total years of credited service.</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At December 31, 1993, the named executive officers were credited with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following years of credited service and had the following average credited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earnings, respectively, under the U.S. pension plan: Mr. Junkins, 35 years,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$767,137; Mr. Mitchell, 32 years, $404,737; Mr. Weber, 32 years, $443,324; Mr.</w:t>
      </w:r>
    </w:p>
    <w:p>
      <w:pPr>
        <w:spacing w:after="0" w:line="4" w:lineRule="exact"/>
        <w:rPr>
          <w:sz w:val="20"/>
          <w:szCs w:val="20"/>
          <w:color w:val="auto"/>
        </w:rPr>
      </w:pPr>
    </w:p>
    <w:p>
      <w:pPr>
        <w:ind w:left="1"/>
        <w:spacing w:after="0"/>
        <w:tabs>
          <w:tab w:leader="none" w:pos="3061" w:val="left"/>
        </w:tabs>
        <w:rPr>
          <w:sz w:val="20"/>
          <w:szCs w:val="20"/>
          <w:color w:val="auto"/>
        </w:rPr>
      </w:pPr>
      <w:r>
        <w:rPr>
          <w:rFonts w:ascii="Courier New" w:cs="Courier New" w:eastAsia="Courier New" w:hAnsi="Courier New"/>
          <w:sz w:val="16"/>
          <w:szCs w:val="16"/>
          <w:color w:val="auto"/>
        </w:rPr>
        <w:t>Hayes, 26 years, $287,556; and</w:t>
        <w:tab/>
        <w:t>Mr. Agnich, 21 years, $335,978.</w:t>
      </w:r>
    </w:p>
    <w:p>
      <w:pPr>
        <w:spacing w:after="0" w:line="190" w:lineRule="exact"/>
        <w:rPr>
          <w:sz w:val="20"/>
          <w:szCs w:val="20"/>
          <w:color w:val="auto"/>
        </w:rPr>
      </w:pPr>
    </w:p>
    <w:p>
      <w:pPr>
        <w:ind w:left="1" w:right="2919" w:hanging="1"/>
        <w:spacing w:after="0" w:line="243" w:lineRule="auto"/>
        <w:tabs>
          <w:tab w:leader="none" w:pos="386"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amount otherwise payable under the pension plan should be restricted by the applicable provisions of the Employee Retirement Income Security Act, the amount in excess of the Act's restrictions will be paid by the Company.</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benefits under the plan are computed as single life annuity at</w:t>
      </w:r>
    </w:p>
    <w:p>
      <w:pPr>
        <w:spacing w:after="0" w:line="5"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age 65. The amounts shown in the table reflect the offset provided in the pension plan under the pension formula adopted July 1, 1989 to comply with social security integration requirements. The integration offset is $2,556 for 15 years of credited service, $3,407 for 20 years of credited service, $4,259 for 25 years of credited service, $5,111 for 30 years of credited service, $5,963 for 35 years of credited service, $5,963 for 40 years of credited service and $5,963 for 45 years of credited service.</w:t>
      </w:r>
    </w:p>
    <w:p>
      <w:pPr>
        <w:spacing w:after="0" w:line="186"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485"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Early Retirement Agreements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Company has a policy providing for optional early retirement agreements for the chairman of the board, the president and such other personnel as the board of directors may designate, upon attainment of age 58 and such minimum lengths of service as the board may specify. Participants enter into early retirement agreements with the Company which among other things prohibit competition with the Company until the attainment of age 69. Payments under the agreements are based on the difference between the retirement benefits the individual is to receive from the Company's U.S. pension plan and the retirement benefits the individual would have received from the pension plan had the individual remained in employment with the Company until the attainment of age 65 at a rate of compensation equal to the average annual eligible earnings (as defined in the pension plan) received during the three years immediately preceding early retirement. The individual may elect payment under the early retirement agreement in the form of monthly payments for life, monthly payments to the individual or the individual's estate or survivors until the date of the individual's 69th birthday, or a 50% joint and survivor's payment.</w:t>
      </w:r>
    </w:p>
    <w:p>
      <w:pPr>
        <w:spacing w:after="0" w:line="19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6"/>
          <w:szCs w:val="16"/>
          <w:color w:val="auto"/>
        </w:rPr>
        <w:t>12</w:t>
      </w:r>
    </w:p>
    <w:p>
      <w:pPr>
        <w:spacing w:after="0" w:line="18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COMPENSATION COMMITTEE REPORT ON EXECUTIVE COMPENSATION</w:t>
      </w:r>
    </w:p>
    <w:p>
      <w:pPr>
        <w:spacing w:after="0" w:line="190" w:lineRule="exact"/>
        <w:rPr>
          <w:sz w:val="20"/>
          <w:szCs w:val="20"/>
          <w:color w:val="auto"/>
        </w:rPr>
      </w:pPr>
    </w:p>
    <w:p>
      <w:pPr>
        <w:ind w:right="3399"/>
        <w:spacing w:after="0" w:line="243" w:lineRule="auto"/>
        <w:rPr>
          <w:sz w:val="20"/>
          <w:szCs w:val="20"/>
          <w:color w:val="auto"/>
        </w:rPr>
      </w:pPr>
      <w:r>
        <w:rPr>
          <w:rFonts w:ascii="Courier New" w:cs="Courier New" w:eastAsia="Courier New" w:hAnsi="Courier New"/>
          <w:sz w:val="16"/>
          <w:szCs w:val="16"/>
          <w:color w:val="auto"/>
        </w:rPr>
        <w:t>The Compensation Committee of the board of directors has furnished the following report on executive compensation paid or awarded to executive officers for 1993:</w:t>
      </w:r>
    </w:p>
    <w:p>
      <w:pPr>
        <w:spacing w:after="0" w:line="189"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executive compensation program is administered by the Compensation Committee of the board of directors (the Committee), which is composed of the individuals listed below, all of whom are independent directors of the corporation. The program consists of base salaries, annual incentive awards and long-term compensation. At higher management levels, the mix of compensation is weighted more to the performance-based components--annual incentive and long-term compensation.</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determining the compensation of the executive officers, the Committee considered guidelines developed for each component of compensation. As indicated below, the guidelines took account of compensation practices of competitor companies (as reported in various surveys administered by national compensation consulting firms) and the relative performance of TI and competitor companies. The competitor companies are primarily major high-technology competitors in one or more of the markets - semiconductor, defense and information technology - in which the Company operates. While many of these companies are included in the S&amp;P High-Technology Composite Index appearing in the graph regarding total shareholder return on page 16, these companies are not the same as the companies comprising that index. Each guideline was set including the best available data from as many competitor companies as practicable. The Committee also considered the performance of the executive officers toward the Company's prior year and long-term strategic objectives; in this connection, the CEO made recommendations regarding the components of each executive's compensation package except his own.</w:t>
      </w:r>
    </w:p>
    <w:p>
      <w:pPr>
        <w:spacing w:after="0" w:line="193" w:lineRule="exact"/>
        <w:rPr>
          <w:sz w:val="20"/>
          <w:szCs w:val="20"/>
          <w:color w:val="auto"/>
        </w:rPr>
      </w:pPr>
    </w:p>
    <w:p>
      <w:pPr>
        <w:ind w:right="2919"/>
        <w:spacing w:after="0" w:line="243" w:lineRule="auto"/>
        <w:rPr>
          <w:sz w:val="20"/>
          <w:szCs w:val="20"/>
          <w:color w:val="auto"/>
        </w:rPr>
      </w:pPr>
      <w:r>
        <w:rPr>
          <w:rFonts w:ascii="Courier New" w:cs="Courier New" w:eastAsia="Courier New" w:hAnsi="Courier New"/>
          <w:sz w:val="16"/>
          <w:szCs w:val="16"/>
          <w:color w:val="auto"/>
        </w:rPr>
        <w:t>In its considerations, the Committee did not assign quantitative relative weights to different factors or follow mathematical formulae. Rather, the Committee exercised its discretion and made a judgment after considering the factors it deemed relevant.</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The Committee's decisions regarding 1993 executive compensation were designed to: (1) align the interests of executives with the interests of the stockholders by providing performance-based awards; and (2) allow the Company to compete for and retain executives critical to the Company's success by providing an opportunity for compensation that is comparable to the levels offered by other companies in our markets.</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Section 162(m) of the Internal Revenue Code denies a deduction to any publicly held corporation for compensation paid to a "covered employee" in a taxable year to the extent that the employee's compensation exceeds $1 million. In December 1993, the Internal Revenue Service published proposed regulations governing the $1 million deductibility cap. Pursuant to those proposed regulations, the Company's "covered employees" will be those who, at the end of the year, are the chief executive officer and the four other highest compensated officers of the Company as determined under the rules of the Securities and Exchange Commission governing executive compensation disclosure.</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Under the transitional rules set forth in the proposed regulations, all compensation attributable to stock options granted under the Company's Long-Term Incentive Plan prior to the Company's 1997 Annual Meeting is expected to qualify for deductibility under Section 162(m). Also, the Committee expects that the annual incentive awards granted to date to the Company's executive officers will, together with their 1994 salaries and any other compensation paid to them in 1994, qualify for deductibility. The Committee's policy with respect to qualifying other compensation to be paid to its executive officers in the future has not yet been determined.</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85"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Annual Compensation</w:t>
      </w:r>
    </w:p>
    <w:p>
      <w:pPr>
        <w:spacing w:after="0" w:line="190" w:lineRule="exact"/>
        <w:rPr>
          <w:sz w:val="20"/>
          <w:szCs w:val="20"/>
          <w:color w:val="auto"/>
        </w:rPr>
      </w:pPr>
    </w:p>
    <w:p>
      <w:pPr>
        <w:ind w:right="3019"/>
        <w:spacing w:after="0" w:line="264" w:lineRule="auto"/>
        <w:rPr>
          <w:sz w:val="20"/>
          <w:szCs w:val="20"/>
          <w:color w:val="auto"/>
        </w:rPr>
      </w:pPr>
      <w:r>
        <w:rPr>
          <w:rFonts w:ascii="Courier New" w:cs="Courier New" w:eastAsia="Courier New" w:hAnsi="Courier New"/>
          <w:sz w:val="15"/>
          <w:szCs w:val="15"/>
          <w:color w:val="auto"/>
        </w:rPr>
        <w:t>Annual compensation (base salary and annual incentive) guidelines were established such that TI executives will receive a level of annual compensation at, above or below the median annual compensation paid by competitor companies depending upon whether TI's actual ROA is at, above or below its internally established performance threshold, as described below.</w:t>
      </w:r>
    </w:p>
    <w:p>
      <w:pPr>
        <w:spacing w:after="0" w:line="174"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Base Salary. Base salary guidelines were established at the median level of salaries for similarly situated executives of competitor companies, or of organizations within competitor companies, of similar size (in terms of total revenue). The Committee in its discretion, made recommendations regarding officer salaries to the board in January 1993 at what it considered to be appropriate levels after reviewing performance toward prior year objectives (such as attaining positive cash flow for 1992) and long-term strategic objectives (such as a shift in the product mix of the Company's semiconductor business, or achievement of a target sustained after-tax return on total assets for a specific Company unit or, in the case of the CEO, the Company itself).</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January 1993, the CEO received a base salary adjustment to an annual salary rate of $700,200. Although the Company's guidelines are to provide base salary at the median of competitor companies, the Committee had not adjusted Mr. Junkins' salary in the prior two years. Noting the improvement in the financial performance of the Company during 1992, as evidenced by a return to profitability, the Committee adjusted Mr. Junkins' salary to the level stated above, which, in the Committee's judgment, remained somewhat below the median of CEOs of competitor companies.</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Annual Incentive. The Committee determined annual incentive awards in December 1993 and January 1994. As the performance component of annual compensation, the annual incentive award varies significantly based on the Company's profitability and the individual's contribution toward the Company's performance. The performance threshold established for purposes of determining annual incentive awards is stated in terms of after-tax return on total assets (ROA). The ROA performance threshold was established for 1993 taking into account (a) the ROA performance, in recent years, of competitor companies, and (b) the ROA the Company believes would be likely to increase shareholder value over the long term.</w:t>
      </w:r>
    </w:p>
    <w:p>
      <w:pPr>
        <w:spacing w:after="0" w:line="190" w:lineRule="exact"/>
        <w:rPr>
          <w:sz w:val="20"/>
          <w:szCs w:val="20"/>
          <w:color w:val="auto"/>
        </w:rPr>
      </w:pPr>
    </w:p>
    <w:p>
      <w:pPr>
        <w:ind w:right="2919"/>
        <w:spacing w:after="0" w:line="244" w:lineRule="auto"/>
        <w:rPr>
          <w:sz w:val="20"/>
          <w:szCs w:val="20"/>
          <w:color w:val="auto"/>
        </w:rPr>
      </w:pPr>
      <w:r>
        <w:rPr>
          <w:rFonts w:ascii="Courier New" w:cs="Courier New" w:eastAsia="Courier New" w:hAnsi="Courier New"/>
          <w:sz w:val="16"/>
          <w:szCs w:val="16"/>
          <w:color w:val="auto"/>
        </w:rPr>
        <w:t>Taking into account each executive's contributions toward prior year objectives and the degree to which TI's ROA performance exceeded the ROA performance threshold, the Committee granted annual incentive awards to TI's executive officers such that the level of the officers' annual compensation (base salary plus incentive award) for 1993 slightly exceeded the median of competitors' annual compensation.</w:t>
      </w:r>
    </w:p>
    <w:p>
      <w:pPr>
        <w:spacing w:after="0" w:line="188"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determining the CEO's annual incentive award, the Committee noted that progress was made in a number of strategic milestones, essential for achieving the Company's goal of sustained ROA performance and building shareholder value. In semiconductors, operating margins increased sharply as differentiated products increased to about 50% of total semiconductor revenues. In defense electronics, profit margins were maintained despite the continued decline in U.S. defense spending. For information technology, new client/server software was successfully introduced to market and actions taken to improve financial performance. With success in cycle-time reduction and asset management programs, TI generated a positive cash flow, despite the higher level of capital expenditures. Collectively, these accomplishments have permitted an acceleration in the R&amp;D in 1993 by more than $100 million, laying the foundation for TI's future growth. Taking into account these performance factors and the degree to which TI's ROA exceeded the performance threshold, the Committee granted Mr. Junkins an annual incentive award of $740,000 for 1993. Mr. Junkins' annual compensation (base salary plus incentive award) for 1993 approximated the median for competitor companies.</w:t>
      </w:r>
    </w:p>
    <w:p>
      <w:pPr>
        <w:spacing w:after="0" w:line="191"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Long-Term Compensation</w:t>
      </w:r>
    </w:p>
    <w:p>
      <w:pPr>
        <w:spacing w:after="0" w:line="190" w:lineRule="exact"/>
        <w:rPr>
          <w:sz w:val="20"/>
          <w:szCs w:val="20"/>
          <w:color w:val="auto"/>
        </w:rPr>
      </w:pPr>
    </w:p>
    <w:p>
      <w:pPr>
        <w:jc w:val="both"/>
        <w:ind w:right="2719"/>
        <w:spacing w:after="0" w:line="243" w:lineRule="auto"/>
        <w:rPr>
          <w:sz w:val="20"/>
          <w:szCs w:val="20"/>
          <w:color w:val="auto"/>
        </w:rPr>
      </w:pPr>
      <w:r>
        <w:rPr>
          <w:rFonts w:ascii="Courier New" w:cs="Courier New" w:eastAsia="Courier New" w:hAnsi="Courier New"/>
          <w:sz w:val="16"/>
          <w:szCs w:val="16"/>
          <w:color w:val="auto"/>
        </w:rPr>
        <w:t>The Committee determined long-term compensation in April 1993. Stock options constitute TI's primary long-term incentive vehicle. Stock options granted in 1993 were granted at 100% of fair market value on the date of grant, have a</w:t>
      </w:r>
    </w:p>
    <w:p>
      <w:pPr>
        <w:spacing w:after="0" w:line="4"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10-year term and do not become exercisable until after eight years, although exercisability may be accelerated to the extent that earnings per share goals are achieved (or in the event of a change in control of the Company). Any value received by the executive from an option grant depends completely upon increases in the price of TI common stock.</w:t>
      </w:r>
    </w:p>
    <w:p>
      <w:pPr>
        <w:spacing w:after="0" w:line="187"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Guidelines for awards granted under TI's long-term incentive program were set with the intention of providing TI executives an opportunity for financial gain equivalent to the median opportunity provided by competitor companies through all their long-term compensation programs. For this purpose, the future rate of appreciation of the shares underlying stock-based awards is assumed to be the same for all companies. Although not considered in establishing guidelines for stock option grants, the size of prior grants was considered in administering the guidelines.</w:t>
      </w:r>
    </w:p>
    <w:p>
      <w:pPr>
        <w:spacing w:after="0" w:line="187"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6"/>
          <w:szCs w:val="16"/>
          <w:color w:val="auto"/>
        </w:rPr>
        <w:t>The Committee reviewed the guidelines.</w:t>
        <w:tab/>
        <w:t>Taking into account each executive's</w:t>
      </w:r>
    </w:p>
    <w:p>
      <w:pPr>
        <w:sectPr>
          <w:pgSz w:w="11900" w:h="16838" w:orient="portrait"/>
          <w:cols w:equalWidth="0" w:num="1">
            <w:col w:w="10219"/>
          </w:cols>
          <w:pgMar w:left="240" w:top="325" w:right="1440" w:bottom="0" w:gutter="0" w:footer="0" w:header="0"/>
        </w:sectPr>
      </w:pPr>
    </w:p>
    <w:bookmarkStart w:id="15" w:name="page16"/>
    <w:bookmarkEnd w:id="15"/>
    <w:p>
      <w:pPr>
        <w:ind w:right="2819"/>
        <w:spacing w:after="0" w:line="244" w:lineRule="auto"/>
        <w:rPr>
          <w:sz w:val="20"/>
          <w:szCs w:val="20"/>
          <w:color w:val="auto"/>
        </w:rPr>
      </w:pPr>
      <w:r>
        <w:rPr>
          <w:rFonts w:ascii="Courier New" w:cs="Courier New" w:eastAsia="Courier New" w:hAnsi="Courier New"/>
          <w:sz w:val="16"/>
          <w:szCs w:val="16"/>
          <w:color w:val="auto"/>
        </w:rPr>
        <w:t>contribution toward prior year objectives and expected contribution toward meeting the Company's long-term strategic objectives, the Committee determined to follow the guidelines for all but the CEO and one other executive officer. In the case of the General Counsel, the Committee granted stock options slightly in excess of the guidelines and also granted a stock award of 1340 shares in recognition of his contribution to the generation of significant royalty revenues and the ongoing protection of the Company's intellectual property rights. The stock award vests over a period of three years.</w:t>
      </w:r>
    </w:p>
    <w:p>
      <w:pPr>
        <w:spacing w:after="0" w:line="18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In determining the CEO's stock option grant, the Committee reviewed progress made toward the Company's long-term objectives: a shift in the product mix of the semiconductor business toward differentiated products was proceeding ahead of schedule; steady progress was being made toward meeting the Company's ROA goal; profit margins were being maintained in defense electronics while sizing that business to a smaller market; and R&amp;D investments were being increased in areas that could provide significant new business opportunities for the Company. The Committee determined that the grant of the option to purchase 50,000 shares at a price per share of $54.75 (the market value of TI's common stock on the date of grant), would, in its judgment, provide the CEO with a competitive financial opportunity. Although substantial progress was made toward the Company's long-term objectives, the option grant was, in the Committee's judgment, slightly below the median; the Committee anticipates that as this progress toward the objectives is sustained, future grants will be nearer to or may exceed the median. Until the year 2001, the exercisability of the option depends primarily on the achievement of specific earnings per share goals.</w:t>
      </w:r>
    </w:p>
    <w:p>
      <w:pPr>
        <w:sectPr>
          <w:pgSz w:w="11900" w:h="16838" w:orient="portrait"/>
          <w:cols w:equalWidth="0" w:num="1">
            <w:col w:w="10219"/>
          </w:cols>
          <w:pgMar w:left="240" w:top="142" w:right="1440" w:bottom="1440" w:gutter="0" w:footer="0" w:header="0"/>
        </w:sectPr>
      </w:pPr>
    </w:p>
    <w:p>
      <w:pPr>
        <w:spacing w:after="0" w:line="193" w:lineRule="exact"/>
        <w:rPr>
          <w:sz w:val="20"/>
          <w:szCs w:val="20"/>
          <w:color w:val="auto"/>
        </w:rPr>
      </w:pPr>
    </w:p>
    <w:p>
      <w:pPr>
        <w:ind w:left="960"/>
        <w:spacing w:after="0" w:line="242" w:lineRule="auto"/>
        <w:rPr>
          <w:sz w:val="20"/>
          <w:szCs w:val="20"/>
          <w:color w:val="auto"/>
        </w:rPr>
      </w:pPr>
      <w:r>
        <w:rPr>
          <w:rFonts w:ascii="Courier New" w:cs="Courier New" w:eastAsia="Courier New" w:hAnsi="Courier New"/>
          <w:sz w:val="16"/>
          <w:szCs w:val="16"/>
          <w:color w:val="auto"/>
        </w:rPr>
        <w:t>William S. Lee, Chair Gerald W. Fronterhouse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M. Roderick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Gloria M. Shatto</w:t>
      </w:r>
    </w:p>
    <w:p>
      <w:pPr>
        <w:spacing w:after="0" w:line="188" w:lineRule="exact"/>
        <w:rPr>
          <w:sz w:val="20"/>
          <w:szCs w:val="20"/>
          <w:color w:val="auto"/>
        </w:rPr>
      </w:pPr>
    </w:p>
    <w:p>
      <w:pPr>
        <w:sectPr>
          <w:pgSz w:w="11900" w:h="16838" w:orient="portrait"/>
          <w:cols w:equalWidth="0" w:num="2">
            <w:col w:w="3160" w:space="680"/>
            <w:col w:w="6379"/>
          </w:cols>
          <w:pgMar w:left="240" w:top="142" w:right="1440" w:bottom="1440" w:gutter="0" w:footer="0" w:header="0"/>
          <w:type w:val="continuous"/>
        </w:sectPr>
      </w:pPr>
    </w:p>
    <w:p>
      <w:pPr>
        <w:jc w:val="center"/>
        <w:ind w:right="3119"/>
        <w:spacing w:after="0"/>
        <w:rPr>
          <w:sz w:val="20"/>
          <w:szCs w:val="20"/>
          <w:color w:val="auto"/>
        </w:rPr>
      </w:pPr>
      <w:r>
        <w:rPr>
          <w:rFonts w:ascii="Courier New" w:cs="Courier New" w:eastAsia="Courier New" w:hAnsi="Courier New"/>
          <w:sz w:val="16"/>
          <w:szCs w:val="16"/>
          <w:color w:val="auto"/>
        </w:rPr>
        <w:t>15</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COMPARISON OF TOTAL SHAREHOLDER RETURN</w:t>
      </w:r>
    </w:p>
    <w:p>
      <w:pPr>
        <w:sectPr>
          <w:pgSz w:w="11900" w:h="16838" w:orient="portrait"/>
          <w:cols w:equalWidth="0" w:num="1">
            <w:col w:w="10219"/>
          </w:cols>
          <w:pgMar w:left="240" w:top="142" w:right="1440" w:bottom="1440" w:gutter="0" w:footer="0" w:header="0"/>
          <w:type w:val="continuous"/>
        </w:sectPr>
      </w:pP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following graph sets forth TI's total shareholder return as compared to the S&amp;P 500 Index and the S&amp;P High-Technology Composite Index over a five-year period, beginning December 31, 1988, and ending December 31, 1993. The total shareholder return assumes $100 invested at the beginning of the period in TI Common Stock, the S&amp;P 500, and the S&amp;P High-Technology Composite Index. It also assumes reinvestment of all dividends.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20" w:type="dxa"/>
            <w:vAlign w:val="bottom"/>
            <w:gridSpan w:val="3"/>
          </w:tcPr>
          <w:p>
            <w:pPr>
              <w:spacing w:after="0"/>
              <w:rPr>
                <w:sz w:val="20"/>
                <w:szCs w:val="20"/>
                <w:color w:val="auto"/>
              </w:rPr>
            </w:pPr>
            <w:r>
              <w:rPr>
                <w:rFonts w:ascii="Courier New" w:cs="Courier New" w:eastAsia="Courier New" w:hAnsi="Courier New"/>
                <w:sz w:val="16"/>
                <w:szCs w:val="16"/>
                <w:color w:val="auto"/>
              </w:rPr>
              <w:t>[Performance graph filed March 1,</w:t>
            </w:r>
          </w:p>
        </w:tc>
        <w:tc>
          <w:tcPr>
            <w:tcW w:w="356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1994 in paper pursuant to Regulation</w:t>
            </w:r>
          </w:p>
        </w:tc>
        <w:tc>
          <w:tcPr>
            <w:tcW w:w="620" w:type="dxa"/>
            <w:vAlign w:val="bottom"/>
          </w:tcPr>
          <w:p>
            <w:pPr>
              <w:ind w:left="40"/>
              <w:spacing w:after="0"/>
              <w:rPr>
                <w:sz w:val="20"/>
                <w:szCs w:val="20"/>
                <w:color w:val="auto"/>
              </w:rPr>
            </w:pPr>
            <w:r>
              <w:rPr>
                <w:rFonts w:ascii="Courier New" w:cs="Courier New" w:eastAsia="Courier New" w:hAnsi="Courier New"/>
                <w:sz w:val="16"/>
                <w:szCs w:val="16"/>
                <w:color w:val="auto"/>
              </w:rPr>
              <w:t>S-T]</w:t>
            </w:r>
          </w:p>
        </w:tc>
      </w:tr>
      <w:tr>
        <w:trPr>
          <w:trHeight w:val="554"/>
        </w:trPr>
        <w:tc>
          <w:tcPr>
            <w:tcW w:w="18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Dec-88</w:t>
            </w:r>
          </w:p>
        </w:tc>
        <w:tc>
          <w:tcPr>
            <w:tcW w:w="96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Dec-89</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Dec-90</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rPr>
              <w:t>Dec-91</w:t>
            </w:r>
          </w:p>
        </w:tc>
        <w:tc>
          <w:tcPr>
            <w:tcW w:w="112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Dec-92</w:t>
            </w: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rPr>
              <w:t>Dec-93</w:t>
            </w:r>
          </w:p>
        </w:tc>
      </w:tr>
      <w:tr>
        <w:trPr>
          <w:trHeight w:val="370"/>
        </w:trPr>
        <w:tc>
          <w:tcPr>
            <w:tcW w:w="1820" w:type="dxa"/>
            <w:vAlign w:val="bottom"/>
          </w:tcPr>
          <w:p>
            <w:pPr>
              <w:spacing w:after="0"/>
              <w:rPr>
                <w:sz w:val="20"/>
                <w:szCs w:val="20"/>
                <w:color w:val="auto"/>
              </w:rPr>
            </w:pPr>
            <w:r>
              <w:rPr>
                <w:rFonts w:ascii="Courier New" w:cs="Courier New" w:eastAsia="Courier New" w:hAnsi="Courier New"/>
                <w:sz w:val="16"/>
                <w:szCs w:val="16"/>
                <w:color w:val="auto"/>
              </w:rPr>
              <w:t>Texas Instruments</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$100</w:t>
            </w:r>
          </w:p>
        </w:tc>
        <w:tc>
          <w:tcPr>
            <w:tcW w:w="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$ 89</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$ 96</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$ 80</w:t>
            </w:r>
          </w:p>
        </w:tc>
        <w:tc>
          <w:tcPr>
            <w:tcW w:w="112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8"/>
              </w:rPr>
              <w:t>$123</w:t>
            </w: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w w:val="98"/>
              </w:rPr>
              <w:t>$170</w:t>
            </w:r>
          </w:p>
        </w:tc>
      </w:tr>
      <w:tr>
        <w:trPr>
          <w:trHeight w:val="370"/>
        </w:trPr>
        <w:tc>
          <w:tcPr>
            <w:tcW w:w="1820" w:type="dxa"/>
            <w:vAlign w:val="bottom"/>
          </w:tcPr>
          <w:p>
            <w:pPr>
              <w:spacing w:after="0"/>
              <w:rPr>
                <w:sz w:val="20"/>
                <w:szCs w:val="20"/>
                <w:color w:val="auto"/>
              </w:rPr>
            </w:pPr>
            <w:r>
              <w:rPr>
                <w:rFonts w:ascii="Courier New" w:cs="Courier New" w:eastAsia="Courier New" w:hAnsi="Courier New"/>
                <w:sz w:val="16"/>
                <w:szCs w:val="16"/>
                <w:color w:val="auto"/>
              </w:rPr>
              <w:t>S&amp;P 500(R)</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$100</w:t>
            </w:r>
          </w:p>
        </w:tc>
        <w:tc>
          <w:tcPr>
            <w:tcW w:w="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$132</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$128</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$166</w:t>
            </w:r>
          </w:p>
        </w:tc>
        <w:tc>
          <w:tcPr>
            <w:tcW w:w="112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8"/>
              </w:rPr>
              <w:t>$179</w:t>
            </w: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w w:val="98"/>
              </w:rPr>
              <w:t>$197</w:t>
            </w:r>
          </w:p>
        </w:tc>
      </w:tr>
      <w:tr>
        <w:trPr>
          <w:trHeight w:val="370"/>
        </w:trPr>
        <w:tc>
          <w:tcPr>
            <w:tcW w:w="1820" w:type="dxa"/>
            <w:vAlign w:val="bottom"/>
          </w:tcPr>
          <w:p>
            <w:pPr>
              <w:spacing w:after="0"/>
              <w:rPr>
                <w:sz w:val="20"/>
                <w:szCs w:val="20"/>
                <w:color w:val="auto"/>
              </w:rPr>
            </w:pPr>
            <w:r>
              <w:rPr>
                <w:rFonts w:ascii="Courier New" w:cs="Courier New" w:eastAsia="Courier New" w:hAnsi="Courier New"/>
                <w:sz w:val="16"/>
                <w:szCs w:val="16"/>
                <w:color w:val="auto"/>
              </w:rPr>
              <w:t>S&amp;P(R) High Tech</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$100</w:t>
            </w:r>
          </w:p>
        </w:tc>
        <w:tc>
          <w:tcPr>
            <w:tcW w:w="96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$ 99</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$101</w:t>
            </w:r>
          </w:p>
        </w:tc>
        <w:tc>
          <w:tcPr>
            <w:tcW w:w="960" w:type="dxa"/>
            <w:vAlign w:val="bottom"/>
          </w:tcPr>
          <w:p>
            <w:pPr>
              <w:jc w:val="center"/>
              <w:spacing w:after="0"/>
              <w:rPr>
                <w:sz w:val="20"/>
                <w:szCs w:val="20"/>
                <w:color w:val="auto"/>
              </w:rPr>
            </w:pPr>
            <w:r>
              <w:rPr>
                <w:rFonts w:ascii="Courier New" w:cs="Courier New" w:eastAsia="Courier New" w:hAnsi="Courier New"/>
                <w:sz w:val="16"/>
                <w:szCs w:val="16"/>
                <w:color w:val="auto"/>
                <w:w w:val="98"/>
              </w:rPr>
              <w:t>$115</w:t>
            </w:r>
          </w:p>
        </w:tc>
        <w:tc>
          <w:tcPr>
            <w:tcW w:w="112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98"/>
              </w:rPr>
              <w:t>$120</w:t>
            </w:r>
          </w:p>
        </w:tc>
        <w:tc>
          <w:tcPr>
            <w:tcW w:w="620" w:type="dxa"/>
            <w:vAlign w:val="bottom"/>
          </w:tcPr>
          <w:p>
            <w:pPr>
              <w:jc w:val="center"/>
              <w:spacing w:after="0"/>
              <w:rPr>
                <w:sz w:val="20"/>
                <w:szCs w:val="20"/>
                <w:color w:val="auto"/>
              </w:rPr>
            </w:pPr>
            <w:r>
              <w:rPr>
                <w:rFonts w:ascii="Courier New" w:cs="Courier New" w:eastAsia="Courier New" w:hAnsi="Courier New"/>
                <w:sz w:val="16"/>
                <w:szCs w:val="16"/>
                <w:color w:val="auto"/>
                <w:w w:val="98"/>
              </w:rPr>
              <w:t>$147</w:t>
            </w:r>
          </w:p>
        </w:tc>
      </w:tr>
      <w:tr>
        <w:trPr>
          <w:trHeight w:val="185"/>
        </w:trPr>
        <w:tc>
          <w:tcPr>
            <w:tcW w:w="1820" w:type="dxa"/>
            <w:vAlign w:val="bottom"/>
          </w:tcPr>
          <w:p>
            <w:pPr>
              <w:spacing w:after="0"/>
              <w:rPr>
                <w:sz w:val="20"/>
                <w:szCs w:val="20"/>
                <w:color w:val="auto"/>
              </w:rPr>
            </w:pPr>
            <w:r>
              <w:rPr>
                <w:rFonts w:ascii="Courier New" w:cs="Courier New" w:eastAsia="Courier New" w:hAnsi="Courier New"/>
                <w:sz w:val="16"/>
                <w:szCs w:val="16"/>
                <w:color w:val="auto"/>
              </w:rPr>
              <w:t>Composite Index</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r>
    </w:tbl>
    <w:p>
      <w:pPr>
        <w:spacing w:after="0" w:line="375" w:lineRule="exact"/>
        <w:rPr>
          <w:sz w:val="20"/>
          <w:szCs w:val="20"/>
          <w:color w:val="auto"/>
        </w:rPr>
      </w:pPr>
    </w:p>
    <w:p>
      <w:pPr>
        <w:ind w:right="3019"/>
        <w:spacing w:after="0" w:line="274" w:lineRule="auto"/>
        <w:rPr>
          <w:sz w:val="20"/>
          <w:szCs w:val="20"/>
          <w:color w:val="auto"/>
        </w:rPr>
      </w:pPr>
      <w:r>
        <w:rPr>
          <w:rFonts w:ascii="Courier New" w:cs="Courier New" w:eastAsia="Courier New" w:hAnsi="Courier New"/>
          <w:sz w:val="15"/>
          <w:szCs w:val="15"/>
          <w:color w:val="auto"/>
        </w:rPr>
        <w:t>*Assumes that the value of the investment in TI Common Stock and each index was $100 on December 31, 1988, and that all dividends were reinvested.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 ending December 31.</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42" w:right="1440" w:bottom="1440" w:gutter="0" w:footer="0" w:header="0"/>
          <w:type w:val="continuous"/>
        </w:sectPr>
      </w:pPr>
    </w:p>
    <w:bookmarkStart w:id="16" w:name="page17"/>
    <w:bookmarkEnd w:id="16"/>
    <w:p>
      <w:pPr>
        <w:ind w:left="2501"/>
        <w:spacing w:after="0"/>
        <w:rPr>
          <w:sz w:val="20"/>
          <w:szCs w:val="20"/>
          <w:color w:val="auto"/>
        </w:rPr>
      </w:pPr>
      <w:r>
        <w:rPr>
          <w:rFonts w:ascii="Courier New" w:cs="Courier New" w:eastAsia="Courier New" w:hAnsi="Courier New"/>
          <w:sz w:val="16"/>
          <w:szCs w:val="16"/>
          <w:color w:val="auto"/>
        </w:rPr>
        <w:t>ADDITIONAL INFORMATION</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Voting Securities</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As of February 22, 1994, there were outstanding 91,313,184 shares of the Company's common stock, which is the only class of capital stock entitled to vote at the meeting. Each holder of common stock is entitled to one vote for each share held. As stated in the Notice of Meeting, holders of record of the common stock at the close of business on February 22, 1994 will be entitled to vote at the meeting or any adjournment thereof.</w:t>
      </w:r>
    </w:p>
    <w:p>
      <w:pPr>
        <w:spacing w:after="0" w:line="188"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The following table sets forth certain information concerning (a) the only persons that have reported beneficial ownership of more than 5% of the common stock of the Company, and (b) the ownership of the Company's common stock by the named executive officers, and all executive officers and directors as a group.</w:t>
      </w:r>
    </w:p>
    <w:p>
      <w:pPr>
        <w:spacing w:after="0" w:line="370"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700" w:type="dxa"/>
            <w:vAlign w:val="bottom"/>
          </w:tcPr>
          <w:p>
            <w:pPr>
              <w:spacing w:after="0"/>
              <w:rPr>
                <w:sz w:val="15"/>
                <w:szCs w:val="15"/>
                <w:color w:val="auto"/>
              </w:rPr>
            </w:pPr>
          </w:p>
        </w:tc>
        <w:tc>
          <w:tcPr>
            <w:tcW w:w="236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Shares Owned At</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rPr>
              <w:t>Percent of</w:t>
            </w:r>
          </w:p>
        </w:tc>
      </w:tr>
      <w:tr>
        <w:trPr>
          <w:trHeight w:val="185"/>
        </w:trPr>
        <w:tc>
          <w:tcPr>
            <w:tcW w:w="3700" w:type="dxa"/>
            <w:vAlign w:val="bottom"/>
          </w:tcPr>
          <w:p>
            <w:pPr>
              <w:ind w:left="680"/>
              <w:spacing w:after="0"/>
              <w:rPr>
                <w:sz w:val="20"/>
                <w:szCs w:val="20"/>
                <w:color w:val="auto"/>
              </w:rPr>
            </w:pPr>
            <w:r>
              <w:rPr>
                <w:rFonts w:ascii="Courier New" w:cs="Courier New" w:eastAsia="Courier New" w:hAnsi="Courier New"/>
                <w:sz w:val="16"/>
                <w:szCs w:val="16"/>
                <w:color w:val="auto"/>
              </w:rPr>
              <w:t>Name and Address</w:t>
            </w:r>
          </w:p>
        </w:tc>
        <w:tc>
          <w:tcPr>
            <w:tcW w:w="2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December 31, 1993</w:t>
            </w:r>
          </w:p>
        </w:tc>
        <w:tc>
          <w:tcPr>
            <w:tcW w:w="1240" w:type="dxa"/>
            <w:vAlign w:val="bottom"/>
          </w:tcPr>
          <w:p>
            <w:pPr>
              <w:ind w:left="380"/>
              <w:spacing w:after="0"/>
              <w:rPr>
                <w:sz w:val="20"/>
                <w:szCs w:val="20"/>
                <w:color w:val="auto"/>
              </w:rPr>
            </w:pPr>
            <w:r>
              <w:rPr>
                <w:rFonts w:ascii="Courier New" w:cs="Courier New" w:eastAsia="Courier New" w:hAnsi="Courier New"/>
                <w:sz w:val="16"/>
                <w:szCs w:val="16"/>
                <w:color w:val="auto"/>
              </w:rPr>
              <w:t>Class</w:t>
            </w:r>
          </w:p>
        </w:tc>
      </w:tr>
      <w:tr>
        <w:trPr>
          <w:trHeight w:val="185"/>
        </w:trPr>
        <w:tc>
          <w:tcPr>
            <w:tcW w:w="3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ind w:left="280"/>
              <w:spacing w:after="0"/>
              <w:rPr>
                <w:sz w:val="20"/>
                <w:szCs w:val="20"/>
                <w:color w:val="auto"/>
              </w:rPr>
            </w:pPr>
            <w:r>
              <w:rPr>
                <w:rFonts w:ascii="Courier New" w:cs="Courier New" w:eastAsia="Courier New" w:hAnsi="Courier New"/>
                <w:sz w:val="16"/>
                <w:szCs w:val="16"/>
                <w:color w:val="auto"/>
                <w:w w:val="97"/>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FMR Corp.</w:t>
            </w:r>
          </w:p>
        </w:tc>
        <w:tc>
          <w:tcPr>
            <w:tcW w:w="2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8,353,555(1)</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9.2%</w:t>
            </w:r>
          </w:p>
        </w:tc>
      </w:tr>
      <w:tr>
        <w:trPr>
          <w:trHeight w:val="185"/>
        </w:trPr>
        <w:tc>
          <w:tcPr>
            <w:tcW w:w="3700" w:type="dxa"/>
            <w:vAlign w:val="bottom"/>
          </w:tcPr>
          <w:p>
            <w:pPr>
              <w:ind w:left="100"/>
              <w:spacing w:after="0"/>
              <w:rPr>
                <w:sz w:val="20"/>
                <w:szCs w:val="20"/>
                <w:color w:val="auto"/>
              </w:rPr>
            </w:pPr>
            <w:r>
              <w:rPr>
                <w:rFonts w:ascii="Courier New" w:cs="Courier New" w:eastAsia="Courier New" w:hAnsi="Courier New"/>
                <w:sz w:val="16"/>
                <w:szCs w:val="16"/>
                <w:color w:val="auto"/>
              </w:rPr>
              <w:t>82 Devonshire Street</w:t>
            </w:r>
          </w:p>
        </w:tc>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3700" w:type="dxa"/>
            <w:vAlign w:val="bottom"/>
          </w:tcPr>
          <w:p>
            <w:pPr>
              <w:ind w:left="100"/>
              <w:spacing w:after="0"/>
              <w:rPr>
                <w:sz w:val="20"/>
                <w:szCs w:val="20"/>
                <w:color w:val="auto"/>
              </w:rPr>
            </w:pPr>
            <w:r>
              <w:rPr>
                <w:rFonts w:ascii="Courier New" w:cs="Courier New" w:eastAsia="Courier New" w:hAnsi="Courier New"/>
                <w:sz w:val="16"/>
                <w:szCs w:val="16"/>
                <w:color w:val="auto"/>
              </w:rPr>
              <w:t>Boston, MA 02109</w:t>
            </w:r>
          </w:p>
        </w:tc>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Bankers Trust New York Corporation</w:t>
            </w:r>
          </w:p>
        </w:tc>
        <w:tc>
          <w:tcPr>
            <w:tcW w:w="2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8,222,283(2)</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9.1%</w:t>
            </w:r>
          </w:p>
        </w:tc>
      </w:tr>
      <w:tr>
        <w:trPr>
          <w:trHeight w:val="185"/>
        </w:trPr>
        <w:tc>
          <w:tcPr>
            <w:tcW w:w="3700" w:type="dxa"/>
            <w:vAlign w:val="bottom"/>
          </w:tcPr>
          <w:p>
            <w:pPr>
              <w:ind w:left="100"/>
              <w:spacing w:after="0"/>
              <w:rPr>
                <w:sz w:val="20"/>
                <w:szCs w:val="20"/>
                <w:color w:val="auto"/>
              </w:rPr>
            </w:pPr>
            <w:r>
              <w:rPr>
                <w:rFonts w:ascii="Courier New" w:cs="Courier New" w:eastAsia="Courier New" w:hAnsi="Courier New"/>
                <w:sz w:val="16"/>
                <w:szCs w:val="16"/>
                <w:color w:val="auto"/>
              </w:rPr>
              <w:t>280 Park Avenue</w:t>
            </w:r>
          </w:p>
        </w:tc>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3700" w:type="dxa"/>
            <w:vAlign w:val="bottom"/>
          </w:tcPr>
          <w:p>
            <w:pPr>
              <w:ind w:left="100"/>
              <w:spacing w:after="0"/>
              <w:rPr>
                <w:sz w:val="20"/>
                <w:szCs w:val="20"/>
                <w:color w:val="auto"/>
              </w:rPr>
            </w:pPr>
            <w:r>
              <w:rPr>
                <w:rFonts w:ascii="Courier New" w:cs="Courier New" w:eastAsia="Courier New" w:hAnsi="Courier New"/>
                <w:sz w:val="16"/>
                <w:szCs w:val="16"/>
                <w:color w:val="auto"/>
              </w:rPr>
              <w:t>New York, NY  10017</w:t>
            </w:r>
          </w:p>
        </w:tc>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Jerry R. Junkins</w:t>
            </w:r>
          </w:p>
        </w:tc>
        <w:tc>
          <w:tcPr>
            <w:tcW w:w="2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384,153(3)</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William B. Mitchell</w:t>
            </w:r>
          </w:p>
        </w:tc>
        <w:tc>
          <w:tcPr>
            <w:tcW w:w="2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99,365(3)</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William P. Weber</w:t>
            </w:r>
          </w:p>
        </w:tc>
        <w:tc>
          <w:tcPr>
            <w:tcW w:w="2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143,890(3)</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William F. Hayes</w:t>
            </w:r>
          </w:p>
        </w:tc>
        <w:tc>
          <w:tcPr>
            <w:tcW w:w="2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72,916(3)</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Richard J. Agnich</w:t>
            </w:r>
          </w:p>
        </w:tc>
        <w:tc>
          <w:tcPr>
            <w:tcW w:w="2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60,499(3)</w:t>
            </w:r>
          </w:p>
        </w:tc>
        <w:tc>
          <w:tcPr>
            <w:tcW w:w="1240" w:type="dxa"/>
            <w:vAlign w:val="bottom"/>
          </w:tcPr>
          <w:p>
            <w:pPr>
              <w:ind w:left="80"/>
              <w:spacing w:after="0"/>
              <w:rPr>
                <w:sz w:val="20"/>
                <w:szCs w:val="20"/>
                <w:color w:val="auto"/>
              </w:rPr>
            </w:pPr>
            <w:r>
              <w:rPr>
                <w:rFonts w:ascii="Courier New" w:cs="Courier New" w:eastAsia="Courier New" w:hAnsi="Courier New"/>
                <w:sz w:val="16"/>
                <w:szCs w:val="16"/>
                <w:color w:val="auto"/>
              </w:rPr>
              <w:t>*</w:t>
            </w:r>
          </w:p>
        </w:tc>
      </w:tr>
      <w:tr>
        <w:trPr>
          <w:trHeight w:val="370"/>
        </w:trPr>
        <w:tc>
          <w:tcPr>
            <w:tcW w:w="3700" w:type="dxa"/>
            <w:vAlign w:val="bottom"/>
          </w:tcPr>
          <w:p>
            <w:pPr>
              <w:spacing w:after="0"/>
              <w:rPr>
                <w:sz w:val="20"/>
                <w:szCs w:val="20"/>
                <w:color w:val="auto"/>
              </w:rPr>
            </w:pPr>
            <w:r>
              <w:rPr>
                <w:rFonts w:ascii="Courier New" w:cs="Courier New" w:eastAsia="Courier New" w:hAnsi="Courier New"/>
                <w:sz w:val="16"/>
                <w:szCs w:val="16"/>
                <w:color w:val="auto"/>
              </w:rPr>
              <w:t>All executive officers and</w:t>
            </w:r>
          </w:p>
        </w:tc>
        <w:tc>
          <w:tcPr>
            <w:tcW w:w="2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1,160,987(4)</w:t>
            </w:r>
          </w:p>
        </w:tc>
        <w:tc>
          <w:tcPr>
            <w:tcW w:w="1240" w:type="dxa"/>
            <w:vAlign w:val="bottom"/>
          </w:tcPr>
          <w:p>
            <w:pPr>
              <w:ind w:left="180"/>
              <w:spacing w:after="0"/>
              <w:rPr>
                <w:sz w:val="20"/>
                <w:szCs w:val="20"/>
                <w:color w:val="auto"/>
              </w:rPr>
            </w:pPr>
            <w:r>
              <w:rPr>
                <w:rFonts w:ascii="Courier New" w:cs="Courier New" w:eastAsia="Courier New" w:hAnsi="Courier New"/>
                <w:sz w:val="16"/>
                <w:szCs w:val="16"/>
                <w:color w:val="auto"/>
              </w:rPr>
              <w:t>1.3%</w:t>
            </w:r>
          </w:p>
        </w:tc>
      </w:tr>
      <w:tr>
        <w:trPr>
          <w:trHeight w:val="185"/>
        </w:trPr>
        <w:tc>
          <w:tcPr>
            <w:tcW w:w="3700" w:type="dxa"/>
            <w:vAlign w:val="bottom"/>
          </w:tcPr>
          <w:p>
            <w:pPr>
              <w:spacing w:after="0"/>
              <w:rPr>
                <w:sz w:val="20"/>
                <w:szCs w:val="20"/>
                <w:color w:val="auto"/>
              </w:rPr>
            </w:pPr>
            <w:r>
              <w:rPr>
                <w:rFonts w:ascii="Courier New" w:cs="Courier New" w:eastAsia="Courier New" w:hAnsi="Courier New"/>
                <w:sz w:val="16"/>
                <w:szCs w:val="16"/>
                <w:color w:val="auto"/>
              </w:rPr>
              <w:t>directors as a group</w:t>
            </w:r>
          </w:p>
        </w:tc>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5"/>
        </w:trPr>
        <w:tc>
          <w:tcPr>
            <w:tcW w:w="37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6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*Less than 1%.</w:t>
      </w:r>
    </w:p>
    <w:p>
      <w:pPr>
        <w:spacing w:after="0" w:line="5" w:lineRule="exact"/>
        <w:rPr>
          <w:sz w:val="20"/>
          <w:szCs w:val="20"/>
          <w:color w:val="auto"/>
        </w:rPr>
      </w:pPr>
    </w:p>
    <w:p>
      <w:pPr>
        <w:ind w:left="1" w:right="2719" w:hanging="1"/>
        <w:spacing w:after="0" w:line="244" w:lineRule="auto"/>
        <w:tabs>
          <w:tab w:leader="none" w:pos="4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understands that, as of December 31, 1993, (a) FMR Corp. and its chairman, Edward C. Johnson 3d, had sole dispositive power with respect to all of the above shares and FMR Corp. has sole voting power with respect to 439,276 of the above shares, and (b) the above shares include 7,547,949 shares beneficially owned by Fidelity Management &amp; Research Company, a wholly-owned subsidiary of FMR Corp., as a result of acting as investment adviser to several investment companies.</w:t>
      </w:r>
    </w:p>
    <w:p>
      <w:pPr>
        <w:spacing w:after="0" w:line="188" w:lineRule="exact"/>
        <w:rPr>
          <w:rFonts w:ascii="Courier New" w:cs="Courier New" w:eastAsia="Courier New" w:hAnsi="Courier New"/>
          <w:sz w:val="16"/>
          <w:szCs w:val="16"/>
          <w:color w:val="auto"/>
        </w:rPr>
      </w:pPr>
    </w:p>
    <w:p>
      <w:pPr>
        <w:ind w:left="1" w:right="2819" w:hanging="1"/>
        <w:spacing w:after="0" w:line="244" w:lineRule="auto"/>
        <w:tabs>
          <w:tab w:leader="none" w:pos="48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6,381,626 shares held in profit sharing stock accounts of he Company's employees and 272,524 shares not yet allocated to employees' accounts under the U.S. profit sharing trusts served by Bankers Trust Company of the Southwest, a subsidiary of Bankers Trust New York Corporation, as trustee. Under the terms of the trust, the trustee votes the shares in each employee's account in accordance with the employee's wishes.</w:t>
      </w:r>
    </w:p>
    <w:p>
      <w:pPr>
        <w:spacing w:after="0" w:line="188" w:lineRule="exact"/>
        <w:rPr>
          <w:sz w:val="20"/>
          <w:szCs w:val="20"/>
          <w:color w:val="auto"/>
        </w:rPr>
      </w:pPr>
    </w:p>
    <w:p>
      <w:pPr>
        <w:ind w:left="1" w:right="2819"/>
        <w:spacing w:after="0" w:line="244" w:lineRule="auto"/>
        <w:rPr>
          <w:sz w:val="20"/>
          <w:szCs w:val="20"/>
          <w:color w:val="auto"/>
        </w:rPr>
      </w:pPr>
      <w:r>
        <w:rPr>
          <w:rFonts w:ascii="Courier New" w:cs="Courier New" w:eastAsia="Courier New" w:hAnsi="Courier New"/>
          <w:sz w:val="16"/>
          <w:szCs w:val="16"/>
          <w:color w:val="auto"/>
        </w:rPr>
        <w:t>(3)Includes shares subject to acquisition within 60 days by Messrs. Junkins, Mitchell, Weber, Hayes and Agnich for 337,440, 82,928, 135,690, 65,124 and 52,245 shares, respectively, and shares credited to profit sharing stock accounts for Messrs. Junkins, Mitchell, Weber, Hayes and Agnich in the amounts of 4,758, 2,378, 2,575, 1,416 and 1,769 respectively.</w:t>
      </w:r>
    </w:p>
    <w:p>
      <w:pPr>
        <w:spacing w:after="0" w:line="187" w:lineRule="exact"/>
        <w:rPr>
          <w:sz w:val="20"/>
          <w:szCs w:val="20"/>
          <w:color w:val="auto"/>
        </w:rPr>
      </w:pPr>
    </w:p>
    <w:p>
      <w:pPr>
        <w:ind w:left="1" w:right="3399"/>
        <w:spacing w:after="0" w:line="242" w:lineRule="auto"/>
        <w:rPr>
          <w:sz w:val="20"/>
          <w:szCs w:val="20"/>
          <w:color w:val="auto"/>
        </w:rPr>
      </w:pPr>
      <w:r>
        <w:rPr>
          <w:rFonts w:ascii="Courier New" w:cs="Courier New" w:eastAsia="Courier New" w:hAnsi="Courier New"/>
          <w:sz w:val="16"/>
          <w:szCs w:val="16"/>
          <w:color w:val="auto"/>
        </w:rPr>
        <w:t>(4)Includes (a) 1,001,298 shares subject to acquisition within 60 days, and (b) 34,377 shares credited to profit sharing stock accounts.</w:t>
      </w:r>
    </w:p>
    <w:p>
      <w:pPr>
        <w:spacing w:after="0" w:line="187"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17</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Cost of Solicitation</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The solicitation is made on behalf of the board of directors of the Company. The cost of soliciting proxies will be borne by the Company. In addition to solicitation by mail, the Company will make arrangements with brokerage houses and other custodians, nominees and fiduciaries to send proxies and proxy material to their principals and will reimburse them for their expenses in so doing. Officials and regular employees of the Company, without additional compensation, may solicit proxies personally, by telephone or telegram, from some stockholders if proxies are not promptly received. In addition, the Company has retained Georgeson &amp; Company, Inc. to assist in the solicitation of proxies at a cost of $15,000 plus out-of-pocket expenses.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Proposals of Stockholders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The deadline for receipt of stockholder proposals for inclusion in the</w:t>
      </w:r>
    </w:p>
    <w:p>
      <w:pPr>
        <w:sectPr>
          <w:pgSz w:w="11900" w:h="16838" w:orient="portrait"/>
          <w:cols w:equalWidth="0" w:num="1">
            <w:col w:w="10221"/>
          </w:cols>
          <w:pgMar w:left="239" w:top="485"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Company's 1995 proxy material is November 2, 1994.</w:t>
      </w:r>
    </w:p>
    <w:p>
      <w:pPr>
        <w:spacing w:after="0" w:line="190" w:lineRule="exact"/>
        <w:rPr>
          <w:sz w:val="20"/>
          <w:szCs w:val="20"/>
          <w:color w:val="auto"/>
        </w:rPr>
      </w:pPr>
    </w:p>
    <w:p>
      <w:pPr>
        <w:ind w:right="2819"/>
        <w:spacing w:after="0" w:line="244" w:lineRule="auto"/>
        <w:rPr>
          <w:sz w:val="20"/>
          <w:szCs w:val="20"/>
          <w:color w:val="auto"/>
        </w:rPr>
      </w:pPr>
      <w:r>
        <w:rPr>
          <w:rFonts w:ascii="Courier New" w:cs="Courier New" w:eastAsia="Courier New" w:hAnsi="Courier New"/>
          <w:sz w:val="16"/>
          <w:szCs w:val="16"/>
          <w:color w:val="auto"/>
        </w:rPr>
        <w:t>Suggestions from stockholders concerning the Company's business are welcome and all will be carefully considered by the Company's management. To assure appropriate board review of such suggestions, the Stockholder Relations and Public Policy Committee of the board of directors periodically reviews correspondence from stockholders and management's responses. Through this activity, stockholders are provided access at the board level without having to resort to formal stockholder proposals. As a general matter, the board would prefer that stockholders present their views through the mechanism provided by its Stockholder Relations and Public Policy Committee rather than through the process of formal stockholder proposals.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Vote Required</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ten nominees for election as directors at the 1994 Annual Meeting of Stockholders who receive the greatest number of votes cast at that meeting by the holders of the Company's common stock entitled to vote at that meeting, a quorum being present, shall become directors at the conclusion of the tabulation of votes. An affirmative vote of the holders of a majority of the voting power of the Company's common stock, present in person or represented by proxy and entitled to vote at the meeting, a quorum being present, is necessary to approve any other matters as may properly come before the meeting. 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and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Section 16(a) of the Securities Exchange Act of 1934 requires certain persons, including the Company's directors and executive officers, to file reports with the Securities and Exchange Commission regarding beneficial ownership of certain equity securities of the Company. During 1993, John W. White, a former vice president of the Company, filed one late report.</w:t>
      </w:r>
    </w:p>
    <w:p>
      <w:pPr>
        <w:spacing w:after="0" w:line="185"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18</w:t>
      </w:r>
    </w:p>
    <w:p>
      <w:pPr>
        <w:spacing w:after="0" w:line="190"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firm of Ernst &amp; Young has been selected by the board of directors, pursuant to the recommendation of its Audit Committee, as independent auditors for the Company. Representatives of such firm are expected to be present, and to be available to respond to appropriate questions, at the annual meeting. They will have the opportunity to make a statement if they desire to do so; they have indicated that, as of this date, they do not desire to do so.</w:t>
      </w:r>
    </w:p>
    <w:p>
      <w:pPr>
        <w:spacing w:after="0" w:line="186"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RICHARD J. AGNICH</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Richard J. Agnich</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Senior Vice President,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Secretary and General Counsel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Dallas,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 1994</w:t>
      </w:r>
    </w:p>
    <w:p>
      <w:pPr>
        <w:spacing w:after="0" w:line="188"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40" w:right="1440" w:bottom="1440" w:gutter="0" w:footer="0" w:header="0"/>
        </w:sectPr>
      </w:pPr>
    </w:p>
    <w:bookmarkStart w:id="18" w:name="page19"/>
    <w:bookmarkEnd w:id="18"/>
    <w:p>
      <w:pPr>
        <w:jc w:val="center"/>
        <w:ind w:right="3119"/>
        <w:spacing w:after="0"/>
        <w:rPr>
          <w:sz w:val="20"/>
          <w:szCs w:val="20"/>
          <w:color w:val="auto"/>
        </w:rPr>
      </w:pPr>
      <w:r>
        <w:rPr>
          <w:rFonts w:ascii="Courier New" w:cs="Courier New" w:eastAsia="Courier New" w:hAnsi="Courier New"/>
          <w:sz w:val="16"/>
          <w:szCs w:val="16"/>
          <w:color w:val="auto"/>
        </w:rPr>
        <w:t>Graphic and Image Information Appendix</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Photos of the directors appear to the left of each director s biographical information on pages 2, 3 and 4.</w:t>
      </w:r>
    </w:p>
    <w:p>
      <w:pPr>
        <w:spacing w:after="0" w:line="189"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A performance graph showing five year cumulative total return among the Company, the S&amp;P 500 Index and the S&amp;P High-Tech Composite Index appears on page 16. The coordinates used in the graph also appear on page 16.</w:t>
      </w:r>
    </w:p>
    <w:p>
      <w:pPr>
        <w:sectPr>
          <w:pgSz w:w="11900" w:h="16838" w:orient="portrait"/>
          <w:cols w:equalWidth="0" w:num="1">
            <w:col w:w="10219"/>
          </w:cols>
          <w:pgMar w:left="240" w:top="485" w:right="1440" w:bottom="1440" w:gutter="0" w:footer="0" w:header="0"/>
        </w:sectPr>
      </w:pPr>
    </w:p>
    <w:bookmarkStart w:id="19" w:name="page20"/>
    <w:bookmarkEnd w:id="19"/>
    <w:p>
      <w:pPr>
        <w:jc w:val="center"/>
        <w:ind w:right="3118"/>
        <w:spacing w:after="0"/>
        <w:rPr>
          <w:sz w:val="20"/>
          <w:szCs w:val="20"/>
          <w:color w:val="auto"/>
        </w:rPr>
      </w:pPr>
      <w:r>
        <w:rPr>
          <w:rFonts w:ascii="Courier New" w:cs="Courier New" w:eastAsia="Courier New" w:hAnsi="Courier New"/>
          <w:sz w:val="16"/>
          <w:szCs w:val="16"/>
          <w:color w:val="auto"/>
        </w:rPr>
        <w:t>ANNUAL MEETING OF STOCKHOLDERS</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April 21, 1994</w:t>
      </w:r>
    </w:p>
    <w:p>
      <w:pPr>
        <w:spacing w:after="0" w:line="373" w:lineRule="exact"/>
        <w:rPr>
          <w:sz w:val="20"/>
          <w:szCs w:val="20"/>
          <w:color w:val="auto"/>
        </w:rPr>
      </w:pPr>
    </w:p>
    <w:p>
      <w:pPr>
        <w:ind w:left="5961"/>
        <w:spacing w:after="0"/>
        <w:rPr>
          <w:sz w:val="20"/>
          <w:szCs w:val="20"/>
          <w:color w:val="auto"/>
        </w:rPr>
      </w:pPr>
      <w:r>
        <w:rPr>
          <w:rFonts w:ascii="Courier New" w:cs="Courier New" w:eastAsia="Courier New" w:hAnsi="Courier New"/>
          <w:sz w:val="16"/>
          <w:szCs w:val="16"/>
          <w:color w:val="auto"/>
        </w:rPr>
        <w:t>March 2, 1994</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TO: Participants in TI's Profit Sharing Plans</w:t>
      </w:r>
    </w:p>
    <w:p>
      <w:pPr>
        <w:spacing w:after="0" w:line="190" w:lineRule="exact"/>
        <w:rPr>
          <w:sz w:val="20"/>
          <w:szCs w:val="20"/>
          <w:color w:val="auto"/>
        </w:rPr>
      </w:pPr>
    </w:p>
    <w:p>
      <w:pPr>
        <w:jc w:val="both"/>
        <w:ind w:left="1" w:right="2719"/>
        <w:spacing w:after="0" w:line="243" w:lineRule="auto"/>
        <w:rPr>
          <w:sz w:val="20"/>
          <w:szCs w:val="20"/>
          <w:color w:val="auto"/>
        </w:rPr>
      </w:pPr>
      <w:r>
        <w:rPr>
          <w:rFonts w:ascii="Courier New" w:cs="Courier New" w:eastAsia="Courier New" w:hAnsi="Courier New"/>
          <w:sz w:val="16"/>
          <w:szCs w:val="16"/>
          <w:color w:val="auto"/>
        </w:rPr>
        <w:t>The accompanying Notice of Annual Meeting of Stockholders and Proxy Statement relate to shares of common stock of Texas Instruments Incorporated held by the Trustees for your profit sharing accounts.</w:t>
      </w:r>
    </w:p>
    <w:p>
      <w:pPr>
        <w:spacing w:after="0" w:line="189" w:lineRule="exact"/>
        <w:rPr>
          <w:sz w:val="20"/>
          <w:szCs w:val="20"/>
          <w:color w:val="auto"/>
        </w:rPr>
      </w:pPr>
    </w:p>
    <w:p>
      <w:pPr>
        <w:ind w:left="1" w:right="2819"/>
        <w:spacing w:after="0" w:line="242" w:lineRule="auto"/>
        <w:rPr>
          <w:sz w:val="20"/>
          <w:szCs w:val="20"/>
          <w:color w:val="auto"/>
        </w:rPr>
      </w:pPr>
      <w:r>
        <w:rPr>
          <w:rFonts w:ascii="Courier New" w:cs="Courier New" w:eastAsia="Courier New" w:hAnsi="Courier New"/>
          <w:sz w:val="16"/>
          <w:szCs w:val="16"/>
          <w:color w:val="auto"/>
        </w:rPr>
        <w:t>As noted in the Proxy Statement, the TI board of directors has designated the following nominees for election to the board for the ensuing year: JAMES R.</w:t>
      </w:r>
    </w:p>
    <w:p>
      <w:pPr>
        <w:spacing w:after="0" w:line="4"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ADAMS, JAMES B. BUSEY IV, GERALD W. FRONTERHOUSE, JERRY R. JUNKINS, WILLIAM S. LEE, WILLIAM B. MITCHELL, DAVID M. RODERICK, GLORIA M. SHATTO, WILLIAM P. WEBER and CLAYTON K. YEUTTER. Biographies of the nominees appear in the Proxy Statement.</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The Trustees are required to vote the whole shares in each of your accounts in accordance with your wishes. In the event that you do not inform the Trustees of your wishes regarding whole shares in your accounts (except U.S. tax credit stock account shares) by April 18, 1994 in the manner provided in this letter, the Trustees will vote such shares in their discretion. The Trustees have determined that they will vote such shares for each of the nominees designated by the board. In accordance with legal requirements, the Trustee for tax credit stock accounts will vote the shares in each tax credit stock account (generally 2 to 15 whole shares per account) only as specifically instructed by participants by April 18, 1994.</w:t>
      </w:r>
    </w:p>
    <w:p>
      <w:pPr>
        <w:spacing w:after="0" w:line="190"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IF YOU WISH THE WHOLE SHARES IN YOUR ACCOUNTS (EXCEPT FOR ANY TAX CREDIT STOCK ACCOUNT) VOTED FOR EACH OF THE NOMINEES DESIGNATED BY THE BOARD, YOU NEED NOT TAKE ANY ACTION. UNLESS THE TRUSTEES ARE INFORMED OTHERWISE, THE SHARES WILL BE SO VOTED.</w:t>
      </w:r>
    </w:p>
    <w:p>
      <w:pPr>
        <w:spacing w:after="0" w:line="190" w:lineRule="exact"/>
        <w:rPr>
          <w:sz w:val="20"/>
          <w:szCs w:val="20"/>
          <w:color w:val="auto"/>
        </w:rPr>
      </w:pPr>
    </w:p>
    <w:p>
      <w:pPr>
        <w:ind w:left="1" w:right="2719"/>
        <w:spacing w:after="0" w:line="244" w:lineRule="auto"/>
        <w:rPr>
          <w:sz w:val="20"/>
          <w:szCs w:val="20"/>
          <w:color w:val="auto"/>
        </w:rPr>
      </w:pPr>
      <w:r>
        <w:rPr>
          <w:rFonts w:ascii="Courier New" w:cs="Courier New" w:eastAsia="Courier New" w:hAnsi="Courier New"/>
          <w:sz w:val="16"/>
          <w:szCs w:val="16"/>
          <w:color w:val="auto"/>
        </w:rPr>
        <w:t>If you do not wish these whole shares to be so voted, or if you wish to give instructions to vote any tax credit stock account share or fractional share, you should so inform the Trustees by April 18, 1994. Any communication to that effect should (1) be accompanied by your address label from the back page of the Proxy Statement (or from the envelope if you received this by mail) and</w:t>
      </w:r>
    </w:p>
    <w:p>
      <w:pPr>
        <w:spacing w:after="0" w:line="2" w:lineRule="exact"/>
        <w:rPr>
          <w:sz w:val="20"/>
          <w:szCs w:val="20"/>
          <w:color w:val="auto"/>
        </w:rPr>
      </w:pPr>
    </w:p>
    <w:p>
      <w:pPr>
        <w:ind w:left="1" w:right="2819" w:hanging="1"/>
        <w:spacing w:after="0" w:line="244" w:lineRule="auto"/>
        <w:tabs>
          <w:tab w:leader="none" w:pos="38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 addressed to Bankers Trust Company of the Southwest, Trustee of the TI Employees Universal Profit Sharing Trust, c/o Bankers Trust Company, 34 Exchange Place, 6th Floor, Jersey City, NJ 07302, Attn: Claudia Rinschler/Proxy, or The Northern Trust Company, Trustee of the TI Employees International Universal Profit Sharing Trust, c/o TI Employees Profit Sharing Trusts, Mail Station 3952, P.O. Box 650311, Dallas, Texas 75265. You may use the TI interoffice mail if you wish.</w:t>
      </w:r>
    </w:p>
    <w:p>
      <w:pPr>
        <w:spacing w:after="0" w:line="371"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CHUCK NIELSON</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Chuck Nielson</w:t>
      </w:r>
    </w:p>
    <w:p>
      <w:pPr>
        <w:spacing w:after="0" w:line="4"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Vice President, Human Resources</w:t>
      </w:r>
    </w:p>
    <w:p>
      <w:pPr>
        <w:sectPr>
          <w:pgSz w:w="11900" w:h="16838" w:orient="portrait"/>
          <w:cols w:equalWidth="0" w:num="1">
            <w:col w:w="10221"/>
          </w:cols>
          <w:pgMar w:left="239" w:top="1039" w:right="1440" w:bottom="1440" w:gutter="0" w:footer="0" w:header="0"/>
        </w:sectPr>
      </w:pPr>
    </w:p>
    <w:bookmarkStart w:id="20" w:name="page21"/>
    <w:bookmarkEnd w:id="20"/>
    <w:p>
      <w:pPr>
        <w:jc w:val="center"/>
        <w:ind w:right="2999"/>
        <w:spacing w:after="0"/>
        <w:rPr>
          <w:sz w:val="20"/>
          <w:szCs w:val="20"/>
          <w:color w:val="auto"/>
        </w:rPr>
      </w:pPr>
      <w:r>
        <w:rPr>
          <w:rFonts w:ascii="Courier New" w:cs="Courier New" w:eastAsia="Courier New" w:hAnsi="Courier New"/>
          <w:sz w:val="16"/>
          <w:szCs w:val="16"/>
          <w:color w:val="auto"/>
        </w:rPr>
        <w:t>TEXAS INSTRUMENTS</w:t>
      </w:r>
    </w:p>
    <w:p>
      <w:pPr>
        <w:spacing w:after="0" w:line="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6"/>
          <w:szCs w:val="16"/>
          <w:color w:val="auto"/>
        </w:rPr>
        <w:t>PLEASE MARK VOTE IN OVAL IN THE FOLLOWING MANNER USING DARK INK ONLY [/]</w:t>
      </w:r>
    </w:p>
    <w:p>
      <w:pPr>
        <w:spacing w:after="0" w:line="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1994 Election of Directors-</w:t>
      </w:r>
    </w:p>
    <w:p>
      <w:pPr>
        <w:spacing w:after="0" w:line="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Nominees:</w:t>
        <w:tab/>
        <w:t>J.R. Adams, J.B. Busey 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G.W. Fronterhouse, J.R. Junkins, W.S. Lee,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42" w:lineRule="auto"/>
        <w:rPr>
          <w:sz w:val="20"/>
          <w:szCs w:val="20"/>
          <w:color w:val="auto"/>
        </w:rPr>
      </w:pPr>
      <w:r>
        <w:rPr>
          <w:rFonts w:ascii="Courier New" w:cs="Courier New" w:eastAsia="Courier New" w:hAnsi="Courier New"/>
          <w:sz w:val="16"/>
          <w:szCs w:val="16"/>
          <w:color w:val="auto"/>
        </w:rPr>
        <w:t>Withheld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all Except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Written Below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]_____________</w:t>
      </w:r>
    </w:p>
    <w:p>
      <w:pPr>
        <w:spacing w:after="0" w:line="3" w:lineRule="exact"/>
        <w:rPr>
          <w:sz w:val="20"/>
          <w:szCs w:val="20"/>
          <w:color w:val="auto"/>
        </w:rPr>
      </w:pPr>
    </w:p>
    <w:p>
      <w:pPr>
        <w:sectPr>
          <w:pgSz w:w="11900" w:h="16838" w:orient="portrait"/>
          <w:cols w:equalWidth="0" w:num="4">
            <w:col w:w="4040" w:space="180"/>
            <w:col w:w="300" w:space="280"/>
            <w:col w:w="780" w:space="280"/>
            <w:col w:w="4359"/>
          </w:cols>
          <w:pgMar w:left="240" w:top="4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W.B. Mitchell, D.M. Roderick, G.M. Shatto,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W.P. Weber and C.K. Yeutter.</w:t>
      </w:r>
    </w:p>
    <w:p>
      <w:pPr>
        <w:sectPr>
          <w:pgSz w:w="11900" w:h="16838" w:orient="portrait"/>
          <w:cols w:equalWidth="0" w:num="1">
            <w:col w:w="10219"/>
          </w:cols>
          <w:pgMar w:left="240" w:top="485" w:right="1440" w:bottom="1440" w:gutter="0" w:footer="0" w:header="0"/>
          <w:type w:val="continuous"/>
        </w:sectPr>
      </w:pP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If no contrary indication is made, this proxy will be voted FOR the election of each Board nominee.</w:t>
      </w:r>
    </w:p>
    <w:p>
      <w:pPr>
        <w:spacing w:after="0" w:line="374"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Dated __________________, 1994</w:t>
      </w:r>
    </w:p>
    <w:p>
      <w:pPr>
        <w:spacing w:after="0" w:line="200" w:lineRule="exact"/>
        <w:rPr>
          <w:sz w:val="20"/>
          <w:szCs w:val="20"/>
          <w:color w:val="auto"/>
        </w:rPr>
      </w:pPr>
    </w:p>
    <w:p>
      <w:pPr>
        <w:spacing w:after="0" w:line="36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Signature</w:t>
      </w:r>
    </w:p>
    <w:p>
      <w:pPr>
        <w:spacing w:after="0" w:line="37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w:t>
      </w:r>
    </w:p>
    <w:p>
      <w:pPr>
        <w:spacing w:after="0" w:line="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6"/>
          <w:szCs w:val="16"/>
          <w:color w:val="auto"/>
        </w:rPr>
        <w:t>Signature</w:t>
      </w:r>
    </w:p>
    <w:p>
      <w:pPr>
        <w:spacing w:after="0" w:line="190" w:lineRule="exact"/>
        <w:rPr>
          <w:sz w:val="20"/>
          <w:szCs w:val="20"/>
          <w:color w:val="auto"/>
        </w:rPr>
      </w:pPr>
    </w:p>
    <w:p>
      <w:pPr>
        <w:ind w:right="3019"/>
        <w:spacing w:after="0" w:line="243" w:lineRule="auto"/>
        <w:rPr>
          <w:sz w:val="20"/>
          <w:szCs w:val="20"/>
          <w:color w:val="auto"/>
        </w:rPr>
      </w:pPr>
      <w:r>
        <w:rPr>
          <w:rFonts w:ascii="Courier New" w:cs="Courier New" w:eastAsia="Courier New" w:hAnsi="Courier New"/>
          <w:sz w:val="16"/>
          <w:szCs w:val="16"/>
          <w:color w:val="auto"/>
        </w:rPr>
        <w:t>NOTE: Please sign exactly as name appears hereon. For joint accounts both owners should sign. When signing as executor, administrator, attorney, trustee or guardian, etc., please give your full title.</w:t>
      </w:r>
    </w:p>
    <w:p>
      <w:pPr>
        <w:sectPr>
          <w:pgSz w:w="11900" w:h="16838" w:orient="portrait"/>
          <w:cols w:equalWidth="0" w:num="1">
            <w:col w:w="10219"/>
          </w:cols>
          <w:pgMar w:left="240" w:top="485" w:right="1440" w:bottom="1440" w:gutter="0" w:footer="0" w:header="0"/>
          <w:type w:val="continuous"/>
        </w:sectPr>
      </w:pPr>
    </w:p>
    <w:bookmarkStart w:id="21" w:name="page22"/>
    <w:bookmarkEnd w:id="21"/>
    <w:p>
      <w:pPr>
        <w:ind w:left="1340"/>
        <w:spacing w:after="0"/>
        <w:tabs>
          <w:tab w:leader="none" w:pos="3340" w:val="left"/>
        </w:tabs>
        <w:rPr>
          <w:sz w:val="20"/>
          <w:szCs w:val="20"/>
          <w:color w:val="auto"/>
        </w:rPr>
      </w:pPr>
      <w:r>
        <w:rPr>
          <w:rFonts w:ascii="Courier New" w:cs="Courier New" w:eastAsia="Courier New" w:hAnsi="Courier New"/>
          <w:sz w:val="16"/>
          <w:szCs w:val="16"/>
          <w:color w:val="auto"/>
        </w:rPr>
        <w:t>[Company LOGO]</w:t>
      </w:r>
      <w:r>
        <w:rPr>
          <w:sz w:val="20"/>
          <w:szCs w:val="20"/>
          <w:color w:val="auto"/>
        </w:rPr>
        <w:tab/>
      </w:r>
      <w:r>
        <w:rPr>
          <w:rFonts w:ascii="Courier New" w:cs="Courier New" w:eastAsia="Courier New" w:hAnsi="Courier New"/>
          <w:sz w:val="16"/>
          <w:szCs w:val="16"/>
          <w:color w:val="auto"/>
        </w:rPr>
        <w:t>TEXAS</w:t>
      </w:r>
    </w:p>
    <w:p>
      <w:pPr>
        <w:spacing w:after="0" w:line="4"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color w:val="auto"/>
        </w:rPr>
        <w:t>INSTRUMENTS</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PROXY FOR ANNUAL MEETING TO BE HELD APRIL 21, 1994</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719"/>
        <w:spacing w:after="0" w:line="244" w:lineRule="auto"/>
        <w:rPr>
          <w:sz w:val="20"/>
          <w:szCs w:val="20"/>
          <w:color w:val="auto"/>
        </w:rPr>
      </w:pPr>
      <w:r>
        <w:rPr>
          <w:rFonts w:ascii="Courier New" w:cs="Courier New" w:eastAsia="Courier New" w:hAnsi="Courier New"/>
          <w:sz w:val="16"/>
          <w:szCs w:val="16"/>
          <w:color w:val="auto"/>
        </w:rPr>
        <w:t>The undersigned hereby appoints JERRY R. JUNKINS, DAVID M. RODERICK and GLORIA M. SHATTO, or any one or more of them, the true and lawful attorneys of the undersigned with power of substitution, to vote as proxies for the undersigned at the annual meeting of stockholders of TEXAS INSTRUMENTS INCORPORATED to be held in Dallas, Texas, on April 21, 1994, at 10:00 a.m. (Dallas time) and at any or all adjournments thereof, according to the number of shares of common stock which the undersigned would be entitled to vote if then personally present, in the election of directors and upon other matters properly coming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IMPORTANT-This Proxy must be signed and dated on the reverse side.</w:t>
      </w:r>
    </w:p>
    <w:p>
      <w:pPr>
        <w:sectPr>
          <w:pgSz w:w="11900" w:h="16838" w:orient="portrait"/>
          <w:cols w:equalWidth="0" w:num="1">
            <w:col w:w="10219"/>
          </w:cols>
          <w:pgMar w:left="240" w:top="485" w:right="1440" w:bottom="1440"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upperLetter"/>
      <w:start w:val="2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2)"/>
      <w:numFmt w:val="decimal"/>
      <w:start w:val="1"/>
    </w:lvl>
  </w:abstractNum>
  <w:abstractNum w:abstractNumId="4">
    <w:nsid w:val="216231B"/>
    <w:multiLevelType w:val="hybridMultilevel"/>
    <w:lvl w:ilvl="0">
      <w:lvlJc w:val="left"/>
      <w:lvlText w:val="["/>
      <w:numFmt w:val="bullet"/>
      <w:start w:val="1"/>
    </w:lvl>
    <w:lvl w:ilvl="1">
      <w:lvlJc w:val="left"/>
      <w:lvlText w:val="%2)"/>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2"/>
    </w:lvl>
  </w:abstractNum>
  <w:abstractNum w:abstractNumId="7">
    <w:nsid w:val="66EF438D"/>
    <w:multiLevelType w:val="hybridMultilevel"/>
    <w:lvl w:ilvl="0">
      <w:lvlJc w:val="left"/>
      <w:lvlText w:val="(%1)"/>
      <w:numFmt w:val="decimal"/>
      <w:start w:val="3"/>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abstractNum>
  <w:abstractNum w:abstractNumId="10">
    <w:nsid w:val="109CF92E"/>
    <w:multiLevelType w:val="hybridMultilevel"/>
    <w:lvl w:ilvl="0">
      <w:lvlJc w:val="left"/>
      <w:lvlText w:val="(%1)"/>
      <w:numFmt w:val="decimal"/>
      <w:start w:val="3"/>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2"/>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2019-12-13T07:42:53Z</dcterms:created>
  <dcterms:modified xsi:type="dcterms:W3CDTF">2019-12-13T07:42:53Z</dcterms:modified>
</cp:coreProperties>
</file>