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April 22, 2013, regarding its first-quarter 2013 results of operations and financial condition is attached hereto as Exhibit 99.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80"/>
          </w:cols>
          <w:pgMar w:left="240" w:top="517" w:right="379" w:bottom="144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489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80" w:space="720"/>
            <w:col w:w="9080"/>
          </w:cols>
          <w:pgMar w:left="240" w:top="517" w:right="379" w:bottom="1440" w:gutter="0" w:footer="0" w:header="0"/>
          <w:type w:val="continuous"/>
        </w:sectPr>
      </w:pPr>
    </w:p>
    <w:p>
      <w:pPr>
        <w:ind w:left="2200" w:hanging="1249"/>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6"/>
          <w:szCs w:val="16"/>
          <w:color w:val="auto"/>
        </w:rPr>
        <w:t>Dated April 22, 2013 (furnished pursuant to Item 2.02)</w:t>
      </w:r>
    </w:p>
    <w:p>
      <w:pPr>
        <w:sectPr>
          <w:pgSz w:w="11900" w:h="16838" w:orient="portrait"/>
          <w:cols w:equalWidth="0" w:num="1">
            <w:col w:w="11280"/>
          </w:cols>
          <w:pgMar w:left="240" w:top="517" w:right="3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1Q13 financial results and shareholder returns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DALLAS (April 22, 2013) – Texas Instruments Incorporated (TI) (NASDAQ: TXN) today announced first-quarter revenue of $2.89 billion, net income of $362 million and earnings per share of 32 cents.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64" w:lineRule="exact"/>
        <w:rPr>
          <w:sz w:val="20"/>
          <w:szCs w:val="20"/>
          <w:color w:val="auto"/>
        </w:rPr>
      </w:pPr>
    </w:p>
    <w:p>
      <w:pPr>
        <w:jc w:val="both"/>
        <w:ind w:left="660" w:hanging="139"/>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revenue and earnings ended the quarter at the high end of our expected range. Customers continued to operate in a real-time mode, maintaining minimal component inventory and ordering parts as they were needed. Our short product lead times, well-positioned inventory and ready manufacturing capacity allow us to respond rapidly to changes in demand.</w:t>
      </w:r>
    </w:p>
    <w:p>
      <w:pPr>
        <w:spacing w:after="0" w:line="208" w:lineRule="exact"/>
        <w:rPr>
          <w:rFonts w:ascii="Arial" w:cs="Arial" w:eastAsia="Arial" w:hAnsi="Arial"/>
          <w:sz w:val="18"/>
          <w:szCs w:val="18"/>
          <w:color w:val="auto"/>
        </w:rPr>
      </w:pPr>
    </w:p>
    <w:p>
      <w:pPr>
        <w:ind w:left="660" w:hanging="139"/>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 is now firmly rooted in Analog and Embedded Processing, and in the first quarter these segments contributed 77 percent of our revenue – a full five points more than a year ago.</w:t>
      </w:r>
    </w:p>
    <w:p>
      <w:pPr>
        <w:spacing w:after="0" w:line="197" w:lineRule="exact"/>
        <w:rPr>
          <w:rFonts w:ascii="Arial" w:cs="Arial" w:eastAsia="Arial" w:hAnsi="Arial"/>
          <w:sz w:val="18"/>
          <w:szCs w:val="18"/>
          <w:color w:val="auto"/>
        </w:rPr>
      </w:pPr>
    </w:p>
    <w:p>
      <w:pPr>
        <w:jc w:val="both"/>
        <w:ind w:left="660" w:hanging="139"/>
        <w:spacing w:after="0" w:line="312"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“Our business model generates strong cash flow from operations. Free cash flow* for the trailing 12 months was almost $3 billion, up 16 percent compared with a year ago. Further, free cash flow comprised 23 percent of revenue, which is consistent with our target of 20-25 percent. Free cash flow is well in excess of net income, and we expect it to remain so for some time as non-cash expenses are included in net income.</w:t>
      </w:r>
    </w:p>
    <w:p>
      <w:pPr>
        <w:spacing w:after="0" w:line="173" w:lineRule="exact"/>
        <w:rPr>
          <w:rFonts w:ascii="Arial" w:cs="Arial" w:eastAsia="Arial" w:hAnsi="Arial"/>
          <w:sz w:val="16"/>
          <w:szCs w:val="16"/>
          <w:color w:val="auto"/>
        </w:rPr>
      </w:pPr>
    </w:p>
    <w:p>
      <w:pPr>
        <w:jc w:val="both"/>
        <w:ind w:left="660" w:hanging="139"/>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quarter, we announced a 33 percent increase in our dividend to $1.12 per share annualized, and we added another $5 billion to our stock repurchase authorization. Both increases reflect our confidence in the long-term sustainability of our Analog and Embedded Processing business model.</w:t>
      </w:r>
    </w:p>
    <w:p>
      <w:pPr>
        <w:spacing w:after="0" w:line="208"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returned $911 million to shareholders through dividends and share repurchases in the first quarter. For the trailing 12 months, the return to shareholders totaled $3 billion, or 107 percent of free cash flow, consistent with our intention to return all our free cash flow to shareholders except what is needed to repay debt.</w:t>
      </w:r>
    </w:p>
    <w:p>
      <w:pPr>
        <w:spacing w:after="0" w:line="208" w:lineRule="exact"/>
        <w:rPr>
          <w:rFonts w:ascii="Arial" w:cs="Arial" w:eastAsia="Arial" w:hAnsi="Arial"/>
          <w:sz w:val="18"/>
          <w:szCs w:val="18"/>
          <w:color w:val="auto"/>
        </w:rPr>
      </w:pPr>
    </w:p>
    <w:p>
      <w:pPr>
        <w:ind w:left="660" w:hanging="139"/>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$3.9 billion of cash and short-term investments on hand at the end of the quarter, 84 percent of which is owned by the company’s U.S. entities. Inventory was 101 days, down from 105 a year ago.”</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i w:val="1"/>
          <w:iCs w:val="1"/>
          <w:color w:val="auto"/>
        </w:rPr>
        <w:t>* Non-GAAP; Free cash flow is Cash flow from operations less Capital expenditures.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1Q13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1Q12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5"/>
              </w:rPr>
              <w:t>Change</w:t>
            </w:r>
          </w:p>
        </w:tc>
        <w:tc>
          <w:tcPr>
            <w:tcW w:w="2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2,885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included a discrete tax benefit of $65 million associated with the retroactive reinstatement of the federal R&amp;D tax credit, which was signed into law in January 2013.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Trailing 12 months</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1Q13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1Q13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1Q12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3,324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3,188</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2,848</w:t>
            </w:r>
          </w:p>
        </w:tc>
        <w:tc>
          <w:tcPr>
            <w:tcW w:w="2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2,463</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trailing 12 months were 4 percent of revenue, consistent with the company’s model.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Trailing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13633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16" w:lineRule="exact"/>
        <w:rPr>
          <w:sz w:val="20"/>
          <w:szCs w:val="20"/>
          <w:color w:val="auto"/>
        </w:rPr>
      </w:pPr>
    </w:p>
    <w:p>
      <w:pPr>
        <w:ind w:left="3780"/>
        <w:spacing w:after="0"/>
        <w:tabs>
          <w:tab w:leader="none" w:pos="4860" w:val="left"/>
          <w:tab w:leader="none" w:pos="5920" w:val="left"/>
        </w:tabs>
        <w:rPr>
          <w:sz w:val="20"/>
          <w:szCs w:val="20"/>
          <w:color w:val="auto"/>
        </w:rPr>
      </w:pPr>
      <w:r>
        <w:rPr>
          <w:rFonts w:ascii="Arial" w:cs="Arial" w:eastAsia="Arial" w:hAnsi="Arial"/>
          <w:sz w:val="18"/>
          <w:szCs w:val="18"/>
          <w:color w:val="auto"/>
        </w:rPr>
        <w:t>1Q13</w:t>
      </w:r>
      <w:r>
        <w:rPr>
          <w:sz w:val="20"/>
          <w:szCs w:val="20"/>
          <w:color w:val="auto"/>
        </w:rPr>
        <w:tab/>
      </w:r>
      <w:r>
        <w:rPr>
          <w:rFonts w:ascii="Arial" w:cs="Arial" w:eastAsia="Arial" w:hAnsi="Arial"/>
          <w:sz w:val="18"/>
          <w:szCs w:val="18"/>
          <w:color w:val="auto"/>
        </w:rPr>
        <w:t>1Q13</w:t>
      </w:r>
      <w:r>
        <w:rPr>
          <w:sz w:val="20"/>
          <w:szCs w:val="20"/>
          <w:color w:val="auto"/>
        </w:rPr>
        <w:tab/>
      </w:r>
      <w:r>
        <w:rPr>
          <w:rFonts w:ascii="Arial" w:cs="Arial" w:eastAsia="Arial" w:hAnsi="Arial"/>
          <w:sz w:val="15"/>
          <w:szCs w:val="15"/>
          <w:color w:val="auto"/>
        </w:rPr>
        <w:t>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71010" cy="241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2419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Percentage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Free Cash Flow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856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Total cash returned</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3,035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47"/>
        </w:trPr>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Outlook</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3220" w:type="dxa"/>
            <w:vAlign w:val="bottom"/>
            <w:gridSpan w:val="4"/>
          </w:tcPr>
          <w:p>
            <w:pPr>
              <w:spacing w:after="0"/>
              <w:rPr>
                <w:sz w:val="20"/>
                <w:szCs w:val="20"/>
                <w:color w:val="auto"/>
              </w:rPr>
            </w:pPr>
            <w:r>
              <w:rPr>
                <w:rFonts w:ascii="Arial" w:cs="Arial" w:eastAsia="Arial" w:hAnsi="Arial"/>
                <w:sz w:val="18"/>
                <w:szCs w:val="18"/>
                <w:color w:val="auto"/>
                <w:w w:val="92"/>
              </w:rPr>
              <w:t>For the second quarter of 2013, TI expects: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Arial" w:cs="Arial" w:eastAsia="Arial" w:hAnsi="Arial"/>
                <w:sz w:val="18"/>
                <w:szCs w:val="18"/>
                <w:color w:val="auto"/>
              </w:rPr>
              <w:t>Ÿ</w:t>
            </w: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Revenue: $2.93 – 3.17 billion</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ind w:left="260"/>
              <w:spacing w:after="0"/>
              <w:rPr>
                <w:sz w:val="20"/>
                <w:szCs w:val="20"/>
                <w:color w:val="auto"/>
              </w:rPr>
            </w:pPr>
            <w:r>
              <w:rPr>
                <w:rFonts w:ascii="Arial" w:cs="Arial" w:eastAsia="Arial" w:hAnsi="Arial"/>
                <w:sz w:val="18"/>
                <w:szCs w:val="18"/>
                <w:color w:val="auto"/>
              </w:rPr>
              <w:t>Ÿ</w:t>
            </w:r>
          </w:p>
        </w:tc>
        <w:tc>
          <w:tcPr>
            <w:tcW w:w="2780" w:type="dxa"/>
            <w:vAlign w:val="bottom"/>
            <w:gridSpan w:val="2"/>
          </w:tcPr>
          <w:p>
            <w:pPr>
              <w:ind w:left="60"/>
              <w:spacing w:after="0"/>
              <w:rPr>
                <w:sz w:val="20"/>
                <w:szCs w:val="20"/>
                <w:color w:val="auto"/>
              </w:rPr>
            </w:pPr>
            <w:r>
              <w:rPr>
                <w:rFonts w:ascii="Arial" w:cs="Arial" w:eastAsia="Arial" w:hAnsi="Arial"/>
                <w:sz w:val="18"/>
                <w:szCs w:val="18"/>
                <w:color w:val="auto"/>
              </w:rPr>
              <w:t>Earnings per share: $0.37 – 0.45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legacy wireless products is expected to decline by about $60 million sequentially at the middle of this range. The company previously announced that it is winding down investment in these products for the smartphone and consumer tablet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second-quarter outlook on June 10,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2013,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R&amp;D expense: $1.5 billion, down from the prior estimate of $1.6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$0.5 billion, unchanged</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$0.9 billion, unchanged</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effective tax rate: 22 percent, unchanged</w:t>
      </w:r>
    </w:p>
    <w:p>
      <w:pPr>
        <w:sectPr>
          <w:pgSz w:w="11900" w:h="16838" w:orient="portrait"/>
          <w:cols w:equalWidth="0" w:num="1">
            <w:col w:w="10760"/>
          </w:cols>
          <w:pgMar w:left="240" w:top="134"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6"/>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2"/>
              </w:rPr>
              <w:t>For Three Months Ended</w:t>
            </w: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460"/>
              <w:spacing w:after="0" w:line="198" w:lineRule="exact"/>
              <w:rPr>
                <w:sz w:val="20"/>
                <w:szCs w:val="20"/>
                <w:color w:val="auto"/>
              </w:rPr>
            </w:pPr>
            <w:r>
              <w:rPr>
                <w:rFonts w:ascii="Arial" w:cs="Arial" w:eastAsia="Arial" w:hAnsi="Arial"/>
                <w:sz w:val="18"/>
                <w:szCs w:val="18"/>
                <w:b w:val="1"/>
                <w:bCs w:val="1"/>
                <w:color w:val="auto"/>
                <w:w w:val="95"/>
              </w:rPr>
              <w:t>Mar. 31,</w:t>
            </w:r>
          </w:p>
        </w:tc>
        <w:tc>
          <w:tcPr>
            <w:tcW w:w="1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center"/>
              <w:ind w:right="440"/>
              <w:spacing w:after="0" w:line="198" w:lineRule="exact"/>
              <w:rPr>
                <w:sz w:val="20"/>
                <w:szCs w:val="20"/>
                <w:color w:val="auto"/>
              </w:rPr>
            </w:pPr>
            <w:r>
              <w:rPr>
                <w:rFonts w:ascii="Arial" w:cs="Arial" w:eastAsia="Arial" w:hAnsi="Arial"/>
                <w:sz w:val="18"/>
                <w:szCs w:val="18"/>
                <w:b w:val="1"/>
                <w:bCs w:val="1"/>
                <w:color w:val="auto"/>
                <w:w w:val="95"/>
              </w:rPr>
              <w:t>Mar. 31,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1,511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1,374</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419</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Acquisition charges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374</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1,107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1,123</w:t>
            </w: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47.6%</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$7 million, $4 million and $4 million for the quarters ending March 31, 2013, March 31, 2012, and December 31, 2012, respectively.</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6"/>
              </w:rPr>
              <w:t>Mar. 31, 2013</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6"/>
              </w:rPr>
              <w:t>Mar. 31, 2012</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Dec.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($26), ($32) and ($31)</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(3,034)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3,739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4,362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19,701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20,009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 paper borrowings</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4,183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8,749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 31, 2013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1,740,815,939; Mar. 31, 2012 – 1,740,814,489; Dec. 31, 2012 – 1,740,815,939</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27,330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Mar. 31, 2013 – 631,661,551; Mar. 31, 2012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(18,518)</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596,461,198; Dec. 31, 2012 – 632,636,970</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(17,385)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10,952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11,071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19,701</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Mar. 31, 2013</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Mar. 31, 2012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Dec. 31,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on sales of assets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asset sales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615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long-term investments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Repayment of commercial paper borrowings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(232)</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(679)</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1Q13 segment results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i w:val="1"/>
          <w:iCs w:val="1"/>
          <w:color w:val="auto"/>
        </w:rPr>
        <w:t>Beginning with this financial report, TI has transitioned its segment reporting to align with the company’s strategic focus and new organizational structure. The Wireless segment has been eliminated, as the company has announced that it is winding down investment in Wireless products for the smartphone and consumer tablet markets. Financial results for these legacy wireless products are included in the Other segment. Financial results for Wireless products that address embedded applications, a strategic focus for the company, are reported in the Embedded Processing segment. In addition, some products, mostly RFID products used in automotive applications, were moved from the Other segment into Embedded Processing. Historical information for the new segment structure is available at ti.com/ir.</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1Q13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1Q12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4Q12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1,686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bl>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revenue decreased due to lower Silicon Valley Analog revenue. High Volume Analog &amp; Logic revenue and High Performance Analog revenue also declined while revenue from Power Management increased.</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as lower revenue from High Volume Analog &amp; Logic and Power Management was offset by higher revenue from Silicon Valley Analog and High Performance Analog.</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a year ago primarily due to lower revenue and associated gross profit. Operating profit declined from the prior quarter primarily due to higher operating expenses.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r>
        <w:rPr>
          <w:rFonts w:ascii="Arial" w:cs="Arial" w:eastAsia="Arial" w:hAnsi="Arial"/>
          <w:sz w:val="18"/>
          <w:szCs w:val="18"/>
          <w:color w:val="auto"/>
        </w:rPr>
        <w:t>)</w:t>
      </w:r>
    </w:p>
    <w:p>
      <w:pPr>
        <w:spacing w:after="0" w:line="27" w:lineRule="exact"/>
        <w:rPr>
          <w:sz w:val="20"/>
          <w:szCs w:val="20"/>
          <w:color w:val="auto"/>
        </w:rPr>
      </w:pPr>
    </w:p>
    <w:p>
      <w:pPr>
        <w:ind w:left="340" w:right="2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quarter, the increase in revenue was primarily due to higher Microcontroller revenue. Revenue from Connectivity also increased, while Processor revenue was about even.</w:t>
      </w:r>
    </w:p>
    <w:p>
      <w:pPr>
        <w:ind w:left="340" w:hanging="228"/>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Compared with the prior quarter, revenue increased due to Microcontrollers. Processor revenue declined while Connectivity revenue was about even.</w:t>
      </w:r>
    </w:p>
    <w:p>
      <w:pPr>
        <w:spacing w:after="0" w:line="32" w:lineRule="exact"/>
        <w:rPr>
          <w:rFonts w:ascii="Arial" w:cs="Arial" w:eastAsia="Arial" w:hAnsi="Arial"/>
          <w:sz w:val="16"/>
          <w:szCs w:val="16"/>
          <w:color w:val="auto"/>
        </w:rPr>
      </w:pP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declined from a year ago primarily due to lower gross profit. Operating profit decreased from the prior quarter due to higher operating expenses.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jc w:val="both"/>
        <w:ind w:left="340" w:hanging="228"/>
        <w:spacing w:after="0" w:line="24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lower revenue from legacy wireless products. The year-ago quarter also included proceeds that did not recur from business interruption insurance associated with the Japan earthquake. Revenue from custom ASIC products and calculators also declined. Revenue from DLP products and royalties increased.</w:t>
      </w:r>
    </w:p>
    <w:p>
      <w:pPr>
        <w:spacing w:after="0" w:line="2"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declined primarily due to lower revenue from legacy wireless products. Revenue from custom ASIC products and royalties also declined. Revenue from calculators increased and from DLP products was about even.</w:t>
      </w:r>
    </w:p>
    <w:p>
      <w:pPr>
        <w:ind w:left="340" w:right="20" w:hanging="228"/>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lower operating expenses. Operating profit increased from the prior quarter due to lower restructuring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25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This earnings release includes references to free cash flow and various ratios based on that measure. These are financial measures that were not prepared in accordance with generally accepted accounting principles in the United States (non-GAAP measures). Free cash flow was calculated by subtracting Capital expenditures from the most directly comparable GAAP measure of Cash flows from operating activities (also referred to as Cash flow from operations).</w:t>
      </w:r>
    </w:p>
    <w:p>
      <w:pPr>
        <w:spacing w:after="0" w:line="17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release: Revenue, Dividends paid and Stock repurchases. Reconciliation to the most directly comparable GAAP-based ratios is provided in the table below.</w:t>
      </w:r>
    </w:p>
    <w:p>
      <w:pPr>
        <w:spacing w:after="0" w:line="15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believes all of these non-GAAP measures provide insight into its liquidity, its cash-generating capability and the amount of cash available to return to investors as well as insight into its financial performance. These non-GAAP measures are supplemental to the comparable GAAP measures.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gridSpan w:val="5"/>
          </w:tcPr>
          <w:p>
            <w:pPr>
              <w:jc w:val="center"/>
              <w:ind w:left="1305"/>
              <w:spacing w:after="0"/>
              <w:rPr>
                <w:sz w:val="20"/>
                <w:szCs w:val="20"/>
                <w:color w:val="auto"/>
              </w:rPr>
            </w:pPr>
            <w:r>
              <w:rPr>
                <w:rFonts w:ascii="Arial" w:cs="Arial" w:eastAsia="Arial" w:hAnsi="Arial"/>
                <w:sz w:val="18"/>
                <w:szCs w:val="18"/>
                <w:b w:val="1"/>
                <w:bCs w:val="1"/>
                <w:color w:val="auto"/>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360" w:type="dxa"/>
            <w:vAlign w:val="bottom"/>
            <w:gridSpan w:val="3"/>
          </w:tcPr>
          <w:p>
            <w:pPr>
              <w:jc w:val="center"/>
              <w:ind w:left="2405"/>
              <w:spacing w:after="0"/>
              <w:rPr>
                <w:sz w:val="20"/>
                <w:szCs w:val="20"/>
                <w:color w:val="auto"/>
              </w:rPr>
            </w:pPr>
            <w:r>
              <w:rPr>
                <w:rFonts w:ascii="Arial" w:cs="Arial" w:eastAsia="Arial" w:hAnsi="Arial"/>
                <w:sz w:val="18"/>
                <w:szCs w:val="18"/>
                <w:b w:val="1"/>
                <w:bCs w:val="1"/>
                <w:color w:val="auto"/>
                <w:w w:val="92"/>
              </w:rPr>
              <w:t>(Millions of dollars)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680"/>
              <w:spacing w:after="0" w:line="198" w:lineRule="exact"/>
              <w:rPr>
                <w:sz w:val="20"/>
                <w:szCs w:val="20"/>
                <w:color w:val="auto"/>
              </w:rPr>
            </w:pPr>
            <w:r>
              <w:rPr>
                <w:rFonts w:ascii="Arial" w:cs="Arial" w:eastAsia="Arial" w:hAnsi="Arial"/>
                <w:sz w:val="18"/>
                <w:szCs w:val="18"/>
                <w:b w:val="1"/>
                <w:bCs w:val="1"/>
                <w:color w:val="auto"/>
                <w:w w:val="91"/>
              </w:rPr>
              <w:t>For the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b w:val="1"/>
                <w:bCs w:val="1"/>
                <w:color w:val="auto"/>
                <w:w w:val="89"/>
              </w:rPr>
              <w:t>Twelve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b w:val="1"/>
                <w:bCs w:val="1"/>
                <w:color w:val="auto"/>
                <w:w w:val="90"/>
              </w:rPr>
              <w:t>Months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b w:val="1"/>
                <w:bCs w:val="1"/>
                <w:color w:val="auto"/>
                <w:w w:val="90"/>
              </w:rPr>
              <w:t>Ended</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4"/>
              </w:rPr>
              <w:t>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b w:val="1"/>
                <w:bCs w:val="1"/>
                <w:color w:val="auto"/>
                <w:w w:val="95"/>
              </w:rPr>
              <w:t>Mar. 31,</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6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6"/>
              </w:rPr>
              <w:t>of Revenue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0"/>
              </w:rPr>
              <w:t>$12,589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3,324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57"/>
        </w:trPr>
        <w:tc>
          <w:tcPr>
            <w:tcW w:w="2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2,848</w:t>
            </w:r>
          </w:p>
        </w:tc>
        <w:tc>
          <w:tcPr>
            <w:tcW w:w="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Cash flow from operations and Capital expenditures as a percentage of Revenue provided in the above chart will not calculate to the free cash flow as a percentage of Revenue due to rounding.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4"/>
              </w:rPr>
              <w:t>For the</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9"/>
              </w:rPr>
              <w:t>As a</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4"/>
              </w:rPr>
              <w:t>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9"/>
              </w:rPr>
              <w:t>Twelve</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0"/>
              </w:rPr>
              <w:t>Months</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1"/>
              </w:rPr>
              <w:t>of Cash Flow</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3"/>
              </w:rPr>
              <w:t>of Free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0"/>
              </w:rPr>
              <w:t>Ended</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4"/>
              </w:rPr>
              <w:t>from</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8"/>
              </w:rPr>
              <w:t>Cash Flow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5"/>
              </w:rPr>
              <w:t>Mar. 31,</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2013</w:t>
            </w:r>
          </w:p>
        </w:tc>
        <w:tc>
          <w:tcPr>
            <w:tcW w:w="4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6"/>
              </w:rPr>
              <w:t>(GAAP)</w:t>
            </w: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6"/>
              </w:rPr>
              <w:t>GAAP)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856</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Stock repurchases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2,179</w:t>
            </w:r>
          </w:p>
        </w:tc>
        <w:tc>
          <w:tcPr>
            <w:tcW w:w="4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w:t>
            </w: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Dividends paid and Stock repurchases as a percentage of Cash flow from operations provided in the above chart will not sum to the total cash returned as a percentage of Cash flow from operations due to rounding.</w:t>
      </w:r>
    </w:p>
    <w:p>
      <w:pPr>
        <w:sectPr>
          <w:pgSz w:w="11900" w:h="16838" w:orient="portrait"/>
          <w:cols w:equalWidth="0" w:num="1">
            <w:col w:w="11360"/>
          </w:cols>
          <w:pgMar w:left="240" w:top="356"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Ÿ"/>
      <w:numFmt w:val="bullet"/>
      <w:start w:val="1"/>
    </w:lvl>
  </w:abstractNum>
  <w:abstractNum w:abstractNumId="4">
    <w:nsid w:val="2EB141F2"/>
    <w:multiLevelType w:val="hybridMultilevel"/>
    <w:lvl w:ilvl="0">
      <w:lvlJc w:val="left"/>
      <w:lvlText w:val="Ÿ"/>
      <w:numFmt w:val="bullet"/>
      <w:start w:val="1"/>
    </w:lvl>
  </w:abstractNum>
  <w:abstractNum w:abstractNumId="5">
    <w:nsid w:val="41B71EFB"/>
    <w:multiLevelType w:val="hybridMultilevel"/>
    <w:lvl w:ilvl="0">
      <w:lvlJc w:val="left"/>
      <w:lvlText w:val="Ÿ"/>
      <w:numFmt w:val="bullet"/>
      <w:start w:val="1"/>
    </w:lvl>
  </w:abstractNum>
  <w:abstractNum w:abstractNumId="6">
    <w:nsid w:val="79E2A9E3"/>
    <w:multiLevelType w:val="hybridMultilevel"/>
    <w:lvl w:ilvl="0">
      <w:lvlJc w:val="left"/>
      <w:lvlText w:val="Ÿ"/>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2019-12-05T16:02:17Z</dcterms:created>
  <dcterms:modified xsi:type="dcterms:W3CDTF">2019-12-05T16:02:17Z</dcterms:modified>
</cp:coreProperties>
</file>