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723265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748665</wp:posOffset>
            </wp:positionV>
            <wp:extent cx="7106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w:t>
      </w:r>
    </w:p>
    <w:p>
      <w:pPr>
        <w:spacing w:after="0" w:line="201"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SCHEDULE 14A</w:t>
      </w:r>
    </w:p>
    <w:p>
      <w:pPr>
        <w:spacing w:after="0" w:line="24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100"/>
        <w:spacing w:after="0"/>
        <w:tabs>
          <w:tab w:leader="none" w:pos="240" w:val="left"/>
        </w:tabs>
        <w:rPr>
          <w:sz w:val="20"/>
          <w:szCs w:val="20"/>
          <w:color w:val="auto"/>
        </w:rPr>
      </w:pPr>
      <w:r>
        <w:rPr>
          <w:rFonts w:ascii="Arial" w:cs="Arial" w:eastAsia="Arial" w:hAnsi="Arial"/>
          <w:sz w:val="18"/>
          <w:szCs w:val="18"/>
          <w:b w:val="1"/>
          <w:bCs w:val="1"/>
          <w:color w:val="auto"/>
        </w:rPr>
        <w:t>(Amendment No.</w:t>
        <w:tab/>
        <w:t>)</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___________________</w:t>
      </w:r>
    </w:p>
    <w:p>
      <w:pPr>
        <w:sectPr>
          <w:pgSz w:w="11900" w:h="16838" w:orient="portrait"/>
          <w:cols w:equalWidth="0" w:num="1">
            <w:col w:w="10139"/>
          </w:cols>
          <w:pgMar w:left="320" w:top="1440" w:right="1440" w:bottom="1440" w:gutter="0" w:footer="0" w:header="0"/>
        </w:sectPr>
      </w:pPr>
    </w:p>
    <w:p>
      <w:pPr>
        <w:spacing w:after="0" w:line="257" w:lineRule="exact"/>
        <w:rPr>
          <w:sz w:val="24"/>
          <w:szCs w:val="24"/>
          <w:color w:val="auto"/>
        </w:rPr>
      </w:pPr>
    </w:p>
    <w:p>
      <w:pPr>
        <w:ind w:left="4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highlight w:val="black"/>
        </w:rPr>
        <w:t>☒</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840" w:space="700"/>
            <w:col w:w="7599"/>
          </w:cols>
          <w:pgMar w:left="320" w:top="1440" w:right="1440" w:bottom="1440" w:gutter="0" w:footer="0" w:header="0"/>
          <w:type w:val="continuous"/>
        </w:sectPr>
      </w:pP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73"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13" w:lineRule="exact"/>
        <w:rPr>
          <w:rFonts w:ascii="MS PGothic" w:cs="MS PGothic" w:eastAsia="MS PGothic" w:hAnsi="MS PGothic"/>
          <w:sz w:val="16"/>
          <w:szCs w:val="16"/>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13"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color w:val="auto"/>
        </w:rPr>
        <w:t>Definitive Proxy Statement</w:t>
      </w:r>
    </w:p>
    <w:p>
      <w:pPr>
        <w:spacing w:after="0" w:line="113" w:lineRule="exact"/>
        <w:rPr>
          <w:sz w:val="24"/>
          <w:szCs w:val="24"/>
          <w:color w:val="auto"/>
        </w:rPr>
      </w:pPr>
    </w:p>
    <w:p>
      <w:pPr>
        <w:ind w:left="460" w:hanging="434"/>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13" w:lineRule="exact"/>
        <w:rPr>
          <w:rFonts w:ascii="MS PGothic" w:cs="MS PGothic" w:eastAsia="MS PGothic" w:hAnsi="MS PGothic"/>
          <w:sz w:val="16"/>
          <w:szCs w:val="16"/>
          <w:color w:val="auto"/>
        </w:rPr>
      </w:pPr>
    </w:p>
    <w:p>
      <w:pPr>
        <w:ind w:left="460" w:hanging="434"/>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200" w:lineRule="exact"/>
        <w:rPr>
          <w:sz w:val="24"/>
          <w:szCs w:val="24"/>
          <w:color w:val="auto"/>
        </w:rPr>
      </w:pPr>
    </w:p>
    <w:p>
      <w:pPr>
        <w:spacing w:after="0" w:line="204" w:lineRule="exact"/>
        <w:rPr>
          <w:sz w:val="24"/>
          <w:szCs w:val="24"/>
          <w:color w:val="auto"/>
        </w:rPr>
      </w:pPr>
    </w:p>
    <w:p>
      <w:pPr>
        <w:jc w:val="center"/>
        <w:ind w:right="-1060"/>
        <w:spacing w:after="0"/>
        <w:rPr>
          <w:sz w:val="20"/>
          <w:szCs w:val="20"/>
          <w:color w:val="auto"/>
        </w:rPr>
      </w:pPr>
      <w:r>
        <w:rPr>
          <w:rFonts w:ascii="Arial" w:cs="Arial" w:eastAsia="Arial" w:hAnsi="Arial"/>
          <w:sz w:val="29"/>
          <w:szCs w:val="29"/>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06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90"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06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61"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73" w:lineRule="exact"/>
        <w:rPr>
          <w:sz w:val="24"/>
          <w:szCs w:val="24"/>
          <w:color w:val="auto"/>
        </w:rPr>
      </w:pPr>
    </w:p>
    <w:p>
      <w:pPr>
        <w:ind w:left="460" w:hanging="434"/>
        <w:spacing w:after="0"/>
        <w:tabs>
          <w:tab w:leader="none" w:pos="460" w:val="left"/>
        </w:tabs>
        <w:numPr>
          <w:ilvl w:val="0"/>
          <w:numId w:val="4"/>
        </w:numPr>
        <w:rPr>
          <w:rFonts w:ascii="MS PGothic" w:cs="MS PGothic" w:eastAsia="MS PGothic" w:hAnsi="MS PGothic"/>
          <w:sz w:val="16"/>
          <w:szCs w:val="16"/>
          <w:color w:val="auto"/>
          <w:highlight w:val="black"/>
        </w:rPr>
      </w:pPr>
      <w:r>
        <w:rPr>
          <w:rFonts w:ascii="Arial" w:cs="Arial" w:eastAsia="Arial" w:hAnsi="Arial"/>
          <w:sz w:val="16"/>
          <w:szCs w:val="16"/>
          <w:color w:val="auto"/>
        </w:rPr>
        <w:t>No fee required.</w:t>
      </w:r>
    </w:p>
    <w:p>
      <w:pPr>
        <w:spacing w:after="0" w:line="113" w:lineRule="exact"/>
        <w:rPr>
          <w:sz w:val="24"/>
          <w:szCs w:val="24"/>
          <w:color w:val="auto"/>
        </w:rPr>
      </w:pPr>
    </w:p>
    <w:p>
      <w:pPr>
        <w:ind w:left="460" w:hanging="434"/>
        <w:spacing w:after="0"/>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13" w:lineRule="exact"/>
        <w:rPr>
          <w:rFonts w:ascii="MS PGothic" w:cs="MS PGothic" w:eastAsia="MS PGothic" w:hAnsi="MS PGothic"/>
          <w:sz w:val="16"/>
          <w:szCs w:val="16"/>
          <w:color w:val="auto"/>
        </w:rPr>
      </w:pPr>
    </w:p>
    <w:p>
      <w:pPr>
        <w:ind w:left="460" w:hanging="434"/>
        <w:spacing w:after="0"/>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3599815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2892425</wp:posOffset>
            </wp:positionV>
            <wp:extent cx="7106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2918460</wp:posOffset>
            </wp:positionV>
            <wp:extent cx="7106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April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166370</wp:posOffset>
            </wp:positionV>
            <wp:extent cx="2049145" cy="471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4914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 are cordially invited to attend the 2025 annual meeting of stockholders on Thursday, April 17, 2025, in the auditorium on our property at 12500 TI Boulevard, Dallas, Texas, at 8:30 a.m. (Central time). If you plan to attend the annual meeting, please see “Attendance and instructions for the annual meeting.” At the meeting we will consider and act upon the following matters: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directors for the next year,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approval of the company’s executive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2025,</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stockholder proposal, if properly presented,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other matters as may properly come before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record at the close of business on February 20, 2025, are entitled to vote at the annual meeting.</w:t>
      </w:r>
    </w:p>
    <w:p>
      <w:pPr>
        <w:spacing w:after="0" w:line="225" w:lineRule="exact"/>
        <w:rPr>
          <w:sz w:val="20"/>
          <w:szCs w:val="20"/>
          <w:color w:val="auto"/>
        </w:rPr>
      </w:pPr>
    </w:p>
    <w:p>
      <w:pPr>
        <w:ind w:right="280"/>
        <w:spacing w:after="0" w:line="296" w:lineRule="auto"/>
        <w:rPr>
          <w:sz w:val="20"/>
          <w:szCs w:val="20"/>
          <w:color w:val="auto"/>
        </w:rPr>
      </w:pPr>
      <w:r>
        <w:rPr>
          <w:rFonts w:ascii="Arial" w:cs="Arial" w:eastAsia="Arial" w:hAnsi="Arial"/>
          <w:sz w:val="18"/>
          <w:szCs w:val="18"/>
          <w:b w:val="1"/>
          <w:bCs w:val="1"/>
          <w:color w:val="auto"/>
        </w:rPr>
        <w:t>We urge you to vote your shares as promptly as possible by (i) accessing the voting website, (ii) calling the toll-free number or (iii) signing, dating and mailing the enclosed proxy.</w:t>
      </w:r>
    </w:p>
    <w:p>
      <w:pPr>
        <w:spacing w:after="0" w:line="19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Katie Kane</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Secretary and General Counsel</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242424"/>
        </w:rPr>
        <w:t>2025 PROXY STATEMENT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73" w:right="4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21"/>
          <w:szCs w:val="21"/>
          <w:b w:val="1"/>
          <w:bCs w:val="1"/>
          <w:color w:val="auto"/>
        </w:rPr>
        <w:t>TABLE OF CONTENTS</w:t>
      </w:r>
    </w:p>
    <w:p>
      <w:pPr>
        <w:sectPr>
          <w:pgSz w:w="11900" w:h="16838" w:orient="portrait"/>
          <w:cols w:equalWidth="0" w:num="1">
            <w:col w:w="11020"/>
          </w:cols>
          <w:pgMar w:left="340" w:top="773" w:right="539" w:bottom="1440" w:gutter="0" w:footer="0" w:header="0"/>
        </w:sect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60" w:type="dxa"/>
            <w:vAlign w:val="bottom"/>
          </w:tcPr>
          <w:p>
            <w:pPr>
              <w:spacing w:after="0"/>
              <w:rPr>
                <w:sz w:val="20"/>
                <w:szCs w:val="20"/>
                <w:color w:val="auto"/>
              </w:rPr>
            </w:pPr>
            <w:r>
              <w:rPr>
                <w:rFonts w:ascii="Arial" w:cs="Arial" w:eastAsia="Arial" w:hAnsi="Arial"/>
                <w:sz w:val="18"/>
                <w:szCs w:val="18"/>
                <w:color w:val="auto"/>
              </w:rPr>
              <w:t>Notice of 2025 annual meeting of stockholders</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Voting procedures, quorum and attendance requirements</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8"/>
        </w:trPr>
        <w:tc>
          <w:tcPr>
            <w:tcW w:w="4860" w:type="dxa"/>
            <w:vAlign w:val="bottom"/>
          </w:tcPr>
          <w:p>
            <w:pPr>
              <w:spacing w:after="0"/>
              <w:rPr>
                <w:sz w:val="20"/>
                <w:szCs w:val="20"/>
                <w:color w:val="auto"/>
              </w:rPr>
            </w:pPr>
            <w:r>
              <w:rPr>
                <w:rFonts w:ascii="Arial" w:cs="Arial" w:eastAsia="Arial" w:hAnsi="Arial"/>
                <w:sz w:val="18"/>
                <w:szCs w:val="18"/>
                <w:b w:val="1"/>
                <w:bCs w:val="1"/>
                <w:color w:val="auto"/>
              </w:rPr>
              <w:t>Corporate governance and board of directors</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2"/>
        </w:trPr>
        <w:tc>
          <w:tcPr>
            <w:tcW w:w="4860" w:type="dxa"/>
            <w:vAlign w:val="bottom"/>
          </w:tcPr>
          <w:p>
            <w:pPr>
              <w:ind w:left="120"/>
              <w:spacing w:after="0"/>
              <w:rPr>
                <w:sz w:val="20"/>
                <w:szCs w:val="20"/>
                <w:color w:val="auto"/>
              </w:rPr>
            </w:pPr>
            <w:r>
              <w:rPr>
                <w:rFonts w:ascii="Arial" w:cs="Arial" w:eastAsia="Arial" w:hAnsi="Arial"/>
                <w:sz w:val="18"/>
                <w:szCs w:val="18"/>
                <w:color w:val="auto"/>
              </w:rPr>
              <w:t>Election of directors</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Director nominees, qualifications and experience</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Director nomination process</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Communications with the board</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Corporate governance</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Annual meeting attendance</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Director independence</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4860" w:type="dxa"/>
            <w:vAlign w:val="bottom"/>
          </w:tcPr>
          <w:p>
            <w:pPr>
              <w:ind w:left="120"/>
              <w:spacing w:after="0"/>
              <w:rPr>
                <w:sz w:val="20"/>
                <w:szCs w:val="20"/>
                <w:color w:val="auto"/>
              </w:rPr>
            </w:pPr>
            <w:r>
              <w:rPr>
                <w:rFonts w:ascii="Arial" w:cs="Arial" w:eastAsia="Arial" w:hAnsi="Arial"/>
                <w:sz w:val="18"/>
                <w:szCs w:val="18"/>
                <w:color w:val="auto"/>
              </w:rPr>
              <w:t>Board organization</w:t>
            </w: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Board and committee meetings</w:t>
            </w: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Committees of the board</w:t>
            </w: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Board evaluation process</w:t>
            </w: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Board leadership structure</w:t>
            </w: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Oversight by the board</w:t>
            </w: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4860" w:type="dxa"/>
            <w:vAlign w:val="bottom"/>
          </w:tcPr>
          <w:p>
            <w:pPr>
              <w:ind w:left="120"/>
              <w:spacing w:after="0"/>
              <w:rPr>
                <w:sz w:val="20"/>
                <w:szCs w:val="20"/>
                <w:color w:val="auto"/>
              </w:rPr>
            </w:pPr>
            <w:r>
              <w:rPr>
                <w:rFonts w:ascii="Arial" w:cs="Arial" w:eastAsia="Arial" w:hAnsi="Arial"/>
                <w:sz w:val="18"/>
                <w:szCs w:val="18"/>
                <w:color w:val="auto"/>
              </w:rPr>
              <w:t>Director compensation</w:t>
            </w: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8"/>
        </w:trPr>
        <w:tc>
          <w:tcPr>
            <w:tcW w:w="4860" w:type="dxa"/>
            <w:vAlign w:val="bottom"/>
          </w:tcPr>
          <w:p>
            <w:pPr>
              <w:spacing w:after="0"/>
              <w:rPr>
                <w:sz w:val="20"/>
                <w:szCs w:val="20"/>
                <w:color w:val="auto"/>
              </w:rPr>
            </w:pPr>
            <w:r>
              <w:rPr>
                <w:rFonts w:ascii="Arial" w:cs="Arial" w:eastAsia="Arial" w:hAnsi="Arial"/>
                <w:sz w:val="18"/>
                <w:szCs w:val="18"/>
                <w:b w:val="1"/>
                <w:bCs w:val="1"/>
                <w:color w:val="auto"/>
              </w:rPr>
              <w:t>Executive compensation</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9"/>
        </w:trPr>
        <w:tc>
          <w:tcPr>
            <w:tcW w:w="4860" w:type="dxa"/>
            <w:vAlign w:val="bottom"/>
          </w:tcPr>
          <w:p>
            <w:pPr>
              <w:ind w:left="120"/>
              <w:spacing w:after="0"/>
              <w:rPr>
                <w:sz w:val="20"/>
                <w:szCs w:val="20"/>
                <w:color w:val="auto"/>
              </w:rPr>
            </w:pPr>
            <w:r>
              <w:rPr>
                <w:rFonts w:ascii="Arial" w:cs="Arial" w:eastAsia="Arial" w:hAnsi="Arial"/>
                <w:sz w:val="18"/>
                <w:szCs w:val="18"/>
                <w:color w:val="auto"/>
              </w:rPr>
              <w:t>Proposal regarding advisory approval of the company’s</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9"/>
        </w:trPr>
        <w:tc>
          <w:tcPr>
            <w:tcW w:w="4860" w:type="dxa"/>
            <w:vAlign w:val="bottom"/>
          </w:tcPr>
          <w:p>
            <w:pPr>
              <w:ind w:left="120"/>
              <w:spacing w:after="0"/>
              <w:rPr>
                <w:sz w:val="20"/>
                <w:szCs w:val="20"/>
                <w:color w:val="auto"/>
              </w:rPr>
            </w:pPr>
            <w:r>
              <w:rPr>
                <w:rFonts w:ascii="Arial" w:cs="Arial" w:eastAsia="Arial" w:hAnsi="Arial"/>
                <w:sz w:val="18"/>
                <w:szCs w:val="18"/>
                <w:color w:val="auto"/>
              </w:rPr>
              <w:t>executive compensation</w:t>
            </w:r>
          </w:p>
        </w:tc>
        <w:tc>
          <w:tcPr>
            <w:tcW w:w="460" w:type="dxa"/>
            <w:vAlign w:val="bottom"/>
          </w:tcPr>
          <w:p>
            <w:pPr>
              <w:spacing w:after="0"/>
              <w:rPr>
                <w:sz w:val="20"/>
                <w:szCs w:val="20"/>
                <w:color w:val="auto"/>
              </w:rPr>
            </w:pPr>
          </w:p>
        </w:tc>
      </w:tr>
      <w:tr>
        <w:trPr>
          <w:trHeight w:val="270"/>
        </w:trPr>
        <w:tc>
          <w:tcPr>
            <w:tcW w:w="4860" w:type="dxa"/>
            <w:vAlign w:val="bottom"/>
          </w:tcPr>
          <w:p>
            <w:pPr>
              <w:ind w:left="120"/>
              <w:spacing w:after="0"/>
              <w:rPr>
                <w:sz w:val="20"/>
                <w:szCs w:val="20"/>
                <w:color w:val="auto"/>
              </w:rPr>
            </w:pPr>
            <w:r>
              <w:rPr>
                <w:rFonts w:ascii="Arial" w:cs="Arial" w:eastAsia="Arial" w:hAnsi="Arial"/>
                <w:sz w:val="18"/>
                <w:szCs w:val="18"/>
                <w:color w:val="auto"/>
              </w:rPr>
              <w:t>Compensation discussion and analysis</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Executive summary</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Compensation philosophy and elements</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Analysis of compensation determinations</w:t>
            </w: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Recoupment policy</w:t>
            </w: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Stock ownership guidelines and policy against hedging</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4860" w:type="dxa"/>
            <w:vAlign w:val="bottom"/>
          </w:tcPr>
          <w:p>
            <w:pPr>
              <w:ind w:left="120"/>
              <w:spacing w:after="0"/>
              <w:rPr>
                <w:sz w:val="20"/>
                <w:szCs w:val="20"/>
                <w:color w:val="auto"/>
              </w:rPr>
            </w:pPr>
            <w:r>
              <w:rPr>
                <w:rFonts w:ascii="Arial" w:cs="Arial" w:eastAsia="Arial" w:hAnsi="Arial"/>
                <w:sz w:val="18"/>
                <w:szCs w:val="18"/>
                <w:color w:val="auto"/>
              </w:rPr>
              <w:t>Compensation committee report</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860" w:type="dxa"/>
            <w:vAlign w:val="bottom"/>
          </w:tcPr>
          <w:p>
            <w:pPr>
              <w:ind w:left="120"/>
              <w:spacing w:after="0"/>
              <w:rPr>
                <w:sz w:val="20"/>
                <w:szCs w:val="20"/>
                <w:color w:val="auto"/>
              </w:rPr>
            </w:pPr>
            <w:r>
              <w:rPr>
                <w:rFonts w:ascii="Arial" w:cs="Arial" w:eastAsia="Arial" w:hAnsi="Arial"/>
                <w:sz w:val="18"/>
                <w:szCs w:val="18"/>
                <w:color w:val="auto"/>
              </w:rPr>
              <w:t>2024 compensation tables</w:t>
            </w: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2024 summary compensation table</w:t>
            </w: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Grants of plan-based awards in 2024</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47"/>
        </w:trPr>
        <w:tc>
          <w:tcPr>
            <w:tcW w:w="4860" w:type="dxa"/>
            <w:vAlign w:val="bottom"/>
          </w:tcPr>
          <w:p>
            <w:pPr>
              <w:ind w:left="240"/>
              <w:spacing w:after="0"/>
              <w:rPr>
                <w:sz w:val="20"/>
                <w:szCs w:val="20"/>
                <w:color w:val="auto"/>
              </w:rPr>
            </w:pPr>
            <w:r>
              <w:rPr>
                <w:rFonts w:ascii="Arial" w:cs="Arial" w:eastAsia="Arial" w:hAnsi="Arial"/>
                <w:sz w:val="18"/>
                <w:szCs w:val="18"/>
                <w:color w:val="auto"/>
              </w:rPr>
              <w:t>Outstanding equity awards at fiscal</w:t>
            </w: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9"/>
        </w:trPr>
        <w:tc>
          <w:tcPr>
            <w:tcW w:w="4860" w:type="dxa"/>
            <w:vAlign w:val="bottom"/>
          </w:tcPr>
          <w:p>
            <w:pPr>
              <w:ind w:left="240"/>
              <w:spacing w:after="0"/>
              <w:rPr>
                <w:sz w:val="20"/>
                <w:szCs w:val="20"/>
                <w:color w:val="auto"/>
              </w:rPr>
            </w:pPr>
            <w:r>
              <w:rPr>
                <w:rFonts w:ascii="Arial" w:cs="Arial" w:eastAsia="Arial" w:hAnsi="Arial"/>
                <w:sz w:val="18"/>
                <w:szCs w:val="18"/>
                <w:color w:val="auto"/>
              </w:rPr>
              <w:t>year-end 2024</w:t>
            </w:r>
          </w:p>
        </w:tc>
        <w:tc>
          <w:tcPr>
            <w:tcW w:w="460" w:type="dxa"/>
            <w:vAlign w:val="bottom"/>
          </w:tcPr>
          <w:p>
            <w:pPr>
              <w:spacing w:after="0"/>
              <w:rPr>
                <w:sz w:val="20"/>
                <w:szCs w:val="20"/>
                <w:color w:val="auto"/>
              </w:rPr>
            </w:pP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2024 option exercises and stock vested</w:t>
            </w: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2024 pension benefits</w:t>
            </w: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2024 non-qualified deferred compensation</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47"/>
        </w:trPr>
        <w:tc>
          <w:tcPr>
            <w:tcW w:w="4860" w:type="dxa"/>
            <w:vAlign w:val="bottom"/>
          </w:tcPr>
          <w:p>
            <w:pPr>
              <w:ind w:left="240"/>
              <w:spacing w:after="0"/>
              <w:rPr>
                <w:sz w:val="20"/>
                <w:szCs w:val="20"/>
                <w:color w:val="auto"/>
              </w:rPr>
            </w:pPr>
            <w:r>
              <w:rPr>
                <w:rFonts w:ascii="Arial" w:cs="Arial" w:eastAsia="Arial" w:hAnsi="Arial"/>
                <w:sz w:val="18"/>
                <w:szCs w:val="18"/>
                <w:color w:val="auto"/>
              </w:rPr>
              <w:t>Potential payments upon termination or change in</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9"/>
        </w:trPr>
        <w:tc>
          <w:tcPr>
            <w:tcW w:w="4860" w:type="dxa"/>
            <w:vAlign w:val="bottom"/>
          </w:tcPr>
          <w:p>
            <w:pPr>
              <w:ind w:left="240"/>
              <w:spacing w:after="0"/>
              <w:rPr>
                <w:sz w:val="20"/>
                <w:szCs w:val="20"/>
                <w:color w:val="auto"/>
              </w:rPr>
            </w:pPr>
            <w:r>
              <w:rPr>
                <w:rFonts w:ascii="Arial" w:cs="Arial" w:eastAsia="Arial" w:hAnsi="Arial"/>
                <w:sz w:val="18"/>
                <w:szCs w:val="18"/>
                <w:color w:val="auto"/>
              </w:rPr>
              <w:t>control</w:t>
            </w:r>
          </w:p>
        </w:tc>
        <w:tc>
          <w:tcPr>
            <w:tcW w:w="460" w:type="dxa"/>
            <w:vAlign w:val="bottom"/>
          </w:tcPr>
          <w:p>
            <w:pPr>
              <w:spacing w:after="0"/>
              <w:rPr>
                <w:sz w:val="20"/>
                <w:szCs w:val="20"/>
                <w:color w:val="auto"/>
              </w:rPr>
            </w:pPr>
          </w:p>
        </w:tc>
      </w:tr>
      <w:tr>
        <w:trPr>
          <w:trHeight w:val="270"/>
        </w:trPr>
        <w:tc>
          <w:tcPr>
            <w:tcW w:w="4860" w:type="dxa"/>
            <w:vAlign w:val="bottom"/>
          </w:tcPr>
          <w:p>
            <w:pPr>
              <w:ind w:left="120"/>
              <w:spacing w:after="0"/>
              <w:rPr>
                <w:sz w:val="20"/>
                <w:szCs w:val="20"/>
                <w:color w:val="auto"/>
              </w:rPr>
            </w:pPr>
            <w:r>
              <w:rPr>
                <w:rFonts w:ascii="Arial" w:cs="Arial" w:eastAsia="Arial" w:hAnsi="Arial"/>
                <w:sz w:val="18"/>
                <w:szCs w:val="18"/>
                <w:color w:val="auto"/>
              </w:rPr>
              <w:t>Pay ratio</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4860" w:type="dxa"/>
            <w:vAlign w:val="bottom"/>
          </w:tcPr>
          <w:p>
            <w:pPr>
              <w:ind w:left="120"/>
              <w:spacing w:after="0"/>
              <w:rPr>
                <w:sz w:val="20"/>
                <w:szCs w:val="20"/>
                <w:color w:val="auto"/>
              </w:rPr>
            </w:pPr>
            <w:r>
              <w:rPr>
                <w:rFonts w:ascii="Arial" w:cs="Arial" w:eastAsia="Arial" w:hAnsi="Arial"/>
                <w:sz w:val="18"/>
                <w:szCs w:val="18"/>
                <w:color w:val="auto"/>
              </w:rPr>
              <w:t>Pay versus performance</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8"/>
        </w:trPr>
        <w:tc>
          <w:tcPr>
            <w:tcW w:w="4860" w:type="dxa"/>
            <w:vAlign w:val="bottom"/>
          </w:tcPr>
          <w:p>
            <w:pPr>
              <w:spacing w:after="0"/>
              <w:rPr>
                <w:sz w:val="20"/>
                <w:szCs w:val="20"/>
                <w:color w:val="auto"/>
              </w:rPr>
            </w:pPr>
            <w:r>
              <w:rPr>
                <w:rFonts w:ascii="Arial" w:cs="Arial" w:eastAsia="Arial" w:hAnsi="Arial"/>
                <w:sz w:val="18"/>
                <w:szCs w:val="18"/>
                <w:b w:val="1"/>
                <w:bCs w:val="1"/>
                <w:color w:val="auto"/>
              </w:rPr>
              <w:t>Audit committee matters</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62"/>
        </w:trPr>
        <w:tc>
          <w:tcPr>
            <w:tcW w:w="4860" w:type="dxa"/>
            <w:vAlign w:val="bottom"/>
          </w:tcPr>
          <w:p>
            <w:pPr>
              <w:ind w:left="120"/>
              <w:spacing w:after="0"/>
              <w:rPr>
                <w:sz w:val="20"/>
                <w:szCs w:val="20"/>
                <w:color w:val="auto"/>
              </w:rPr>
            </w:pPr>
            <w:r>
              <w:rPr>
                <w:rFonts w:ascii="Arial" w:cs="Arial" w:eastAsia="Arial" w:hAnsi="Arial"/>
                <w:sz w:val="18"/>
                <w:szCs w:val="18"/>
                <w:color w:val="auto"/>
              </w:rPr>
              <w:t>Audit committee report</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47"/>
        </w:trPr>
        <w:tc>
          <w:tcPr>
            <w:tcW w:w="4860" w:type="dxa"/>
            <w:vAlign w:val="bottom"/>
          </w:tcPr>
          <w:p>
            <w:pPr>
              <w:ind w:left="120"/>
              <w:spacing w:after="0"/>
              <w:rPr>
                <w:sz w:val="20"/>
                <w:szCs w:val="20"/>
                <w:color w:val="auto"/>
              </w:rPr>
            </w:pPr>
            <w:r>
              <w:rPr>
                <w:rFonts w:ascii="Arial" w:cs="Arial" w:eastAsia="Arial" w:hAnsi="Arial"/>
                <w:sz w:val="18"/>
                <w:szCs w:val="18"/>
                <w:color w:val="auto"/>
              </w:rPr>
              <w:t>Proposal to ratify appointment of independent registered</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9"/>
        </w:trPr>
        <w:tc>
          <w:tcPr>
            <w:tcW w:w="4860" w:type="dxa"/>
            <w:vAlign w:val="bottom"/>
          </w:tcPr>
          <w:p>
            <w:pPr>
              <w:ind w:left="120"/>
              <w:spacing w:after="0"/>
              <w:rPr>
                <w:sz w:val="20"/>
                <w:szCs w:val="20"/>
                <w:color w:val="auto"/>
              </w:rPr>
            </w:pPr>
            <w:r>
              <w:rPr>
                <w:rFonts w:ascii="Arial" w:cs="Arial" w:eastAsia="Arial" w:hAnsi="Arial"/>
                <w:sz w:val="18"/>
                <w:szCs w:val="18"/>
                <w:color w:val="auto"/>
              </w:rPr>
              <w:t>public accounting firm</w:t>
            </w:r>
          </w:p>
        </w:tc>
        <w:tc>
          <w:tcPr>
            <w:tcW w:w="460" w:type="dxa"/>
            <w:vAlign w:val="bottom"/>
          </w:tcPr>
          <w:p>
            <w:pPr>
              <w:spacing w:after="0"/>
              <w:rPr>
                <w:sz w:val="20"/>
                <w:szCs w:val="20"/>
                <w:color w:val="auto"/>
              </w:rPr>
            </w:pPr>
          </w:p>
        </w:tc>
      </w:tr>
      <w:tr>
        <w:trPr>
          <w:trHeight w:val="278"/>
        </w:trPr>
        <w:tc>
          <w:tcPr>
            <w:tcW w:w="4860" w:type="dxa"/>
            <w:vAlign w:val="bottom"/>
          </w:tcPr>
          <w:p>
            <w:pPr>
              <w:spacing w:after="0"/>
              <w:rPr>
                <w:sz w:val="20"/>
                <w:szCs w:val="20"/>
                <w:color w:val="auto"/>
              </w:rPr>
            </w:pPr>
            <w:r>
              <w:rPr>
                <w:rFonts w:ascii="Arial" w:cs="Arial" w:eastAsia="Arial" w:hAnsi="Arial"/>
                <w:sz w:val="18"/>
                <w:szCs w:val="18"/>
                <w:b w:val="1"/>
                <w:bCs w:val="1"/>
                <w:color w:val="auto"/>
              </w:rPr>
              <w:t>Stockholder proposal</w:t>
            </w: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4860" w:type="dxa"/>
            <w:vAlign w:val="bottom"/>
          </w:tcPr>
          <w:p>
            <w:pPr>
              <w:spacing w:after="0"/>
              <w:rPr>
                <w:sz w:val="20"/>
                <w:szCs w:val="20"/>
                <w:color w:val="auto"/>
              </w:rPr>
            </w:pPr>
            <w:r>
              <w:rPr>
                <w:rFonts w:ascii="Arial" w:cs="Arial" w:eastAsia="Arial" w:hAnsi="Arial"/>
                <w:sz w:val="18"/>
                <w:szCs w:val="18"/>
                <w:b w:val="1"/>
                <w:bCs w:val="1"/>
                <w:color w:val="auto"/>
              </w:rPr>
              <w:t>Additional information</w:t>
            </w: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62"/>
        </w:trPr>
        <w:tc>
          <w:tcPr>
            <w:tcW w:w="4860" w:type="dxa"/>
            <w:vAlign w:val="bottom"/>
          </w:tcPr>
          <w:p>
            <w:pPr>
              <w:ind w:left="120"/>
              <w:spacing w:after="0"/>
              <w:rPr>
                <w:sz w:val="20"/>
                <w:szCs w:val="20"/>
                <w:color w:val="auto"/>
              </w:rPr>
            </w:pPr>
            <w:r>
              <w:rPr>
                <w:rFonts w:ascii="Arial" w:cs="Arial" w:eastAsia="Arial" w:hAnsi="Arial"/>
                <w:sz w:val="18"/>
                <w:szCs w:val="18"/>
                <w:color w:val="auto"/>
              </w:rPr>
              <w:t>Security ownership of certain beneficial owners</w:t>
            </w: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47"/>
        </w:trPr>
        <w:tc>
          <w:tcPr>
            <w:tcW w:w="4860" w:type="dxa"/>
            <w:vAlign w:val="bottom"/>
          </w:tcPr>
          <w:p>
            <w:pPr>
              <w:ind w:left="120"/>
              <w:spacing w:after="0"/>
              <w:rPr>
                <w:sz w:val="20"/>
                <w:szCs w:val="20"/>
                <w:color w:val="auto"/>
              </w:rPr>
            </w:pPr>
            <w:r>
              <w:rPr>
                <w:rFonts w:ascii="Arial" w:cs="Arial" w:eastAsia="Arial" w:hAnsi="Arial"/>
                <w:sz w:val="18"/>
                <w:szCs w:val="18"/>
                <w:color w:val="auto"/>
              </w:rPr>
              <w:t>Security ownership of directors and</w:t>
            </w: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9"/>
        </w:trPr>
        <w:tc>
          <w:tcPr>
            <w:tcW w:w="4860" w:type="dxa"/>
            <w:vAlign w:val="bottom"/>
          </w:tcPr>
          <w:p>
            <w:pPr>
              <w:ind w:left="120"/>
              <w:spacing w:after="0"/>
              <w:rPr>
                <w:sz w:val="20"/>
                <w:szCs w:val="20"/>
                <w:color w:val="auto"/>
              </w:rPr>
            </w:pPr>
            <w:r>
              <w:rPr>
                <w:rFonts w:ascii="Arial" w:cs="Arial" w:eastAsia="Arial" w:hAnsi="Arial"/>
                <w:sz w:val="18"/>
                <w:szCs w:val="18"/>
                <w:color w:val="auto"/>
              </w:rPr>
              <w:t>management</w:t>
            </w:r>
          </w:p>
        </w:tc>
        <w:tc>
          <w:tcPr>
            <w:tcW w:w="460" w:type="dxa"/>
            <w:vAlign w:val="bottom"/>
          </w:tcPr>
          <w:p>
            <w:pPr>
              <w:spacing w:after="0"/>
              <w:rPr>
                <w:sz w:val="20"/>
                <w:szCs w:val="20"/>
                <w:color w:val="auto"/>
              </w:rPr>
            </w:pPr>
          </w:p>
        </w:tc>
      </w:tr>
      <w:tr>
        <w:trPr>
          <w:trHeight w:val="247"/>
        </w:trPr>
        <w:tc>
          <w:tcPr>
            <w:tcW w:w="4860" w:type="dxa"/>
            <w:vAlign w:val="bottom"/>
          </w:tcPr>
          <w:p>
            <w:pPr>
              <w:ind w:left="120"/>
              <w:spacing w:after="0"/>
              <w:rPr>
                <w:sz w:val="20"/>
                <w:szCs w:val="20"/>
                <w:color w:val="auto"/>
              </w:rPr>
            </w:pPr>
            <w:r>
              <w:rPr>
                <w:rFonts w:ascii="Arial" w:cs="Arial" w:eastAsia="Arial" w:hAnsi="Arial"/>
                <w:sz w:val="18"/>
                <w:szCs w:val="18"/>
                <w:color w:val="auto"/>
              </w:rPr>
              <w:t>Stockholder proposals and nominations</w:t>
            </w: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9"/>
        </w:trPr>
        <w:tc>
          <w:tcPr>
            <w:tcW w:w="4860" w:type="dxa"/>
            <w:vAlign w:val="bottom"/>
          </w:tcPr>
          <w:p>
            <w:pPr>
              <w:ind w:left="120"/>
              <w:spacing w:after="0"/>
              <w:rPr>
                <w:sz w:val="20"/>
                <w:szCs w:val="20"/>
                <w:color w:val="auto"/>
              </w:rPr>
            </w:pPr>
            <w:r>
              <w:rPr>
                <w:rFonts w:ascii="Arial" w:cs="Arial" w:eastAsia="Arial" w:hAnsi="Arial"/>
                <w:sz w:val="18"/>
                <w:szCs w:val="18"/>
                <w:color w:val="auto"/>
              </w:rPr>
              <w:t>for 2026</w:t>
            </w:r>
          </w:p>
        </w:tc>
        <w:tc>
          <w:tcPr>
            <w:tcW w:w="460" w:type="dxa"/>
            <w:vAlign w:val="bottom"/>
          </w:tcPr>
          <w:p>
            <w:pPr>
              <w:spacing w:after="0"/>
              <w:rPr>
                <w:sz w:val="20"/>
                <w:szCs w:val="20"/>
                <w:color w:val="auto"/>
              </w:rPr>
            </w:pPr>
          </w:p>
        </w:tc>
      </w:tr>
      <w:tr>
        <w:trPr>
          <w:trHeight w:val="270"/>
        </w:trPr>
        <w:tc>
          <w:tcPr>
            <w:tcW w:w="4860" w:type="dxa"/>
            <w:vAlign w:val="bottom"/>
          </w:tcPr>
          <w:p>
            <w:pPr>
              <w:ind w:left="120"/>
              <w:spacing w:after="0"/>
              <w:rPr>
                <w:sz w:val="20"/>
                <w:szCs w:val="20"/>
                <w:color w:val="auto"/>
              </w:rPr>
            </w:pPr>
            <w:r>
              <w:rPr>
                <w:rFonts w:ascii="Arial" w:cs="Arial" w:eastAsia="Arial" w:hAnsi="Arial"/>
                <w:sz w:val="18"/>
                <w:szCs w:val="18"/>
                <w:color w:val="auto"/>
              </w:rPr>
              <w:t>Benefit plan voting</w:t>
            </w: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4860" w:type="dxa"/>
            <w:vAlign w:val="bottom"/>
          </w:tcPr>
          <w:p>
            <w:pPr>
              <w:ind w:left="120"/>
              <w:spacing w:after="0"/>
              <w:rPr>
                <w:sz w:val="20"/>
                <w:szCs w:val="20"/>
                <w:color w:val="auto"/>
              </w:rPr>
            </w:pPr>
            <w:r>
              <w:rPr>
                <w:rFonts w:ascii="Arial" w:cs="Arial" w:eastAsia="Arial" w:hAnsi="Arial"/>
                <w:sz w:val="18"/>
                <w:szCs w:val="18"/>
                <w:color w:val="auto"/>
              </w:rPr>
              <w:t>Delinquent Section 16(a) reports</w:t>
            </w: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4860" w:type="dxa"/>
            <w:vAlign w:val="bottom"/>
          </w:tcPr>
          <w:p>
            <w:pPr>
              <w:ind w:left="120"/>
              <w:spacing w:after="0"/>
              <w:rPr>
                <w:sz w:val="20"/>
                <w:szCs w:val="20"/>
                <w:color w:val="auto"/>
              </w:rPr>
            </w:pPr>
            <w:r>
              <w:rPr>
                <w:rFonts w:ascii="Arial" w:cs="Arial" w:eastAsia="Arial" w:hAnsi="Arial"/>
                <w:sz w:val="18"/>
                <w:szCs w:val="18"/>
                <w:color w:val="auto"/>
              </w:rPr>
              <w:t>Telephone and internet voting</w:t>
            </w: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4860" w:type="dxa"/>
            <w:vAlign w:val="bottom"/>
          </w:tcPr>
          <w:p>
            <w:pPr>
              <w:ind w:left="120"/>
              <w:spacing w:after="0"/>
              <w:rPr>
                <w:sz w:val="20"/>
                <w:szCs w:val="20"/>
                <w:color w:val="auto"/>
              </w:rPr>
            </w:pPr>
            <w:r>
              <w:rPr>
                <w:rFonts w:ascii="Arial" w:cs="Arial" w:eastAsia="Arial" w:hAnsi="Arial"/>
                <w:sz w:val="18"/>
                <w:szCs w:val="18"/>
                <w:color w:val="auto"/>
              </w:rPr>
              <w:t>Stockholders sharing the same address</w:t>
            </w: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4860" w:type="dxa"/>
            <w:vAlign w:val="bottom"/>
          </w:tcPr>
          <w:p>
            <w:pPr>
              <w:ind w:left="120"/>
              <w:spacing w:after="0"/>
              <w:rPr>
                <w:sz w:val="20"/>
                <w:szCs w:val="20"/>
                <w:color w:val="auto"/>
              </w:rPr>
            </w:pPr>
            <w:r>
              <w:rPr>
                <w:rFonts w:ascii="Arial" w:cs="Arial" w:eastAsia="Arial" w:hAnsi="Arial"/>
                <w:sz w:val="18"/>
                <w:szCs w:val="18"/>
                <w:color w:val="auto"/>
              </w:rPr>
              <w:t>Internet availability of proxy materials</w:t>
            </w: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Notice regarding forward-looking statements</w:t>
            </w: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200" w:lineRule="exact"/>
        <w:rPr>
          <w:sz w:val="20"/>
          <w:szCs w:val="20"/>
          <w:color w:val="auto"/>
        </w:rPr>
      </w:pPr>
    </w:p>
    <w:p>
      <w:pPr>
        <w:sectPr>
          <w:pgSz w:w="11900" w:h="16838" w:orient="portrait"/>
          <w:cols w:equalWidth="0" w:num="2">
            <w:col w:w="5320" w:space="380"/>
            <w:col w:w="5320"/>
          </w:cols>
          <w:pgMar w:left="340" w:top="773"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242424"/>
        </w:rPr>
        <w:t>2025 PROXY STATEMENT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773" w:right="5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PROXY STATEMENT – MARCH 5, 2025</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 DALLAS, TX 75243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 P.O. BOX 660199, MS 8658, DALLAS, TX 75266-0199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procedures, quorum and attendance requirements</w:t>
      </w:r>
    </w:p>
    <w:p>
      <w:pPr>
        <w:spacing w:after="0" w:line="2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TI’s board of directors requests your proxy for the annual meeting of stockholders on April 17, 2025.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5, 2025. If you come to the meeting, you can vote in person. If you do not come to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1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quorum of stockholders is necessary to hold a valid meeting. If at least a majority of the shares of TI common stock issued and outstanding and entitled to vote are present in person or by proxy, a quorum will exist. Abstentions and broker non-votes are counted as present for purposes of establishing a quorum. Broker non-votes occur when a beneficial owner who holds company stock through a broker does not provide the broker with voting instructions as to any matter on which the broker is not permitted to exercise its discretion and vote without specific instruction.</w:t>
      </w:r>
    </w:p>
    <w:p>
      <w:pPr>
        <w:spacing w:after="0" w:line="17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Shown below is a list of the matters to be considered at the meeting (each of which is discussed elsewhere in this proxy statement) and the vote required for election or approval, as the case may be.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Matter</w:t>
            </w:r>
          </w:p>
        </w:tc>
        <w:tc>
          <w:tcPr>
            <w:tcW w:w="440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Required Vote for Election or Approval</w:t>
            </w:r>
          </w:p>
        </w:tc>
        <w:tc>
          <w:tcPr>
            <w:tcW w:w="42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Impact of Abstentions or Broker Non-Votes</w:t>
            </w:r>
          </w:p>
        </w:tc>
      </w:tr>
      <w:tr>
        <w:trPr>
          <w:trHeight w:val="467"/>
        </w:trPr>
        <w:tc>
          <w:tcPr>
            <w:tcW w:w="25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Election of directors.</w:t>
            </w:r>
          </w:p>
        </w:tc>
        <w:tc>
          <w:tcPr>
            <w:tcW w:w="4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Majority of votes present in person or by</w:t>
            </w:r>
          </w:p>
        </w:tc>
        <w:tc>
          <w:tcPr>
            <w:tcW w:w="4280" w:type="dxa"/>
            <w:vAlign w:val="bottom"/>
            <w:shd w:val="clear" w:color="auto" w:fill="DBDBDB"/>
          </w:tcPr>
          <w:p>
            <w:pPr>
              <w:ind w:left="160"/>
              <w:spacing w:after="0"/>
              <w:rPr>
                <w:sz w:val="20"/>
                <w:szCs w:val="20"/>
                <w:color w:val="auto"/>
              </w:rPr>
            </w:pPr>
            <w:r>
              <w:rPr>
                <w:rFonts w:ascii="Arial" w:cs="Arial" w:eastAsia="Arial" w:hAnsi="Arial"/>
                <w:sz w:val="18"/>
                <w:szCs w:val="18"/>
                <w:color w:val="auto"/>
              </w:rPr>
              <w:t>Abstentions have the same effect as votes</w:t>
            </w:r>
          </w:p>
        </w:tc>
      </w:tr>
      <w:tr>
        <w:trPr>
          <w:trHeight w:val="216"/>
        </w:trPr>
        <w:tc>
          <w:tcPr>
            <w:tcW w:w="2540" w:type="dxa"/>
            <w:vAlign w:val="bottom"/>
            <w:shd w:val="clear" w:color="auto" w:fill="DBDBDB"/>
          </w:tcPr>
          <w:p>
            <w:pPr>
              <w:spacing w:after="0"/>
              <w:rPr>
                <w:sz w:val="18"/>
                <w:szCs w:val="18"/>
                <w:color w:val="auto"/>
              </w:rPr>
            </w:pPr>
          </w:p>
        </w:tc>
        <w:tc>
          <w:tcPr>
            <w:tcW w:w="4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proxy at the meeting and entitled to be cast</w:t>
            </w:r>
          </w:p>
        </w:tc>
        <w:tc>
          <w:tcPr>
            <w:tcW w:w="4280" w:type="dxa"/>
            <w:vAlign w:val="bottom"/>
            <w:shd w:val="clear" w:color="auto" w:fill="DBDBDB"/>
          </w:tcPr>
          <w:p>
            <w:pPr>
              <w:ind w:left="160"/>
              <w:spacing w:after="0"/>
              <w:rPr>
                <w:sz w:val="20"/>
                <w:szCs w:val="20"/>
                <w:color w:val="auto"/>
              </w:rPr>
            </w:pPr>
            <w:r>
              <w:rPr>
                <w:rFonts w:ascii="Arial" w:cs="Arial" w:eastAsia="Arial" w:hAnsi="Arial"/>
                <w:sz w:val="18"/>
                <w:szCs w:val="18"/>
                <w:color w:val="auto"/>
              </w:rPr>
              <w:t>against. Broker non-votes are not counted as</w:t>
            </w:r>
          </w:p>
        </w:tc>
      </w:tr>
      <w:tr>
        <w:trPr>
          <w:trHeight w:val="216"/>
        </w:trPr>
        <w:tc>
          <w:tcPr>
            <w:tcW w:w="2540" w:type="dxa"/>
            <w:vAlign w:val="bottom"/>
            <w:shd w:val="clear" w:color="auto" w:fill="DBDBDB"/>
          </w:tcPr>
          <w:p>
            <w:pPr>
              <w:spacing w:after="0"/>
              <w:rPr>
                <w:sz w:val="18"/>
                <w:szCs w:val="18"/>
                <w:color w:val="auto"/>
              </w:rPr>
            </w:pPr>
          </w:p>
        </w:tc>
        <w:tc>
          <w:tcPr>
            <w:tcW w:w="4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in the election with respect to a nominee</w:t>
            </w:r>
          </w:p>
        </w:tc>
        <w:tc>
          <w:tcPr>
            <w:tcW w:w="4280" w:type="dxa"/>
            <w:vAlign w:val="bottom"/>
            <w:shd w:val="clear" w:color="auto" w:fill="DBDBDB"/>
          </w:tcPr>
          <w:p>
            <w:pPr>
              <w:ind w:left="160"/>
              <w:spacing w:after="0"/>
              <w:rPr>
                <w:sz w:val="20"/>
                <w:szCs w:val="20"/>
                <w:color w:val="auto"/>
              </w:rPr>
            </w:pPr>
            <w:r>
              <w:rPr>
                <w:rFonts w:ascii="Arial" w:cs="Arial" w:eastAsia="Arial" w:hAnsi="Arial"/>
                <w:sz w:val="18"/>
                <w:szCs w:val="18"/>
                <w:color w:val="auto"/>
              </w:rPr>
              <w:t>votes for or against.</w:t>
            </w:r>
          </w:p>
        </w:tc>
      </w:tr>
      <w:tr>
        <w:trPr>
          <w:trHeight w:val="239"/>
        </w:trPr>
        <w:tc>
          <w:tcPr>
            <w:tcW w:w="2540" w:type="dxa"/>
            <w:vAlign w:val="bottom"/>
            <w:shd w:val="clear" w:color="auto" w:fill="DBDBDB"/>
          </w:tcPr>
          <w:p>
            <w:pPr>
              <w:spacing w:after="0"/>
              <w:rPr>
                <w:sz w:val="20"/>
                <w:szCs w:val="20"/>
                <w:color w:val="auto"/>
              </w:rPr>
            </w:pPr>
          </w:p>
        </w:tc>
        <w:tc>
          <w:tcPr>
            <w:tcW w:w="4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must be cast for that nominee.</w:t>
            </w:r>
          </w:p>
        </w:tc>
        <w:tc>
          <w:tcPr>
            <w:tcW w:w="4280" w:type="dxa"/>
            <w:vAlign w:val="bottom"/>
            <w:shd w:val="clear" w:color="auto" w:fill="DBDBDB"/>
          </w:tcPr>
          <w:p>
            <w:pPr>
              <w:spacing w:after="0"/>
              <w:rPr>
                <w:sz w:val="20"/>
                <w:szCs w:val="20"/>
                <w:color w:val="auto"/>
              </w:rPr>
            </w:pPr>
          </w:p>
        </w:tc>
      </w:tr>
      <w:tr>
        <w:trPr>
          <w:trHeight w:val="23"/>
        </w:trPr>
        <w:tc>
          <w:tcPr>
            <w:tcW w:w="2540" w:type="dxa"/>
            <w:vAlign w:val="bottom"/>
            <w:shd w:val="clear" w:color="auto" w:fill="DBDBDB"/>
          </w:tcPr>
          <w:p>
            <w:pPr>
              <w:spacing w:after="0"/>
              <w:rPr>
                <w:sz w:val="2"/>
                <w:szCs w:val="2"/>
                <w:color w:val="auto"/>
              </w:rPr>
            </w:pPr>
          </w:p>
        </w:tc>
        <w:tc>
          <w:tcPr>
            <w:tcW w:w="4400" w:type="dxa"/>
            <w:vAlign w:val="bottom"/>
            <w:shd w:val="clear" w:color="auto" w:fill="DBDBDB"/>
          </w:tcPr>
          <w:p>
            <w:pPr>
              <w:spacing w:after="0"/>
              <w:rPr>
                <w:sz w:val="2"/>
                <w:szCs w:val="2"/>
                <w:color w:val="auto"/>
              </w:rPr>
            </w:pPr>
          </w:p>
        </w:tc>
        <w:tc>
          <w:tcPr>
            <w:tcW w:w="428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51" w:lineRule="exact"/>
        <w:rPr>
          <w:sz w:val="20"/>
          <w:szCs w:val="20"/>
          <w:color w:val="auto"/>
        </w:rPr>
      </w:pPr>
    </w:p>
    <w:p>
      <w:pPr>
        <w:jc w:val="both"/>
        <w:ind w:left="100"/>
        <w:spacing w:after="0" w:line="318" w:lineRule="auto"/>
        <w:rPr>
          <w:sz w:val="20"/>
          <w:szCs w:val="20"/>
          <w:color w:val="auto"/>
        </w:rPr>
      </w:pPr>
      <w:r>
        <w:rPr>
          <w:rFonts w:ascii="Arial" w:cs="Arial" w:eastAsia="Arial" w:hAnsi="Arial"/>
          <w:sz w:val="17"/>
          <w:szCs w:val="17"/>
          <w:color w:val="auto"/>
        </w:rPr>
        <w:t>Advisory vote to approve named executive officer compensation.</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199" w:lineRule="exact"/>
        <w:rPr>
          <w:sz w:val="20"/>
          <w:szCs w:val="20"/>
          <w:color w:val="auto"/>
        </w:rPr>
      </w:pPr>
    </w:p>
    <w:p>
      <w:pPr>
        <w:sectPr>
          <w:pgSz w:w="11900" w:h="16838" w:orient="portrait"/>
          <w:cols w:equalWidth="0" w:num="3">
            <w:col w:w="2680" w:space="660"/>
            <w:col w:w="3260" w:space="500"/>
            <w:col w:w="414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467"/>
        </w:trPr>
        <w:tc>
          <w:tcPr>
            <w:tcW w:w="30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Proposal to ratify appointment of</w:t>
            </w:r>
          </w:p>
        </w:tc>
        <w:tc>
          <w:tcPr>
            <w:tcW w:w="3820" w:type="dxa"/>
            <w:vAlign w:val="bottom"/>
            <w:shd w:val="clear" w:color="auto" w:fill="DBDBDB"/>
          </w:tcPr>
          <w:p>
            <w:pPr>
              <w:ind w:left="320"/>
              <w:spacing w:after="0"/>
              <w:rPr>
                <w:sz w:val="20"/>
                <w:szCs w:val="20"/>
                <w:color w:val="auto"/>
              </w:rPr>
            </w:pPr>
            <w:r>
              <w:rPr>
                <w:rFonts w:ascii="Arial" w:cs="Arial" w:eastAsia="Arial" w:hAnsi="Arial"/>
                <w:sz w:val="18"/>
                <w:szCs w:val="18"/>
                <w:color w:val="auto"/>
              </w:rPr>
              <w:t>Majority of votes present in person or by</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Abstentions have the same effect as votes against.</w:t>
            </w:r>
          </w:p>
        </w:tc>
      </w:tr>
      <w:tr>
        <w:trPr>
          <w:trHeight w:val="216"/>
        </w:trPr>
        <w:tc>
          <w:tcPr>
            <w:tcW w:w="30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independent registered public</w:t>
            </w:r>
          </w:p>
        </w:tc>
        <w:tc>
          <w:tcPr>
            <w:tcW w:w="3820" w:type="dxa"/>
            <w:vAlign w:val="bottom"/>
            <w:shd w:val="clear" w:color="auto" w:fill="DBDBDB"/>
          </w:tcPr>
          <w:p>
            <w:pPr>
              <w:ind w:left="320"/>
              <w:spacing w:after="0"/>
              <w:rPr>
                <w:sz w:val="20"/>
                <w:szCs w:val="20"/>
                <w:color w:val="auto"/>
              </w:rPr>
            </w:pPr>
            <w:r>
              <w:rPr>
                <w:rFonts w:ascii="Arial" w:cs="Arial" w:eastAsia="Arial" w:hAnsi="Arial"/>
                <w:sz w:val="18"/>
                <w:szCs w:val="18"/>
                <w:color w:val="auto"/>
              </w:rPr>
              <w:t>proxy at the meeting must be cast for the</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(Brokers are permitted to exercise their discretion</w:t>
            </w:r>
          </w:p>
        </w:tc>
      </w:tr>
      <w:tr>
        <w:trPr>
          <w:trHeight w:val="216"/>
        </w:trPr>
        <w:tc>
          <w:tcPr>
            <w:tcW w:w="30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accounting firm.</w:t>
            </w:r>
          </w:p>
        </w:tc>
        <w:tc>
          <w:tcPr>
            <w:tcW w:w="3820" w:type="dxa"/>
            <w:vAlign w:val="bottom"/>
            <w:shd w:val="clear" w:color="auto" w:fill="DBDBDB"/>
          </w:tcPr>
          <w:p>
            <w:pPr>
              <w:ind w:left="320"/>
              <w:spacing w:after="0"/>
              <w:rPr>
                <w:sz w:val="20"/>
                <w:szCs w:val="20"/>
                <w:color w:val="auto"/>
              </w:rPr>
            </w:pPr>
            <w:r>
              <w:rPr>
                <w:rFonts w:ascii="Arial" w:cs="Arial" w:eastAsia="Arial" w:hAnsi="Arial"/>
                <w:sz w:val="18"/>
                <w:szCs w:val="18"/>
                <w:color w:val="auto"/>
              </w:rPr>
              <w:t>proposal.</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and vote without specific instruction on this</w:t>
            </w:r>
          </w:p>
        </w:tc>
      </w:tr>
      <w:tr>
        <w:trPr>
          <w:trHeight w:val="216"/>
        </w:trPr>
        <w:tc>
          <w:tcPr>
            <w:tcW w:w="3020" w:type="dxa"/>
            <w:vAlign w:val="bottom"/>
            <w:shd w:val="clear" w:color="auto" w:fill="DBDBDB"/>
          </w:tcPr>
          <w:p>
            <w:pPr>
              <w:spacing w:after="0"/>
              <w:rPr>
                <w:sz w:val="18"/>
                <w:szCs w:val="18"/>
                <w:color w:val="auto"/>
              </w:rPr>
            </w:pPr>
          </w:p>
        </w:tc>
        <w:tc>
          <w:tcPr>
            <w:tcW w:w="3820" w:type="dxa"/>
            <w:vAlign w:val="bottom"/>
            <w:shd w:val="clear" w:color="auto" w:fill="DBDBDB"/>
          </w:tcPr>
          <w:p>
            <w:pPr>
              <w:spacing w:after="0"/>
              <w:rPr>
                <w:sz w:val="18"/>
                <w:szCs w:val="18"/>
                <w:color w:val="auto"/>
              </w:rPr>
            </w:pP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matter. Accordingly, there are no broker non-</w:t>
            </w:r>
          </w:p>
        </w:tc>
      </w:tr>
      <w:tr>
        <w:trPr>
          <w:trHeight w:val="239"/>
        </w:trPr>
        <w:tc>
          <w:tcPr>
            <w:tcW w:w="3020" w:type="dxa"/>
            <w:vAlign w:val="bottom"/>
            <w:shd w:val="clear" w:color="auto" w:fill="DBDBDB"/>
          </w:tcPr>
          <w:p>
            <w:pPr>
              <w:spacing w:after="0"/>
              <w:rPr>
                <w:sz w:val="20"/>
                <w:szCs w:val="20"/>
                <w:color w:val="auto"/>
              </w:rPr>
            </w:pPr>
          </w:p>
        </w:tc>
        <w:tc>
          <w:tcPr>
            <w:tcW w:w="3820" w:type="dxa"/>
            <w:vAlign w:val="bottom"/>
            <w:shd w:val="clear" w:color="auto" w:fill="DBDBDB"/>
          </w:tcPr>
          <w:p>
            <w:pPr>
              <w:spacing w:after="0"/>
              <w:rPr>
                <w:sz w:val="20"/>
                <w:szCs w:val="20"/>
                <w:color w:val="auto"/>
              </w:rPr>
            </w:pP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votes.)</w:t>
            </w:r>
          </w:p>
        </w:tc>
      </w:tr>
      <w:tr>
        <w:trPr>
          <w:trHeight w:val="23"/>
        </w:trPr>
        <w:tc>
          <w:tcPr>
            <w:tcW w:w="3020" w:type="dxa"/>
            <w:vAlign w:val="bottom"/>
            <w:shd w:val="clear" w:color="auto" w:fill="DBDBDB"/>
          </w:tcPr>
          <w:p>
            <w:pPr>
              <w:spacing w:after="0"/>
              <w:rPr>
                <w:sz w:val="2"/>
                <w:szCs w:val="2"/>
                <w:color w:val="auto"/>
              </w:rPr>
            </w:pPr>
          </w:p>
        </w:tc>
        <w:tc>
          <w:tcPr>
            <w:tcW w:w="3820" w:type="dxa"/>
            <w:vAlign w:val="bottom"/>
            <w:shd w:val="clear" w:color="auto" w:fill="DBDBDB"/>
          </w:tcPr>
          <w:p>
            <w:pPr>
              <w:spacing w:after="0"/>
              <w:rPr>
                <w:sz w:val="2"/>
                <w:szCs w:val="2"/>
                <w:color w:val="auto"/>
              </w:rPr>
            </w:pPr>
          </w:p>
        </w:tc>
        <w:tc>
          <w:tcPr>
            <w:tcW w:w="438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type w:val="continuous"/>
        </w:sectPr>
      </w:pPr>
    </w:p>
    <w:p>
      <w:pPr>
        <w:spacing w:after="0" w:line="51" w:lineRule="exact"/>
        <w:rPr>
          <w:sz w:val="20"/>
          <w:szCs w:val="20"/>
          <w:color w:val="auto"/>
        </w:rPr>
      </w:pPr>
    </w:p>
    <w:p>
      <w:pPr>
        <w:ind w:left="100"/>
        <w:spacing w:after="0" w:line="268" w:lineRule="auto"/>
        <w:rPr>
          <w:sz w:val="20"/>
          <w:szCs w:val="20"/>
          <w:color w:val="auto"/>
        </w:rPr>
      </w:pPr>
      <w:r>
        <w:rPr>
          <w:rFonts w:ascii="Arial" w:cs="Arial" w:eastAsia="Arial" w:hAnsi="Arial"/>
          <w:sz w:val="18"/>
          <w:szCs w:val="18"/>
          <w:color w:val="auto"/>
        </w:rPr>
        <w:t>Stockholder proposal to permit a combined 10% of stockholders to call a special meeting.</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199" w:lineRule="exact"/>
        <w:rPr>
          <w:sz w:val="20"/>
          <w:szCs w:val="20"/>
          <w:color w:val="auto"/>
        </w:rPr>
      </w:pPr>
    </w:p>
    <w:p>
      <w:pPr>
        <w:sectPr>
          <w:pgSz w:w="11900" w:h="16838" w:orient="portrait"/>
          <w:cols w:equalWidth="0" w:num="3">
            <w:col w:w="3080" w:space="260"/>
            <w:col w:w="3260" w:space="500"/>
            <w:col w:w="414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467"/>
        </w:trPr>
        <w:tc>
          <w:tcPr>
            <w:tcW w:w="32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Any other matter that may properly be</w:t>
            </w:r>
          </w:p>
        </w:tc>
        <w:tc>
          <w:tcPr>
            <w:tcW w:w="36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Majority of votes present in person or by</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Abstentions and broker non-votes have the same</w:t>
            </w:r>
          </w:p>
        </w:tc>
      </w:tr>
      <w:tr>
        <w:trPr>
          <w:trHeight w:val="216"/>
        </w:trPr>
        <w:tc>
          <w:tcPr>
            <w:tcW w:w="32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submitted at the meeting.</w:t>
            </w:r>
          </w:p>
        </w:tc>
        <w:tc>
          <w:tcPr>
            <w:tcW w:w="36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proxy at the meeting must be cast for the</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effect as votes against.</w:t>
            </w:r>
          </w:p>
        </w:tc>
      </w:tr>
      <w:tr>
        <w:trPr>
          <w:trHeight w:val="239"/>
        </w:trPr>
        <w:tc>
          <w:tcPr>
            <w:tcW w:w="3240" w:type="dxa"/>
            <w:vAlign w:val="bottom"/>
            <w:shd w:val="clear" w:color="auto" w:fill="DBDBDB"/>
          </w:tcPr>
          <w:p>
            <w:pPr>
              <w:spacing w:after="0"/>
              <w:rPr>
                <w:sz w:val="20"/>
                <w:szCs w:val="20"/>
                <w:color w:val="auto"/>
              </w:rPr>
            </w:pPr>
          </w:p>
        </w:tc>
        <w:tc>
          <w:tcPr>
            <w:tcW w:w="36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proposal.</w:t>
            </w:r>
          </w:p>
        </w:tc>
        <w:tc>
          <w:tcPr>
            <w:tcW w:w="4380" w:type="dxa"/>
            <w:vAlign w:val="bottom"/>
            <w:shd w:val="clear" w:color="auto" w:fill="DBDBDB"/>
          </w:tcPr>
          <w:p>
            <w:pPr>
              <w:spacing w:after="0"/>
              <w:rPr>
                <w:sz w:val="20"/>
                <w:szCs w:val="20"/>
                <w:color w:val="auto"/>
              </w:rPr>
            </w:pPr>
          </w:p>
        </w:tc>
      </w:tr>
      <w:tr>
        <w:trPr>
          <w:trHeight w:val="23"/>
        </w:trPr>
        <w:tc>
          <w:tcPr>
            <w:tcW w:w="3240" w:type="dxa"/>
            <w:vAlign w:val="bottom"/>
            <w:shd w:val="clear" w:color="auto" w:fill="DBDBDB"/>
          </w:tcPr>
          <w:p>
            <w:pPr>
              <w:spacing w:after="0"/>
              <w:rPr>
                <w:sz w:val="2"/>
                <w:szCs w:val="2"/>
                <w:color w:val="auto"/>
              </w:rPr>
            </w:pPr>
          </w:p>
        </w:tc>
        <w:tc>
          <w:tcPr>
            <w:tcW w:w="3600" w:type="dxa"/>
            <w:vAlign w:val="bottom"/>
            <w:shd w:val="clear" w:color="auto" w:fill="DBDBDB"/>
          </w:tcPr>
          <w:p>
            <w:pPr>
              <w:spacing w:after="0"/>
              <w:rPr>
                <w:sz w:val="2"/>
                <w:szCs w:val="2"/>
                <w:color w:val="auto"/>
              </w:rPr>
            </w:pPr>
          </w:p>
        </w:tc>
        <w:tc>
          <w:tcPr>
            <w:tcW w:w="438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2025 PROXY STATEMENT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0"/>
          <w:szCs w:val="20"/>
          <w:b w:val="1"/>
          <w:bCs w:val="1"/>
          <w:color w:val="auto"/>
        </w:rPr>
        <w:t>Attendance and instructions for the annual meeting</w:t>
      </w:r>
    </w:p>
    <w:p>
      <w:pPr>
        <w:spacing w:after="0" w:line="23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Attendance at the annual meeting is limited to stockholders or their legal proxy holders. Attendees should park at the South Lobby, where reserved parking will be available. Each attendee must present a government-issued photo ID, such as a driver's license or passport, and an advance registration form to gain access. You may be denied entrance if the required identification and registration form are not presented. All attendees will be required to comply with TI’s then-current site visitor policy, which will be posted on our Investor Relations website on or before April 14, 2025. Be advised that TI’s security policy forbids weapons, cameras and audio/visual recording devices inside TI buildings. All bags will be subject to search upon entry into the building.</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 plan to attend the annual meeting in person, you must print your own advance registration form and bring it to the meeting. Advance registration forms can be printed by clicking on the “Register for Meeting” button found at www.proxyvote.com and following the instructions provided. You will need the 16-digit control number included in your notice, proxy card or voting instruction form. You must request your advance registration form by April 16, 2025, at 11:59 p.m. (Eastern time). If you are unable to print your advance registration form, please call Stockholder Meeting Registration Phone Support (toll-free) at 1-844-318-0137 or 1-925-331-6070 (international toll) for assistance.</w:t>
      </w:r>
    </w:p>
    <w:p>
      <w:pPr>
        <w:spacing w:after="0" w:line="17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Guest advance registration forms are not available. Exceptions may be granted to stockholders who require a companion in order to facilitate their own attendance (for example, due to a physical disability) by contacting Investor Relations.</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Additionally, if you plan to attend as proxy for a stockholder of record, you must present a valid legal proxy from the stockholder of record to you. If you plan to attend as proxy for a street name stockholder, you must present a valid legal proxy from the stockholder of record (i.e., the bank, broker or other holder of record) to the street name stockholder that is assignable and a valid legal proxy from the street name stockholder to you. Stockholders may appoint only one proxy holder to attend on their behalf.</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and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Election of directors</w:t>
      </w:r>
    </w:p>
    <w:p>
      <w:pPr>
        <w:spacing w:after="0" w:line="22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Directors are elected at the annual meeting to hold office until the next annual meeting and until their successors are elected and qualified. The board of directors has designated the following persons as nominees: Mark Blinn, Todd Bluedorn, Janet Clark, Carrie Cox, Martin Craighead, Reginald DesRoches, Curtis Farmer, Jean Hobby, Haviv Ilan, Ronald Kirk, Pamela Patsley, Robert Sanchez and Richard Templeton.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If you return a proxy that is not otherwise marked, your shares will be voted FOR each of the nominees.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Director nominees, qualifications and experience</w:t>
      </w:r>
    </w:p>
    <w:p>
      <w:pPr>
        <w:spacing w:after="0" w:line="232" w:lineRule="exact"/>
        <w:rPr>
          <w:sz w:val="20"/>
          <w:szCs w:val="20"/>
          <w:color w:val="auto"/>
        </w:rPr>
      </w:pPr>
    </w:p>
    <w:p>
      <w:pPr>
        <w:jc w:val="both"/>
        <w:ind w:right="300"/>
        <w:spacing w:after="0" w:line="318" w:lineRule="auto"/>
        <w:rPr>
          <w:sz w:val="20"/>
          <w:szCs w:val="20"/>
          <w:color w:val="auto"/>
        </w:rPr>
      </w:pPr>
      <w:r>
        <w:rPr>
          <w:rFonts w:ascii="Arial" w:cs="Arial" w:eastAsia="Arial" w:hAnsi="Arial"/>
          <w:sz w:val="17"/>
          <w:szCs w:val="17"/>
          <w:color w:val="auto"/>
        </w:rPr>
        <w:t>All of the nominees for directorship will be directors of the company at the time of the annual meeting. If any nominee becomes unable to serve before the meeting, the persons named as proxies may vote for a substitute, or the number of directors will be reduced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color w:val="auto"/>
        </w:rPr>
        <w:t>Summary</w:t>
      </w:r>
    </w:p>
    <w:p>
      <w:pPr>
        <w:spacing w:after="0" w:line="23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This table provides a summary view of the qualifications, experience and demographics of each director nominee as of the proxy statement filing date.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00" w:type="dxa"/>
            <w:vAlign w:val="bottom"/>
          </w:tcPr>
          <w:p>
            <w:pPr>
              <w:spacing w:after="0"/>
              <w:rPr>
                <w:sz w:val="15"/>
                <w:szCs w:val="15"/>
                <w:color w:val="auto"/>
              </w:rPr>
            </w:pPr>
          </w:p>
        </w:tc>
        <w:tc>
          <w:tcPr>
            <w:tcW w:w="48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Mark</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Todd</w:t>
            </w:r>
          </w:p>
        </w:tc>
        <w:tc>
          <w:tcPr>
            <w:tcW w:w="4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Janet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Carrie</w:t>
            </w:r>
          </w:p>
        </w:tc>
        <w:tc>
          <w:tcPr>
            <w:tcW w:w="7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9"/>
              </w:rPr>
              <w:t>Martin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Reginald</w:t>
            </w:r>
          </w:p>
        </w:tc>
        <w:tc>
          <w:tcPr>
            <w:tcW w:w="5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Curtis</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Jean</w:t>
            </w:r>
          </w:p>
        </w:tc>
        <w:tc>
          <w:tcPr>
            <w:tcW w:w="5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Haviv</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Ronald</w:t>
            </w:r>
          </w:p>
        </w:tc>
        <w:tc>
          <w:tcPr>
            <w:tcW w:w="5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Pamela</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Robert</w:t>
            </w:r>
          </w:p>
        </w:tc>
        <w:tc>
          <w:tcPr>
            <w:tcW w:w="7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Richard</w:t>
            </w:r>
          </w:p>
        </w:tc>
      </w:tr>
      <w:tr>
        <w:trPr>
          <w:trHeight w:val="219"/>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Qualifications and Experience</w:t>
            </w:r>
          </w:p>
        </w:tc>
        <w:tc>
          <w:tcPr>
            <w:tcW w:w="4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Blinn</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Bluedorn</w:t>
            </w:r>
          </w:p>
        </w:tc>
        <w:tc>
          <w:tcPr>
            <w:tcW w:w="4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Clark</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Cox</w:t>
            </w:r>
          </w:p>
        </w:tc>
        <w:tc>
          <w:tcPr>
            <w:tcW w:w="7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Craighead</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DesRoches</w:t>
            </w:r>
          </w:p>
        </w:tc>
        <w:tc>
          <w:tcPr>
            <w:tcW w:w="5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Farmer</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Hobby</w:t>
            </w:r>
          </w:p>
        </w:tc>
        <w:tc>
          <w:tcPr>
            <w:tcW w:w="5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Ilan</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Kirk</w:t>
            </w:r>
          </w:p>
        </w:tc>
        <w:tc>
          <w:tcPr>
            <w:tcW w:w="5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Patsley</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Sanchez</w:t>
            </w:r>
          </w:p>
        </w:tc>
        <w:tc>
          <w:tcPr>
            <w:tcW w:w="7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w w:val="98"/>
              </w:rPr>
              <w:t>Templeton</w:t>
            </w:r>
          </w:p>
        </w:tc>
      </w:tr>
      <w:tr>
        <w:trPr>
          <w:trHeight w:val="270"/>
        </w:trPr>
        <w:tc>
          <w:tcPr>
            <w:tcW w:w="3600" w:type="dxa"/>
            <w:vAlign w:val="bottom"/>
          </w:tcPr>
          <w:p>
            <w:pPr>
              <w:ind w:left="20"/>
              <w:spacing w:after="0"/>
              <w:rPr>
                <w:sz w:val="20"/>
                <w:szCs w:val="20"/>
                <w:color w:val="auto"/>
              </w:rPr>
            </w:pPr>
            <w:r>
              <w:rPr>
                <w:rFonts w:ascii="Arial" w:cs="Arial" w:eastAsia="Arial" w:hAnsi="Arial"/>
                <w:sz w:val="18"/>
                <w:szCs w:val="18"/>
                <w:color w:val="auto"/>
              </w:rPr>
              <w:t>Independence</w:t>
            </w:r>
          </w:p>
        </w:tc>
        <w:tc>
          <w:tcPr>
            <w:tcW w:w="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4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bottom w:val="single" w:sz="8" w:color="DBDBDB"/>
            </w:tcBorders>
            <w:shd w:val="clear" w:color="auto" w:fill="DBDBDB"/>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DBDBDB"/>
            </w:tcBorders>
            <w:shd w:val="clear" w:color="auto" w:fill="DBDBDB"/>
          </w:tcPr>
          <w:p>
            <w:pPr>
              <w:spacing w:after="0"/>
              <w:rPr>
                <w:sz w:val="23"/>
                <w:szCs w:val="23"/>
                <w:color w:val="auto"/>
              </w:rPr>
            </w:pPr>
          </w:p>
        </w:tc>
      </w:tr>
      <w:tr>
        <w:trPr>
          <w:trHeight w:val="264"/>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Multinational experience</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820" w:type="dxa"/>
            <w:vAlign w:val="bottom"/>
            <w:tcBorders>
              <w:top w:val="single" w:sz="8" w:color="B6B6B6"/>
            </w:tcBorders>
          </w:tcPr>
          <w:p>
            <w:pPr>
              <w:spacing w:after="0"/>
              <w:rPr>
                <w:sz w:val="22"/>
                <w:szCs w:val="22"/>
                <w:color w:val="auto"/>
              </w:rPr>
            </w:pP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Executive leadership (public or private)</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8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Technology, research and development</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8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spacing w:after="0"/>
              <w:rPr>
                <w:sz w:val="22"/>
                <w:szCs w:val="22"/>
                <w:color w:val="auto"/>
              </w:rPr>
            </w:pP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Manufacturing</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420" w:type="dxa"/>
            <w:vAlign w:val="bottom"/>
            <w:tcBorders>
              <w:top w:val="single" w:sz="8" w:color="B6B6B6"/>
              <w:bottom w:val="single" w:sz="8" w:color="DBDBDB"/>
            </w:tcBorders>
            <w:shd w:val="clear" w:color="auto" w:fill="DBDBDB"/>
          </w:tcPr>
          <w:p>
            <w:pPr>
              <w:spacing w:after="0"/>
              <w:rPr>
                <w:sz w:val="22"/>
                <w:szCs w:val="22"/>
                <w:color w:val="auto"/>
              </w:rPr>
            </w:pP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820" w:type="dxa"/>
            <w:vAlign w:val="bottom"/>
            <w:tcBorders>
              <w:top w:val="single" w:sz="8" w:color="B6B6B6"/>
            </w:tcBorders>
          </w:tcPr>
          <w:p>
            <w:pPr>
              <w:spacing w:after="0"/>
              <w:rPr>
                <w:sz w:val="22"/>
                <w:szCs w:val="22"/>
                <w:color w:val="auto"/>
              </w:rPr>
            </w:pPr>
          </w:p>
        </w:tc>
        <w:tc>
          <w:tcPr>
            <w:tcW w:w="540" w:type="dxa"/>
            <w:vAlign w:val="bottom"/>
            <w:tcBorders>
              <w:top w:val="single" w:sz="8" w:color="B6B6B6"/>
              <w:bottom w:val="single" w:sz="8" w:color="DBDBDB"/>
            </w:tcBorders>
            <w:shd w:val="clear" w:color="auto" w:fill="DBDBDB"/>
          </w:tcPr>
          <w:p>
            <w:pPr>
              <w:spacing w:after="0"/>
              <w:rPr>
                <w:sz w:val="22"/>
                <w:szCs w:val="22"/>
                <w:color w:val="auto"/>
              </w:rPr>
            </w:pPr>
          </w:p>
        </w:tc>
        <w:tc>
          <w:tcPr>
            <w:tcW w:w="500" w:type="dxa"/>
            <w:vAlign w:val="bottom"/>
            <w:tcBorders>
              <w:top w:val="single" w:sz="8" w:color="B6B6B6"/>
            </w:tcBorders>
          </w:tcPr>
          <w:p>
            <w:pPr>
              <w:spacing w:after="0"/>
              <w:rPr>
                <w:sz w:val="22"/>
                <w:szCs w:val="22"/>
                <w:color w:val="auto"/>
              </w:rPr>
            </w:pP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spacing w:after="0"/>
              <w:rPr>
                <w:sz w:val="22"/>
                <w:szCs w:val="22"/>
                <w:color w:val="auto"/>
              </w:rPr>
            </w:pPr>
          </w:p>
        </w:tc>
        <w:tc>
          <w:tcPr>
            <w:tcW w:w="540" w:type="dxa"/>
            <w:vAlign w:val="bottom"/>
            <w:tcBorders>
              <w:top w:val="single" w:sz="8" w:color="B6B6B6"/>
              <w:bottom w:val="single" w:sz="8" w:color="DBDBDB"/>
            </w:tcBorders>
            <w:shd w:val="clear" w:color="auto" w:fill="DBDBDB"/>
          </w:tcPr>
          <w:p>
            <w:pPr>
              <w:spacing w:after="0"/>
              <w:rPr>
                <w:sz w:val="22"/>
                <w:szCs w:val="22"/>
                <w:color w:val="auto"/>
              </w:rPr>
            </w:pPr>
          </w:p>
        </w:tc>
        <w:tc>
          <w:tcPr>
            <w:tcW w:w="640" w:type="dxa"/>
            <w:vAlign w:val="bottom"/>
            <w:tcBorders>
              <w:top w:val="single" w:sz="8" w:color="B6B6B6"/>
            </w:tcBorders>
          </w:tcPr>
          <w:p>
            <w:pPr>
              <w:spacing w:after="0"/>
              <w:rPr>
                <w:sz w:val="22"/>
                <w:szCs w:val="22"/>
                <w:color w:val="auto"/>
              </w:rPr>
            </w:pP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End market knowledge</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820" w:type="dxa"/>
            <w:vAlign w:val="bottom"/>
            <w:tcBorders>
              <w:top w:val="single" w:sz="8" w:color="B6B6B6"/>
            </w:tcBorders>
          </w:tcPr>
          <w:p>
            <w:pPr>
              <w:spacing w:after="0"/>
              <w:rPr>
                <w:sz w:val="22"/>
                <w:szCs w:val="22"/>
                <w:color w:val="auto"/>
              </w:rPr>
            </w:pPr>
          </w:p>
        </w:tc>
        <w:tc>
          <w:tcPr>
            <w:tcW w:w="540" w:type="dxa"/>
            <w:vAlign w:val="bottom"/>
            <w:tcBorders>
              <w:top w:val="single" w:sz="8" w:color="B6B6B6"/>
              <w:bottom w:val="single" w:sz="8" w:color="DBDBDB"/>
            </w:tcBorders>
            <w:shd w:val="clear" w:color="auto" w:fill="DBDBDB"/>
          </w:tcPr>
          <w:p>
            <w:pPr>
              <w:spacing w:after="0"/>
              <w:rPr>
                <w:sz w:val="22"/>
                <w:szCs w:val="22"/>
                <w:color w:val="auto"/>
              </w:rPr>
            </w:pP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spacing w:after="0"/>
              <w:rPr>
                <w:sz w:val="22"/>
                <w:szCs w:val="22"/>
                <w:color w:val="auto"/>
              </w:rPr>
            </w:pP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Regulatory, public policy or legal</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spacing w:after="0"/>
              <w:rPr>
                <w:sz w:val="22"/>
                <w:szCs w:val="22"/>
                <w:color w:val="auto"/>
              </w:rPr>
            </w:pPr>
          </w:p>
        </w:tc>
        <w:tc>
          <w:tcPr>
            <w:tcW w:w="420" w:type="dxa"/>
            <w:vAlign w:val="bottom"/>
            <w:tcBorders>
              <w:top w:val="single" w:sz="8" w:color="B6B6B6"/>
              <w:bottom w:val="single" w:sz="8" w:color="DBDBDB"/>
            </w:tcBorders>
            <w:shd w:val="clear" w:color="auto" w:fill="DBDBDB"/>
          </w:tcPr>
          <w:p>
            <w:pPr>
              <w:spacing w:after="0"/>
              <w:rPr>
                <w:sz w:val="22"/>
                <w:szCs w:val="22"/>
                <w:color w:val="auto"/>
              </w:rPr>
            </w:pP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spacing w:after="0"/>
              <w:rPr>
                <w:sz w:val="22"/>
                <w:szCs w:val="22"/>
                <w:color w:val="auto"/>
              </w:rPr>
            </w:pPr>
          </w:p>
        </w:tc>
        <w:tc>
          <w:tcPr>
            <w:tcW w:w="820" w:type="dxa"/>
            <w:vAlign w:val="bottom"/>
            <w:tcBorders>
              <w:top w:val="single" w:sz="8" w:color="B6B6B6"/>
            </w:tcBorders>
          </w:tcPr>
          <w:p>
            <w:pPr>
              <w:spacing w:after="0"/>
              <w:rPr>
                <w:sz w:val="22"/>
                <w:szCs w:val="22"/>
                <w:color w:val="auto"/>
              </w:rPr>
            </w:pP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spacing w:after="0"/>
              <w:rPr>
                <w:sz w:val="22"/>
                <w:szCs w:val="22"/>
                <w:color w:val="auto"/>
              </w:rPr>
            </w:pP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tcBorders>
          </w:tcPr>
          <w:p>
            <w:pPr>
              <w:spacing w:after="0"/>
              <w:rPr>
                <w:sz w:val="22"/>
                <w:szCs w:val="22"/>
                <w:color w:val="auto"/>
              </w:rPr>
            </w:pPr>
          </w:p>
        </w:tc>
        <w:tc>
          <w:tcPr>
            <w:tcW w:w="740" w:type="dxa"/>
            <w:vAlign w:val="bottom"/>
            <w:tcBorders>
              <w:top w:val="single" w:sz="8" w:color="B6B6B6"/>
              <w:bottom w:val="single" w:sz="8" w:color="DBDBDB"/>
            </w:tcBorders>
            <w:shd w:val="clear" w:color="auto" w:fill="DBDBDB"/>
          </w:tcPr>
          <w:p>
            <w:pPr>
              <w:spacing w:after="0"/>
              <w:rPr>
                <w:sz w:val="22"/>
                <w:szCs w:val="22"/>
                <w:color w:val="auto"/>
              </w:rPr>
            </w:pPr>
          </w:p>
        </w:tc>
      </w:tr>
      <w:tr>
        <w:trPr>
          <w:trHeight w:val="264"/>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Other public board service</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8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spacing w:after="0"/>
              <w:rPr>
                <w:sz w:val="22"/>
                <w:szCs w:val="22"/>
                <w:color w:val="auto"/>
              </w:rPr>
            </w:pP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bottom w:val="single" w:sz="8" w:color="DBDBDB"/>
            </w:tcBorders>
            <w:shd w:val="clear" w:color="auto" w:fill="DBDBDB"/>
          </w:tcPr>
          <w:p>
            <w:pPr>
              <w:spacing w:after="0"/>
              <w:rPr>
                <w:sz w:val="22"/>
                <w:szCs w:val="22"/>
                <w:color w:val="auto"/>
              </w:rPr>
            </w:pP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Financial acumen</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8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Auditing/Accounting</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spacing w:after="0"/>
              <w:rPr>
                <w:sz w:val="22"/>
                <w:szCs w:val="22"/>
                <w:color w:val="auto"/>
              </w:rPr>
            </w:pP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spacing w:after="0"/>
              <w:rPr>
                <w:sz w:val="22"/>
                <w:szCs w:val="22"/>
                <w:color w:val="auto"/>
              </w:rPr>
            </w:pPr>
          </w:p>
        </w:tc>
        <w:tc>
          <w:tcPr>
            <w:tcW w:w="740" w:type="dxa"/>
            <w:vAlign w:val="bottom"/>
            <w:tcBorders>
              <w:top w:val="single" w:sz="8" w:color="B6B6B6"/>
              <w:bottom w:val="single" w:sz="8" w:color="DBDBDB"/>
            </w:tcBorders>
            <w:shd w:val="clear" w:color="auto" w:fill="DBDBDB"/>
          </w:tcPr>
          <w:p>
            <w:pPr>
              <w:spacing w:after="0"/>
              <w:rPr>
                <w:sz w:val="22"/>
                <w:szCs w:val="22"/>
                <w:color w:val="auto"/>
              </w:rPr>
            </w:pPr>
          </w:p>
        </w:tc>
        <w:tc>
          <w:tcPr>
            <w:tcW w:w="820" w:type="dxa"/>
            <w:vAlign w:val="bottom"/>
            <w:tcBorders>
              <w:top w:val="single" w:sz="8" w:color="B6B6B6"/>
            </w:tcBorders>
          </w:tcPr>
          <w:p>
            <w:pPr>
              <w:spacing w:after="0"/>
              <w:rPr>
                <w:sz w:val="22"/>
                <w:szCs w:val="22"/>
                <w:color w:val="auto"/>
              </w:rPr>
            </w:pPr>
          </w:p>
        </w:tc>
        <w:tc>
          <w:tcPr>
            <w:tcW w:w="540" w:type="dxa"/>
            <w:vAlign w:val="bottom"/>
            <w:tcBorders>
              <w:top w:val="single" w:sz="8" w:color="B6B6B6"/>
              <w:bottom w:val="single" w:sz="8" w:color="DBDBDB"/>
            </w:tcBorders>
            <w:shd w:val="clear" w:color="auto" w:fill="DBDBDB"/>
          </w:tcPr>
          <w:p>
            <w:pPr>
              <w:spacing w:after="0"/>
              <w:rPr>
                <w:sz w:val="22"/>
                <w:szCs w:val="22"/>
                <w:color w:val="auto"/>
              </w:rPr>
            </w:pP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spacing w:after="0"/>
              <w:rPr>
                <w:sz w:val="22"/>
                <w:szCs w:val="22"/>
                <w:color w:val="auto"/>
              </w:rPr>
            </w:pPr>
          </w:p>
        </w:tc>
        <w:tc>
          <w:tcPr>
            <w:tcW w:w="520" w:type="dxa"/>
            <w:vAlign w:val="bottom"/>
            <w:tcBorders>
              <w:top w:val="single" w:sz="8" w:color="B6B6B6"/>
            </w:tcBorders>
          </w:tcPr>
          <w:p>
            <w:pPr>
              <w:spacing w:after="0"/>
              <w:rPr>
                <w:sz w:val="22"/>
                <w:szCs w:val="22"/>
                <w:color w:val="auto"/>
              </w:rPr>
            </w:pP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bottom w:val="single" w:sz="8" w:color="DBDBDB"/>
            </w:tcBorders>
            <w:shd w:val="clear" w:color="auto" w:fill="DBDBDB"/>
          </w:tcPr>
          <w:p>
            <w:pPr>
              <w:spacing w:after="0"/>
              <w:rPr>
                <w:sz w:val="22"/>
                <w:szCs w:val="22"/>
                <w:color w:val="auto"/>
              </w:rPr>
            </w:pP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Sustainability</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8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spacing w:after="0"/>
              <w:rPr>
                <w:sz w:val="22"/>
                <w:szCs w:val="22"/>
                <w:color w:val="auto"/>
              </w:rPr>
            </w:pP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spacing w:after="0"/>
              <w:rPr>
                <w:sz w:val="22"/>
                <w:szCs w:val="22"/>
                <w:color w:val="auto"/>
              </w:rPr>
            </w:pP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r>
      <w:tr>
        <w:trPr>
          <w:trHeight w:val="257"/>
        </w:trPr>
        <w:tc>
          <w:tcPr>
            <w:tcW w:w="3600" w:type="dxa"/>
            <w:vAlign w:val="bottom"/>
            <w:tcBorders>
              <w:top w:val="single" w:sz="8" w:color="B6B6B6"/>
              <w:bottom w:val="single" w:sz="8" w:color="auto"/>
            </w:tcBorders>
          </w:tcPr>
          <w:p>
            <w:pPr>
              <w:ind w:left="20"/>
              <w:spacing w:after="0"/>
              <w:rPr>
                <w:sz w:val="20"/>
                <w:szCs w:val="20"/>
                <w:color w:val="auto"/>
              </w:rPr>
            </w:pPr>
            <w:r>
              <w:rPr>
                <w:rFonts w:ascii="Arial" w:cs="Arial" w:eastAsia="Arial" w:hAnsi="Arial"/>
                <w:sz w:val="14"/>
                <w:szCs w:val="14"/>
                <w:b w:val="1"/>
                <w:bCs w:val="1"/>
                <w:color w:val="auto"/>
              </w:rPr>
              <w:t>Demographic Background</w:t>
            </w:r>
          </w:p>
        </w:tc>
        <w:tc>
          <w:tcPr>
            <w:tcW w:w="480" w:type="dxa"/>
            <w:vAlign w:val="bottom"/>
            <w:tcBorders>
              <w:top w:val="single" w:sz="8" w:color="B6B6B6"/>
              <w:bottom w:val="single" w:sz="8" w:color="auto"/>
            </w:tcBorders>
            <w:shd w:val="clear" w:color="auto" w:fill="DBDBDB"/>
          </w:tcPr>
          <w:p>
            <w:pPr>
              <w:spacing w:after="0"/>
              <w:rPr>
                <w:sz w:val="22"/>
                <w:szCs w:val="22"/>
                <w:color w:val="auto"/>
              </w:rPr>
            </w:pPr>
          </w:p>
        </w:tc>
        <w:tc>
          <w:tcPr>
            <w:tcW w:w="680" w:type="dxa"/>
            <w:vAlign w:val="bottom"/>
            <w:tcBorders>
              <w:top w:val="single" w:sz="8" w:color="B6B6B6"/>
              <w:bottom w:val="single" w:sz="8" w:color="auto"/>
            </w:tcBorders>
          </w:tcPr>
          <w:p>
            <w:pPr>
              <w:spacing w:after="0"/>
              <w:rPr>
                <w:sz w:val="22"/>
                <w:szCs w:val="22"/>
                <w:color w:val="auto"/>
              </w:rPr>
            </w:pPr>
          </w:p>
        </w:tc>
        <w:tc>
          <w:tcPr>
            <w:tcW w:w="420" w:type="dxa"/>
            <w:vAlign w:val="bottom"/>
            <w:tcBorders>
              <w:top w:val="single" w:sz="8" w:color="B6B6B6"/>
              <w:bottom w:val="single" w:sz="8" w:color="auto"/>
            </w:tcBorders>
            <w:shd w:val="clear" w:color="auto" w:fill="DBDBDB"/>
          </w:tcPr>
          <w:p>
            <w:pPr>
              <w:spacing w:after="0"/>
              <w:rPr>
                <w:sz w:val="22"/>
                <w:szCs w:val="22"/>
                <w:color w:val="auto"/>
              </w:rPr>
            </w:pPr>
          </w:p>
        </w:tc>
        <w:tc>
          <w:tcPr>
            <w:tcW w:w="500" w:type="dxa"/>
            <w:vAlign w:val="bottom"/>
            <w:tcBorders>
              <w:top w:val="single" w:sz="8" w:color="B6B6B6"/>
              <w:bottom w:val="single" w:sz="8" w:color="auto"/>
            </w:tcBorders>
          </w:tcPr>
          <w:p>
            <w:pPr>
              <w:spacing w:after="0"/>
              <w:rPr>
                <w:sz w:val="22"/>
                <w:szCs w:val="22"/>
                <w:color w:val="auto"/>
              </w:rPr>
            </w:pPr>
          </w:p>
        </w:tc>
        <w:tc>
          <w:tcPr>
            <w:tcW w:w="740" w:type="dxa"/>
            <w:vAlign w:val="bottom"/>
            <w:tcBorders>
              <w:top w:val="single" w:sz="8" w:color="B6B6B6"/>
              <w:bottom w:val="single" w:sz="8" w:color="auto"/>
            </w:tcBorders>
            <w:shd w:val="clear" w:color="auto" w:fill="DBDBDB"/>
          </w:tcPr>
          <w:p>
            <w:pPr>
              <w:spacing w:after="0"/>
              <w:rPr>
                <w:sz w:val="22"/>
                <w:szCs w:val="22"/>
                <w:color w:val="auto"/>
              </w:rPr>
            </w:pPr>
          </w:p>
        </w:tc>
        <w:tc>
          <w:tcPr>
            <w:tcW w:w="820" w:type="dxa"/>
            <w:vAlign w:val="bottom"/>
            <w:tcBorders>
              <w:top w:val="single" w:sz="8" w:color="B6B6B6"/>
              <w:bottom w:val="single" w:sz="8" w:color="auto"/>
            </w:tcBorders>
          </w:tcPr>
          <w:p>
            <w:pPr>
              <w:spacing w:after="0"/>
              <w:rPr>
                <w:sz w:val="22"/>
                <w:szCs w:val="22"/>
                <w:color w:val="auto"/>
              </w:rPr>
            </w:pPr>
          </w:p>
        </w:tc>
        <w:tc>
          <w:tcPr>
            <w:tcW w:w="540" w:type="dxa"/>
            <w:vAlign w:val="bottom"/>
            <w:tcBorders>
              <w:top w:val="single" w:sz="8" w:color="B6B6B6"/>
              <w:bottom w:val="single" w:sz="8" w:color="auto"/>
            </w:tcBorders>
            <w:shd w:val="clear" w:color="auto" w:fill="DBDBDB"/>
          </w:tcPr>
          <w:p>
            <w:pPr>
              <w:spacing w:after="0"/>
              <w:rPr>
                <w:sz w:val="22"/>
                <w:szCs w:val="22"/>
                <w:color w:val="auto"/>
              </w:rPr>
            </w:pPr>
          </w:p>
        </w:tc>
        <w:tc>
          <w:tcPr>
            <w:tcW w:w="500" w:type="dxa"/>
            <w:vAlign w:val="bottom"/>
            <w:tcBorders>
              <w:top w:val="single" w:sz="8" w:color="B6B6B6"/>
              <w:bottom w:val="single" w:sz="8" w:color="auto"/>
            </w:tcBorders>
          </w:tcPr>
          <w:p>
            <w:pPr>
              <w:spacing w:after="0"/>
              <w:rPr>
                <w:sz w:val="22"/>
                <w:szCs w:val="22"/>
                <w:color w:val="auto"/>
              </w:rPr>
            </w:pPr>
          </w:p>
        </w:tc>
        <w:tc>
          <w:tcPr>
            <w:tcW w:w="500" w:type="dxa"/>
            <w:vAlign w:val="bottom"/>
            <w:tcBorders>
              <w:top w:val="single" w:sz="8" w:color="B6B6B6"/>
              <w:bottom w:val="single" w:sz="8" w:color="auto"/>
            </w:tcBorders>
            <w:shd w:val="clear" w:color="auto" w:fill="DBDBDB"/>
          </w:tcPr>
          <w:p>
            <w:pPr>
              <w:spacing w:after="0"/>
              <w:rPr>
                <w:sz w:val="22"/>
                <w:szCs w:val="22"/>
                <w:color w:val="auto"/>
              </w:rPr>
            </w:pPr>
          </w:p>
        </w:tc>
        <w:tc>
          <w:tcPr>
            <w:tcW w:w="520" w:type="dxa"/>
            <w:vAlign w:val="bottom"/>
            <w:tcBorders>
              <w:top w:val="single" w:sz="8" w:color="B6B6B6"/>
              <w:bottom w:val="single" w:sz="8" w:color="auto"/>
            </w:tcBorders>
          </w:tcPr>
          <w:p>
            <w:pPr>
              <w:spacing w:after="0"/>
              <w:rPr>
                <w:sz w:val="22"/>
                <w:szCs w:val="22"/>
                <w:color w:val="auto"/>
              </w:rPr>
            </w:pPr>
          </w:p>
        </w:tc>
        <w:tc>
          <w:tcPr>
            <w:tcW w:w="540" w:type="dxa"/>
            <w:vAlign w:val="bottom"/>
            <w:tcBorders>
              <w:top w:val="single" w:sz="8" w:color="B6B6B6"/>
              <w:bottom w:val="single" w:sz="8" w:color="auto"/>
            </w:tcBorders>
            <w:shd w:val="clear" w:color="auto" w:fill="DBDBDB"/>
          </w:tcPr>
          <w:p>
            <w:pPr>
              <w:spacing w:after="0"/>
              <w:rPr>
                <w:sz w:val="22"/>
                <w:szCs w:val="22"/>
                <w:color w:val="auto"/>
              </w:rPr>
            </w:pPr>
          </w:p>
        </w:tc>
        <w:tc>
          <w:tcPr>
            <w:tcW w:w="640" w:type="dxa"/>
            <w:vAlign w:val="bottom"/>
            <w:tcBorders>
              <w:top w:val="single" w:sz="8" w:color="B6B6B6"/>
              <w:bottom w:val="single" w:sz="8" w:color="auto"/>
            </w:tcBorders>
          </w:tcPr>
          <w:p>
            <w:pPr>
              <w:spacing w:after="0"/>
              <w:rPr>
                <w:sz w:val="22"/>
                <w:szCs w:val="22"/>
                <w:color w:val="auto"/>
              </w:rPr>
            </w:pPr>
          </w:p>
        </w:tc>
        <w:tc>
          <w:tcPr>
            <w:tcW w:w="740" w:type="dxa"/>
            <w:vAlign w:val="bottom"/>
            <w:tcBorders>
              <w:top w:val="single" w:sz="8" w:color="B6B6B6"/>
              <w:bottom w:val="single" w:sz="8" w:color="auto"/>
            </w:tcBorders>
            <w:shd w:val="clear" w:color="auto" w:fill="DBDBDB"/>
          </w:tcPr>
          <w:p>
            <w:pPr>
              <w:spacing w:after="0"/>
              <w:rPr>
                <w:sz w:val="22"/>
                <w:szCs w:val="22"/>
                <w:color w:val="auto"/>
              </w:rPr>
            </w:pPr>
          </w:p>
        </w:tc>
      </w:tr>
      <w:tr>
        <w:trPr>
          <w:trHeight w:val="270"/>
        </w:trPr>
        <w:tc>
          <w:tcPr>
            <w:tcW w:w="3600" w:type="dxa"/>
            <w:vAlign w:val="bottom"/>
          </w:tcPr>
          <w:p>
            <w:pPr>
              <w:ind w:left="20"/>
              <w:spacing w:after="0"/>
              <w:rPr>
                <w:sz w:val="20"/>
                <w:szCs w:val="20"/>
                <w:color w:val="auto"/>
              </w:rPr>
            </w:pPr>
            <w:r>
              <w:rPr>
                <w:rFonts w:ascii="Arial" w:cs="Arial" w:eastAsia="Arial" w:hAnsi="Arial"/>
                <w:sz w:val="18"/>
                <w:szCs w:val="18"/>
                <w:color w:val="auto"/>
              </w:rPr>
              <w:t>Tenure (years)</w:t>
            </w:r>
          </w:p>
        </w:tc>
        <w:tc>
          <w:tcPr>
            <w:tcW w:w="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4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10</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7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7</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2</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5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3</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21</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14</w:t>
            </w:r>
          </w:p>
        </w:tc>
        <w:tc>
          <w:tcPr>
            <w:tcW w:w="7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22</w:t>
            </w: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Age (years)</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63</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61</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70</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67</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65</w:t>
            </w:r>
          </w:p>
        </w:tc>
        <w:tc>
          <w:tcPr>
            <w:tcW w:w="8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57</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62</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64</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56</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70</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68</w:t>
            </w: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59</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66</w:t>
            </w: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Gender</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M</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M</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0"/>
              </w:rPr>
              <w:t>F</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0"/>
              </w:rPr>
              <w:t>F</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3"/>
              </w:rPr>
              <w:t>M</w:t>
            </w:r>
          </w:p>
        </w:tc>
        <w:tc>
          <w:tcPr>
            <w:tcW w:w="8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3"/>
              </w:rPr>
              <w:t>M</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3"/>
              </w:rPr>
              <w:t>M</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0"/>
              </w:rPr>
              <w:t>F</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3"/>
              </w:rPr>
              <w:t>M</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3"/>
              </w:rPr>
              <w:t>M</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F</w:t>
            </w: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M</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3"/>
              </w:rPr>
              <w:t>M</w:t>
            </w:r>
          </w:p>
        </w:tc>
      </w:tr>
      <w:tr>
        <w:trPr>
          <w:trHeight w:val="240"/>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Race/Ethnicity *</w:t>
            </w:r>
          </w:p>
        </w:tc>
        <w:tc>
          <w:tcPr>
            <w:tcW w:w="48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3"/>
              </w:rPr>
              <w:t>W</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3"/>
              </w:rPr>
              <w:t>W</w:t>
            </w:r>
          </w:p>
        </w:tc>
        <w:tc>
          <w:tcPr>
            <w:tcW w:w="42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W</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w:t>
            </w:r>
          </w:p>
        </w:tc>
        <w:tc>
          <w:tcPr>
            <w:tcW w:w="74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W</w:t>
            </w:r>
          </w:p>
        </w:tc>
        <w:tc>
          <w:tcPr>
            <w:tcW w:w="8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B</w:t>
            </w:r>
          </w:p>
        </w:tc>
        <w:tc>
          <w:tcPr>
            <w:tcW w:w="54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W</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w:t>
            </w:r>
          </w:p>
        </w:tc>
        <w:tc>
          <w:tcPr>
            <w:tcW w:w="50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W</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B</w:t>
            </w:r>
          </w:p>
        </w:tc>
        <w:tc>
          <w:tcPr>
            <w:tcW w:w="54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3"/>
              </w:rPr>
              <w:t>W</w:t>
            </w: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1"/>
              </w:rPr>
              <w:t>H</w:t>
            </w:r>
          </w:p>
        </w:tc>
        <w:tc>
          <w:tcPr>
            <w:tcW w:w="74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W</w:t>
            </w:r>
          </w:p>
        </w:tc>
      </w:tr>
      <w:tr>
        <w:trPr>
          <w:trHeight w:val="23"/>
        </w:trPr>
        <w:tc>
          <w:tcPr>
            <w:tcW w:w="3600" w:type="dxa"/>
            <w:vAlign w:val="bottom"/>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DBDBDB"/>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shd w:val="clear" w:color="auto" w:fill="DBDBDB"/>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DBDBDB"/>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shd w:val="clear" w:color="auto" w:fill="DBDBDB"/>
          </w:tcPr>
          <w:p>
            <w:pPr>
              <w:spacing w:after="0"/>
              <w:rPr>
                <w:sz w:val="2"/>
                <w:szCs w:val="2"/>
                <w:color w:val="auto"/>
              </w:rPr>
            </w:pPr>
          </w:p>
        </w:tc>
      </w:tr>
    </w:tbl>
    <w:p>
      <w:pPr>
        <w:spacing w:after="0" w:line="143"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 = Black/African American; W = White; H = Hispanic/Latino</w:t>
      </w:r>
    </w:p>
    <w:p>
      <w:pPr>
        <w:spacing w:after="0" w:line="200" w:lineRule="exact"/>
        <w:rPr>
          <w:sz w:val="20"/>
          <w:szCs w:val="20"/>
          <w:color w:val="auto"/>
        </w:rPr>
      </w:pPr>
    </w:p>
    <w:p>
      <w:pPr>
        <w:spacing w:after="0" w:line="2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board prefers a mix of background and experience among its members. The board does not follow any ratio or formula to determine the appropriate mix. Rather, it uses its judgment to identify nominees whose backgrounds, attributes and experiences, taken as a whole, will contribute to the high standards of board service at the company. The board actively seeks candidates with a broad range of skills, experiences, perspectives and backgrounds, including women and minority candidates, for the pool from which board candidates are chosen. Maintaining a balance of tenure among the directors is also part of the board’s consideration. Longer-serving directors bring valuable experience with the company and familiarity with the strategic and operational challenges it has faced over the years, while newer directors bring fresh perspectives and ideas. To help maintain this balance, the company has a mandatory retirement policy, pursuant to which directors cannot stand for election after reaching age 75. The effectiveness of the board’s approach to board composition decisions is evidenced by the directors’ participation in the insightful and robust, yet respectful, deliberation that occurs at board and committee meetings, and in shaping the agendas for those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6" w:name="page7"/>
    <w:bookmarkEnd w:id="6"/>
    <w:p>
      <w:pPr>
        <w:spacing w:after="0"/>
        <w:rPr>
          <w:sz w:val="20"/>
          <w:szCs w:val="20"/>
          <w:color w:val="auto"/>
        </w:rPr>
      </w:pPr>
      <w:r>
        <w:rPr>
          <w:rFonts w:ascii="Arial" w:cs="Arial" w:eastAsia="Arial" w:hAnsi="Arial"/>
          <w:sz w:val="20"/>
          <w:szCs w:val="20"/>
          <w:i w:val="1"/>
          <w:iCs w:val="1"/>
          <w:color w:val="auto"/>
        </w:rPr>
        <w:t>Nominee criteria</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 evaluating prospective nominees and as stated in our corporate governance guidelines, the governance and stockholder relations (GSR)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committee considers the following criteria:</w:t>
      </w:r>
    </w:p>
    <w:p>
      <w:pPr>
        <w:spacing w:after="0" w:line="20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Outstanding achievement in the individual’s personal career.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Relevant commercial expertise.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operations experience.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acumen.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experience.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Standards of integrity and soundness of judgment.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make independent, analytical inquiries.</w:t>
      </w:r>
    </w:p>
    <w:p>
      <w:pPr>
        <w:spacing w:after="0" w:line="63" w:lineRule="exact"/>
        <w:rPr>
          <w:rFonts w:ascii="Arial" w:cs="Arial" w:eastAsia="Arial" w:hAnsi="Arial"/>
          <w:sz w:val="18"/>
          <w:szCs w:val="18"/>
          <w:color w:val="auto"/>
        </w:rPr>
      </w:pPr>
    </w:p>
    <w:p>
      <w:pPr>
        <w:ind w:left="660" w:right="120" w:hanging="328"/>
        <w:spacing w:after="0" w:line="28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represent the total corporate interests of TI (a director will not be selected to, nor be expected to, represent the interests of any particular group).</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Board diversity (viewpoints, gender, ethnicity).</w:t>
      </w:r>
    </w:p>
    <w:p>
      <w:pPr>
        <w:spacing w:after="0" w:line="63"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Willingness and ability to devote the time required to perform board activities adequately. Directors should not serve on the boards of more than three other public companies.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Nominee assessment</w:t>
      </w:r>
    </w:p>
    <w:p>
      <w:pPr>
        <w:spacing w:after="0" w:line="21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it considered director nominees for the 2025 annual meeting, the board kept in mind that the most important issues it considers typically relate to the company’s strategic direction; succession planning for senior executive positions; the company’s financial performance; the challenges of running a large, complex enterprise, including the management of its risks; major acquisitions and divestitures; and significant research and development (R&amp;D) and capital investment decisions. These issues arise in the context of the company’s operations, which primarily involve the manufacture and sale of semiconductors all over the world into industrial, automotive, personal electronics, communications equipment and enterprise systems markets.</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described below, each of our director nominees has achieved an extremely high level of success in his or her career, whether at multibillion dollar, multinational corporate enterprises, large academic institutions or significant governmental organizations. In these positions, each has been directly involved in the challenges relating to setting the strategic direction and managing the financial performance, personnel and processes of large, complex organizations, which includes key sustainability matters. Each has had exposure to effective leaders and has developed the ability to judge leadership qualities. Ten of the director nominees have experience in serving on the board of directors of at least one other major corporation, and one has served in high political office, all of which provides additional relevant experience on which each nominee can draw.</w:t>
      </w:r>
    </w:p>
    <w:p>
      <w:pPr>
        <w:spacing w:after="0" w:line="1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concluding that each nominee should serve as a director, the board relied on the specific experiences and attributes listed below and on the direct personal knowledge, born of previous service on the board, that each of the nominees brings insight to board deliberations as well as a willingness to ask challenging questions.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nominees for directorship are currently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7" w:name="page8"/>
    <w:bookmarkEnd w:id="7"/>
    <w:p>
      <w:pPr>
        <w:spacing w:after="0"/>
        <w:rPr>
          <w:sz w:val="20"/>
          <w:szCs w:val="20"/>
          <w:color w:val="auto"/>
        </w:rPr>
      </w:pPr>
      <w:r>
        <w:rPr>
          <w:rFonts w:ascii="Arial" w:cs="Arial" w:eastAsia="Arial" w:hAnsi="Arial"/>
          <w:sz w:val="20"/>
          <w:szCs w:val="20"/>
          <w:i w:val="1"/>
          <w:iCs w:val="1"/>
          <w:color w:val="auto"/>
        </w:rPr>
        <w:t>Director nominees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 Blinn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Former chief executive officer of Flowserve Corporation</w:t>
      </w:r>
    </w:p>
    <w:p>
      <w:pPr>
        <w:spacing w:after="0" w:line="65" w:lineRule="exact"/>
        <w:rPr>
          <w:sz w:val="20"/>
          <w:szCs w:val="20"/>
          <w:color w:val="auto"/>
        </w:rPr>
      </w:pPr>
    </w:p>
    <w:p>
      <w:pPr>
        <w:jc w:val="right"/>
        <w:ind w:right="3360"/>
        <w:spacing w:after="0"/>
        <w:tabs>
          <w:tab w:leader="none" w:pos="2020" w:val="left"/>
        </w:tabs>
        <w:rPr>
          <w:sz w:val="20"/>
          <w:szCs w:val="20"/>
          <w:color w:val="auto"/>
        </w:rPr>
      </w:pPr>
      <w:r>
        <w:rPr>
          <w:rFonts w:ascii="Arial" w:cs="Arial" w:eastAsia="Arial" w:hAnsi="Arial"/>
          <w:sz w:val="18"/>
          <w:szCs w:val="18"/>
          <w:i w:val="1"/>
          <w:iCs w:val="1"/>
          <w:color w:val="auto"/>
        </w:rPr>
        <w:t>Career highlights</w:t>
      </w:r>
      <w:r>
        <w:rPr>
          <w:sz w:val="20"/>
          <w:szCs w:val="20"/>
          <w:color w:val="auto"/>
        </w:rPr>
        <w:tab/>
      </w:r>
      <w:r>
        <w:rPr>
          <w:rFonts w:ascii="Arial" w:cs="Arial" w:eastAsia="Arial" w:hAnsi="Arial"/>
          <w:sz w:val="18"/>
          <w:szCs w:val="18"/>
          <w:i w:val="1"/>
          <w:iCs w:val="1"/>
          <w:color w:val="auto"/>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ectPr>
          <w:pgSz w:w="11900" w:h="16838" w:orient="portrait"/>
          <w:cols w:equalWidth="0" w:num="1">
            <w:col w:w="11180"/>
          </w:cols>
          <w:pgMar w:left="340" w:top="820" w:right="379" w:bottom="1440" w:gutter="0" w:footer="0" w:header="0"/>
        </w:sectPr>
      </w:pPr>
    </w:p>
    <w:p>
      <w:pPr>
        <w:spacing w:after="0" w:line="61" w:lineRule="exact"/>
        <w:rPr>
          <w:sz w:val="20"/>
          <w:szCs w:val="20"/>
          <w:color w:val="auto"/>
        </w:rPr>
      </w:pPr>
    </w:p>
    <w:p>
      <w:pPr>
        <w:ind w:left="2080" w:right="240"/>
        <w:spacing w:after="0" w:line="254" w:lineRule="auto"/>
        <w:rPr>
          <w:sz w:val="20"/>
          <w:szCs w:val="20"/>
          <w:color w:val="auto"/>
        </w:rPr>
      </w:pPr>
      <w:r>
        <w:rPr>
          <w:rFonts w:ascii="Arial" w:cs="Arial" w:eastAsia="Arial" w:hAnsi="Arial"/>
          <w:sz w:val="18"/>
          <w:szCs w:val="18"/>
          <w:color w:val="auto"/>
        </w:rPr>
        <w:t>Mr. Blinn served in various positions at Flowserve, including as chief executive officer and president from 2009 to 2017 and chief financial officer from 2004 to 2009. Prior to Flowserve, Mr. Blinn held senior finance positions at several companies, including FedEx Kinko’s Office and Print Services, Inc. and Centex Corporation. As an attorney, he represented financial institutions, foreign corporations and insurance companies.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Todd Bluedorn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Former chairman and chief executive officer of Lennox International Inc.</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40" w:hanging="236"/>
        <w:spacing w:after="0" w:line="263" w:lineRule="auto"/>
        <w:tabs>
          <w:tab w:leader="none" w:pos="23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manufacturer operating in industrial markets</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Keen appreciation for audit and financial control matters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61" w:lineRule="exact"/>
        <w:rPr>
          <w:sz w:val="20"/>
          <w:szCs w:val="20"/>
          <w:color w:val="auto"/>
        </w:rPr>
      </w:pPr>
    </w:p>
    <w:p>
      <w:pPr>
        <w:ind w:left="240" w:hanging="236"/>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Emerson Electric Co.</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Globe Life Inc.</w:t>
      </w:r>
    </w:p>
    <w:p>
      <w:pPr>
        <w:spacing w:after="0" w:line="22" w:lineRule="exact"/>
        <w:rPr>
          <w:rFonts w:ascii="Arial" w:cs="Arial" w:eastAsia="Arial" w:hAnsi="Arial"/>
          <w:sz w:val="18"/>
          <w:szCs w:val="18"/>
          <w:color w:val="auto"/>
        </w:rPr>
      </w:pPr>
    </w:p>
    <w:p>
      <w:pPr>
        <w:ind w:left="240" w:hanging="236"/>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Leggett &amp; Platt, Incorporated</w:t>
      </w:r>
    </w:p>
    <w:p>
      <w:pPr>
        <w:spacing w:after="0" w:line="218" w:lineRule="exact"/>
        <w:rPr>
          <w:sz w:val="20"/>
          <w:szCs w:val="20"/>
          <w:color w:val="auto"/>
        </w:rPr>
      </w:pPr>
    </w:p>
    <w:p>
      <w:pPr>
        <w:ind w:right="94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Kraton Corporation</w:t>
      </w:r>
    </w:p>
    <w:p>
      <w:pPr>
        <w:spacing w:after="0" w:line="508" w:lineRule="exact"/>
        <w:rPr>
          <w:sz w:val="20"/>
          <w:szCs w:val="20"/>
          <w:color w:val="auto"/>
        </w:rPr>
      </w:pPr>
    </w:p>
    <w:p>
      <w:pPr>
        <w:sectPr>
          <w:pgSz w:w="11900" w:h="16838" w:orient="portrait"/>
          <w:cols w:equalWidth="0" w:num="2">
            <w:col w:w="5720" w:space="60"/>
            <w:col w:w="5400"/>
          </w:cols>
          <w:pgMar w:left="340" w:top="820" w:right="379" w:bottom="1440" w:gutter="0" w:footer="0" w:header="0"/>
          <w:type w:val="continuous"/>
        </w:sectPr>
      </w:pPr>
    </w:p>
    <w:p>
      <w:pPr>
        <w:ind w:left="2080"/>
        <w:spacing w:after="0"/>
        <w:tabs>
          <w:tab w:leader="none" w:pos="5760" w:val="left"/>
        </w:tabs>
        <w:rPr>
          <w:sz w:val="20"/>
          <w:szCs w:val="20"/>
          <w:color w:val="auto"/>
        </w:rPr>
      </w:pPr>
      <w:r>
        <w:rPr>
          <w:rFonts w:ascii="Arial" w:cs="Arial" w:eastAsia="Arial" w:hAnsi="Arial"/>
          <w:sz w:val="18"/>
          <w:szCs w:val="18"/>
          <w:i w:val="1"/>
          <w:iCs w:val="1"/>
          <w:color w:val="auto"/>
        </w:rPr>
        <w:t>Career highlights</w:t>
      </w:r>
      <w:r>
        <w:rPr>
          <w:sz w:val="20"/>
          <w:szCs w:val="20"/>
          <w:color w:val="auto"/>
        </w:rPr>
        <w:tab/>
      </w:r>
      <w:r>
        <w:rPr>
          <w:rFonts w:ascii="Arial" w:cs="Arial" w:eastAsia="Arial" w:hAnsi="Arial"/>
          <w:sz w:val="18"/>
          <w:szCs w:val="18"/>
          <w:i w:val="1"/>
          <w:iCs w:val="1"/>
          <w:color w:val="auto"/>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ectPr>
          <w:pgSz w:w="11900" w:h="16838" w:orient="portrait"/>
          <w:cols w:equalWidth="0" w:num="1">
            <w:col w:w="11180"/>
          </w:cols>
          <w:pgMar w:left="340" w:top="820" w:right="379" w:bottom="1440" w:gutter="0" w:footer="0" w:header="0"/>
          <w:type w:val="continuous"/>
        </w:sectPr>
      </w:pPr>
    </w:p>
    <w:p>
      <w:pPr>
        <w:spacing w:after="0" w:line="61" w:lineRule="exact"/>
        <w:rPr>
          <w:sz w:val="20"/>
          <w:szCs w:val="20"/>
          <w:color w:val="auto"/>
        </w:rPr>
      </w:pPr>
    </w:p>
    <w:p>
      <w:pPr>
        <w:ind w:left="2080"/>
        <w:spacing w:after="0" w:line="254" w:lineRule="auto"/>
        <w:rPr>
          <w:sz w:val="20"/>
          <w:szCs w:val="20"/>
          <w:color w:val="auto"/>
        </w:rPr>
      </w:pPr>
      <w:r>
        <w:rPr>
          <w:rFonts w:ascii="Arial" w:cs="Arial" w:eastAsia="Arial" w:hAnsi="Arial"/>
          <w:sz w:val="18"/>
          <w:szCs w:val="18"/>
          <w:color w:val="auto"/>
        </w:rPr>
        <w:t>Mr. Bluedorn served as vice chair of Madison Industries from 2022 to 2023. Prior to Madison Industries, he served as chief executive officer of Lennox International from 2007 to 2022 and chairman of the board from 2012 to 2022. Prior to that, Mr. Bluedorn held several senior management positions at United Technologies Corporation, including leading Otis Elevator — North &amp; South America.</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40" w:hanging="236"/>
        <w:spacing w:after="0" w:line="263" w:lineRule="auto"/>
        <w:tabs>
          <w:tab w:leader="none" w:pos="2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manufacturer operating in industrial markets</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18" w:lineRule="exact"/>
        <w:rPr>
          <w:sz w:val="20"/>
          <w:szCs w:val="20"/>
          <w:color w:val="auto"/>
        </w:rPr>
      </w:pPr>
    </w:p>
    <w:p>
      <w:pPr>
        <w:ind w:right="196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Samsara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61" w:lineRule="exact"/>
        <w:rPr>
          <w:sz w:val="20"/>
          <w:szCs w:val="20"/>
          <w:color w:val="auto"/>
        </w:rPr>
      </w:pPr>
    </w:p>
    <w:p>
      <w:pPr>
        <w:ind w:left="240" w:hanging="236"/>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Eaton Corporation plc</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Lennox International Inc.</w:t>
      </w:r>
    </w:p>
    <w:p>
      <w:pPr>
        <w:spacing w:after="0" w:line="126" w:lineRule="exact"/>
        <w:rPr>
          <w:sz w:val="20"/>
          <w:szCs w:val="20"/>
          <w:color w:val="auto"/>
        </w:rPr>
      </w:pPr>
    </w:p>
    <w:p>
      <w:pPr>
        <w:sectPr>
          <w:pgSz w:w="11900" w:h="16838" w:orient="portrait"/>
          <w:cols w:equalWidth="0" w:num="2">
            <w:col w:w="5400" w:space="380"/>
            <w:col w:w="5400"/>
          </w:cols>
          <w:pgMar w:left="340" w:top="820" w:right="37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Janet Clark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Former chief financial officer of Marathon Oil Corporation</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line="41" w:lineRule="exact"/>
        <w:rPr>
          <w:sz w:val="20"/>
          <w:szCs w:val="20"/>
          <w:color w:val="auto"/>
        </w:rPr>
      </w:pPr>
    </w:p>
    <w:p>
      <w:pPr>
        <w:ind w:left="2080"/>
        <w:spacing w:after="0" w:line="253" w:lineRule="auto"/>
        <w:rPr>
          <w:sz w:val="20"/>
          <w:szCs w:val="20"/>
          <w:color w:val="auto"/>
        </w:rPr>
      </w:pPr>
      <w:r>
        <w:rPr>
          <w:rFonts w:ascii="Arial" w:cs="Arial" w:eastAsia="Arial" w:hAnsi="Arial"/>
          <w:sz w:val="18"/>
          <w:szCs w:val="18"/>
          <w:color w:val="auto"/>
        </w:rPr>
        <w:t>Ms. Clark was chief financial officer and executive vice president of Marathon Oil Corporation from 2007 to 2013 and senior vice president and chief financial officer from 2004 to 2007. Prior to Marathon, she served as chief financial officer of Nuevo Energy Company and Santa Fe Snyder Corporation. Ms. Clark has served as a director of Dell Inc. and Exterran Holdings, Inc. She also serves as a director of environmental nonprofit Resources for the Future.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hanging="236"/>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Keen appreciation for audit and financial control matters</w:t>
      </w:r>
    </w:p>
    <w:p>
      <w:pPr>
        <w:spacing w:after="0" w:line="31" w:lineRule="exact"/>
        <w:rPr>
          <w:rFonts w:ascii="Arial" w:cs="Arial" w:eastAsia="Arial" w:hAnsi="Arial"/>
          <w:sz w:val="18"/>
          <w:szCs w:val="18"/>
          <w:color w:val="auto"/>
        </w:rPr>
      </w:pPr>
    </w:p>
    <w:p>
      <w:pPr>
        <w:ind w:left="240" w:right="100" w:hanging="236"/>
        <w:spacing w:after="0" w:line="276" w:lineRule="auto"/>
        <w:tabs>
          <w:tab w:leader="none" w:pos="2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Oversight of large multinational companies, including one in the technology industry</w:t>
      </w:r>
    </w:p>
    <w:p>
      <w:pPr>
        <w:spacing w:after="0" w:line="111" w:lineRule="exact"/>
        <w:rPr>
          <w:sz w:val="20"/>
          <w:szCs w:val="20"/>
          <w:color w:val="auto"/>
        </w:rPr>
      </w:pPr>
    </w:p>
    <w:p>
      <w:pPr>
        <w:ind w:right="196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EOG Resources, Inc.</w:t>
      </w:r>
    </w:p>
    <w:p>
      <w:pPr>
        <w:spacing w:after="0" w:line="103" w:lineRule="exact"/>
        <w:rPr>
          <w:sz w:val="20"/>
          <w:szCs w:val="20"/>
          <w:color w:val="auto"/>
        </w:rPr>
      </w:pPr>
    </w:p>
    <w:p>
      <w:pPr>
        <w:ind w:right="94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692" w:lineRule="exact"/>
        <w:rPr>
          <w:sz w:val="20"/>
          <w:szCs w:val="20"/>
          <w:color w:val="auto"/>
        </w:rPr>
      </w:pPr>
    </w:p>
    <w:p>
      <w:pPr>
        <w:sectPr>
          <w:pgSz w:w="11900" w:h="16838" w:orient="portrait"/>
          <w:cols w:equalWidth="0" w:num="2">
            <w:col w:w="5460" w:space="320"/>
            <w:col w:w="5400"/>
          </w:cols>
          <w:pgMar w:left="340" w:top="82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20" w:right="3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0"/>
          <w:szCs w:val="20"/>
          <w:b w:val="1"/>
          <w:bCs w:val="1"/>
          <w:color w:val="auto"/>
        </w:rPr>
        <w:t>Carrie Cox</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 of Humacyte, Inc.</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-120015</wp:posOffset>
            </wp:positionV>
            <wp:extent cx="994410" cy="1174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line="41" w:lineRule="exact"/>
        <w:rPr>
          <w:sz w:val="20"/>
          <w:szCs w:val="20"/>
          <w:color w:val="auto"/>
        </w:rPr>
      </w:pPr>
    </w:p>
    <w:p>
      <w:pPr>
        <w:ind w:left="2080"/>
        <w:spacing w:after="0" w:line="254" w:lineRule="auto"/>
        <w:rPr>
          <w:sz w:val="20"/>
          <w:szCs w:val="20"/>
          <w:color w:val="auto"/>
        </w:rPr>
      </w:pPr>
      <w:r>
        <w:rPr>
          <w:rFonts w:ascii="Arial" w:cs="Arial" w:eastAsia="Arial" w:hAnsi="Arial"/>
          <w:sz w:val="18"/>
          <w:szCs w:val="18"/>
          <w:color w:val="auto"/>
        </w:rPr>
        <w:t>Ms. Cox was the executive chair of Humacyte, Inc. from 2018 to 2019, where she was also chairman and chief executive officer from 2010 to 2018. Prior to Humacyte, Ms. Cox held several senior management positions in the medical industry, including leading the global pharmaceuticals business at Schering-Plough Corporation and the global prescription business at Pharmacia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Martin Craighead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 of Baker Hughes Inc.</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line="41" w:lineRule="exact"/>
        <w:rPr>
          <w:sz w:val="20"/>
          <w:szCs w:val="20"/>
          <w:color w:val="auto"/>
        </w:rPr>
      </w:pPr>
    </w:p>
    <w:p>
      <w:pPr>
        <w:ind w:left="2080" w:right="40"/>
        <w:spacing w:after="0" w:line="254" w:lineRule="auto"/>
        <w:rPr>
          <w:sz w:val="20"/>
          <w:szCs w:val="20"/>
          <w:color w:val="auto"/>
        </w:rPr>
      </w:pPr>
      <w:r>
        <w:rPr>
          <w:rFonts w:ascii="Arial" w:cs="Arial" w:eastAsia="Arial" w:hAnsi="Arial"/>
          <w:sz w:val="18"/>
          <w:szCs w:val="18"/>
          <w:color w:val="auto"/>
        </w:rPr>
        <w:t>At Baker Hughes Inc., Mr. Craighead served as chief executive officer from 2012 to 2017 and chairman of the board from 2013 until the company merged with GE in 2017. He then served as vice chair of Baker Hughes, a GE company, until 2019. Prior to leading the company, Mr. Craighead held several senior management roles at Baker Hughes, including as chief operating officer.</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Reginald DesRoches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President of Rice University</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41" w:lineRule="exact"/>
        <w:rPr>
          <w:sz w:val="20"/>
          <w:szCs w:val="20"/>
          <w:color w:val="auto"/>
        </w:rPr>
      </w:pPr>
    </w:p>
    <w:p>
      <w:pPr>
        <w:ind w:left="2080" w:right="200"/>
        <w:spacing w:after="0" w:line="254" w:lineRule="auto"/>
        <w:rPr>
          <w:sz w:val="20"/>
          <w:szCs w:val="20"/>
          <w:color w:val="auto"/>
        </w:rPr>
      </w:pPr>
      <w:r>
        <w:rPr>
          <w:rFonts w:ascii="Arial" w:cs="Arial" w:eastAsia="Arial" w:hAnsi="Arial"/>
          <w:sz w:val="18"/>
          <w:szCs w:val="18"/>
          <w:color w:val="auto"/>
        </w:rPr>
        <w:t>Dr. DesRoches has been the president of Rice University since 2022 and a professor of engineering since 2017. Prior to his role as president, he served as Rice’s Howard Hughes Provost from 2020 to 2022 and the William and Stephanie Sick Dean of Engineering from 2017 to 2020. Dr. DesRoches previously served as the chair of the School of Civil and Environmental Engineering at Georgia Tech.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300" w:hanging="236"/>
        <w:spacing w:after="0" w:line="263" w:lineRule="auto"/>
        <w:tabs>
          <w:tab w:leader="none" w:pos="2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 operating in a regulated industry</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61" w:lineRule="exact"/>
        <w:rPr>
          <w:sz w:val="20"/>
          <w:szCs w:val="20"/>
          <w:color w:val="auto"/>
        </w:rPr>
      </w:pPr>
    </w:p>
    <w:p>
      <w:pPr>
        <w:ind w:left="240" w:hanging="236"/>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Cartesian Therapeutics, Inc. (f/k/a Selecta Biosciences, Inc.)</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Organon &amp; Co.</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Solventum Corporation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61" w:lineRule="exact"/>
        <w:rPr>
          <w:sz w:val="20"/>
          <w:szCs w:val="20"/>
          <w:color w:val="auto"/>
        </w:rPr>
      </w:pPr>
    </w:p>
    <w:p>
      <w:pPr>
        <w:ind w:left="240" w:hanging="236"/>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Array BioPharma Inc.</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Cardinal Health, Inc.</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Celgene Corporation</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electroCore, Inc.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240" w:hanging="236"/>
        <w:spacing w:after="0" w:line="263" w:lineRule="auto"/>
        <w:tabs>
          <w:tab w:leader="none" w:pos="2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 operating in industrial markets</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18" w:lineRule="exact"/>
        <w:rPr>
          <w:sz w:val="20"/>
          <w:szCs w:val="20"/>
          <w:color w:val="auto"/>
        </w:rPr>
      </w:pPr>
    </w:p>
    <w:p>
      <w:pPr>
        <w:ind w:right="188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Emerson Electric Co.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61" w:lineRule="exact"/>
        <w:rPr>
          <w:sz w:val="20"/>
          <w:szCs w:val="20"/>
          <w:color w:val="auto"/>
        </w:rPr>
      </w:pPr>
    </w:p>
    <w:p>
      <w:pPr>
        <w:ind w:left="240" w:hanging="236"/>
        <w:spacing w:after="0"/>
        <w:tabs>
          <w:tab w:leader="none" w:pos="24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Ecovyst Inc.</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hanging="236"/>
        <w:spacing w:after="0" w:line="263" w:lineRule="auto"/>
        <w:tabs>
          <w:tab w:leader="none" w:pos="2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responsibility of a large, internationally recognized research university</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Keen appreciation for technology matters</w:t>
      </w:r>
    </w:p>
    <w:p>
      <w:pPr>
        <w:spacing w:after="0" w:line="227" w:lineRule="exact"/>
        <w:rPr>
          <w:sz w:val="20"/>
          <w:szCs w:val="20"/>
          <w:color w:val="auto"/>
        </w:rPr>
      </w:pPr>
    </w:p>
    <w:p>
      <w:pPr>
        <w:ind w:right="188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Brandywine Realty Trust</w:t>
      </w:r>
    </w:p>
    <w:p>
      <w:pPr>
        <w:spacing w:after="0" w:line="103" w:lineRule="exact"/>
        <w:rPr>
          <w:sz w:val="20"/>
          <w:szCs w:val="20"/>
          <w:color w:val="auto"/>
        </w:rPr>
      </w:pPr>
    </w:p>
    <w:p>
      <w:pPr>
        <w:ind w:right="86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200" w:lineRule="exact"/>
        <w:rPr>
          <w:sz w:val="20"/>
          <w:szCs w:val="20"/>
          <w:color w:val="auto"/>
        </w:rPr>
      </w:pPr>
    </w:p>
    <w:p>
      <w:pPr>
        <w:sectPr>
          <w:pgSz w:w="11900" w:h="16838" w:orient="portrait"/>
          <w:cols w:equalWidth="0" w:num="2">
            <w:col w:w="5420" w:space="360"/>
            <w:col w:w="5320"/>
          </w:cols>
          <w:pgMar w:left="340" w:top="818" w:right="45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242424"/>
        </w:rPr>
        <w:t>2025 PROXY STATEMENT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818" w:right="4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auto"/>
        </w:rPr>
        <w:t>Curtis Farmer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 of Comerica Incorporated</w:t>
      </w:r>
    </w:p>
    <w:p>
      <w:pPr>
        <w:sectPr>
          <w:pgSz w:w="11900" w:h="16838" w:orient="portrait"/>
          <w:cols w:equalWidth="0" w:num="1">
            <w:col w:w="10860"/>
          </w:cols>
          <w:pgMar w:left="340" w:top="818" w:right="699" w:bottom="1440" w:gutter="0" w:footer="0" w:header="0"/>
        </w:sectPr>
      </w:pP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line="41" w:lineRule="exact"/>
        <w:rPr>
          <w:sz w:val="20"/>
          <w:szCs w:val="20"/>
          <w:color w:val="auto"/>
        </w:rPr>
      </w:pPr>
    </w:p>
    <w:p>
      <w:pPr>
        <w:ind w:left="2080"/>
        <w:spacing w:after="0" w:line="255" w:lineRule="auto"/>
        <w:rPr>
          <w:sz w:val="20"/>
          <w:szCs w:val="20"/>
          <w:color w:val="auto"/>
        </w:rPr>
      </w:pPr>
      <w:r>
        <w:rPr>
          <w:rFonts w:ascii="Arial" w:cs="Arial" w:eastAsia="Arial" w:hAnsi="Arial"/>
          <w:sz w:val="18"/>
          <w:szCs w:val="18"/>
          <w:color w:val="auto"/>
        </w:rPr>
        <w:t>At Comerica, Mr. Farmer has served as chief executive officer since 2019, chairman since 2020 and president since 2015. Prior to those roles, he was executive vice president from 2008 to 2011, then vice chairman from 2011 to 2015. Mr. Farmer has also held senior leadership positions at Wachovia Corporation.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hanging="236"/>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responsibility of a large financial institution</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w:t>
      </w:r>
    </w:p>
    <w:p>
      <w:pPr>
        <w:spacing w:after="0" w:line="218" w:lineRule="exact"/>
        <w:rPr>
          <w:sz w:val="20"/>
          <w:szCs w:val="20"/>
          <w:color w:val="auto"/>
        </w:rPr>
      </w:pPr>
    </w:p>
    <w:p>
      <w:pPr>
        <w:ind w:right="164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Comerica Incorporated</w:t>
      </w:r>
    </w:p>
    <w:p>
      <w:pPr>
        <w:spacing w:after="0" w:line="103" w:lineRule="exact"/>
        <w:rPr>
          <w:sz w:val="20"/>
          <w:szCs w:val="20"/>
          <w:color w:val="auto"/>
        </w:rPr>
      </w:pPr>
    </w:p>
    <w:p>
      <w:pPr>
        <w:ind w:right="62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215" w:lineRule="exact"/>
        <w:rPr>
          <w:sz w:val="20"/>
          <w:szCs w:val="20"/>
          <w:color w:val="auto"/>
        </w:rPr>
      </w:pPr>
    </w:p>
    <w:p>
      <w:pPr>
        <w:sectPr>
          <w:pgSz w:w="11900" w:h="16838" w:orient="portrait"/>
          <w:cols w:equalWidth="0" w:num="2">
            <w:col w:w="5240" w:space="540"/>
            <w:col w:w="5080"/>
          </w:cols>
          <w:pgMar w:left="340" w:top="818" w:right="69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Jean Hobby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Retired partner of PricewaterhouseCoopers LLP</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41" w:lineRule="exact"/>
        <w:rPr>
          <w:sz w:val="20"/>
          <w:szCs w:val="20"/>
          <w:color w:val="auto"/>
        </w:rPr>
      </w:pPr>
    </w:p>
    <w:p>
      <w:pPr>
        <w:ind w:left="2080" w:right="380"/>
        <w:spacing w:after="0" w:line="257" w:lineRule="auto"/>
        <w:rPr>
          <w:sz w:val="20"/>
          <w:szCs w:val="20"/>
          <w:color w:val="auto"/>
        </w:rPr>
      </w:pPr>
      <w:r>
        <w:rPr>
          <w:rFonts w:ascii="Arial" w:cs="Arial" w:eastAsia="Arial" w:hAnsi="Arial"/>
          <w:sz w:val="18"/>
          <w:szCs w:val="18"/>
          <w:color w:val="auto"/>
        </w:rPr>
        <w:t>Ms. Hobby was global strategy officer of PricewaterhouseCoopers from 2013 to 2015. Prior to</w:t>
      </w:r>
    </w:p>
    <w:p>
      <w:pPr>
        <w:spacing w:after="0" w:line="1" w:lineRule="exact"/>
        <w:rPr>
          <w:sz w:val="20"/>
          <w:szCs w:val="20"/>
          <w:color w:val="auto"/>
        </w:rPr>
      </w:pPr>
    </w:p>
    <w:p>
      <w:pPr>
        <w:ind w:left="2080" w:right="1260"/>
        <w:spacing w:after="0" w:line="250" w:lineRule="auto"/>
        <w:rPr>
          <w:sz w:val="20"/>
          <w:szCs w:val="20"/>
          <w:color w:val="auto"/>
        </w:rPr>
      </w:pPr>
      <w:r>
        <w:rPr>
          <w:rFonts w:ascii="Arial" w:cs="Arial" w:eastAsia="Arial" w:hAnsi="Arial"/>
          <w:sz w:val="18"/>
          <w:szCs w:val="18"/>
          <w:color w:val="auto"/>
        </w:rPr>
        <w:t>that, she held several senior management positions at the</w:t>
      </w:r>
    </w:p>
    <w:p>
      <w:pPr>
        <w:spacing w:after="0" w:line="1" w:lineRule="exact"/>
        <w:rPr>
          <w:sz w:val="20"/>
          <w:szCs w:val="20"/>
          <w:color w:val="auto"/>
        </w:rPr>
      </w:pPr>
    </w:p>
    <w:p>
      <w:pPr>
        <w:jc w:val="both"/>
        <w:ind w:left="2080" w:right="360"/>
        <w:spacing w:after="0" w:line="258" w:lineRule="auto"/>
        <w:rPr>
          <w:sz w:val="20"/>
          <w:szCs w:val="20"/>
          <w:color w:val="auto"/>
        </w:rPr>
      </w:pPr>
      <w:r>
        <w:rPr>
          <w:rFonts w:ascii="Arial" w:cs="Arial" w:eastAsia="Arial" w:hAnsi="Arial"/>
          <w:sz w:val="18"/>
          <w:szCs w:val="18"/>
          <w:color w:val="auto"/>
        </w:rPr>
        <w:t>firm, including as technology, media and telecom sector leader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Haviv Ilan</w:t>
      </w:r>
    </w:p>
    <w:p>
      <w:pPr>
        <w:spacing w:after="0" w:line="72" w:lineRule="exact"/>
        <w:rPr>
          <w:sz w:val="20"/>
          <w:szCs w:val="20"/>
          <w:color w:val="auto"/>
        </w:rPr>
      </w:pPr>
    </w:p>
    <w:p>
      <w:pPr>
        <w:jc w:val="center"/>
        <w:spacing w:after="0" w:line="313" w:lineRule="auto"/>
        <w:rPr>
          <w:sz w:val="20"/>
          <w:szCs w:val="20"/>
          <w:color w:val="auto"/>
        </w:rPr>
      </w:pPr>
      <w:r>
        <w:rPr>
          <w:rFonts w:ascii="Arial" w:cs="Arial" w:eastAsia="Arial" w:hAnsi="Arial"/>
          <w:sz w:val="18"/>
          <w:szCs w:val="18"/>
          <w:color w:val="auto"/>
        </w:rPr>
        <w:t xml:space="preserve">President and chief executive officer of Texas Instruments Incorporated </w:t>
      </w: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-158750</wp:posOffset>
            </wp:positionV>
            <wp:extent cx="994410" cy="1174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ind w:left="2080" w:right="380"/>
        <w:spacing w:after="0" w:line="253" w:lineRule="auto"/>
        <w:rPr>
          <w:sz w:val="20"/>
          <w:szCs w:val="20"/>
          <w:color w:val="auto"/>
        </w:rPr>
      </w:pPr>
      <w:r>
        <w:rPr>
          <w:rFonts w:ascii="Arial" w:cs="Arial" w:eastAsia="Arial" w:hAnsi="Arial"/>
          <w:sz w:val="18"/>
          <w:szCs w:val="18"/>
          <w:color w:val="auto"/>
        </w:rPr>
        <w:t>Mr. Ilan has been the president and chief executive officer of the company since 2023. From 2020 to 2023, Mr. Ilan was the executive vice president and chief operating officer, responsible for leading TI’s business and sales organizations, technology and manufacturing operations and information technology services. He has served the company at a senior level since 2014, including as a director since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140" w:hanging="236"/>
        <w:spacing w:after="0" w:line="263" w:lineRule="auto"/>
        <w:tabs>
          <w:tab w:leader="none" w:pos="2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Extensive audit knowledge and keen appreciation for audit, financial control and technology matters</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responsibility at a large, multinational company</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planning expertise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61" w:lineRule="exact"/>
        <w:rPr>
          <w:sz w:val="20"/>
          <w:szCs w:val="20"/>
          <w:color w:val="auto"/>
        </w:rPr>
      </w:pPr>
    </w:p>
    <w:p>
      <w:pPr>
        <w:ind w:left="240" w:hanging="236"/>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Hewlett Packard Enterprise Company</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Integer Holdings Corporation</w:t>
      </w:r>
    </w:p>
    <w:p>
      <w:pPr>
        <w:spacing w:after="0" w:line="218" w:lineRule="exact"/>
        <w:rPr>
          <w:sz w:val="20"/>
          <w:szCs w:val="20"/>
          <w:color w:val="auto"/>
        </w:rPr>
      </w:pPr>
    </w:p>
    <w:p>
      <w:pPr>
        <w:ind w:right="62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hanging="236"/>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responsibility for the company's operations</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Knowledge of the company and the semiconductor industry</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Responsibility for significant capital investments</w:t>
      </w:r>
    </w:p>
    <w:p>
      <w:pPr>
        <w:spacing w:after="0" w:line="227" w:lineRule="exact"/>
        <w:rPr>
          <w:sz w:val="20"/>
          <w:szCs w:val="20"/>
          <w:color w:val="auto"/>
        </w:rPr>
      </w:pPr>
    </w:p>
    <w:p>
      <w:pPr>
        <w:ind w:right="164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None</w:t>
      </w:r>
    </w:p>
    <w:p>
      <w:pPr>
        <w:spacing w:after="0" w:line="103" w:lineRule="exact"/>
        <w:rPr>
          <w:sz w:val="20"/>
          <w:szCs w:val="20"/>
          <w:color w:val="auto"/>
        </w:rPr>
      </w:pPr>
    </w:p>
    <w:p>
      <w:pPr>
        <w:ind w:right="62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611" w:lineRule="exact"/>
        <w:rPr>
          <w:sz w:val="20"/>
          <w:szCs w:val="20"/>
          <w:color w:val="auto"/>
        </w:rPr>
      </w:pPr>
    </w:p>
    <w:p>
      <w:pPr>
        <w:sectPr>
          <w:pgSz w:w="11900" w:h="16838" w:orient="portrait"/>
          <w:cols w:equalWidth="0" w:num="2">
            <w:col w:w="5660" w:space="120"/>
            <w:col w:w="5080"/>
          </w:cols>
          <w:pgMar w:left="340" w:top="818"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242424"/>
        </w:rPr>
        <w:t>2025 PROXY STATEMENT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818" w:right="6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Ronald Kirk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Senior of counsel at Gibson, Dunn &amp; Crutcher LLP</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41" w:lineRule="exact"/>
        <w:rPr>
          <w:sz w:val="20"/>
          <w:szCs w:val="20"/>
          <w:color w:val="auto"/>
        </w:rPr>
      </w:pPr>
    </w:p>
    <w:p>
      <w:pPr>
        <w:ind w:left="2080"/>
        <w:spacing w:after="0" w:line="254" w:lineRule="auto"/>
        <w:rPr>
          <w:sz w:val="20"/>
          <w:szCs w:val="20"/>
          <w:color w:val="auto"/>
        </w:rPr>
      </w:pPr>
      <w:r>
        <w:rPr>
          <w:rFonts w:ascii="Arial" w:cs="Arial" w:eastAsia="Arial" w:hAnsi="Arial"/>
          <w:sz w:val="18"/>
          <w:szCs w:val="18"/>
          <w:color w:val="auto"/>
        </w:rPr>
        <w:t>Mr. Kirk has been senior of counsel at Gibson, Dunn &amp; Crutcher since 2013 and co-chairs the international trade and ESG practice groups. He served as the U.S. Trade Representative from 2009 to 2013, where he focused on the development and enforcement of U.S. intellectual property law. Mr. Kirk has been a director of Brinker International, Inc. and Dean Foods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360" w:hanging="236"/>
        <w:spacing w:after="0" w:line="263" w:lineRule="auto"/>
        <w:tabs>
          <w:tab w:leader="none" w:pos="2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responsibility of a large, complex organization operating internationally</w:t>
      </w:r>
    </w:p>
    <w:p>
      <w:pPr>
        <w:spacing w:after="0" w:line="1" w:lineRule="exact"/>
        <w:rPr>
          <w:rFonts w:ascii="Arial" w:cs="Arial" w:eastAsia="Arial" w:hAnsi="Arial"/>
          <w:sz w:val="18"/>
          <w:szCs w:val="18"/>
          <w:color w:val="auto"/>
        </w:rPr>
      </w:pPr>
    </w:p>
    <w:p>
      <w:pPr>
        <w:ind w:left="240" w:hanging="236"/>
        <w:spacing w:after="0" w:line="276" w:lineRule="auto"/>
        <w:tabs>
          <w:tab w:leader="none" w:pos="2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Keen insight into issues bearing on global economic activity and international trade policies</w:t>
      </w:r>
    </w:p>
    <w:p>
      <w:pPr>
        <w:spacing w:after="0" w:line="165" w:lineRule="exact"/>
        <w:rPr>
          <w:sz w:val="20"/>
          <w:szCs w:val="20"/>
          <w:color w:val="auto"/>
        </w:rPr>
      </w:pPr>
    </w:p>
    <w:p>
      <w:pPr>
        <w:ind w:right="190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Mister Car Wash,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61" w:lineRule="exact"/>
        <w:rPr>
          <w:sz w:val="20"/>
          <w:szCs w:val="20"/>
          <w:color w:val="auto"/>
        </w:rPr>
      </w:pPr>
    </w:p>
    <w:p>
      <w:pPr>
        <w:ind w:left="240" w:right="220" w:hanging="236"/>
        <w:spacing w:after="0" w:line="279" w:lineRule="auto"/>
        <w:tabs>
          <w:tab w:leader="none" w:pos="2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AMF Hawaii Investments, LLC (f/k/a Macquarie Infrastructure Holdings, LLC)</w:t>
      </w:r>
    </w:p>
    <w:p>
      <w:pPr>
        <w:spacing w:after="0" w:line="1" w:lineRule="exact"/>
        <w:rPr>
          <w:sz w:val="20"/>
          <w:szCs w:val="20"/>
          <w:color w:val="auto"/>
        </w:rPr>
      </w:pPr>
    </w:p>
    <w:p>
      <w:pPr>
        <w:sectPr>
          <w:pgSz w:w="11900" w:h="16838" w:orient="portrait"/>
          <w:cols w:equalWidth="0" w:num="2">
            <w:col w:w="5300" w:space="480"/>
            <w:col w:w="5340"/>
          </w:cols>
          <w:pgMar w:left="340" w:top="818" w:right="439" w:bottom="1440" w:gutter="0" w:footer="0" w:header="0"/>
        </w:sectPr>
      </w:pPr>
    </w:p>
    <w:p>
      <w:pPr>
        <w:spacing w:after="0"/>
        <w:rPr>
          <w:sz w:val="20"/>
          <w:szCs w:val="20"/>
          <w:color w:val="auto"/>
        </w:rPr>
      </w:pPr>
      <w:r>
        <w:rPr>
          <w:rFonts w:ascii="Arial" w:cs="Arial" w:eastAsia="Arial" w:hAnsi="Arial"/>
          <w:sz w:val="20"/>
          <w:szCs w:val="20"/>
          <w:b w:val="1"/>
          <w:bCs w:val="1"/>
          <w:color w:val="auto"/>
        </w:rPr>
        <w:t>Pamela Patsley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 of MoneyGram International, Inc.</w:t>
      </w:r>
    </w:p>
    <w:p>
      <w:pPr>
        <w:sectPr>
          <w:pgSz w:w="11900" w:h="16838" w:orient="portrait"/>
          <w:cols w:equalWidth="0" w:num="1">
            <w:col w:w="11120"/>
          </w:cols>
          <w:pgMar w:left="340" w:top="818" w:right="439" w:bottom="1440" w:gutter="0" w:footer="0" w:header="0"/>
          <w:type w:val="continuous"/>
        </w:sectPr>
      </w:pP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line="4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At MoneyGram, Ms. Patsley</w:t>
      </w:r>
    </w:p>
    <w:p>
      <w:pPr>
        <w:spacing w:after="0" w:line="27" w:lineRule="exact"/>
        <w:rPr>
          <w:sz w:val="20"/>
          <w:szCs w:val="20"/>
          <w:color w:val="auto"/>
        </w:rPr>
      </w:pPr>
    </w:p>
    <w:p>
      <w:pPr>
        <w:ind w:left="2080"/>
        <w:spacing w:after="0" w:line="252" w:lineRule="auto"/>
        <w:rPr>
          <w:sz w:val="20"/>
          <w:szCs w:val="20"/>
          <w:color w:val="auto"/>
        </w:rPr>
      </w:pPr>
      <w:r>
        <w:rPr>
          <w:rFonts w:ascii="Arial" w:cs="Arial" w:eastAsia="Arial" w:hAnsi="Arial"/>
          <w:sz w:val="18"/>
          <w:szCs w:val="18"/>
          <w:color w:val="auto"/>
        </w:rPr>
        <w:t>was chair and chief executive officer from 2009 to 2015, then executive chair until 2018. Prior to that, she was senior executive vice president at First Data Corporation and chief executive officer of Paymentech, Inc. She also served as chief financial officer of First USA, Inc. and began her career as an auditor.</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hanging="236"/>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w:t>
      </w:r>
    </w:p>
    <w:p>
      <w:pPr>
        <w:spacing w:after="0" w:line="31" w:lineRule="exact"/>
        <w:rPr>
          <w:rFonts w:ascii="Arial" w:cs="Arial" w:eastAsia="Arial" w:hAnsi="Arial"/>
          <w:sz w:val="18"/>
          <w:szCs w:val="18"/>
          <w:color w:val="auto"/>
        </w:rPr>
      </w:pPr>
    </w:p>
    <w:p>
      <w:pPr>
        <w:ind w:left="240" w:right="320" w:hanging="236"/>
        <w:spacing w:after="0" w:line="276" w:lineRule="auto"/>
        <w:tabs>
          <w:tab w:leader="none" w:pos="2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Keen appreciation for audit, financial control and technology matters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61" w:lineRule="exact"/>
        <w:rPr>
          <w:sz w:val="20"/>
          <w:szCs w:val="20"/>
          <w:color w:val="auto"/>
        </w:rPr>
      </w:pPr>
    </w:p>
    <w:p>
      <w:pPr>
        <w:ind w:left="240" w:hanging="236"/>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Hilton Grand Vacations Inc.</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Keurig Dr Pepper Inc.</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Payoneer Global Inc.</w:t>
      </w:r>
    </w:p>
    <w:p>
      <w:pPr>
        <w:spacing w:after="0" w:line="218" w:lineRule="exact"/>
        <w:rPr>
          <w:sz w:val="20"/>
          <w:szCs w:val="20"/>
          <w:color w:val="auto"/>
        </w:rPr>
      </w:pPr>
    </w:p>
    <w:p>
      <w:pPr>
        <w:ind w:right="88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ACI Worldwide, Inc.</w:t>
      </w:r>
    </w:p>
    <w:p>
      <w:pPr>
        <w:spacing w:after="0" w:line="191" w:lineRule="exact"/>
        <w:rPr>
          <w:sz w:val="20"/>
          <w:szCs w:val="20"/>
          <w:color w:val="auto"/>
        </w:rPr>
      </w:pPr>
    </w:p>
    <w:p>
      <w:pPr>
        <w:sectPr>
          <w:pgSz w:w="11900" w:h="16838" w:orient="portrait"/>
          <w:cols w:equalWidth="0" w:num="2">
            <w:col w:w="5260" w:space="520"/>
            <w:col w:w="5340"/>
          </w:cols>
          <w:pgMar w:left="340" w:top="818" w:right="43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Robert Sanchez</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 of Ryder System, Inc.</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line="41" w:lineRule="exact"/>
        <w:rPr>
          <w:sz w:val="20"/>
          <w:szCs w:val="20"/>
          <w:color w:val="auto"/>
        </w:rPr>
      </w:pPr>
    </w:p>
    <w:p>
      <w:pPr>
        <w:jc w:val="both"/>
        <w:ind w:left="2080" w:right="140"/>
        <w:spacing w:after="0" w:line="257" w:lineRule="auto"/>
        <w:rPr>
          <w:sz w:val="20"/>
          <w:szCs w:val="20"/>
          <w:color w:val="auto"/>
        </w:rPr>
      </w:pPr>
      <w:r>
        <w:rPr>
          <w:rFonts w:ascii="Arial" w:cs="Arial" w:eastAsia="Arial" w:hAnsi="Arial"/>
          <w:sz w:val="18"/>
          <w:szCs w:val="18"/>
          <w:color w:val="auto"/>
        </w:rPr>
        <w:t>Mr. Sanchez has been chairman and executive officer of Ryder since 2013. During his career at Ryder, Mr.</w:t>
      </w:r>
    </w:p>
    <w:p>
      <w:pPr>
        <w:spacing w:after="0" w:line="1" w:lineRule="exact"/>
        <w:rPr>
          <w:sz w:val="20"/>
          <w:szCs w:val="20"/>
          <w:color w:val="auto"/>
        </w:rPr>
      </w:pPr>
    </w:p>
    <w:p>
      <w:pPr>
        <w:ind w:left="2080"/>
        <w:spacing w:after="0" w:line="252" w:lineRule="auto"/>
        <w:rPr>
          <w:sz w:val="20"/>
          <w:szCs w:val="20"/>
          <w:color w:val="auto"/>
        </w:rPr>
      </w:pPr>
      <w:r>
        <w:rPr>
          <w:rFonts w:ascii="Arial" w:cs="Arial" w:eastAsia="Arial" w:hAnsi="Arial"/>
          <w:sz w:val="18"/>
          <w:szCs w:val="18"/>
          <w:color w:val="auto"/>
        </w:rPr>
        <w:t>Sanchez has served as president, chief operating officer, chief information officer and chief financial officer. He has also had a broad range of leadership roles in Ryder’s business segments, including as president of its Global Fleet Management Solutions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1040" w:hanging="236"/>
        <w:spacing w:after="0" w:line="263" w:lineRule="auto"/>
        <w:tabs>
          <w:tab w:leader="none" w:pos="2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transportation and logistics company</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Responsibility for significant capital investments</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Keen appreciation for technology matters</w:t>
      </w:r>
    </w:p>
    <w:p>
      <w:pPr>
        <w:spacing w:after="0" w:line="227" w:lineRule="exact"/>
        <w:rPr>
          <w:sz w:val="20"/>
          <w:szCs w:val="20"/>
          <w:color w:val="auto"/>
        </w:rPr>
      </w:pPr>
    </w:p>
    <w:p>
      <w:pPr>
        <w:ind w:right="190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Ryder System, Inc.</w:t>
      </w:r>
    </w:p>
    <w:p>
      <w:pPr>
        <w:spacing w:after="0" w:line="103" w:lineRule="exact"/>
        <w:rPr>
          <w:sz w:val="20"/>
          <w:szCs w:val="20"/>
          <w:color w:val="auto"/>
        </w:rPr>
      </w:pPr>
    </w:p>
    <w:p>
      <w:pPr>
        <w:ind w:right="88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200" w:lineRule="exact"/>
        <w:rPr>
          <w:sz w:val="20"/>
          <w:szCs w:val="20"/>
          <w:color w:val="auto"/>
        </w:rPr>
      </w:pPr>
    </w:p>
    <w:p>
      <w:pPr>
        <w:sectPr>
          <w:pgSz w:w="11900" w:h="16838" w:orient="portrait"/>
          <w:cols w:equalWidth="0" w:num="2">
            <w:col w:w="5220" w:space="560"/>
            <w:col w:w="5340"/>
          </w:cols>
          <w:pgMar w:left="340" w:top="818" w:right="43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242424"/>
        </w:rPr>
        <w:t>2025 PROXY STATEMENT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818" w:right="439" w:bottom="1440" w:gutter="0" w:footer="0" w:header="0"/>
          <w:type w:val="continuous"/>
        </w:sectPr>
      </w:pPr>
    </w:p>
    <w:bookmarkStart w:id="11" w:name="page12"/>
    <w:bookmarkEnd w:id="11"/>
    <w:p>
      <w:pPr>
        <w:ind w:left="20"/>
        <w:spacing w:after="0"/>
        <w:rPr>
          <w:sz w:val="20"/>
          <w:szCs w:val="20"/>
          <w:color w:val="auto"/>
        </w:rPr>
      </w:pPr>
      <w:r>
        <w:rPr>
          <w:rFonts w:ascii="Arial" w:cs="Arial" w:eastAsia="Arial" w:hAnsi="Arial"/>
          <w:sz w:val="20"/>
          <w:szCs w:val="20"/>
          <w:b w:val="1"/>
          <w:bCs w:val="1"/>
          <w:color w:val="auto"/>
        </w:rPr>
        <w:t>Richard Templeton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Texas Instruments Incorporated</w:t>
      </w:r>
    </w:p>
    <w:p>
      <w:pPr>
        <w:spacing w:after="0" w:line="52" w:lineRule="exact"/>
        <w:rPr>
          <w:sz w:val="20"/>
          <w:szCs w:val="20"/>
          <w:color w:val="auto"/>
        </w:rPr>
      </w:pPr>
    </w:p>
    <w:p>
      <w:pPr>
        <w:ind w:left="210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-111760</wp:posOffset>
            </wp:positionV>
            <wp:extent cx="994410" cy="1174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41" w:lineRule="exact"/>
        <w:rPr>
          <w:sz w:val="20"/>
          <w:szCs w:val="20"/>
          <w:color w:val="auto"/>
        </w:rPr>
      </w:pPr>
    </w:p>
    <w:p>
      <w:pPr>
        <w:ind w:left="2100"/>
        <w:spacing w:after="0" w:line="274" w:lineRule="auto"/>
        <w:rPr>
          <w:sz w:val="20"/>
          <w:szCs w:val="20"/>
          <w:color w:val="auto"/>
        </w:rPr>
      </w:pPr>
      <w:r>
        <w:rPr>
          <w:rFonts w:ascii="Arial" w:cs="Arial" w:eastAsia="Arial" w:hAnsi="Arial"/>
          <w:sz w:val="17"/>
          <w:szCs w:val="17"/>
          <w:color w:val="auto"/>
        </w:rPr>
        <w:t>Mr. Templeton has been the company’s chairman since 2008 and served as president and chief executive officer from 2004 to June 2018 and July 2018 to 2023. He served 29 years at a senior level at the company and is a 40-year veteran of the semiconductor industry.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780" w:hanging="236"/>
        <w:spacing w:after="0" w:line="263" w:lineRule="auto"/>
        <w:tabs>
          <w:tab w:leader="none" w:pos="2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Deep knowledge of all aspects of the company and the semiconductor industry</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responsibility of the company</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Responsibility for significant capital and R&amp;D investments</w:t>
      </w:r>
    </w:p>
    <w:p>
      <w:pPr>
        <w:spacing w:after="0" w:line="239" w:lineRule="exact"/>
        <w:rPr>
          <w:sz w:val="20"/>
          <w:szCs w:val="20"/>
          <w:color w:val="auto"/>
        </w:rPr>
      </w:pPr>
    </w:p>
    <w:p>
      <w:pPr>
        <w:ind w:right="196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None</w:t>
      </w:r>
    </w:p>
    <w:p>
      <w:pPr>
        <w:spacing w:after="0" w:line="103" w:lineRule="exact"/>
        <w:rPr>
          <w:sz w:val="20"/>
          <w:szCs w:val="20"/>
          <w:color w:val="auto"/>
        </w:rPr>
      </w:pPr>
    </w:p>
    <w:p>
      <w:pPr>
        <w:ind w:right="94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200" w:lineRule="exact"/>
        <w:rPr>
          <w:sz w:val="20"/>
          <w:szCs w:val="20"/>
          <w:color w:val="auto"/>
        </w:rPr>
      </w:pPr>
    </w:p>
    <w:p>
      <w:pPr>
        <w:sectPr>
          <w:pgSz w:w="11900" w:h="16838" w:orient="portrait"/>
          <w:cols w:equalWidth="0" w:num="2">
            <w:col w:w="5260" w:space="540"/>
            <w:col w:w="5400"/>
          </w:cols>
          <w:pgMar w:left="320" w:top="818" w:right="37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Director nomination process</w:t>
      </w:r>
    </w:p>
    <w:p>
      <w:pPr>
        <w:spacing w:after="0" w:line="21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board is responsible for approving nominees for election as directors. To assist in this task, the board has designated a standing committee, the GSR committee, that is responsible for reviewing and recommending nominees to the board. The GSR committee is comprised solely of independent directors as defined by the rules of The Nasdaq Stock Market LLC (Nasdaq) and the board’s corporate governance guidelines. Our board of directors has adopted a written charter for the GSR committee. It can be found on our website at www.ti.com/corporategovernance.</w:t>
      </w:r>
    </w:p>
    <w:p>
      <w:pPr>
        <w:spacing w:after="0" w:line="1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It is a long-standing policy of the board to consider prospective board nominees recommended by stockholders. A stockholder who wishes to recommend a prospective board nominee for the GSR committee’s consideration must write to the Secretary of the GSR committee, Texas Instruments Incorporated, P.O. Box 655936, MS 8658, Dallas, TX 75265-5936. The GSR committee will evaluate the stockholder’s prospective board nominee in the same manner as it evaluates other nominees.</w:t>
      </w:r>
    </w:p>
    <w:p>
      <w:pPr>
        <w:spacing w:after="0" w:line="17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Under the company’s by-laws, a stockholder, or a group of up to 20 stockholders, owning at least 3% of the company’s outstanding common stock continuously for at least three years may nominate and include in the company’s proxy materials director nominees constituting up to the greater of two individuals, or 20% of the board of directors, provided that the stockholder(s) and the nominee(s) satisfy the requirements specified in the by-laws, which can be found on our website at www.ti.com/corporategovernance.</w:t>
      </w:r>
    </w:p>
    <w:p>
      <w:pPr>
        <w:spacing w:after="0" w:line="17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company’s by-laws also allow stockholders to nominate directors without involving the GSR committee or including the nominee in the company’s proxy materials. To do so, stockholders must comply with the requirements set forth in the by-laws.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Communications with the board</w:t>
      </w:r>
    </w:p>
    <w:p>
      <w:pPr>
        <w:spacing w:after="0" w:line="23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Stockholders and others who wish to communicate with the board, a board committee or an individual director may write to them at P.O. Box 655936, MS 8658, Dallas, TX 75265-5936. All communications addressed to the board, a board committee or an individual director that are sent to this address will be shared with the addressee.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Corporate governance</w:t>
      </w:r>
    </w:p>
    <w:p>
      <w:pPr>
        <w:spacing w:after="0" w:line="21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board has a long-standing commitment to responsible and effective corporate governance. We annually conduct extensive governance reviews and engage in investor outreach.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2025 PROXY STATEMENT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18" w:right="379" w:bottom="1440" w:gutter="0" w:footer="0" w:header="0"/>
          <w:type w:val="continuous"/>
        </w:sectPr>
      </w:pPr>
    </w:p>
    <w:bookmarkStart w:id="12" w:name="page13"/>
    <w:bookmarkEnd w:id="12"/>
    <w:p>
      <w:pPr>
        <w:ind w:right="120"/>
        <w:spacing w:after="0" w:line="259" w:lineRule="auto"/>
        <w:rPr>
          <w:sz w:val="20"/>
          <w:szCs w:val="20"/>
          <w:color w:val="auto"/>
        </w:rPr>
      </w:pPr>
      <w:r>
        <w:rPr>
          <w:rFonts w:ascii="Arial" w:cs="Arial" w:eastAsia="Arial" w:hAnsi="Arial"/>
          <w:sz w:val="18"/>
          <w:szCs w:val="18"/>
          <w:color w:val="auto"/>
        </w:rPr>
        <w:t>The board’s corporate governance guidelines (which include the director independence standards), the charters of each of the board’s committees, TI’s “Living our Values: TI’s ambitions, values and code of conduct,” our code of ethics for our chief executive officer (CEO) and senior financial officers and our by-laws are available on our website at www.ti.com/corporategovernance. Stockholders may request copies of these documents free of charge by writing to Texas Instruments Incorporated, P.O. Box 660199, MS 8657, Dallas, TX 75266-0199, Attn: Investor Relations.</w:t>
      </w:r>
    </w:p>
    <w:p>
      <w:pPr>
        <w:spacing w:after="0" w:line="17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have adopted an insider trading policy that governs the purchase, sale and other disposition of our securities by any director, officer and employee of the company, and the company itself, that is reasonably designed to promote compliance with insider trading laws, rules and regulations, as well as Nasdaq listing standards.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It is against TI policy for any employee, including an executive officer, or director to engage in trading in “puts” (options to sell at a fixed price), “calls” (similar options to buy) or other options or hedging techniques on TI stock specifically designed to limit losses on TI stock or equity compensation held by the employee or director. It is also against TI policy for directors and executive officers to pledge TI stock.</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Annual meeting attendance</w:t>
      </w:r>
    </w:p>
    <w:p>
      <w:pPr>
        <w:spacing w:after="0" w:line="23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It is a policy of the board to encourage directors to attend the annual meeting of stockholders. Attendance allows for interaction between stockholders and board members. In 2024, all directors attended TI’s annual meeting of stockholders.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Director independence</w:t>
      </w:r>
    </w:p>
    <w:p>
      <w:pPr>
        <w:spacing w:after="0" w:line="21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board has determined that each of our directors is independent, with the exception of Messrs. Templeton and Ilan. In connection with this determination, information was reviewed regarding directors’ business and charitable affiliations, directors’ immediate family members and their employers, and any transactions or arrangements between the company and such persons or entities. The board has adopted the following standards for determining independence.</w:t>
      </w:r>
    </w:p>
    <w:p>
      <w:pPr>
        <w:spacing w:after="0" w:line="176" w:lineRule="exact"/>
        <w:rPr>
          <w:sz w:val="20"/>
          <w:szCs w:val="20"/>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w:t>
      </w:r>
    </w:p>
    <w:p>
      <w:pPr>
        <w:spacing w:after="0" w:line="63" w:lineRule="exact"/>
        <w:rPr>
          <w:rFonts w:ascii="Arial" w:cs="Arial" w:eastAsia="Arial" w:hAnsi="Arial"/>
          <w:sz w:val="18"/>
          <w:szCs w:val="18"/>
          <w:color w:val="auto"/>
        </w:rPr>
      </w:pPr>
    </w:p>
    <w:p>
      <w:pPr>
        <w:ind w:left="1460" w:hanging="480"/>
        <w:spacing w:after="0"/>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He or she is a current partner of or is employed by the company’s independent auditors;</w:t>
      </w:r>
    </w:p>
    <w:p>
      <w:pPr>
        <w:spacing w:after="0" w:line="63" w:lineRule="exact"/>
        <w:rPr>
          <w:rFonts w:ascii="Arial" w:cs="Arial" w:eastAsia="Arial" w:hAnsi="Arial"/>
          <w:sz w:val="18"/>
          <w:szCs w:val="18"/>
          <w:color w:val="auto"/>
        </w:rPr>
      </w:pPr>
    </w:p>
    <w:p>
      <w:pPr>
        <w:ind w:left="1460" w:right="100" w:hanging="480"/>
        <w:spacing w:after="0" w:line="281" w:lineRule="auto"/>
        <w:tabs>
          <w:tab w:leader="none" w:pos="14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family member of the director is (i) a current partner of the company’s independent auditors or (ii) currently employed by the company’s independent auditors and personally works on the company’s audit;</w:t>
      </w:r>
    </w:p>
    <w:p>
      <w:pPr>
        <w:spacing w:after="0" w:line="1" w:lineRule="exact"/>
        <w:rPr>
          <w:rFonts w:ascii="Arial" w:cs="Arial" w:eastAsia="Arial" w:hAnsi="Arial"/>
          <w:sz w:val="18"/>
          <w:szCs w:val="18"/>
          <w:color w:val="auto"/>
        </w:rPr>
      </w:pPr>
    </w:p>
    <w:p>
      <w:pPr>
        <w:ind w:left="1460" w:right="120" w:hanging="480"/>
        <w:spacing w:after="0" w:line="257" w:lineRule="auto"/>
        <w:tabs>
          <w:tab w:leader="none" w:pos="14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Within the current or preceding three fiscal years he or she was, and remains at the time of the determination, a partner in or a controlling shareholder, an executive officer or an employee of an organization that in the current year or any of the past three fiscal years (i) made payments to, or received payments from, the company for property or services,</w:t>
      </w:r>
    </w:p>
    <w:p>
      <w:pPr>
        <w:spacing w:after="0" w:line="1" w:lineRule="exact"/>
        <w:rPr>
          <w:rFonts w:ascii="Arial" w:cs="Arial" w:eastAsia="Arial" w:hAnsi="Arial"/>
          <w:sz w:val="18"/>
          <w:szCs w:val="18"/>
          <w:color w:val="auto"/>
        </w:rPr>
      </w:pPr>
    </w:p>
    <w:p>
      <w:pPr>
        <w:ind w:left="1460" w:right="40" w:firstLine="6"/>
        <w:spacing w:after="0" w:line="254" w:lineRule="auto"/>
        <w:tabs>
          <w:tab w:leader="none" w:pos="1710" w:val="left"/>
        </w:tabs>
        <w:numPr>
          <w:ilvl w:val="2"/>
          <w:numId w:val="30"/>
        </w:numPr>
        <w:rPr>
          <w:rFonts w:ascii="Arial" w:cs="Arial" w:eastAsia="Arial" w:hAnsi="Arial"/>
          <w:sz w:val="18"/>
          <w:szCs w:val="18"/>
          <w:color w:val="auto"/>
        </w:rPr>
      </w:pPr>
      <w:r>
        <w:rPr>
          <w:rFonts w:ascii="Arial" w:cs="Arial" w:eastAsia="Arial" w:hAnsi="Arial"/>
          <w:sz w:val="18"/>
          <w:szCs w:val="18"/>
          <w:color w:val="auto"/>
        </w:rPr>
        <w:t>extended loans to or received loans from, the company, or (iii) received charitable contributions from the company in an amount or amounts which, in the aggregate in such fiscal year, exceeded the greater of $200,000 or 2% of the recipient’s consolidated gross revenues for that year (for purposes of this standard, “payments” excludes payments arising solely from investments in the company’s securities and payments under non-discretionary charitable contribution matching programs); or</w:t>
      </w:r>
    </w:p>
    <w:p>
      <w:pPr>
        <w:spacing w:after="0" w:line="20" w:lineRule="exact"/>
        <w:rPr>
          <w:rFonts w:ascii="Arial" w:cs="Arial" w:eastAsia="Arial" w:hAnsi="Arial"/>
          <w:sz w:val="18"/>
          <w:szCs w:val="18"/>
          <w:color w:val="auto"/>
        </w:rPr>
      </w:pPr>
    </w:p>
    <w:p>
      <w:pPr>
        <w:ind w:left="1460" w:right="100" w:hanging="480"/>
        <w:spacing w:after="0" w:line="272" w:lineRule="auto"/>
        <w:tabs>
          <w:tab w:leader="none" w:pos="1448" w:val="left"/>
        </w:tabs>
        <w:numPr>
          <w:ilvl w:val="1"/>
          <w:numId w:val="30"/>
        </w:numPr>
        <w:rPr>
          <w:rFonts w:ascii="Arial" w:cs="Arial" w:eastAsia="Arial" w:hAnsi="Arial"/>
          <w:sz w:val="17"/>
          <w:szCs w:val="17"/>
          <w:color w:val="auto"/>
        </w:rPr>
      </w:pPr>
      <w:r>
        <w:rPr>
          <w:rFonts w:ascii="Arial" w:cs="Arial" w:eastAsia="Arial" w:hAnsi="Arial"/>
          <w:sz w:val="17"/>
          <w:szCs w:val="17"/>
          <w:color w:val="auto"/>
        </w:rPr>
        <w:t>Within the current or preceding three fiscal years a family member of the director was, and remains at the time of the determination, a partner in or a controlling shareholder or an executive officer of an organization that in the current year or any of the past three fiscal years (i) made payments to, or received payments from, the company for property or services,</w:t>
      </w:r>
    </w:p>
    <w:p>
      <w:pPr>
        <w:spacing w:after="0" w:line="1" w:lineRule="exact"/>
        <w:rPr>
          <w:rFonts w:ascii="Arial" w:cs="Arial" w:eastAsia="Arial" w:hAnsi="Arial"/>
          <w:sz w:val="17"/>
          <w:szCs w:val="17"/>
          <w:color w:val="auto"/>
        </w:rPr>
      </w:pPr>
    </w:p>
    <w:p>
      <w:pPr>
        <w:ind w:left="1460" w:right="100" w:firstLine="6"/>
        <w:spacing w:after="0" w:line="254" w:lineRule="auto"/>
        <w:tabs>
          <w:tab w:leader="none" w:pos="1710" w:val="left"/>
        </w:tabs>
        <w:numPr>
          <w:ilvl w:val="2"/>
          <w:numId w:val="30"/>
        </w:numPr>
        <w:rPr>
          <w:rFonts w:ascii="Arial" w:cs="Arial" w:eastAsia="Arial" w:hAnsi="Arial"/>
          <w:sz w:val="18"/>
          <w:szCs w:val="18"/>
          <w:color w:val="auto"/>
        </w:rPr>
      </w:pPr>
      <w:r>
        <w:rPr>
          <w:rFonts w:ascii="Arial" w:cs="Arial" w:eastAsia="Arial" w:hAnsi="Arial"/>
          <w:sz w:val="18"/>
          <w:szCs w:val="18"/>
          <w:color w:val="auto"/>
        </w:rPr>
        <w:t>extended loans to or received loans from the company, or (iii) received charitable contributions from the company in an amount or amounts which, in the aggregate in such fiscal year, exceeded the greater of $200,000 or 2% of the recipient’s consolidated gross revenues for that year (for purposes of this standard, “payments” excludes payments arising solely from investments in the company’s securities and payments under non-discretionary charitable contribution matching programs).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2025 PROXY STATEMENT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 within the preceding three years:</w:t>
      </w:r>
    </w:p>
    <w:p>
      <w:pPr>
        <w:spacing w:after="0" w:line="63" w:lineRule="exact"/>
        <w:rPr>
          <w:rFonts w:ascii="Arial" w:cs="Arial" w:eastAsia="Arial" w:hAnsi="Arial"/>
          <w:sz w:val="18"/>
          <w:szCs w:val="18"/>
          <w:color w:val="auto"/>
        </w:rPr>
      </w:pPr>
    </w:p>
    <w:p>
      <w:pPr>
        <w:ind w:left="1460" w:hanging="480"/>
        <w:spacing w:after="0" w:line="281" w:lineRule="auto"/>
        <w:tabs>
          <w:tab w:leader="none" w:pos="14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He or she was employed by the company (except in the capacity of interim chairman of the board, chief executive officer or other executive officer, provided the interim employment did not last longer than one year);</w:t>
      </w:r>
    </w:p>
    <w:p>
      <w:pPr>
        <w:spacing w:after="0" w:line="1" w:lineRule="exact"/>
        <w:rPr>
          <w:rFonts w:ascii="Arial" w:cs="Arial" w:eastAsia="Arial" w:hAnsi="Arial"/>
          <w:sz w:val="18"/>
          <w:szCs w:val="18"/>
          <w:color w:val="auto"/>
        </w:rPr>
      </w:pPr>
    </w:p>
    <w:p>
      <w:pPr>
        <w:ind w:left="1460" w:hanging="480"/>
        <w:spacing w:after="0"/>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He or she received more than $120,000 during any twelve-month period in compensation from the company (other than</w:t>
      </w:r>
    </w:p>
    <w:p>
      <w:pPr>
        <w:spacing w:after="0" w:line="27" w:lineRule="exact"/>
        <w:rPr>
          <w:rFonts w:ascii="Arial" w:cs="Arial" w:eastAsia="Arial" w:hAnsi="Arial"/>
          <w:sz w:val="18"/>
          <w:szCs w:val="18"/>
          <w:color w:val="auto"/>
        </w:rPr>
      </w:pPr>
    </w:p>
    <w:p>
      <w:pPr>
        <w:jc w:val="both"/>
        <w:ind w:left="1460"/>
        <w:spacing w:after="0" w:line="258" w:lineRule="auto"/>
        <w:rPr>
          <w:rFonts w:ascii="Arial" w:cs="Arial" w:eastAsia="Arial" w:hAnsi="Arial"/>
          <w:sz w:val="18"/>
          <w:szCs w:val="18"/>
          <w:color w:val="auto"/>
        </w:rPr>
      </w:pPr>
      <w:r>
        <w:rPr>
          <w:rFonts w:ascii="Arial" w:cs="Arial" w:eastAsia="Arial" w:hAnsi="Arial"/>
          <w:sz w:val="18"/>
          <w:szCs w:val="18"/>
          <w:color w:val="auto"/>
        </w:rPr>
        <w:t>(i) compensation for board or board committee service, (ii) compensation received for former service lasting no longer than one year as an interim chairman of the board, chief executive officer or other executive officer and (iii) benefits under a tax-qualified retirement plan, or non-discretionary compensation);</w:t>
      </w:r>
    </w:p>
    <w:p>
      <w:pPr>
        <w:spacing w:after="0" w:line="16" w:lineRule="exact"/>
        <w:rPr>
          <w:rFonts w:ascii="Arial" w:cs="Arial" w:eastAsia="Arial" w:hAnsi="Arial"/>
          <w:sz w:val="18"/>
          <w:szCs w:val="18"/>
          <w:color w:val="auto"/>
        </w:rPr>
      </w:pPr>
    </w:p>
    <w:p>
      <w:pPr>
        <w:ind w:left="1460" w:hanging="480"/>
        <w:spacing w:after="0"/>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family member of the director was employed as an executive officer by the company;</w:t>
      </w:r>
    </w:p>
    <w:p>
      <w:pPr>
        <w:spacing w:after="0" w:line="63" w:lineRule="exact"/>
        <w:rPr>
          <w:rFonts w:ascii="Arial" w:cs="Arial" w:eastAsia="Arial" w:hAnsi="Arial"/>
          <w:sz w:val="18"/>
          <w:szCs w:val="18"/>
          <w:color w:val="auto"/>
        </w:rPr>
      </w:pPr>
    </w:p>
    <w:p>
      <w:pPr>
        <w:ind w:left="1460" w:right="240" w:hanging="480"/>
        <w:spacing w:after="0" w:line="281" w:lineRule="auto"/>
        <w:tabs>
          <w:tab w:leader="none" w:pos="14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family member of the director received more than $120,000 during any twelve-month period in compensation from the company (excluding compensation as a non-executive officer employee of the company);</w:t>
      </w:r>
    </w:p>
    <w:p>
      <w:pPr>
        <w:spacing w:after="0" w:line="1" w:lineRule="exact"/>
        <w:rPr>
          <w:rFonts w:ascii="Arial" w:cs="Arial" w:eastAsia="Arial" w:hAnsi="Arial"/>
          <w:sz w:val="18"/>
          <w:szCs w:val="18"/>
          <w:color w:val="auto"/>
        </w:rPr>
      </w:pPr>
    </w:p>
    <w:p>
      <w:pPr>
        <w:ind w:left="1460" w:right="740" w:hanging="480"/>
        <w:spacing w:after="0" w:line="281" w:lineRule="auto"/>
        <w:tabs>
          <w:tab w:leader="none" w:pos="14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He or she was (but is no longer) a partner or employee of the company’s independent auditors and worked on the company’s audit within that time;</w:t>
      </w:r>
    </w:p>
    <w:p>
      <w:pPr>
        <w:spacing w:after="0" w:line="1" w:lineRule="exact"/>
        <w:rPr>
          <w:rFonts w:ascii="Arial" w:cs="Arial" w:eastAsia="Arial" w:hAnsi="Arial"/>
          <w:sz w:val="18"/>
          <w:szCs w:val="18"/>
          <w:color w:val="auto"/>
        </w:rPr>
      </w:pPr>
    </w:p>
    <w:p>
      <w:pPr>
        <w:ind w:left="1460" w:right="200" w:hanging="480"/>
        <w:spacing w:after="0" w:line="281" w:lineRule="auto"/>
        <w:tabs>
          <w:tab w:leader="none" w:pos="14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family member of the director was (but is no longer) a partner or employee of the company’s independent auditors and worked on the company’s audit within that time;</w:t>
      </w:r>
    </w:p>
    <w:p>
      <w:pPr>
        <w:spacing w:after="0" w:line="1" w:lineRule="exact"/>
        <w:rPr>
          <w:rFonts w:ascii="Arial" w:cs="Arial" w:eastAsia="Arial" w:hAnsi="Arial"/>
          <w:sz w:val="18"/>
          <w:szCs w:val="18"/>
          <w:color w:val="auto"/>
        </w:rPr>
      </w:pPr>
    </w:p>
    <w:p>
      <w:pPr>
        <w:ind w:left="1460" w:right="240" w:hanging="480"/>
        <w:spacing w:after="0" w:line="281" w:lineRule="auto"/>
        <w:tabs>
          <w:tab w:leader="none" w:pos="14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He or she was an executive officer of another entity at which any of the company’s current executive officers at any time during the past three years served on that entity’s compensation committee; or</w:t>
      </w:r>
    </w:p>
    <w:p>
      <w:pPr>
        <w:spacing w:after="0" w:line="1" w:lineRule="exact"/>
        <w:rPr>
          <w:rFonts w:ascii="Arial" w:cs="Arial" w:eastAsia="Arial" w:hAnsi="Arial"/>
          <w:sz w:val="18"/>
          <w:szCs w:val="18"/>
          <w:color w:val="auto"/>
        </w:rPr>
      </w:pPr>
    </w:p>
    <w:p>
      <w:pPr>
        <w:ind w:left="1460" w:right="80" w:hanging="480"/>
        <w:spacing w:after="0" w:line="287" w:lineRule="auto"/>
        <w:tabs>
          <w:tab w:leader="none" w:pos="14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family member of the director was an executive officer of another entity at which any of the company’s current executive officers at any time during the past three years served on that entity’s compensation committee.</w:t>
      </w:r>
    </w:p>
    <w:p>
      <w:pPr>
        <w:spacing w:after="0" w:line="44" w:lineRule="exact"/>
        <w:rPr>
          <w:rFonts w:ascii="Arial" w:cs="Arial" w:eastAsia="Arial" w:hAnsi="Arial"/>
          <w:sz w:val="18"/>
          <w:szCs w:val="18"/>
          <w:color w:val="auto"/>
        </w:rPr>
      </w:pPr>
    </w:p>
    <w:p>
      <w:pPr>
        <w:ind w:left="980" w:right="20" w:hanging="486"/>
        <w:spacing w:after="0" w:line="259" w:lineRule="auto"/>
        <w:tabs>
          <w:tab w:leader="none" w:pos="9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member of the audit committee may accept directly or indirectly any consulting, advisory or other compensatory fee from the company, other than in his or her capacity as a member of the board or any board committee. Compensatory fees do not include the receipt of fixed amounts of compensation under a retirement plan (including deferred compensation) for prior service with the company (provided that such compensation is not contingent in any way on continued service). In addition, no member of the audit committee may be an affiliated person of the company except in his or her capacity as a director.</w:t>
      </w:r>
    </w:p>
    <w:p>
      <w:pPr>
        <w:spacing w:after="0" w:line="71" w:lineRule="exact"/>
        <w:rPr>
          <w:rFonts w:ascii="Arial" w:cs="Arial" w:eastAsia="Arial" w:hAnsi="Arial"/>
          <w:sz w:val="18"/>
          <w:szCs w:val="18"/>
          <w:color w:val="auto"/>
        </w:rPr>
      </w:pPr>
    </w:p>
    <w:p>
      <w:pPr>
        <w:ind w:left="980" w:hanging="486"/>
        <w:spacing w:after="0" w:line="268" w:lineRule="auto"/>
        <w:tabs>
          <w:tab w:leader="none" w:pos="9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respect to service on the compensation committee, the board will consider all factors that it deems relevant to determining whether a director has a relationship to the company that is material to that director’s ability to be independent from management in connection with the duties of a compensation committee member, including but not limited to:</w:t>
      </w:r>
    </w:p>
    <w:p>
      <w:pPr>
        <w:spacing w:after="0" w:line="8" w:lineRule="exact"/>
        <w:rPr>
          <w:rFonts w:ascii="Arial" w:cs="Arial" w:eastAsia="Arial" w:hAnsi="Arial"/>
          <w:sz w:val="18"/>
          <w:szCs w:val="18"/>
          <w:color w:val="auto"/>
        </w:rPr>
      </w:pPr>
    </w:p>
    <w:p>
      <w:pPr>
        <w:ind w:left="1460" w:right="180" w:hanging="480"/>
        <w:spacing w:after="0" w:line="281" w:lineRule="auto"/>
        <w:tabs>
          <w:tab w:leader="none" w:pos="14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source of compensation of the director, including any consulting, advisory or compensatory fee paid by the company to the director; and</w:t>
      </w:r>
    </w:p>
    <w:p>
      <w:pPr>
        <w:spacing w:after="0" w:line="1" w:lineRule="exact"/>
        <w:rPr>
          <w:rFonts w:ascii="Arial" w:cs="Arial" w:eastAsia="Arial" w:hAnsi="Arial"/>
          <w:sz w:val="18"/>
          <w:szCs w:val="18"/>
          <w:color w:val="auto"/>
        </w:rPr>
      </w:pPr>
    </w:p>
    <w:p>
      <w:pPr>
        <w:ind w:left="1460" w:right="680" w:hanging="480"/>
        <w:spacing w:after="0" w:line="287" w:lineRule="auto"/>
        <w:tabs>
          <w:tab w:leader="none" w:pos="14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Whether the director is affiliated with the company, a subsidiary of the company or an affiliate of a subsidiary of the company.</w:t>
      </w:r>
    </w:p>
    <w:p>
      <w:pPr>
        <w:spacing w:after="0" w:line="44" w:lineRule="exact"/>
        <w:rPr>
          <w:rFonts w:ascii="Arial" w:cs="Arial" w:eastAsia="Arial" w:hAnsi="Arial"/>
          <w:sz w:val="18"/>
          <w:szCs w:val="18"/>
          <w:color w:val="auto"/>
        </w:rPr>
      </w:pPr>
    </w:p>
    <w:p>
      <w:pPr>
        <w:jc w:val="both"/>
        <w:ind w:left="980" w:right="60" w:hanging="486"/>
        <w:spacing w:after="0" w:line="268" w:lineRule="auto"/>
        <w:tabs>
          <w:tab w:leader="none" w:pos="9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any other relationship, the determination of whether it would interfere with the director’s exercise of independent judgment in carrying out his or her responsibilities, and consequently whether the director involved is independent, will be made by directors who satisfy the independence criteria set forth in this section.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these independence determinations, “company” and “family member” will have the same meaning as under Nasdaq rules.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Board organization</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Board and committee meetings</w:t>
      </w:r>
    </w:p>
    <w:p>
      <w:pPr>
        <w:spacing w:after="0" w:line="2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2024, the board held six meetings. The board has three standing committees described below. The standing committees of the board collectively held 18 meetings in 2024. Each director attended at least 75% of the board and relevant committee meetings combined, except Dr. DesRoches who attended 70% of the meetings held in his first year of service which began on March 1, 2024, due to a pre-existing business scheduling conflict that affected two days of meetings. Overall attendance at board and committee meetings was approximately 93%.</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2960" w:type="dxa"/>
            <w:vAlign w:val="bottom"/>
          </w:tcPr>
          <w:p>
            <w:pPr>
              <w:jc w:val="center"/>
              <w:ind w:left="476"/>
              <w:spacing w:after="0"/>
              <w:rPr>
                <w:sz w:val="20"/>
                <w:szCs w:val="20"/>
                <w:color w:val="auto"/>
              </w:rPr>
            </w:pPr>
            <w:r>
              <w:rPr>
                <w:rFonts w:ascii="Arial" w:cs="Arial" w:eastAsia="Arial" w:hAnsi="Arial"/>
                <w:sz w:val="14"/>
                <w:szCs w:val="14"/>
                <w:b w:val="1"/>
                <w:bCs w:val="1"/>
                <w:color w:val="auto"/>
              </w:rPr>
              <w:t>Audit</w:t>
            </w:r>
          </w:p>
        </w:tc>
        <w:tc>
          <w:tcPr>
            <w:tcW w:w="2360" w:type="dxa"/>
            <w:vAlign w:val="bottom"/>
          </w:tcPr>
          <w:p>
            <w:pPr>
              <w:jc w:val="center"/>
              <w:ind w:left="236"/>
              <w:spacing w:after="0"/>
              <w:rPr>
                <w:sz w:val="20"/>
                <w:szCs w:val="20"/>
                <w:color w:val="auto"/>
              </w:rPr>
            </w:pPr>
            <w:r>
              <w:rPr>
                <w:rFonts w:ascii="Arial" w:cs="Arial" w:eastAsia="Arial" w:hAnsi="Arial"/>
                <w:sz w:val="14"/>
                <w:szCs w:val="14"/>
                <w:b w:val="1"/>
                <w:bCs w:val="1"/>
                <w:color w:val="auto"/>
              </w:rPr>
              <w:t>Compensation</w:t>
            </w:r>
          </w:p>
        </w:tc>
        <w:tc>
          <w:tcPr>
            <w:tcW w:w="2780" w:type="dxa"/>
            <w:vAlign w:val="bottom"/>
          </w:tcPr>
          <w:p>
            <w:pPr>
              <w:jc w:val="center"/>
              <w:ind w:left="177"/>
              <w:spacing w:after="0"/>
              <w:rPr>
                <w:sz w:val="20"/>
                <w:szCs w:val="20"/>
                <w:color w:val="auto"/>
              </w:rPr>
            </w:pPr>
            <w:r>
              <w:rPr>
                <w:rFonts w:ascii="Arial" w:cs="Arial" w:eastAsia="Arial" w:hAnsi="Arial"/>
                <w:sz w:val="14"/>
                <w:szCs w:val="14"/>
                <w:b w:val="1"/>
                <w:bCs w:val="1"/>
                <w:color w:val="auto"/>
              </w:rPr>
              <w:t>Governance and Stockholder</w:t>
            </w:r>
          </w:p>
        </w:tc>
      </w:tr>
      <w:tr>
        <w:trPr>
          <w:trHeight w:val="20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Director</w:t>
            </w:r>
          </w:p>
        </w:tc>
        <w:tc>
          <w:tcPr>
            <w:tcW w:w="2960" w:type="dxa"/>
            <w:vAlign w:val="bottom"/>
            <w:tcBorders>
              <w:bottom w:val="single" w:sz="8" w:color="auto"/>
            </w:tcBorders>
          </w:tcPr>
          <w:p>
            <w:pPr>
              <w:jc w:val="center"/>
              <w:ind w:left="476"/>
              <w:spacing w:after="0"/>
              <w:rPr>
                <w:sz w:val="20"/>
                <w:szCs w:val="20"/>
                <w:color w:val="auto"/>
              </w:rPr>
            </w:pPr>
            <w:r>
              <w:rPr>
                <w:rFonts w:ascii="Arial" w:cs="Arial" w:eastAsia="Arial" w:hAnsi="Arial"/>
                <w:sz w:val="14"/>
                <w:szCs w:val="14"/>
                <w:b w:val="1"/>
                <w:bCs w:val="1"/>
                <w:color w:val="auto"/>
              </w:rPr>
              <w:t>Committee</w:t>
            </w:r>
          </w:p>
        </w:tc>
        <w:tc>
          <w:tcPr>
            <w:tcW w:w="2360" w:type="dxa"/>
            <w:vAlign w:val="bottom"/>
            <w:tcBorders>
              <w:bottom w:val="single" w:sz="8" w:color="auto"/>
            </w:tcBorders>
          </w:tcPr>
          <w:p>
            <w:pPr>
              <w:jc w:val="center"/>
              <w:ind w:left="236"/>
              <w:spacing w:after="0"/>
              <w:rPr>
                <w:sz w:val="20"/>
                <w:szCs w:val="20"/>
                <w:color w:val="auto"/>
              </w:rPr>
            </w:pPr>
            <w:r>
              <w:rPr>
                <w:rFonts w:ascii="Arial" w:cs="Arial" w:eastAsia="Arial" w:hAnsi="Arial"/>
                <w:sz w:val="14"/>
                <w:szCs w:val="14"/>
                <w:b w:val="1"/>
                <w:bCs w:val="1"/>
                <w:color w:val="auto"/>
              </w:rPr>
              <w:t>Committee</w:t>
            </w:r>
          </w:p>
        </w:tc>
        <w:tc>
          <w:tcPr>
            <w:tcW w:w="2780" w:type="dxa"/>
            <w:vAlign w:val="bottom"/>
            <w:tcBorders>
              <w:bottom w:val="single" w:sz="8" w:color="auto"/>
            </w:tcBorders>
          </w:tcPr>
          <w:p>
            <w:pPr>
              <w:jc w:val="center"/>
              <w:ind w:left="177"/>
              <w:spacing w:after="0"/>
              <w:rPr>
                <w:sz w:val="20"/>
                <w:szCs w:val="20"/>
                <w:color w:val="auto"/>
              </w:rPr>
            </w:pPr>
            <w:r>
              <w:rPr>
                <w:rFonts w:ascii="Arial" w:cs="Arial" w:eastAsia="Arial" w:hAnsi="Arial"/>
                <w:sz w:val="14"/>
                <w:szCs w:val="14"/>
                <w:b w:val="1"/>
                <w:bCs w:val="1"/>
                <w:color w:val="auto"/>
              </w:rPr>
              <w:t>Relations Committee</w:t>
            </w: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Blinn</w:t>
            </w:r>
          </w:p>
        </w:tc>
        <w:tc>
          <w:tcPr>
            <w:tcW w:w="296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jc w:val="center"/>
              <w:ind w:left="236"/>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20" w:type="dxa"/>
            <w:vAlign w:val="bottom"/>
          </w:tcPr>
          <w:p>
            <w:pPr>
              <w:ind w:left="20"/>
              <w:spacing w:after="0"/>
              <w:rPr>
                <w:sz w:val="20"/>
                <w:szCs w:val="20"/>
                <w:color w:val="auto"/>
              </w:rPr>
            </w:pPr>
            <w:r>
              <w:rPr>
                <w:rFonts w:ascii="Arial" w:cs="Arial" w:eastAsia="Arial" w:hAnsi="Arial"/>
                <w:sz w:val="18"/>
                <w:szCs w:val="18"/>
                <w:color w:val="auto"/>
              </w:rPr>
              <w:t>Todd Bluedorn *</w:t>
            </w:r>
          </w:p>
        </w:tc>
        <w:tc>
          <w:tcPr>
            <w:tcW w:w="29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780" w:type="dxa"/>
            <w:vAlign w:val="bottom"/>
          </w:tcPr>
          <w:p>
            <w:pPr>
              <w:jc w:val="center"/>
              <w:ind w:left="177"/>
              <w:spacing w:after="0"/>
              <w:rPr>
                <w:sz w:val="20"/>
                <w:szCs w:val="20"/>
                <w:color w:val="auto"/>
              </w:rPr>
            </w:pPr>
            <w:r>
              <w:rPr>
                <w:rFonts w:ascii="Arial" w:cs="Arial" w:eastAsia="Arial" w:hAnsi="Arial"/>
                <w:sz w:val="18"/>
                <w:szCs w:val="18"/>
                <w:color w:val="auto"/>
              </w:rPr>
              <w:t>Chair</w:t>
            </w:r>
          </w:p>
        </w:tc>
      </w:tr>
      <w:tr>
        <w:trPr>
          <w:trHeight w:val="23"/>
        </w:trPr>
        <w:tc>
          <w:tcPr>
            <w:tcW w:w="3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Clark</w:t>
            </w:r>
          </w:p>
        </w:tc>
        <w:tc>
          <w:tcPr>
            <w:tcW w:w="2960" w:type="dxa"/>
            <w:vAlign w:val="bottom"/>
            <w:tcBorders>
              <w:bottom w:val="single" w:sz="8" w:color="DBDBDB"/>
            </w:tcBorders>
            <w:shd w:val="clear" w:color="auto" w:fill="DBDBDB"/>
          </w:tcPr>
          <w:p>
            <w:pPr>
              <w:jc w:val="center"/>
              <w:ind w:left="476"/>
              <w:spacing w:after="0"/>
              <w:rPr>
                <w:sz w:val="20"/>
                <w:szCs w:val="20"/>
                <w:color w:val="auto"/>
              </w:rPr>
            </w:pPr>
            <w:r>
              <w:rPr>
                <w:rFonts w:ascii="Arial" w:cs="Arial" w:eastAsia="Arial" w:hAnsi="Arial"/>
                <w:sz w:val="18"/>
                <w:szCs w:val="18"/>
                <w:color w:val="auto"/>
              </w:rPr>
              <w:t>Chair</w:t>
            </w: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20" w:type="dxa"/>
            <w:vAlign w:val="bottom"/>
          </w:tcPr>
          <w:p>
            <w:pPr>
              <w:ind w:left="20"/>
              <w:spacing w:after="0"/>
              <w:rPr>
                <w:sz w:val="20"/>
                <w:szCs w:val="20"/>
                <w:color w:val="auto"/>
              </w:rPr>
            </w:pPr>
            <w:r>
              <w:rPr>
                <w:rFonts w:ascii="Arial" w:cs="Arial" w:eastAsia="Arial" w:hAnsi="Arial"/>
                <w:sz w:val="18"/>
                <w:szCs w:val="18"/>
                <w:color w:val="auto"/>
              </w:rPr>
              <w:t>Carrie Cox</w:t>
            </w:r>
          </w:p>
        </w:tc>
        <w:tc>
          <w:tcPr>
            <w:tcW w:w="2960" w:type="dxa"/>
            <w:vAlign w:val="bottom"/>
          </w:tcPr>
          <w:p>
            <w:pPr>
              <w:spacing w:after="0"/>
              <w:rPr>
                <w:sz w:val="21"/>
                <w:szCs w:val="21"/>
                <w:color w:val="auto"/>
              </w:rPr>
            </w:pPr>
          </w:p>
        </w:tc>
        <w:tc>
          <w:tcPr>
            <w:tcW w:w="2360" w:type="dxa"/>
            <w:vAlign w:val="bottom"/>
          </w:tcPr>
          <w:p>
            <w:pPr>
              <w:jc w:val="center"/>
              <w:ind w:left="236"/>
              <w:spacing w:after="0"/>
              <w:rPr>
                <w:sz w:val="20"/>
                <w:szCs w:val="20"/>
                <w:color w:val="auto"/>
              </w:rPr>
            </w:pPr>
            <w:r>
              <w:rPr>
                <w:rFonts w:ascii="Arial" w:cs="Arial" w:eastAsia="Arial" w:hAnsi="Arial"/>
                <w:sz w:val="18"/>
                <w:szCs w:val="18"/>
                <w:color w:val="auto"/>
              </w:rPr>
              <w:t>•</w:t>
            </w:r>
          </w:p>
        </w:tc>
        <w:tc>
          <w:tcPr>
            <w:tcW w:w="2780" w:type="dxa"/>
            <w:vAlign w:val="bottom"/>
          </w:tcPr>
          <w:p>
            <w:pPr>
              <w:spacing w:after="0"/>
              <w:rPr>
                <w:sz w:val="21"/>
                <w:szCs w:val="21"/>
                <w:color w:val="auto"/>
              </w:rPr>
            </w:pPr>
          </w:p>
        </w:tc>
      </w:tr>
      <w:tr>
        <w:trPr>
          <w:trHeight w:val="23"/>
        </w:trPr>
        <w:tc>
          <w:tcPr>
            <w:tcW w:w="3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Craighead</w:t>
            </w:r>
          </w:p>
        </w:tc>
        <w:tc>
          <w:tcPr>
            <w:tcW w:w="296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jc w:val="center"/>
              <w:ind w:left="236"/>
              <w:spacing w:after="0"/>
              <w:rPr>
                <w:sz w:val="20"/>
                <w:szCs w:val="20"/>
                <w:color w:val="auto"/>
              </w:rPr>
            </w:pPr>
            <w:r>
              <w:rPr>
                <w:rFonts w:ascii="Arial" w:cs="Arial" w:eastAsia="Arial" w:hAnsi="Arial"/>
                <w:sz w:val="18"/>
                <w:szCs w:val="18"/>
                <w:color w:val="auto"/>
              </w:rPr>
              <w:t>Chair</w:t>
            </w: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20" w:type="dxa"/>
            <w:vAlign w:val="bottom"/>
          </w:tcPr>
          <w:p>
            <w:pPr>
              <w:ind w:left="20"/>
              <w:spacing w:after="0"/>
              <w:rPr>
                <w:sz w:val="20"/>
                <w:szCs w:val="20"/>
                <w:color w:val="auto"/>
              </w:rPr>
            </w:pPr>
            <w:r>
              <w:rPr>
                <w:rFonts w:ascii="Arial" w:cs="Arial" w:eastAsia="Arial" w:hAnsi="Arial"/>
                <w:sz w:val="18"/>
                <w:szCs w:val="18"/>
                <w:color w:val="auto"/>
              </w:rPr>
              <w:t>Reginald DesRoches</w:t>
            </w:r>
          </w:p>
        </w:tc>
        <w:tc>
          <w:tcPr>
            <w:tcW w:w="2960" w:type="dxa"/>
            <w:vAlign w:val="bottom"/>
          </w:tcPr>
          <w:p>
            <w:pPr>
              <w:jc w:val="center"/>
              <w:ind w:left="496"/>
              <w:spacing w:after="0"/>
              <w:rPr>
                <w:sz w:val="20"/>
                <w:szCs w:val="20"/>
                <w:color w:val="auto"/>
              </w:rPr>
            </w:pPr>
            <w:r>
              <w:rPr>
                <w:rFonts w:ascii="Arial" w:cs="Arial" w:eastAsia="Arial" w:hAnsi="Arial"/>
                <w:sz w:val="18"/>
                <w:szCs w:val="18"/>
                <w:color w:val="auto"/>
                <w:w w:val="94"/>
              </w:rPr>
              <w:t>•</w:t>
            </w:r>
          </w:p>
        </w:tc>
        <w:tc>
          <w:tcPr>
            <w:tcW w:w="23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3"/>
        </w:trPr>
        <w:tc>
          <w:tcPr>
            <w:tcW w:w="3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Curtis Farmer</w:t>
            </w:r>
          </w:p>
        </w:tc>
        <w:tc>
          <w:tcPr>
            <w:tcW w:w="2960" w:type="dxa"/>
            <w:vAlign w:val="bottom"/>
            <w:tcBorders>
              <w:bottom w:val="single" w:sz="8" w:color="DBDBDB"/>
            </w:tcBorders>
            <w:shd w:val="clear" w:color="auto" w:fill="DBDBDB"/>
          </w:tcPr>
          <w:p>
            <w:pPr>
              <w:jc w:val="center"/>
              <w:ind w:left="496"/>
              <w:spacing w:after="0"/>
              <w:rPr>
                <w:sz w:val="20"/>
                <w:szCs w:val="20"/>
                <w:color w:val="auto"/>
              </w:rPr>
            </w:pPr>
            <w:r>
              <w:rPr>
                <w:rFonts w:ascii="Arial" w:cs="Arial" w:eastAsia="Arial" w:hAnsi="Arial"/>
                <w:sz w:val="18"/>
                <w:szCs w:val="18"/>
                <w:color w:val="auto"/>
                <w:w w:val="94"/>
              </w:rPr>
              <w:t>•</w:t>
            </w: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20" w:type="dxa"/>
            <w:vAlign w:val="bottom"/>
          </w:tcPr>
          <w:p>
            <w:pPr>
              <w:ind w:left="20"/>
              <w:spacing w:after="0"/>
              <w:rPr>
                <w:sz w:val="20"/>
                <w:szCs w:val="20"/>
                <w:color w:val="auto"/>
              </w:rPr>
            </w:pPr>
            <w:r>
              <w:rPr>
                <w:rFonts w:ascii="Arial" w:cs="Arial" w:eastAsia="Arial" w:hAnsi="Arial"/>
                <w:sz w:val="18"/>
                <w:szCs w:val="18"/>
                <w:color w:val="auto"/>
              </w:rPr>
              <w:t>Jean Hobby</w:t>
            </w:r>
          </w:p>
        </w:tc>
        <w:tc>
          <w:tcPr>
            <w:tcW w:w="29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780" w:type="dxa"/>
            <w:vAlign w:val="bottom"/>
          </w:tcPr>
          <w:p>
            <w:pPr>
              <w:jc w:val="center"/>
              <w:ind w:left="157"/>
              <w:spacing w:after="0"/>
              <w:rPr>
                <w:sz w:val="20"/>
                <w:szCs w:val="20"/>
                <w:color w:val="auto"/>
              </w:rPr>
            </w:pPr>
            <w:r>
              <w:rPr>
                <w:rFonts w:ascii="Arial" w:cs="Arial" w:eastAsia="Arial" w:hAnsi="Arial"/>
                <w:sz w:val="18"/>
                <w:szCs w:val="18"/>
                <w:color w:val="auto"/>
                <w:w w:val="94"/>
              </w:rPr>
              <w:t>•</w:t>
            </w:r>
          </w:p>
        </w:tc>
      </w:tr>
      <w:tr>
        <w:trPr>
          <w:trHeight w:val="23"/>
        </w:trPr>
        <w:tc>
          <w:tcPr>
            <w:tcW w:w="3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296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20" w:type="dxa"/>
            <w:vAlign w:val="bottom"/>
          </w:tcPr>
          <w:p>
            <w:pPr>
              <w:ind w:left="20"/>
              <w:spacing w:after="0"/>
              <w:rPr>
                <w:sz w:val="20"/>
                <w:szCs w:val="20"/>
                <w:color w:val="auto"/>
              </w:rPr>
            </w:pPr>
            <w:r>
              <w:rPr>
                <w:rFonts w:ascii="Arial" w:cs="Arial" w:eastAsia="Arial" w:hAnsi="Arial"/>
                <w:sz w:val="18"/>
                <w:szCs w:val="18"/>
                <w:color w:val="auto"/>
              </w:rPr>
              <w:t>Ronald Kirk</w:t>
            </w:r>
          </w:p>
        </w:tc>
        <w:tc>
          <w:tcPr>
            <w:tcW w:w="2960" w:type="dxa"/>
            <w:vAlign w:val="bottom"/>
          </w:tcPr>
          <w:p>
            <w:pPr>
              <w:spacing w:after="0"/>
              <w:rPr>
                <w:sz w:val="21"/>
                <w:szCs w:val="21"/>
                <w:color w:val="auto"/>
              </w:rPr>
            </w:pPr>
          </w:p>
        </w:tc>
        <w:tc>
          <w:tcPr>
            <w:tcW w:w="2360" w:type="dxa"/>
            <w:vAlign w:val="bottom"/>
          </w:tcPr>
          <w:p>
            <w:pPr>
              <w:jc w:val="center"/>
              <w:ind w:left="236"/>
              <w:spacing w:after="0"/>
              <w:rPr>
                <w:sz w:val="20"/>
                <w:szCs w:val="20"/>
                <w:color w:val="auto"/>
              </w:rPr>
            </w:pPr>
            <w:r>
              <w:rPr>
                <w:rFonts w:ascii="Arial" w:cs="Arial" w:eastAsia="Arial" w:hAnsi="Arial"/>
                <w:sz w:val="18"/>
                <w:szCs w:val="18"/>
                <w:color w:val="auto"/>
              </w:rPr>
              <w:t>•</w:t>
            </w:r>
          </w:p>
        </w:tc>
        <w:tc>
          <w:tcPr>
            <w:tcW w:w="2780" w:type="dxa"/>
            <w:vAlign w:val="bottom"/>
          </w:tcPr>
          <w:p>
            <w:pPr>
              <w:spacing w:after="0"/>
              <w:rPr>
                <w:sz w:val="21"/>
                <w:szCs w:val="21"/>
                <w:color w:val="auto"/>
              </w:rPr>
            </w:pPr>
          </w:p>
        </w:tc>
      </w:tr>
      <w:tr>
        <w:trPr>
          <w:trHeight w:val="23"/>
        </w:trPr>
        <w:tc>
          <w:tcPr>
            <w:tcW w:w="3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Pamela Patsley</w:t>
            </w:r>
          </w:p>
        </w:tc>
        <w:tc>
          <w:tcPr>
            <w:tcW w:w="296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jc w:val="center"/>
              <w:ind w:left="157"/>
              <w:spacing w:after="0"/>
              <w:rPr>
                <w:sz w:val="20"/>
                <w:szCs w:val="20"/>
                <w:color w:val="auto"/>
              </w:rPr>
            </w:pPr>
            <w:r>
              <w:rPr>
                <w:rFonts w:ascii="Arial" w:cs="Arial" w:eastAsia="Arial" w:hAnsi="Arial"/>
                <w:sz w:val="18"/>
                <w:szCs w:val="18"/>
                <w:color w:val="auto"/>
                <w:w w:val="94"/>
              </w:rPr>
              <w:t>•</w:t>
            </w:r>
          </w:p>
        </w:tc>
      </w:tr>
      <w:tr>
        <w:trPr>
          <w:trHeight w:val="247"/>
        </w:trPr>
        <w:tc>
          <w:tcPr>
            <w:tcW w:w="3120" w:type="dxa"/>
            <w:vAlign w:val="bottom"/>
          </w:tcPr>
          <w:p>
            <w:pPr>
              <w:ind w:left="20"/>
              <w:spacing w:after="0"/>
              <w:rPr>
                <w:sz w:val="20"/>
                <w:szCs w:val="20"/>
                <w:color w:val="auto"/>
              </w:rPr>
            </w:pPr>
            <w:r>
              <w:rPr>
                <w:rFonts w:ascii="Arial" w:cs="Arial" w:eastAsia="Arial" w:hAnsi="Arial"/>
                <w:sz w:val="18"/>
                <w:szCs w:val="18"/>
                <w:color w:val="auto"/>
              </w:rPr>
              <w:t>Robert Sanchez</w:t>
            </w:r>
          </w:p>
        </w:tc>
        <w:tc>
          <w:tcPr>
            <w:tcW w:w="2960" w:type="dxa"/>
            <w:vAlign w:val="bottom"/>
          </w:tcPr>
          <w:p>
            <w:pPr>
              <w:jc w:val="center"/>
              <w:ind w:left="496"/>
              <w:spacing w:after="0"/>
              <w:rPr>
                <w:sz w:val="20"/>
                <w:szCs w:val="20"/>
                <w:color w:val="auto"/>
              </w:rPr>
            </w:pPr>
            <w:r>
              <w:rPr>
                <w:rFonts w:ascii="Arial" w:cs="Arial" w:eastAsia="Arial" w:hAnsi="Arial"/>
                <w:sz w:val="18"/>
                <w:szCs w:val="18"/>
                <w:color w:val="auto"/>
                <w:w w:val="94"/>
              </w:rPr>
              <w:t>•</w:t>
            </w:r>
          </w:p>
        </w:tc>
        <w:tc>
          <w:tcPr>
            <w:tcW w:w="23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3"/>
        </w:trPr>
        <w:tc>
          <w:tcPr>
            <w:tcW w:w="3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296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spacing w:after="0"/>
              <w:rPr>
                <w:sz w:val="21"/>
                <w:szCs w:val="21"/>
                <w:color w:val="auto"/>
              </w:rPr>
            </w:pPr>
          </w:p>
        </w:tc>
      </w:tr>
      <w:tr>
        <w:trPr>
          <w:trHeight w:val="422"/>
        </w:trPr>
        <w:tc>
          <w:tcPr>
            <w:tcW w:w="3120" w:type="dxa"/>
            <w:vAlign w:val="bottom"/>
          </w:tcPr>
          <w:p>
            <w:pPr>
              <w:spacing w:after="0"/>
              <w:rPr>
                <w:sz w:val="20"/>
                <w:szCs w:val="20"/>
                <w:color w:val="auto"/>
              </w:rPr>
            </w:pPr>
            <w:r>
              <w:rPr>
                <w:rFonts w:ascii="Arial" w:cs="Arial" w:eastAsia="Arial" w:hAnsi="Arial"/>
                <w:sz w:val="18"/>
                <w:szCs w:val="18"/>
                <w:color w:val="auto"/>
              </w:rPr>
              <w:t>*  Lead director</w:t>
            </w:r>
          </w:p>
        </w:tc>
        <w:tc>
          <w:tcPr>
            <w:tcW w:w="2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780" w:type="dxa"/>
            <w:vAlign w:val="bottom"/>
          </w:tcPr>
          <w:p>
            <w:pPr>
              <w:spacing w:after="0"/>
              <w:rPr>
                <w:sz w:val="24"/>
                <w:szCs w:val="24"/>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Committees of the board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Audit committee</w:t>
      </w:r>
    </w:p>
    <w:p>
      <w:pPr>
        <w:spacing w:after="0" w:line="23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audit committee is a separately designated standing committee established in accordance with Section 3(a)(58)(A) of the Securities Exchange Act of 1934, as amended (Securities Exchange Act). All members of the audit committee are independent under Nasdaq rules and the board’s corporate governance guidelines. From April 27, 2023 to February 29, 2024, the committee members were Ms. Clark (chair), Mr. Farmer and Ms. Hobby. From March 1, 2024 to April 24, 2024, the committee members were Ms. Clark (chair), Dr. DesRoches, Mr. Farmer and Ms. Hobby. Since April 25, 2024, the committee members have been Ms. Clark (chair), Dr. DesRoches, Mr. Farmer and Mr. Sanchez. The audit committee is generally responsible for:</w:t>
      </w:r>
    </w:p>
    <w:p>
      <w:pPr>
        <w:spacing w:after="0" w:line="18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annual report of TI’s independent registered public accounting firm related to quality control.</w:t>
      </w:r>
    </w:p>
    <w:p>
      <w:pPr>
        <w:spacing w:after="0" w:line="63" w:lineRule="exact"/>
        <w:rPr>
          <w:rFonts w:ascii="Arial" w:cs="Arial" w:eastAsia="Arial" w:hAnsi="Arial"/>
          <w:sz w:val="18"/>
          <w:szCs w:val="18"/>
          <w:color w:val="auto"/>
        </w:rPr>
      </w:pPr>
    </w:p>
    <w:p>
      <w:pPr>
        <w:ind w:left="980" w:hanging="324"/>
        <w:spacing w:after="0" w:line="281" w:lineRule="auto"/>
        <w:tabs>
          <w:tab w:leader="none" w:pos="976" w:val="left"/>
        </w:tabs>
        <w:numPr>
          <w:ilvl w:val="1"/>
          <w:numId w:val="32"/>
        </w:numPr>
        <w:rPr>
          <w:rFonts w:ascii="Arial" w:cs="Arial" w:eastAsia="Arial" w:hAnsi="Arial"/>
          <w:sz w:val="18"/>
          <w:szCs w:val="18"/>
          <w:color w:val="auto"/>
        </w:rPr>
      </w:pPr>
      <w:r>
        <w:rPr>
          <w:rFonts w:ascii="Arial" w:cs="Arial" w:eastAsia="Arial" w:hAnsi="Arial"/>
          <w:sz w:val="18"/>
          <w:szCs w:val="18"/>
          <w:color w:val="auto"/>
        </w:rPr>
        <w:t>TI’s annual and quarterly reports to the SEC, including the financial statements and the “Management’s Discussion and Analysis” portion of those reports, and recommending appropriate action to the board.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TI’s audit plans.</w:t>
      </w:r>
    </w:p>
    <w:p>
      <w:pPr>
        <w:spacing w:after="0" w:line="63" w:lineRule="exact"/>
        <w:rPr>
          <w:rFonts w:ascii="Arial" w:cs="Arial" w:eastAsia="Arial" w:hAnsi="Arial"/>
          <w:sz w:val="18"/>
          <w:szCs w:val="18"/>
          <w:color w:val="auto"/>
        </w:rPr>
      </w:pPr>
    </w:p>
    <w:p>
      <w:pPr>
        <w:ind w:left="980" w:right="80" w:hanging="324"/>
        <w:spacing w:after="0" w:line="281" w:lineRule="auto"/>
        <w:tabs>
          <w:tab w:leader="none" w:pos="976" w:val="left"/>
        </w:tabs>
        <w:numPr>
          <w:ilvl w:val="1"/>
          <w:numId w:val="32"/>
        </w:numPr>
        <w:rPr>
          <w:rFonts w:ascii="Arial" w:cs="Arial" w:eastAsia="Arial" w:hAnsi="Arial"/>
          <w:sz w:val="18"/>
          <w:szCs w:val="18"/>
          <w:color w:val="auto"/>
        </w:rPr>
      </w:pPr>
      <w:r>
        <w:rPr>
          <w:rFonts w:ascii="Arial" w:cs="Arial" w:eastAsia="Arial" w:hAnsi="Arial"/>
          <w:sz w:val="18"/>
          <w:szCs w:val="18"/>
          <w:color w:val="auto"/>
        </w:rPr>
        <w:t>Before issuance, TI’s news releases regarding annual and interim financial results and discussing with management any related earnings guidance that may be provided to analysts and rating agencies.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Relationships between the independent registered public accounting firm and TI.</w:t>
      </w:r>
    </w:p>
    <w:p>
      <w:pPr>
        <w:spacing w:after="0" w:line="63" w:lineRule="exact"/>
        <w:rPr>
          <w:rFonts w:ascii="Arial" w:cs="Arial" w:eastAsia="Arial" w:hAnsi="Arial"/>
          <w:sz w:val="18"/>
          <w:szCs w:val="18"/>
          <w:color w:val="auto"/>
        </w:rPr>
      </w:pPr>
    </w:p>
    <w:p>
      <w:pPr>
        <w:ind w:left="980" w:right="80" w:hanging="324"/>
        <w:spacing w:after="0" w:line="281" w:lineRule="auto"/>
        <w:tabs>
          <w:tab w:leader="none" w:pos="976"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adequacy of TI’s internal accounting controls and other factors affecting the integrity of TI’s financial reports, and discussing with management and with the independent registered public accounting firm.</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TI’s risk assessment and risk management practices, including cybersecurity and environmental-related risks.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TI’s compliance and ethics program.</w:t>
      </w:r>
    </w:p>
    <w:p>
      <w:pPr>
        <w:sectPr>
          <w:pgSz w:w="11900" w:h="16838" w:orient="portrait"/>
          <w:cols w:equalWidth="0" w:num="1">
            <w:col w:w="11220"/>
          </w:cols>
          <w:pgMar w:left="320" w:top="98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type w:val="continuous"/>
        </w:sectPr>
      </w:pPr>
    </w:p>
    <w:bookmarkStart w:id="15" w:name="page16"/>
    <w:bookmarkEnd w:id="15"/>
    <w:p>
      <w:pPr>
        <w:ind w:left="980" w:right="520" w:hanging="324"/>
        <w:spacing w:after="0" w:line="281" w:lineRule="auto"/>
        <w:tabs>
          <w:tab w:leader="none" w:pos="97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report of compliance of management and operating personnel with TI’s code of conduct, including TI’s conflict of interest policy.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TI’s non-employee-related insurance programs.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Changes, if any, in major accounting policies of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Trends in accounting policy changes that are relevant to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company’s policy regarding investments and financial derivative products.</w:t>
      </w:r>
    </w:p>
    <w:p>
      <w:pPr>
        <w:spacing w:after="0" w:line="63" w:lineRule="exact"/>
        <w:rPr>
          <w:rFonts w:ascii="Arial" w:cs="Arial" w:eastAsia="Arial" w:hAnsi="Arial"/>
          <w:sz w:val="18"/>
          <w:szCs w:val="18"/>
          <w:color w:val="auto"/>
        </w:rPr>
      </w:pPr>
    </w:p>
    <w:p>
      <w:pPr>
        <w:ind w:left="660" w:right="320" w:hanging="328"/>
        <w:spacing w:after="0" w:line="28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Discussing TI’s audited financial statements with management and the independent registered public accounting firm, including a discussion with the firm regarding the matters required to be reviewed under applicable legal or regulatory requirements.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Creating and periodically reviewing TI’s whistleblower policy.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Appointing, compensating, retaining and overseeing TI’s independent registered public accounting firm.</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board has determined that all members of the audit committee are sufficiently proficient in reading and understanding fundamental financial statements, and three members meet the Nasdaq listing standard of financial sophistication. In addition, the board has designated Ms. Clark as the audit committee financial expert, as defined under the Securities and Exchange Commission’s rules.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audit committee met seven times in 2024. The audit committee holds regularly scheduled meetings and reports its activities to the board. The audit committee also continued its long-standing practice of meeting directly with our internal audit staff to discuss the audit plan and to allow for direct interaction between audit committee members and our internal auditors.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committee</w:t>
      </w:r>
    </w:p>
    <w:p>
      <w:pPr>
        <w:spacing w:after="0" w:line="232"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All members of the compensation committee are independent. Since April 27, 2023, the committee members have been Mr. Craighead (chair), Mr. Blinn, Ms. Cox and Mr. Kirk. The compensation committee is generally responsible for:</w:t>
      </w:r>
    </w:p>
    <w:p>
      <w:pPr>
        <w:spacing w:after="0" w:line="15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the performance of the CEO and determining his compensation.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Setting the compensation of the company’s other executive officers.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Overseeing administration of employee benefit plans.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63" w:lineRule="exact"/>
        <w:rPr>
          <w:rFonts w:ascii="Arial" w:cs="Arial" w:eastAsia="Arial" w:hAnsi="Arial"/>
          <w:sz w:val="18"/>
          <w:szCs w:val="18"/>
          <w:color w:val="auto"/>
        </w:rPr>
      </w:pPr>
    </w:p>
    <w:p>
      <w:pPr>
        <w:ind w:left="980" w:right="160" w:hanging="324"/>
        <w:spacing w:after="0" w:line="268" w:lineRule="auto"/>
        <w:tabs>
          <w:tab w:leader="none" w:pos="976"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require board approval.</w:t>
      </w:r>
    </w:p>
    <w:p>
      <w:pPr>
        <w:spacing w:after="0" w:line="8" w:lineRule="exact"/>
        <w:rPr>
          <w:rFonts w:ascii="Arial" w:cs="Arial" w:eastAsia="Arial" w:hAnsi="Arial"/>
          <w:sz w:val="18"/>
          <w:szCs w:val="18"/>
          <w:color w:val="auto"/>
        </w:rPr>
      </w:pPr>
    </w:p>
    <w:p>
      <w:pPr>
        <w:ind w:left="980" w:right="740" w:hanging="324"/>
        <w:spacing w:after="0" w:line="281" w:lineRule="auto"/>
        <w:tabs>
          <w:tab w:leader="none" w:pos="976"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Reservation of company stock for use as awards of grants under plans or as contributions or sales to any trustee of any employee benefit plan.</w:t>
      </w:r>
    </w:p>
    <w:p>
      <w:pPr>
        <w:spacing w:after="0" w:line="1" w:lineRule="exact"/>
        <w:rPr>
          <w:rFonts w:ascii="Arial" w:cs="Arial" w:eastAsia="Arial" w:hAnsi="Arial"/>
          <w:sz w:val="18"/>
          <w:szCs w:val="18"/>
          <w:color w:val="auto"/>
        </w:rPr>
      </w:pPr>
    </w:p>
    <w:p>
      <w:pPr>
        <w:ind w:left="660" w:right="180" w:hanging="328"/>
        <w:spacing w:after="0" w:line="28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Taking action as appropriate regarding the institution and termination of, revisions in and actions under employee benefit plans that are not required to be approved by the board.</w:t>
      </w:r>
    </w:p>
    <w:p>
      <w:pPr>
        <w:spacing w:after="0" w:line="1"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Appointing, setting the compensation of, overseeing and considering the independence of any compensation consultant or other advisor.</w:t>
      </w:r>
    </w:p>
    <w:p>
      <w:pPr>
        <w:spacing w:after="0" w:line="15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compensation committee met five times in 2024. The compensation committee holds regularly scheduled meetings, reports its activities to the board, and consults with the board before setting annual executive compensation.</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performing its functions, the committee is supported by the company’s Human Resources organization. The committee has the authority to retain any advisors it deems appropriate to carry out its responsibilities. The committee retained Pearl Meyer as its compensation consultant for the 2024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 these matters with such items as peer-group assessment, analysis of the executive compensation market and compensation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16" w:name="page17"/>
    <w:bookmarkEnd w:id="16"/>
    <w:p>
      <w:pPr>
        <w:jc w:val="both"/>
        <w:spacing w:after="0" w:line="262" w:lineRule="auto"/>
        <w:rPr>
          <w:sz w:val="20"/>
          <w:szCs w:val="20"/>
          <w:color w:val="auto"/>
        </w:rPr>
      </w:pPr>
      <w:r>
        <w:rPr>
          <w:rFonts w:ascii="Arial" w:cs="Arial" w:eastAsia="Arial" w:hAnsi="Arial"/>
          <w:sz w:val="18"/>
          <w:szCs w:val="18"/>
          <w:color w:val="auto"/>
        </w:rPr>
        <w:t>The compensation committee considers it important that its compensation consultant’s objectivity not be compromised by other engagements with the company or its management. In support of this belief, the committee has a policy on compensation consultants, a copy of which may be found on www.ti.com/corporategovernance. During 2024, the committee determined that its compensation consultant was independent of the company and had no conflict of interest.</w:t>
      </w:r>
    </w:p>
    <w:p>
      <w:pPr>
        <w:spacing w:after="0" w:line="17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CEO and the senior vice president responsible for Human Resources, who is an executive officer, are regularly invited to</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attend meetings of the committee. The CEO is excused from the meeting during any deliberations or vote on his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his compensation.</w:t>
      </w:r>
    </w:p>
    <w:p>
      <w:pPr>
        <w:spacing w:after="0" w:line="18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17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that authority, the compensation committee has delegated to a special committee established by the board the authority to, among other things, grant a limited number of stock options and restricted stock units (RSUs) under the company’s long-term incentive plans. The sole member of the special committee is Mr. Ilan. The special committee has no authority to grant, amend or terminate any form of compensation for TI’s executive officers. The compensation committee reviews all activity of the special committee.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Governance and stockholder relations committee</w:t>
      </w:r>
    </w:p>
    <w:p>
      <w:pPr>
        <w:spacing w:after="0" w:line="23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All members of the GSR committee are independent. From April 27, 2023 to April 24, 2024, the committee members were Mr. Bluedorn (chair), Ms. Patsley and Mr. Sanchez. Since April 25, 2024, the committee members have been Mr. Bluedorn (chair), Ms. Hobby and Ms. Patsley. The GSR committee is generally responsible for:</w:t>
      </w:r>
    </w:p>
    <w:p>
      <w:pPr>
        <w:spacing w:after="0" w:line="17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development and revision of our corporate governance principles.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size, composition and functioning of the board and board committees.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Candidates to fill board positions.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Nominees to be designated for election as directors.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Compensation of board members.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Organization and responsibilities of board committees.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Succession planning by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Issues of potential conflicts of interest involving a board member raised under TI’s conflict of interest policy.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Election of executive officers of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Topics affecting the relationship between the company and stockholders.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Public issues likely to affect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Responses to proposals submitted by stockholders.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Contribution policies of the company and the TI Foundation.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Scope of activities of the company’s political action committee.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Revisions to TI’s code of conduct.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Electing officers of the company other than the executive officers.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Overseeing an annual evaluation of the board and the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GSR committee met six times in 2024. The GSR committee holds regularly scheduled meetings and reports its activities to the board.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Board evaluation process</w:t>
      </w:r>
    </w:p>
    <w:p>
      <w:pPr>
        <w:spacing w:after="0" w:line="23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board recognizes that a robust and constructive evaluation process is an essential part of good corporate governance and board effectiveness. The board and committee annual evaluation processes are designed to assess board and committee effectiveness, as well as individual director performance and contribution levels. The results of the evaluations are part of the GSR committee’s and the board’s consideration in connection with their review of director nominees to ensure the board continues to operate effectively.</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Annually, each of our directors completes comprehensive board and committee questionnaires. Each committee oversees its own evaluation process, and the GSR committee also oversees the board evaluation process. The questionnaires and ongoing feedback from individual directors facilitate a candid assessment of (i) the board and committees’ oversight of risk, strategy and operations; (ii) the board’s culture, leadership structure and mix of director skills, qualifications and experiences; and (iii) board and committee meeting mechanics. Our directors are willing to have honest and difficult conversations as needed during the evaluation and nomination process.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Board leadership structure</w:t>
      </w:r>
    </w:p>
    <w:p>
      <w:pPr>
        <w:spacing w:after="0" w:line="21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board’s current leadership entails an executive chairman (former CEO) and a lead director who presides at executive sessions and performs the duties listed below. The board believes that this structure, combined with its other practices (such as (i) including on each board agenda an opportunity for the independent directors to comment on and influence the proposed strategic agenda for future meetings and</w:t>
      </w:r>
    </w:p>
    <w:p>
      <w:pPr>
        <w:spacing w:after="0" w:line="1" w:lineRule="exact"/>
        <w:rPr>
          <w:sz w:val="20"/>
          <w:szCs w:val="20"/>
          <w:color w:val="auto"/>
        </w:rPr>
      </w:pPr>
    </w:p>
    <w:p>
      <w:pPr>
        <w:ind w:right="760" w:firstLine="8"/>
        <w:spacing w:after="0" w:line="266" w:lineRule="auto"/>
        <w:tabs>
          <w:tab w:leader="none" w:pos="2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holding an executive session of the independent directors at each board meeting), allows it to maintain the active engagement of independent directors and appropriate oversight of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lead director is elected by the independent directors to serve at least a one-year term. The independent directors have elected Mr.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Bluedorn to serve as lead director. The duties of the lead director are to:</w:t>
      </w:r>
    </w:p>
    <w:p>
      <w:pPr>
        <w:spacing w:after="0" w:line="20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Preside at all meetings of the board at which the chairman is not present, including executive sessions of the independent directors;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Serve as liaison between the chairman and the independent directors;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Approve information sent to the board;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Approve meeting agendas for the board;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of all agenda items;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requested by major shareholders, ensure that he or she is available for consultation and direct communication.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lead director has authority to call meetings of the independent directors.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board, led by its GSR committee, regularly reviews the board’s leadership structure. The board’s consideration is guided by two questions: Would stockholders be better served, and would the board be more effective with a different structure? The board’s views are informed by a review of the practices of other companies and insight into the preferences of top stockholders, as gathered from face-to-face dialogue and review of published guidelines. The board also considers how board roles and interactions would change if its leadership structure changed. The board’s goal is for each director to have an equal stake in the board’s actions and equal accountability to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2025 PROXY STATEMENT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 w:name="page19"/>
    <w:bookmarkEnd w:id="18"/>
    <w:p>
      <w:pPr>
        <w:jc w:val="both"/>
        <w:spacing w:after="0" w:line="268" w:lineRule="auto"/>
        <w:rPr>
          <w:sz w:val="20"/>
          <w:szCs w:val="20"/>
          <w:color w:val="auto"/>
        </w:rPr>
      </w:pPr>
      <w:r>
        <w:rPr>
          <w:rFonts w:ascii="Arial" w:cs="Arial" w:eastAsia="Arial" w:hAnsi="Arial"/>
          <w:sz w:val="18"/>
          <w:szCs w:val="18"/>
          <w:color w:val="auto"/>
        </w:rPr>
        <w:t>The board continues to believe that there is no uniform solution for a board leadership structure. Indeed, the company has had varying board leadership models over its history, at times separating the positions of chairman and CEO and at times combining the two and utilizing a lead director.</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Oversight by the board</w:t>
      </w:r>
    </w:p>
    <w:p>
      <w:pPr>
        <w:spacing w:after="0" w:line="2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R&amp;D and cybersecurity). Throughout the year the CEO discusses these risks with the board. Additionally, at least once each year, the company’s chief information officer provides information on the cybersecurity risks and the company’s approach to protecting the company’s data and systems infrastructure to the board or audit committee. In the event of a material cybersecurity event, management would notify the board and, in compliance with our procedures, determine the timing and extent of the response and public disclosure and whether any future vulnerabilities are expected.</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TI’s audit committee has oversight responsibility for financial risk (such as accounting, finance, internal controls and tax strategy). Oversight responsibility for compliance risk is shared by the board committees. For example, the audit committee oversees compliance with the company’s code of conduct and finance- and accounting-related laws and policies, as well as the company’s compliance program itself, including global trade compliance; the compensation committee oversees compliance with the company’s executive compensation plans and related laws and policies; and the GSR committee oversees compliance with governance-related laws and policies, including the company’s corporate governance guidelines. Environmental, social and governance (ESG) matters of significance for TI are overseen by the committee with the appropriate focus.</w:t>
      </w:r>
    </w:p>
    <w:p>
      <w:pPr>
        <w:spacing w:after="0" w:line="18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audit committee oversees the company’s approach to risk management as a whole, including cybersecurity and environmental-related risks. The company’s chief financial officer (CFO) reviews the company’s risk management process with the audit committee at least annually. In addition, the company’s chief information officer reviews the company’s information technology systems with the audit committee periodically and includes a discussion of key cybersecurity risks as appropriate.</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board’s leadership structure is consistent with the board and committees’ roles in risk oversight. As discussed above, the board has found that its current structure and practices are effective in fully engaging the independent directors. Allocating various aspects of risk oversight among the committees provides for similar engagement. Having the CEO review strategic and operational risks with the board ensures that the director most knowledgeable about the company, the industry in which it operates and the competition and other challenges it faces shares those insights with the board, providing for a thorough and efficient process.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compensation</w:t>
      </w:r>
    </w:p>
    <w:p>
      <w:pPr>
        <w:spacing w:after="0" w:line="22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GSR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and the company’s compensation consultant. The CEO, the senior vice president responsible for Human Resources and the Secretary review the recommendations made to the committee.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arrangements in 2024 for the non-employee directors were:</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Annual retainer of $110,000 for board and committee service.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annual retainer of $40,000 for service as the lead director.</w:t>
      </w:r>
    </w:p>
    <w:p>
      <w:pPr>
        <w:spacing w:after="0" w:line="63" w:lineRule="exact"/>
        <w:rPr>
          <w:rFonts w:ascii="Arial" w:cs="Arial" w:eastAsia="Arial" w:hAnsi="Arial"/>
          <w:sz w:val="18"/>
          <w:szCs w:val="18"/>
          <w:color w:val="auto"/>
        </w:rPr>
      </w:pPr>
    </w:p>
    <w:p>
      <w:pPr>
        <w:ind w:left="660" w:right="240" w:hanging="328"/>
        <w:spacing w:after="0" w:line="28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annual retainer of $35,000 for service as chair of the audit committee; $25,000 for service as chair of the compensation committee; and $20,000 for service as chair of the GSR committee.</w:t>
      </w:r>
    </w:p>
    <w:p>
      <w:pPr>
        <w:spacing w:after="0" w:line="1" w:lineRule="exact"/>
        <w:rPr>
          <w:rFonts w:ascii="Arial" w:cs="Arial" w:eastAsia="Arial" w:hAnsi="Arial"/>
          <w:sz w:val="18"/>
          <w:szCs w:val="18"/>
          <w:color w:val="auto"/>
        </w:rPr>
      </w:pPr>
    </w:p>
    <w:p>
      <w:pPr>
        <w:ind w:left="660" w:right="680" w:hanging="328"/>
        <w:spacing w:after="0" w:line="28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Annual grant of a 10-year option to purchase TI common stock pursuant to the terms of the Texas Instruments 2018 Director Compensation Plan (Director Plan), which was approved by stockholders in April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2025 PROXY STATEMENT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9" w:name="page20"/>
    <w:bookmarkEnd w:id="19"/>
    <w:p>
      <w:pPr>
        <w:ind w:left="660" w:right="20"/>
        <w:spacing w:after="0" w:line="255" w:lineRule="auto"/>
        <w:rPr>
          <w:sz w:val="20"/>
          <w:szCs w:val="20"/>
          <w:color w:val="auto"/>
        </w:rPr>
      </w:pPr>
      <w:r>
        <w:rPr>
          <w:rFonts w:ascii="Arial" w:cs="Arial" w:eastAsia="Arial" w:hAnsi="Arial"/>
          <w:sz w:val="18"/>
          <w:szCs w:val="18"/>
          <w:color w:val="auto"/>
        </w:rPr>
        <w:t>2018. The grant date value is approximately $115,000, determined using a Black-Scholes option-pricing model (subject to the board’s ability to adjust the grant downward). These non-qualified options become exercisable in four equal annual installments beginning on the first anniversary of the grant and also will become fully exercisable in the event of termination of service following a change in control (as defined in the Director Plan) of TI. If a director’s service terminates due to death, disability or ineligibility to stand for re-election under the company’s by-laws, or after the director has completed eight years of service, then all outstanding options held by the director shall continue to become exercisable in accordance with their terms. If a director’s service terminates for any other reason, all outstanding options held by the director shall be exercisable for 30 days after the date of termination, but only to the extent such options were exercisable on the date of termination.</w:t>
      </w:r>
    </w:p>
    <w:p>
      <w:pPr>
        <w:spacing w:after="0" w:line="23" w:lineRule="exact"/>
        <w:rPr>
          <w:sz w:val="20"/>
          <w:szCs w:val="20"/>
          <w:color w:val="auto"/>
        </w:rPr>
      </w:pPr>
    </w:p>
    <w:p>
      <w:pPr>
        <w:ind w:left="660" w:hanging="328"/>
        <w:spacing w:after="0" w:line="255"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Annual grant of restricted stock units pursuant to the Director Plan with a grant date value of $115,000 (subject to the board’s ability to adjust the grant downward). The restricted stock units vest on the fourth anniversary of their date of grant and upon a change in control as defined in the Director Plan. If a director is not a member of the board on the fourth anniversary of the grant, restricted stock units will nonetheless settle (i.e., the shares will issue)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 The director may defer receipt of dividend equivalents.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$1,000 per day compensation for other activities designated by the chairman.</w:t>
      </w:r>
    </w:p>
    <w:p>
      <w:pPr>
        <w:spacing w:after="0" w:line="63"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one-time grant of restricted stock units with a grant date value of approximately $200,000 upon a director’s initial election to the board.</w:t>
      </w:r>
    </w:p>
    <w:p>
      <w:pPr>
        <w:spacing w:after="0" w:line="15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board has determined that annual grants of equity compensation to non-employee directors will be timed to occur in January when grants are made to our U.S. employees in connection with the annual compensation review process. See “Process for equity grants” for a discussion regarding the timing of equity compensation grants.</w:t>
      </w:r>
    </w:p>
    <w:p>
      <w:pPr>
        <w:spacing w:after="0" w:line="171"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Directors are not paid a fee for meeting attendance, but we reimburse non-employee directors for their travel, lodging and related expenses incurred in connection with attending board, committee and stockholders meetings and other designated events. In addition, non-employee directors may travel on company aircraft to and from these meetings and other designated events.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Director Plan, some directors have chosen to defer all or part of their cash compensation. These deferred amounts are credited to either a cash account or stock unit account. Cash accounts earn interest from TI at a rate currently based on Moody’s Seasoned Aaa Corporate Bonds. For 2024, that rate was 5.36%. Stock unit accounts fluctuate in value with the underlying shares of TI common stock, which will be issued after the deferral period. Dividend equivalents are paid on these stock units. Directors may also defer settlement of the restricted stock units they receive.</w:t>
      </w:r>
    </w:p>
    <w:p>
      <w:pPr>
        <w:spacing w:after="0" w:line="17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arrangements with certain customers whereby our employees may purchase consumer products containing TI components at discounted pricing. In addition, the TI Foundation has a matching gift program. In both cases, directors are entitled to participate on the same terms and conditions available to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are not eligible to participate in any TI-sponsored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u w:val="single" w:color="auto"/>
          <w:color w:val="auto"/>
        </w:rPr>
        <w:t>2024 director compensation</w:t>
      </w:r>
    </w:p>
    <w:p>
      <w:pPr>
        <w:spacing w:after="0" w:line="23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following table shows the compensation of all persons who were non-employee members of the board during 2024 for services in all capacities to TI in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 in Pension</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2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center"/>
              <w:ind w:right="273"/>
              <w:spacing w:after="0"/>
              <w:rPr>
                <w:sz w:val="20"/>
                <w:szCs w:val="20"/>
                <w:color w:val="auto"/>
              </w:rPr>
            </w:pPr>
            <w:r>
              <w:rPr>
                <w:rFonts w:ascii="Arial" w:cs="Arial" w:eastAsia="Arial" w:hAnsi="Arial"/>
                <w:sz w:val="14"/>
                <w:szCs w:val="14"/>
                <w:b w:val="1"/>
                <w:bCs w:val="1"/>
                <w:color w:val="auto"/>
                <w:w w:val="99"/>
              </w:rPr>
              <w:t>Value and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2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Non-qualified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130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rPr>
              <w:t>Fees Earned</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380" w:type="dxa"/>
            <w:vAlign w:val="bottom"/>
          </w:tcPr>
          <w:p>
            <w:pPr>
              <w:spacing w:after="0"/>
              <w:rPr>
                <w:sz w:val="15"/>
                <w:szCs w:val="15"/>
                <w:color w:val="auto"/>
              </w:rPr>
            </w:pPr>
          </w:p>
        </w:tc>
        <w:tc>
          <w:tcPr>
            <w:tcW w:w="1100" w:type="dxa"/>
            <w:vAlign w:val="bottom"/>
          </w:tcPr>
          <w:p>
            <w:pPr>
              <w:jc w:val="center"/>
              <w:ind w:right="233"/>
              <w:spacing w:after="0"/>
              <w:rPr>
                <w:sz w:val="20"/>
                <w:szCs w:val="20"/>
                <w:color w:val="auto"/>
              </w:rPr>
            </w:pPr>
            <w:r>
              <w:rPr>
                <w:rFonts w:ascii="Arial" w:cs="Arial" w:eastAsia="Arial" w:hAnsi="Arial"/>
                <w:sz w:val="14"/>
                <w:szCs w:val="14"/>
                <w:b w:val="1"/>
                <w:bCs w:val="1"/>
                <w:color w:val="auto"/>
              </w:rPr>
              <w:t>Deferred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2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center"/>
              <w:ind w:right="93"/>
              <w:spacing w:after="0"/>
              <w:rPr>
                <w:sz w:val="20"/>
                <w:szCs w:val="20"/>
                <w:color w:val="auto"/>
              </w:rPr>
            </w:pPr>
            <w:r>
              <w:rPr>
                <w:rFonts w:ascii="Arial" w:cs="Arial" w:eastAsia="Arial" w:hAnsi="Arial"/>
                <w:sz w:val="14"/>
                <w:szCs w:val="14"/>
                <w:b w:val="1"/>
                <w:bCs w:val="1"/>
                <w:color w:val="auto"/>
              </w:rPr>
              <w:t>or Paid in</w:t>
            </w:r>
          </w:p>
        </w:tc>
        <w:tc>
          <w:tcPr>
            <w:tcW w:w="12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Stock Awards</w:t>
            </w: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 Awards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4"/>
                <w:szCs w:val="14"/>
                <w:color w:val="auto"/>
              </w:rPr>
            </w:pPr>
          </w:p>
        </w:tc>
        <w:tc>
          <w:tcPr>
            <w:tcW w:w="1040" w:type="dxa"/>
            <w:vAlign w:val="bottom"/>
          </w:tcPr>
          <w:p>
            <w:pPr>
              <w:jc w:val="right"/>
              <w:ind w:right="292"/>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9"/>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Cash (2)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(3)</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(4)</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Earnings (5)</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Compensation (6)</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w:t>
            </w: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Blinn</w:t>
            </w:r>
          </w:p>
        </w:tc>
        <w:tc>
          <w:tcPr>
            <w:tcW w:w="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13"/>
              <w:spacing w:after="0"/>
              <w:rPr>
                <w:sz w:val="20"/>
                <w:szCs w:val="20"/>
                <w:color w:val="auto"/>
              </w:rPr>
            </w:pPr>
            <w:r>
              <w:rPr>
                <w:rFonts w:ascii="Arial" w:cs="Arial" w:eastAsia="Arial" w:hAnsi="Arial"/>
                <w:sz w:val="18"/>
                <w:szCs w:val="18"/>
                <w:color w:val="auto"/>
              </w:rPr>
              <w:t>110,000</w:t>
            </w:r>
          </w:p>
        </w:tc>
        <w:tc>
          <w:tcPr>
            <w:tcW w:w="320" w:type="dxa"/>
            <w:vAlign w:val="bottom"/>
            <w:tcBorders>
              <w:bottom w:val="single" w:sz="8" w:color="DBDBDB"/>
            </w:tcBorders>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114,850</w:t>
            </w:r>
          </w:p>
        </w:tc>
        <w:tc>
          <w:tcPr>
            <w:tcW w:w="3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114,981</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339,871</w:t>
            </w:r>
          </w:p>
        </w:tc>
      </w:tr>
      <w:tr>
        <w:trPr>
          <w:trHeight w:val="247"/>
        </w:trPr>
        <w:tc>
          <w:tcPr>
            <w:tcW w:w="2220" w:type="dxa"/>
            <w:vAlign w:val="bottom"/>
          </w:tcPr>
          <w:p>
            <w:pPr>
              <w:ind w:left="20"/>
              <w:spacing w:after="0"/>
              <w:rPr>
                <w:sz w:val="20"/>
                <w:szCs w:val="20"/>
                <w:color w:val="auto"/>
              </w:rPr>
            </w:pPr>
            <w:r>
              <w:rPr>
                <w:rFonts w:ascii="Arial" w:cs="Arial" w:eastAsia="Arial" w:hAnsi="Arial"/>
                <w:sz w:val="18"/>
                <w:szCs w:val="18"/>
                <w:color w:val="auto"/>
              </w:rPr>
              <w:t>Todd Bluedorn</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156,667</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114,850</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114,981</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386,538</w:t>
            </w:r>
          </w:p>
        </w:tc>
      </w:tr>
      <w:tr>
        <w:trPr>
          <w:trHeight w:val="23"/>
        </w:trPr>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Clark</w:t>
            </w:r>
          </w:p>
        </w:tc>
        <w:tc>
          <w:tcPr>
            <w:tcW w:w="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13"/>
              <w:spacing w:after="0"/>
              <w:rPr>
                <w:sz w:val="20"/>
                <w:szCs w:val="20"/>
                <w:color w:val="auto"/>
              </w:rPr>
            </w:pPr>
            <w:r>
              <w:rPr>
                <w:rFonts w:ascii="Arial" w:cs="Arial" w:eastAsia="Arial" w:hAnsi="Arial"/>
                <w:sz w:val="18"/>
                <w:szCs w:val="18"/>
                <w:color w:val="auto"/>
              </w:rPr>
              <w:t>145,000</w:t>
            </w:r>
          </w:p>
        </w:tc>
        <w:tc>
          <w:tcPr>
            <w:tcW w:w="320" w:type="dxa"/>
            <w:vAlign w:val="bottom"/>
            <w:tcBorders>
              <w:bottom w:val="single" w:sz="8" w:color="DBDBDB"/>
            </w:tcBorders>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114,850</w:t>
            </w:r>
          </w:p>
        </w:tc>
        <w:tc>
          <w:tcPr>
            <w:tcW w:w="3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114,981</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30,040</w:t>
            </w:r>
          </w:p>
        </w:tc>
        <w:tc>
          <w:tcPr>
            <w:tcW w:w="28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404,871</w:t>
            </w:r>
          </w:p>
        </w:tc>
      </w:tr>
      <w:tr>
        <w:trPr>
          <w:trHeight w:val="247"/>
        </w:trPr>
        <w:tc>
          <w:tcPr>
            <w:tcW w:w="2220" w:type="dxa"/>
            <w:vAlign w:val="bottom"/>
          </w:tcPr>
          <w:p>
            <w:pPr>
              <w:ind w:left="20"/>
              <w:spacing w:after="0"/>
              <w:rPr>
                <w:sz w:val="20"/>
                <w:szCs w:val="20"/>
                <w:color w:val="auto"/>
              </w:rPr>
            </w:pPr>
            <w:r>
              <w:rPr>
                <w:rFonts w:ascii="Arial" w:cs="Arial" w:eastAsia="Arial" w:hAnsi="Arial"/>
                <w:sz w:val="18"/>
                <w:szCs w:val="18"/>
                <w:color w:val="auto"/>
              </w:rPr>
              <w:t>Carrie Cox</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110,000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114,850</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114,981</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5,130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27,540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372,501</w:t>
            </w:r>
          </w:p>
        </w:tc>
      </w:tr>
      <w:tr>
        <w:trPr>
          <w:trHeight w:val="23"/>
        </w:trPr>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Craighead</w:t>
            </w:r>
          </w:p>
        </w:tc>
        <w:tc>
          <w:tcPr>
            <w:tcW w:w="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13"/>
              <w:spacing w:after="0"/>
              <w:rPr>
                <w:sz w:val="20"/>
                <w:szCs w:val="20"/>
                <w:color w:val="auto"/>
              </w:rPr>
            </w:pPr>
            <w:r>
              <w:rPr>
                <w:rFonts w:ascii="Arial" w:cs="Arial" w:eastAsia="Arial" w:hAnsi="Arial"/>
                <w:sz w:val="18"/>
                <w:szCs w:val="18"/>
                <w:color w:val="auto"/>
              </w:rPr>
              <w:t>135,000</w:t>
            </w:r>
          </w:p>
        </w:tc>
        <w:tc>
          <w:tcPr>
            <w:tcW w:w="320" w:type="dxa"/>
            <w:vAlign w:val="bottom"/>
            <w:tcBorders>
              <w:bottom w:val="single" w:sz="8" w:color="DBDBDB"/>
            </w:tcBorders>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114,850</w:t>
            </w:r>
          </w:p>
        </w:tc>
        <w:tc>
          <w:tcPr>
            <w:tcW w:w="3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114,981</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5,040</w:t>
            </w:r>
          </w:p>
        </w:tc>
        <w:tc>
          <w:tcPr>
            <w:tcW w:w="28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369,871</w:t>
            </w:r>
          </w:p>
        </w:tc>
      </w:tr>
      <w:tr>
        <w:trPr>
          <w:trHeight w:val="247"/>
        </w:trPr>
        <w:tc>
          <w:tcPr>
            <w:tcW w:w="2220" w:type="dxa"/>
            <w:vAlign w:val="bottom"/>
          </w:tcPr>
          <w:p>
            <w:pPr>
              <w:ind w:left="20"/>
              <w:spacing w:after="0"/>
              <w:rPr>
                <w:sz w:val="20"/>
                <w:szCs w:val="20"/>
                <w:color w:val="auto"/>
              </w:rPr>
            </w:pPr>
            <w:r>
              <w:rPr>
                <w:rFonts w:ascii="Arial" w:cs="Arial" w:eastAsia="Arial" w:hAnsi="Arial"/>
                <w:sz w:val="18"/>
                <w:szCs w:val="18"/>
                <w:color w:val="auto"/>
              </w:rPr>
              <w:t>Reginald DesRoches (1)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91,667</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199,957</w:t>
            </w:r>
          </w:p>
        </w:tc>
        <w:tc>
          <w:tcPr>
            <w:tcW w:w="34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22,540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314,164</w:t>
            </w:r>
          </w:p>
        </w:tc>
      </w:tr>
      <w:tr>
        <w:trPr>
          <w:trHeight w:val="23"/>
        </w:trPr>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Curtis Farmer</w:t>
            </w:r>
          </w:p>
        </w:tc>
        <w:tc>
          <w:tcPr>
            <w:tcW w:w="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13"/>
              <w:spacing w:after="0"/>
              <w:rPr>
                <w:sz w:val="20"/>
                <w:szCs w:val="20"/>
                <w:color w:val="auto"/>
              </w:rPr>
            </w:pPr>
            <w:r>
              <w:rPr>
                <w:rFonts w:ascii="Arial" w:cs="Arial" w:eastAsia="Arial" w:hAnsi="Arial"/>
                <w:sz w:val="18"/>
                <w:szCs w:val="18"/>
                <w:color w:val="auto"/>
              </w:rPr>
              <w:t>110,000</w:t>
            </w:r>
          </w:p>
        </w:tc>
        <w:tc>
          <w:tcPr>
            <w:tcW w:w="320" w:type="dxa"/>
            <w:vAlign w:val="bottom"/>
            <w:tcBorders>
              <w:bottom w:val="single" w:sz="8" w:color="DBDBDB"/>
            </w:tcBorders>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114,850</w:t>
            </w:r>
          </w:p>
        </w:tc>
        <w:tc>
          <w:tcPr>
            <w:tcW w:w="3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114,981</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339,871</w:t>
            </w:r>
          </w:p>
        </w:tc>
      </w:tr>
      <w:tr>
        <w:trPr>
          <w:trHeight w:val="247"/>
        </w:trPr>
        <w:tc>
          <w:tcPr>
            <w:tcW w:w="2220" w:type="dxa"/>
            <w:vAlign w:val="bottom"/>
          </w:tcPr>
          <w:p>
            <w:pPr>
              <w:ind w:left="20"/>
              <w:spacing w:after="0"/>
              <w:rPr>
                <w:sz w:val="20"/>
                <w:szCs w:val="20"/>
                <w:color w:val="auto"/>
              </w:rPr>
            </w:pPr>
            <w:r>
              <w:rPr>
                <w:rFonts w:ascii="Arial" w:cs="Arial" w:eastAsia="Arial" w:hAnsi="Arial"/>
                <w:sz w:val="18"/>
                <w:szCs w:val="18"/>
                <w:color w:val="auto"/>
              </w:rPr>
              <w:t>Jean Hobby</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110,000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114,850</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114,981</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339,871</w:t>
            </w:r>
          </w:p>
        </w:tc>
      </w:tr>
      <w:tr>
        <w:trPr>
          <w:trHeight w:val="23"/>
        </w:trPr>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Ronald Kirk</w:t>
            </w:r>
          </w:p>
        </w:tc>
        <w:tc>
          <w:tcPr>
            <w:tcW w:w="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13"/>
              <w:spacing w:after="0"/>
              <w:rPr>
                <w:sz w:val="20"/>
                <w:szCs w:val="20"/>
                <w:color w:val="auto"/>
              </w:rPr>
            </w:pPr>
            <w:r>
              <w:rPr>
                <w:rFonts w:ascii="Arial" w:cs="Arial" w:eastAsia="Arial" w:hAnsi="Arial"/>
                <w:sz w:val="18"/>
                <w:szCs w:val="18"/>
                <w:color w:val="auto"/>
              </w:rPr>
              <w:t>110,000</w:t>
            </w:r>
          </w:p>
        </w:tc>
        <w:tc>
          <w:tcPr>
            <w:tcW w:w="320" w:type="dxa"/>
            <w:vAlign w:val="bottom"/>
            <w:tcBorders>
              <w:bottom w:val="single" w:sz="8" w:color="DBDBDB"/>
            </w:tcBorders>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114,850</w:t>
            </w:r>
          </w:p>
        </w:tc>
        <w:tc>
          <w:tcPr>
            <w:tcW w:w="3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114,981</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15,040</w:t>
            </w:r>
          </w:p>
        </w:tc>
        <w:tc>
          <w:tcPr>
            <w:tcW w:w="28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354,871</w:t>
            </w:r>
          </w:p>
        </w:tc>
      </w:tr>
      <w:tr>
        <w:trPr>
          <w:trHeight w:val="247"/>
        </w:trPr>
        <w:tc>
          <w:tcPr>
            <w:tcW w:w="2220" w:type="dxa"/>
            <w:vAlign w:val="bottom"/>
          </w:tcPr>
          <w:p>
            <w:pPr>
              <w:ind w:left="20"/>
              <w:spacing w:after="0"/>
              <w:rPr>
                <w:sz w:val="20"/>
                <w:szCs w:val="20"/>
                <w:color w:val="auto"/>
              </w:rPr>
            </w:pPr>
            <w:r>
              <w:rPr>
                <w:rFonts w:ascii="Arial" w:cs="Arial" w:eastAsia="Arial" w:hAnsi="Arial"/>
                <w:sz w:val="18"/>
                <w:szCs w:val="18"/>
                <w:color w:val="auto"/>
              </w:rPr>
              <w:t>Pamela Patsley</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123,333</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114,850</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114,981</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30,040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383,204</w:t>
            </w:r>
          </w:p>
        </w:tc>
      </w:tr>
      <w:tr>
        <w:trPr>
          <w:trHeight w:val="23"/>
        </w:trPr>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7"/>
        </w:trPr>
        <w:tc>
          <w:tcPr>
            <w:tcW w:w="2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Sanchez</w:t>
            </w:r>
          </w:p>
        </w:tc>
        <w:tc>
          <w:tcPr>
            <w:tcW w:w="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rPr>
              <w:t>110,000</w:t>
            </w:r>
          </w:p>
        </w:tc>
        <w:tc>
          <w:tcPr>
            <w:tcW w:w="3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ind w:right="72"/>
              <w:spacing w:after="0"/>
              <w:rPr>
                <w:sz w:val="20"/>
                <w:szCs w:val="20"/>
                <w:color w:val="auto"/>
              </w:rPr>
            </w:pPr>
            <w:r>
              <w:rPr>
                <w:rFonts w:ascii="Arial" w:cs="Arial" w:eastAsia="Arial" w:hAnsi="Arial"/>
                <w:sz w:val="18"/>
                <w:szCs w:val="18"/>
                <w:color w:val="auto"/>
              </w:rPr>
              <w:t>114,850</w:t>
            </w:r>
          </w:p>
        </w:tc>
        <w:tc>
          <w:tcPr>
            <w:tcW w:w="3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DBDBDB"/>
          </w:tcPr>
          <w:p>
            <w:pPr>
              <w:jc w:val="right"/>
              <w:ind w:right="72"/>
              <w:spacing w:after="0"/>
              <w:rPr>
                <w:sz w:val="20"/>
                <w:szCs w:val="20"/>
                <w:color w:val="auto"/>
              </w:rPr>
            </w:pPr>
            <w:r>
              <w:rPr>
                <w:rFonts w:ascii="Arial" w:cs="Arial" w:eastAsia="Arial" w:hAnsi="Arial"/>
                <w:sz w:val="18"/>
                <w:szCs w:val="18"/>
                <w:color w:val="auto"/>
              </w:rPr>
              <w:t>114,981</w:t>
            </w:r>
          </w:p>
        </w:tc>
        <w:tc>
          <w:tcPr>
            <w:tcW w:w="12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DBDBDB"/>
          </w:tcPr>
          <w:p>
            <w:pPr>
              <w:spacing w:after="0"/>
              <w:rPr>
                <w:sz w:val="21"/>
                <w:szCs w:val="21"/>
                <w:color w:val="auto"/>
              </w:rPr>
            </w:pPr>
          </w:p>
        </w:tc>
        <w:tc>
          <w:tcPr>
            <w:tcW w:w="110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30,040</w:t>
            </w:r>
          </w:p>
        </w:tc>
        <w:tc>
          <w:tcPr>
            <w:tcW w:w="2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369,871</w:t>
            </w:r>
          </w:p>
        </w:tc>
      </w:tr>
      <w:tr>
        <w:trPr>
          <w:trHeight w:val="23"/>
        </w:trPr>
        <w:tc>
          <w:tcPr>
            <w:tcW w:w="2220" w:type="dxa"/>
            <w:vAlign w:val="bottom"/>
            <w:shd w:val="clear" w:color="auto" w:fill="DBDBDB"/>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92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90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92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110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04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r>
    </w:tbl>
    <w:p>
      <w:pPr>
        <w:spacing w:after="0" w:line="278" w:lineRule="exact"/>
        <w:rPr>
          <w:sz w:val="20"/>
          <w:szCs w:val="20"/>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Dr. DesRoches was elected to the board effective March 1, 2024.</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amounts deferred at the director’s election.</w:t>
      </w:r>
    </w:p>
    <w:p>
      <w:pPr>
        <w:spacing w:after="0" w:line="117" w:lineRule="exact"/>
        <w:rPr>
          <w:rFonts w:ascii="Arial" w:cs="Arial" w:eastAsia="Arial" w:hAnsi="Arial"/>
          <w:sz w:val="18"/>
          <w:szCs w:val="18"/>
          <w:color w:val="auto"/>
        </w:rPr>
      </w:pPr>
    </w:p>
    <w:p>
      <w:pPr>
        <w:ind w:left="500" w:right="120" w:hanging="492"/>
        <w:spacing w:after="0" w:line="255" w:lineRule="auto"/>
        <w:tabs>
          <w:tab w:leader="none" w:pos="49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Shown is the aggregate grant date fair value of restricted stock units granted in 2024 calculated in accordance with Financial Accounting Standards Board Accounting Standards Codification™ Topic 718, Compensation-Stock Compensation (ASC 718). The assumptions used for purposes of calculating the grant date fair value are described in Note 3 to the financial statements contained in Item 8 (“Note 3 to the 2024 financial statements”) in TI’s annual report on Form 10-K for the year ended December 31, 2024. Each restricted stock unit represents the right to receive one share of TI common stock. For restricted stock units granted prior to 2007, shares are issued at the time of mandatory retirement from the board (age 75) or upon the earlier of termination of service from the board after completing eight years of service or death or disability. For information regarding share issuances under restricted stock units granted after 2006, see the discussion on page 19.</w:t>
      </w:r>
    </w:p>
    <w:p>
      <w:pPr>
        <w:spacing w:after="0" w:line="77" w:lineRule="exact"/>
        <w:rPr>
          <w:sz w:val="20"/>
          <w:szCs w:val="20"/>
          <w:color w:val="auto"/>
        </w:rPr>
      </w:pPr>
    </w:p>
    <w:p>
      <w:pPr>
        <w:ind w:left="500" w:right="80"/>
        <w:spacing w:after="0" w:line="287" w:lineRule="auto"/>
        <w:rPr>
          <w:sz w:val="20"/>
          <w:szCs w:val="20"/>
          <w:color w:val="auto"/>
        </w:rPr>
      </w:pPr>
      <w:r>
        <w:rPr>
          <w:rFonts w:ascii="Arial" w:cs="Arial" w:eastAsia="Arial" w:hAnsi="Arial"/>
          <w:sz w:val="18"/>
          <w:szCs w:val="18"/>
          <w:color w:val="auto"/>
        </w:rPr>
        <w:t>The table below shows the aggregate number of shares underlying outstanding restricted stock units held by the named individuals as of December 31, 2024.</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6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RSUs (Shares)</w:t>
            </w:r>
          </w:p>
        </w:tc>
      </w:tr>
      <w:tr>
        <w:trPr>
          <w:trHeight w:val="250"/>
        </w:trPr>
        <w:tc>
          <w:tcPr>
            <w:tcW w:w="4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Blinn</w:t>
            </w:r>
          </w:p>
        </w:tc>
        <w:tc>
          <w:tcPr>
            <w:tcW w:w="466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11,693</w:t>
            </w:r>
          </w:p>
        </w:tc>
      </w:tr>
      <w:tr>
        <w:trPr>
          <w:trHeight w:val="247"/>
        </w:trPr>
        <w:tc>
          <w:tcPr>
            <w:tcW w:w="4820" w:type="dxa"/>
            <w:vAlign w:val="bottom"/>
          </w:tcPr>
          <w:p>
            <w:pPr>
              <w:ind w:left="20"/>
              <w:spacing w:after="0"/>
              <w:rPr>
                <w:sz w:val="20"/>
                <w:szCs w:val="20"/>
                <w:color w:val="auto"/>
              </w:rPr>
            </w:pPr>
            <w:r>
              <w:rPr>
                <w:rFonts w:ascii="Arial" w:cs="Arial" w:eastAsia="Arial" w:hAnsi="Arial"/>
                <w:sz w:val="18"/>
                <w:szCs w:val="18"/>
                <w:color w:val="auto"/>
              </w:rPr>
              <w:t>Todd Bluedorn</w:t>
            </w:r>
          </w:p>
        </w:tc>
        <w:tc>
          <w:tcPr>
            <w:tcW w:w="4660" w:type="dxa"/>
            <w:vAlign w:val="bottom"/>
          </w:tcPr>
          <w:p>
            <w:pPr>
              <w:jc w:val="right"/>
              <w:ind w:right="492"/>
              <w:spacing w:after="0"/>
              <w:rPr>
                <w:sz w:val="20"/>
                <w:szCs w:val="20"/>
                <w:color w:val="auto"/>
              </w:rPr>
            </w:pPr>
            <w:r>
              <w:rPr>
                <w:rFonts w:ascii="Arial" w:cs="Arial" w:eastAsia="Arial" w:hAnsi="Arial"/>
                <w:sz w:val="18"/>
                <w:szCs w:val="18"/>
                <w:color w:val="auto"/>
              </w:rPr>
              <w:t>2,422</w:t>
            </w:r>
          </w:p>
        </w:tc>
      </w:tr>
      <w:tr>
        <w:trPr>
          <w:trHeight w:val="23"/>
        </w:trPr>
        <w:tc>
          <w:tcPr>
            <w:tcW w:w="482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4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Clark</w:t>
            </w:r>
          </w:p>
        </w:tc>
        <w:tc>
          <w:tcPr>
            <w:tcW w:w="466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10,202</w:t>
            </w:r>
          </w:p>
        </w:tc>
      </w:tr>
      <w:tr>
        <w:trPr>
          <w:trHeight w:val="247"/>
        </w:trPr>
        <w:tc>
          <w:tcPr>
            <w:tcW w:w="4820" w:type="dxa"/>
            <w:vAlign w:val="bottom"/>
          </w:tcPr>
          <w:p>
            <w:pPr>
              <w:ind w:left="20"/>
              <w:spacing w:after="0"/>
              <w:rPr>
                <w:sz w:val="20"/>
                <w:szCs w:val="20"/>
                <w:color w:val="auto"/>
              </w:rPr>
            </w:pPr>
            <w:r>
              <w:rPr>
                <w:rFonts w:ascii="Arial" w:cs="Arial" w:eastAsia="Arial" w:hAnsi="Arial"/>
                <w:sz w:val="18"/>
                <w:szCs w:val="18"/>
                <w:color w:val="auto"/>
              </w:rPr>
              <w:t>Carrie Cox</w:t>
            </w:r>
          </w:p>
        </w:tc>
        <w:tc>
          <w:tcPr>
            <w:tcW w:w="4660" w:type="dxa"/>
            <w:vAlign w:val="bottom"/>
          </w:tcPr>
          <w:p>
            <w:pPr>
              <w:jc w:val="right"/>
              <w:ind w:right="492"/>
              <w:spacing w:after="0"/>
              <w:rPr>
                <w:sz w:val="20"/>
                <w:szCs w:val="20"/>
                <w:color w:val="auto"/>
              </w:rPr>
            </w:pPr>
            <w:r>
              <w:rPr>
                <w:rFonts w:ascii="Arial" w:cs="Arial" w:eastAsia="Arial" w:hAnsi="Arial"/>
                <w:sz w:val="18"/>
                <w:szCs w:val="18"/>
                <w:color w:val="auto"/>
              </w:rPr>
              <w:t>33,348</w:t>
            </w:r>
          </w:p>
        </w:tc>
      </w:tr>
      <w:tr>
        <w:trPr>
          <w:trHeight w:val="23"/>
        </w:trPr>
        <w:tc>
          <w:tcPr>
            <w:tcW w:w="482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4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Craighead</w:t>
            </w:r>
          </w:p>
        </w:tc>
        <w:tc>
          <w:tcPr>
            <w:tcW w:w="466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2,422</w:t>
            </w:r>
          </w:p>
        </w:tc>
      </w:tr>
      <w:tr>
        <w:trPr>
          <w:trHeight w:val="247"/>
        </w:trPr>
        <w:tc>
          <w:tcPr>
            <w:tcW w:w="4820" w:type="dxa"/>
            <w:vAlign w:val="bottom"/>
          </w:tcPr>
          <w:p>
            <w:pPr>
              <w:ind w:left="20"/>
              <w:spacing w:after="0"/>
              <w:rPr>
                <w:sz w:val="20"/>
                <w:szCs w:val="20"/>
                <w:color w:val="auto"/>
              </w:rPr>
            </w:pPr>
            <w:r>
              <w:rPr>
                <w:rFonts w:ascii="Arial" w:cs="Arial" w:eastAsia="Arial" w:hAnsi="Arial"/>
                <w:sz w:val="18"/>
                <w:szCs w:val="18"/>
                <w:color w:val="auto"/>
              </w:rPr>
              <w:t>Reginald DesRoches</w:t>
            </w:r>
          </w:p>
        </w:tc>
        <w:tc>
          <w:tcPr>
            <w:tcW w:w="4660" w:type="dxa"/>
            <w:vAlign w:val="bottom"/>
          </w:tcPr>
          <w:p>
            <w:pPr>
              <w:jc w:val="right"/>
              <w:ind w:right="492"/>
              <w:spacing w:after="0"/>
              <w:rPr>
                <w:sz w:val="20"/>
                <w:szCs w:val="20"/>
                <w:color w:val="auto"/>
              </w:rPr>
            </w:pPr>
            <w:r>
              <w:rPr>
                <w:rFonts w:ascii="Arial" w:cs="Arial" w:eastAsia="Arial" w:hAnsi="Arial"/>
                <w:sz w:val="18"/>
                <w:szCs w:val="18"/>
                <w:color w:val="auto"/>
              </w:rPr>
              <w:t>1,169</w:t>
            </w:r>
          </w:p>
        </w:tc>
      </w:tr>
      <w:tr>
        <w:trPr>
          <w:trHeight w:val="23"/>
        </w:trPr>
        <w:tc>
          <w:tcPr>
            <w:tcW w:w="482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4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Curtis Farmer</w:t>
            </w:r>
          </w:p>
        </w:tc>
        <w:tc>
          <w:tcPr>
            <w:tcW w:w="466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1,772</w:t>
            </w:r>
          </w:p>
        </w:tc>
      </w:tr>
      <w:tr>
        <w:trPr>
          <w:trHeight w:val="247"/>
        </w:trPr>
        <w:tc>
          <w:tcPr>
            <w:tcW w:w="4820" w:type="dxa"/>
            <w:vAlign w:val="bottom"/>
          </w:tcPr>
          <w:p>
            <w:pPr>
              <w:ind w:left="20"/>
              <w:spacing w:after="0"/>
              <w:rPr>
                <w:sz w:val="20"/>
                <w:szCs w:val="20"/>
                <w:color w:val="auto"/>
              </w:rPr>
            </w:pPr>
            <w:r>
              <w:rPr>
                <w:rFonts w:ascii="Arial" w:cs="Arial" w:eastAsia="Arial" w:hAnsi="Arial"/>
                <w:sz w:val="18"/>
                <w:szCs w:val="18"/>
                <w:color w:val="auto"/>
              </w:rPr>
              <w:t>Jean Hobby</w:t>
            </w:r>
          </w:p>
        </w:tc>
        <w:tc>
          <w:tcPr>
            <w:tcW w:w="4660" w:type="dxa"/>
            <w:vAlign w:val="bottom"/>
          </w:tcPr>
          <w:p>
            <w:pPr>
              <w:jc w:val="right"/>
              <w:ind w:right="492"/>
              <w:spacing w:after="0"/>
              <w:rPr>
                <w:sz w:val="20"/>
                <w:szCs w:val="20"/>
                <w:color w:val="auto"/>
              </w:rPr>
            </w:pPr>
            <w:r>
              <w:rPr>
                <w:rFonts w:ascii="Arial" w:cs="Arial" w:eastAsia="Arial" w:hAnsi="Arial"/>
                <w:sz w:val="18"/>
                <w:szCs w:val="18"/>
                <w:color w:val="auto"/>
              </w:rPr>
              <w:t>2,422</w:t>
            </w:r>
          </w:p>
        </w:tc>
      </w:tr>
      <w:tr>
        <w:trPr>
          <w:trHeight w:val="23"/>
        </w:trPr>
        <w:tc>
          <w:tcPr>
            <w:tcW w:w="482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4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Ronald Kirk</w:t>
            </w:r>
          </w:p>
        </w:tc>
        <w:tc>
          <w:tcPr>
            <w:tcW w:w="466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2,422</w:t>
            </w:r>
          </w:p>
        </w:tc>
      </w:tr>
      <w:tr>
        <w:trPr>
          <w:trHeight w:val="247"/>
        </w:trPr>
        <w:tc>
          <w:tcPr>
            <w:tcW w:w="4820" w:type="dxa"/>
            <w:vAlign w:val="bottom"/>
          </w:tcPr>
          <w:p>
            <w:pPr>
              <w:ind w:left="20"/>
              <w:spacing w:after="0"/>
              <w:rPr>
                <w:sz w:val="20"/>
                <w:szCs w:val="20"/>
                <w:color w:val="auto"/>
              </w:rPr>
            </w:pPr>
            <w:r>
              <w:rPr>
                <w:rFonts w:ascii="Arial" w:cs="Arial" w:eastAsia="Arial" w:hAnsi="Arial"/>
                <w:sz w:val="18"/>
                <w:szCs w:val="18"/>
                <w:color w:val="auto"/>
              </w:rPr>
              <w:t>Pamela Patsley</w:t>
            </w:r>
          </w:p>
        </w:tc>
        <w:tc>
          <w:tcPr>
            <w:tcW w:w="4660" w:type="dxa"/>
            <w:vAlign w:val="bottom"/>
          </w:tcPr>
          <w:p>
            <w:pPr>
              <w:jc w:val="right"/>
              <w:ind w:right="492"/>
              <w:spacing w:after="0"/>
              <w:rPr>
                <w:sz w:val="20"/>
                <w:szCs w:val="20"/>
                <w:color w:val="auto"/>
              </w:rPr>
            </w:pPr>
            <w:r>
              <w:rPr>
                <w:rFonts w:ascii="Arial" w:cs="Arial" w:eastAsia="Arial" w:hAnsi="Arial"/>
                <w:sz w:val="18"/>
                <w:szCs w:val="18"/>
                <w:color w:val="auto"/>
              </w:rPr>
              <w:t>4,422</w:t>
            </w:r>
          </w:p>
        </w:tc>
      </w:tr>
      <w:tr>
        <w:trPr>
          <w:trHeight w:val="23"/>
        </w:trPr>
        <w:tc>
          <w:tcPr>
            <w:tcW w:w="482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47"/>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Sanchez</w:t>
            </w:r>
          </w:p>
        </w:tc>
        <w:tc>
          <w:tcPr>
            <w:tcW w:w="4660" w:type="dxa"/>
            <w:vAlign w:val="bottom"/>
            <w:shd w:val="clear" w:color="auto" w:fill="DBDBDB"/>
          </w:tcPr>
          <w:p>
            <w:pPr>
              <w:jc w:val="right"/>
              <w:ind w:right="492"/>
              <w:spacing w:after="0"/>
              <w:rPr>
                <w:sz w:val="20"/>
                <w:szCs w:val="20"/>
                <w:color w:val="auto"/>
              </w:rPr>
            </w:pPr>
            <w:r>
              <w:rPr>
                <w:rFonts w:ascii="Arial" w:cs="Arial" w:eastAsia="Arial" w:hAnsi="Arial"/>
                <w:sz w:val="18"/>
                <w:szCs w:val="18"/>
                <w:color w:val="auto"/>
              </w:rPr>
              <w:t>9,289</w:t>
            </w:r>
          </w:p>
        </w:tc>
      </w:tr>
      <w:tr>
        <w:trPr>
          <w:trHeight w:val="23"/>
        </w:trPr>
        <w:tc>
          <w:tcPr>
            <w:tcW w:w="4820" w:type="dxa"/>
            <w:vAlign w:val="bottom"/>
            <w:shd w:val="clear" w:color="auto" w:fill="DBDBDB"/>
          </w:tcPr>
          <w:p>
            <w:pPr>
              <w:spacing w:after="0"/>
              <w:rPr>
                <w:sz w:val="2"/>
                <w:szCs w:val="2"/>
                <w:color w:val="auto"/>
              </w:rPr>
            </w:pPr>
          </w:p>
        </w:tc>
        <w:tc>
          <w:tcPr>
            <w:tcW w:w="466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98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type w:val="continuous"/>
        </w:sectPr>
      </w:pPr>
    </w:p>
    <w:bookmarkStart w:id="21" w:name="page22"/>
    <w:bookmarkEnd w:id="21"/>
    <w:p>
      <w:pPr>
        <w:ind w:left="492" w:hanging="492"/>
        <w:spacing w:after="0" w:line="262" w:lineRule="auto"/>
        <w:tabs>
          <w:tab w:leader="none" w:pos="482"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granted in 2024 calculated in accordance with ASC 718. The discussion of the assumptions used for purposes of calculating the grant date fair value appears in Note 3 to the 2024 financial statements. The terms of these options are as set forth on page 19. The table below shows the aggregate number of shares underlying outstanding stock options held by the named individuals as of December 31, 2024.</w:t>
      </w:r>
    </w:p>
    <w:p>
      <w:pPr>
        <w:spacing w:after="0" w:line="24" w:lineRule="exact"/>
        <w:rPr>
          <w:sz w:val="20"/>
          <w:szCs w:val="20"/>
          <w:color w:val="auto"/>
        </w:rPr>
      </w:pPr>
    </w:p>
    <w:tbl>
      <w:tblPr>
        <w:tblLayout w:type="fixed"/>
        <w:tblInd w:w="492" w:type="dxa"/>
        <w:tblCellMar>
          <w:top w:w="0" w:type="dxa"/>
          <w:left w:w="0" w:type="dxa"/>
          <w:bottom w:w="0" w:type="dxa"/>
          <w:right w:w="0" w:type="dxa"/>
        </w:tblCellMar>
      </w:tblPr>
      <w:tr>
        <w:trPr>
          <w:trHeight w:val="205"/>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7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Options (Shares)</w:t>
            </w:r>
          </w:p>
        </w:tc>
      </w:tr>
      <w:tr>
        <w:trPr>
          <w:trHeight w:val="250"/>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Blinn</w:t>
            </w:r>
          </w:p>
        </w:tc>
        <w:tc>
          <w:tcPr>
            <w:tcW w:w="470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10,194</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Todd Bluedorn</w:t>
            </w:r>
          </w:p>
        </w:tc>
        <w:tc>
          <w:tcPr>
            <w:tcW w:w="4700" w:type="dxa"/>
            <w:vAlign w:val="bottom"/>
          </w:tcPr>
          <w:p>
            <w:pPr>
              <w:jc w:val="right"/>
              <w:ind w:right="492"/>
              <w:spacing w:after="0"/>
              <w:rPr>
                <w:sz w:val="20"/>
                <w:szCs w:val="20"/>
                <w:color w:val="auto"/>
              </w:rPr>
            </w:pPr>
            <w:r>
              <w:rPr>
                <w:rFonts w:ascii="Arial" w:cs="Arial" w:eastAsia="Arial" w:hAnsi="Arial"/>
                <w:sz w:val="18"/>
                <w:szCs w:val="18"/>
                <w:color w:val="auto"/>
              </w:rPr>
              <w:t>22,943</w:t>
            </w:r>
          </w:p>
        </w:tc>
      </w:tr>
      <w:tr>
        <w:trPr>
          <w:trHeight w:val="23"/>
        </w:trPr>
        <w:tc>
          <w:tcPr>
            <w:tcW w:w="47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Clark</w:t>
            </w:r>
          </w:p>
        </w:tc>
        <w:tc>
          <w:tcPr>
            <w:tcW w:w="470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29,008</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Carrie Cox</w:t>
            </w:r>
          </w:p>
        </w:tc>
        <w:tc>
          <w:tcPr>
            <w:tcW w:w="4700" w:type="dxa"/>
            <w:vAlign w:val="bottom"/>
          </w:tcPr>
          <w:p>
            <w:pPr>
              <w:jc w:val="right"/>
              <w:ind w:right="492"/>
              <w:spacing w:after="0"/>
              <w:rPr>
                <w:sz w:val="20"/>
                <w:szCs w:val="20"/>
                <w:color w:val="auto"/>
              </w:rPr>
            </w:pPr>
            <w:r>
              <w:rPr>
                <w:rFonts w:ascii="Arial" w:cs="Arial" w:eastAsia="Arial" w:hAnsi="Arial"/>
                <w:sz w:val="18"/>
                <w:szCs w:val="18"/>
                <w:color w:val="auto"/>
              </w:rPr>
              <w:t>22,943</w:t>
            </w:r>
          </w:p>
        </w:tc>
      </w:tr>
      <w:tr>
        <w:trPr>
          <w:trHeight w:val="23"/>
        </w:trPr>
        <w:tc>
          <w:tcPr>
            <w:tcW w:w="47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Craighead</w:t>
            </w:r>
          </w:p>
        </w:tc>
        <w:tc>
          <w:tcPr>
            <w:tcW w:w="470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18,637</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Reginald DesRoches</w:t>
            </w:r>
          </w:p>
        </w:tc>
        <w:tc>
          <w:tcPr>
            <w:tcW w:w="4700" w:type="dxa"/>
            <w:vAlign w:val="bottom"/>
          </w:tcPr>
          <w:p>
            <w:pPr>
              <w:jc w:val="right"/>
              <w:ind w:right="492"/>
              <w:spacing w:after="0"/>
              <w:rPr>
                <w:sz w:val="20"/>
                <w:szCs w:val="20"/>
                <w:color w:val="auto"/>
              </w:rPr>
            </w:pPr>
            <w:r>
              <w:rPr>
                <w:rFonts w:ascii="Arial" w:cs="Arial" w:eastAsia="Arial" w:hAnsi="Arial"/>
                <w:sz w:val="18"/>
                <w:szCs w:val="18"/>
                <w:color w:val="auto"/>
              </w:rPr>
              <w:t>—</w:t>
            </w:r>
          </w:p>
        </w:tc>
      </w:tr>
      <w:tr>
        <w:trPr>
          <w:trHeight w:val="23"/>
        </w:trPr>
        <w:tc>
          <w:tcPr>
            <w:tcW w:w="47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Curtis Farmer</w:t>
            </w:r>
          </w:p>
        </w:tc>
        <w:tc>
          <w:tcPr>
            <w:tcW w:w="470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3,066</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Jean Hobby</w:t>
            </w:r>
          </w:p>
        </w:tc>
        <w:tc>
          <w:tcPr>
            <w:tcW w:w="4700" w:type="dxa"/>
            <w:vAlign w:val="bottom"/>
          </w:tcPr>
          <w:p>
            <w:pPr>
              <w:jc w:val="right"/>
              <w:ind w:right="492"/>
              <w:spacing w:after="0"/>
              <w:rPr>
                <w:sz w:val="20"/>
                <w:szCs w:val="20"/>
                <w:color w:val="auto"/>
              </w:rPr>
            </w:pPr>
            <w:r>
              <w:rPr>
                <w:rFonts w:ascii="Arial" w:cs="Arial" w:eastAsia="Arial" w:hAnsi="Arial"/>
                <w:sz w:val="18"/>
                <w:szCs w:val="18"/>
                <w:color w:val="auto"/>
              </w:rPr>
              <w:t>10,194</w:t>
            </w:r>
          </w:p>
        </w:tc>
      </w:tr>
      <w:tr>
        <w:trPr>
          <w:trHeight w:val="23"/>
        </w:trPr>
        <w:tc>
          <w:tcPr>
            <w:tcW w:w="47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Ronald Kirk</w:t>
            </w:r>
          </w:p>
        </w:tc>
        <w:tc>
          <w:tcPr>
            <w:tcW w:w="470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38,998</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Pamela Patsley</w:t>
            </w:r>
          </w:p>
        </w:tc>
        <w:tc>
          <w:tcPr>
            <w:tcW w:w="4700" w:type="dxa"/>
            <w:vAlign w:val="bottom"/>
          </w:tcPr>
          <w:p>
            <w:pPr>
              <w:jc w:val="right"/>
              <w:ind w:right="492"/>
              <w:spacing w:after="0"/>
              <w:rPr>
                <w:sz w:val="20"/>
                <w:szCs w:val="20"/>
                <w:color w:val="auto"/>
              </w:rPr>
            </w:pPr>
            <w:r>
              <w:rPr>
                <w:rFonts w:ascii="Arial" w:cs="Arial" w:eastAsia="Arial" w:hAnsi="Arial"/>
                <w:sz w:val="18"/>
                <w:szCs w:val="18"/>
                <w:color w:val="auto"/>
              </w:rPr>
              <w:t>22,943</w:t>
            </w:r>
          </w:p>
        </w:tc>
      </w:tr>
      <w:tr>
        <w:trPr>
          <w:trHeight w:val="23"/>
        </w:trPr>
        <w:tc>
          <w:tcPr>
            <w:tcW w:w="47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47"/>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Sanchez</w:t>
            </w:r>
          </w:p>
        </w:tc>
        <w:tc>
          <w:tcPr>
            <w:tcW w:w="4700" w:type="dxa"/>
            <w:vAlign w:val="bottom"/>
            <w:shd w:val="clear" w:color="auto" w:fill="DBDBDB"/>
          </w:tcPr>
          <w:p>
            <w:pPr>
              <w:jc w:val="right"/>
              <w:ind w:right="492"/>
              <w:spacing w:after="0"/>
              <w:rPr>
                <w:sz w:val="20"/>
                <w:szCs w:val="20"/>
                <w:color w:val="auto"/>
              </w:rPr>
            </w:pPr>
            <w:r>
              <w:rPr>
                <w:rFonts w:ascii="Arial" w:cs="Arial" w:eastAsia="Arial" w:hAnsi="Arial"/>
                <w:sz w:val="18"/>
                <w:szCs w:val="18"/>
                <w:color w:val="auto"/>
              </w:rPr>
              <w:t>29,008</w:t>
            </w:r>
          </w:p>
        </w:tc>
      </w:tr>
      <w:tr>
        <w:trPr>
          <w:trHeight w:val="23"/>
        </w:trPr>
        <w:tc>
          <w:tcPr>
            <w:tcW w:w="4780" w:type="dxa"/>
            <w:vAlign w:val="bottom"/>
            <w:shd w:val="clear" w:color="auto" w:fill="DBDBDB"/>
          </w:tcPr>
          <w:p>
            <w:pPr>
              <w:spacing w:after="0"/>
              <w:rPr>
                <w:sz w:val="2"/>
                <w:szCs w:val="2"/>
                <w:color w:val="auto"/>
              </w:rPr>
            </w:pPr>
          </w:p>
        </w:tc>
        <w:tc>
          <w:tcPr>
            <w:tcW w:w="4700" w:type="dxa"/>
            <w:vAlign w:val="bottom"/>
            <w:shd w:val="clear" w:color="auto" w:fill="DBDBDB"/>
          </w:tcPr>
          <w:p>
            <w:pPr>
              <w:spacing w:after="0"/>
              <w:rPr>
                <w:sz w:val="2"/>
                <w:szCs w:val="2"/>
                <w:color w:val="auto"/>
              </w:rPr>
            </w:pPr>
          </w:p>
        </w:tc>
      </w:tr>
    </w:tbl>
    <w:p>
      <w:pPr>
        <w:spacing w:after="0" w:line="292" w:lineRule="exact"/>
        <w:rPr>
          <w:sz w:val="20"/>
          <w:szCs w:val="20"/>
          <w:color w:val="auto"/>
        </w:rPr>
      </w:pPr>
    </w:p>
    <w:p>
      <w:pPr>
        <w:ind w:left="492" w:hanging="492"/>
        <w:spacing w:after="0" w:line="259" w:lineRule="auto"/>
        <w:tabs>
          <w:tab w:leader="none" w:pos="482"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 rules require the disclosure of earnings on deferred compensation to the extent that the interest rate exceeds a specified rate (Federal Rate), which is 120% of the applicable federal long-term interest rate with compounding. Under the terms of the Director Plan, deferred compensation cash amounts earn interest at a rate based on Moody’s Seasoned Aaa Corporate Bonds. For 2024, this interest rate exceeded the Federal Rate by 0.43 percentage points. Shown is the amount of interest earned on the directors’ deferred compensation accounts that was in excess of the Federal Rate.</w:t>
      </w:r>
    </w:p>
    <w:p>
      <w:pPr>
        <w:spacing w:after="0" w:line="71" w:lineRule="exact"/>
        <w:rPr>
          <w:rFonts w:ascii="Arial" w:cs="Arial" w:eastAsia="Arial" w:hAnsi="Arial"/>
          <w:sz w:val="18"/>
          <w:szCs w:val="18"/>
          <w:color w:val="auto"/>
        </w:rPr>
      </w:pPr>
    </w:p>
    <w:p>
      <w:pPr>
        <w:ind w:left="492" w:right="100" w:hanging="492"/>
        <w:spacing w:after="0" w:line="268" w:lineRule="auto"/>
        <w:tabs>
          <w:tab w:leader="none" w:pos="482"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(i) the annual cost ($40 per director) of premiums for travel and accident insurance policies and (ii) contributions under the TI Foundation matching gift program of $30,000 for Ms. Clark, $27,500 for Ms. Cox, $5,000 for Mr. Craighead, $22,500 for Dr. DesRoches, $15,000 for Mr. Kirk, $30,000 for Ms. Patsley and $30,000 for Mr. Sanchez.</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242424"/>
        </w:rPr>
        <w:t>2025 PROXY STATEMENT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769" w:right="37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Executive compensation</w:t>
      </w:r>
    </w:p>
    <w:p>
      <w:pPr>
        <w:spacing w:after="0" w:line="21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are providing shareholders the opportunity to cast advisory votes on named executive officer compensation as required by Section 14A of the Securities Exchange Act.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regarding advisory approval of the company’s executive compensation</w:t>
      </w:r>
    </w:p>
    <w:p>
      <w:pPr>
        <w:spacing w:after="0" w:line="234"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“named executive officers” are the chief executive officer, the chief financial officer and the three other most highly compensated executive officers, as named in the compensation tables on pages 37-50.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ask shareholders to approve the following resolution:</w:t>
      </w:r>
    </w:p>
    <w:p>
      <w:pPr>
        <w:spacing w:after="0" w:line="225" w:lineRule="exact"/>
        <w:rPr>
          <w:sz w:val="20"/>
          <w:szCs w:val="20"/>
          <w:color w:val="auto"/>
        </w:rPr>
      </w:pPr>
    </w:p>
    <w:p>
      <w:pPr>
        <w:ind w:left="500" w:right="160"/>
        <w:spacing w:after="0" w:line="268" w:lineRule="auto"/>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the Securities and Exchange Commission’s compensation disclosure rules, including the Compensation Discussion and Analysis, compensation tables and narrative discussion on pages 22-50 of this proxy statement, is hereby approved.</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encourage shareholders to review the Compensation Discussion and Analysis section of the proxy statement, which follows. It discusses our executive compensation policies and programs and explains the compensation decisions relating to the named executive officers for 2024. We believe that the policies and programs serve the interests of our shareholders and that the compensation received by the named executive officers is commensurate with the performance and strategic position of the company.</w:t>
      </w:r>
    </w:p>
    <w:p>
      <w:pPr>
        <w:spacing w:after="0" w:line="17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Although the outcome of this annual vote is not binding on the company or the board, the compensation committee of the board will consider it when setting future compensation for the executive officers.</w:t>
      </w:r>
    </w:p>
    <w:p>
      <w:pPr>
        <w:spacing w:after="0" w:line="153" w:lineRule="exact"/>
        <w:rPr>
          <w:sz w:val="20"/>
          <w:szCs w:val="20"/>
          <w:color w:val="auto"/>
        </w:rPr>
      </w:pPr>
    </w:p>
    <w:p>
      <w:pPr>
        <w:ind w:right="460"/>
        <w:spacing w:after="0" w:line="296" w:lineRule="auto"/>
        <w:rPr>
          <w:sz w:val="20"/>
          <w:szCs w:val="20"/>
          <w:color w:val="auto"/>
        </w:rPr>
      </w:pPr>
      <w:r>
        <w:rPr>
          <w:rFonts w:ascii="Arial" w:cs="Arial" w:eastAsia="Arial" w:hAnsi="Arial"/>
          <w:sz w:val="18"/>
          <w:szCs w:val="18"/>
          <w:b w:val="1"/>
          <w:bCs w:val="1"/>
          <w:color w:val="auto"/>
        </w:rPr>
        <w:t>The board of directors recommends a vote For the annual resolution approving the named executive officer compensation for 2024, as disclosed in this proxy statement.</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discussion and analysis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This section describes TI’s compensation program for executive officers. It will provide insight into the following:</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elements of the 2024 compensation program, why we selected them and how they relate to one another;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How we determined the amount of compensation for 2024.</w:t>
      </w:r>
    </w:p>
    <w:p>
      <w:pPr>
        <w:spacing w:after="0" w:line="22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executive officers of the company have the broadest job responsibilities and policy-making authority in the company. We hold them accountable for the company’s performance and for maintaining a culture of strong ethics and compliance. Details of compensation for our CEO, our CFO and the three other highest paid individuals who were executive officers in 2024 (collectively called the “named executive officers” (NEOs)) can be found in the tables following the compensation committee report.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Executive summary</w:t>
      </w:r>
    </w:p>
    <w:p>
      <w:pPr>
        <w:spacing w:after="0" w:line="232" w:lineRule="exact"/>
        <w:rPr>
          <w:sz w:val="20"/>
          <w:szCs w:val="20"/>
          <w:color w:val="auto"/>
        </w:rPr>
      </w:pPr>
    </w:p>
    <w:p>
      <w:pPr>
        <w:ind w:left="660" w:right="200" w:hanging="328"/>
        <w:spacing w:after="0" w:line="262" w:lineRule="auto"/>
        <w:tabs>
          <w:tab w:leader="none" w:pos="655"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TI’s compensation program is structured to pay for performance and deliver rewards that encourage executives to think and act in both the short- and long-term interests of our shareholders. The majority of total compensation for our executives each year comes in the form of variable cash and equity compensation. Variable cash is tied to the short-term performance of the company, and the value of equity is tied to the long-term performance of the company. We believe our compensation program holds our executive officers accountable for the financial and competitive performance of TI.</w:t>
      </w:r>
    </w:p>
    <w:p>
      <w:pPr>
        <w:spacing w:after="0" w:line="4" w:lineRule="exact"/>
        <w:rPr>
          <w:rFonts w:ascii="Arial" w:cs="Arial" w:eastAsia="Arial" w:hAnsi="Arial"/>
          <w:sz w:val="18"/>
          <w:szCs w:val="18"/>
          <w:b w:val="1"/>
          <w:bCs w:val="1"/>
          <w:color w:val="auto"/>
        </w:rPr>
      </w:pPr>
    </w:p>
    <w:p>
      <w:pPr>
        <w:ind w:left="660" w:hanging="328"/>
        <w:spacing w:after="0" w:line="259"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compensation committee assesses TI’s results using quantitative and qualitative measures on an absolute and relative basis, as well as TI’s strategic progress. For 2024, TI’s revenue declined, and relative performance was below median. Operating profit margin remained positive on an absolute basis, and above median relative to Semiconductor Peers (as defined below in “Analysis of compensation determinations – Bonus”). Total shareholder return (TSR) was positive on an absolute basis, and above median relative to Semiconductor Peers. In addition to these year-on-year results, the committee determined that the company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2025 PROXY STATEMENT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23" w:name="page24"/>
    <w:bookmarkEnd w:id="23"/>
    <w:p>
      <w:pPr>
        <w:ind w:left="660" w:right="80"/>
        <w:spacing w:after="0" w:line="268" w:lineRule="auto"/>
        <w:rPr>
          <w:sz w:val="20"/>
          <w:szCs w:val="20"/>
          <w:color w:val="auto"/>
        </w:rPr>
      </w:pPr>
      <w:r>
        <w:rPr>
          <w:rFonts w:ascii="Arial" w:cs="Arial" w:eastAsia="Arial" w:hAnsi="Arial"/>
          <w:sz w:val="18"/>
          <w:szCs w:val="18"/>
          <w:color w:val="auto"/>
        </w:rPr>
        <w:t>continued to strengthen its strategic position, which will benefit the company and drive value for shareholders for the long term. This strategic progress includes continued investments to extend the company’s manufacturing advantage to support future revenue growth and provide customers with geopolitically dependable, low-cost 300mm capacity at scale.</w:t>
      </w:r>
    </w:p>
    <w:p>
      <w:pPr>
        <w:spacing w:after="0" w:line="9" w:lineRule="exact"/>
        <w:rPr>
          <w:sz w:val="20"/>
          <w:szCs w:val="20"/>
          <w:color w:val="auto"/>
        </w:rPr>
      </w:pPr>
    </w:p>
    <w:p>
      <w:pPr>
        <w:ind w:left="660" w:right="320" w:hanging="328"/>
        <w:spacing w:after="0" w:line="28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this year’s performance assessment, the compensation committee determined executive bonuses payable in February 2025 should be down 5% year-on-year.</w:t>
      </w:r>
    </w:p>
    <w:p>
      <w:pPr>
        <w:spacing w:after="0" w:line="17" w:lineRule="exact"/>
        <w:rPr>
          <w:sz w:val="20"/>
          <w:szCs w:val="20"/>
          <w:color w:val="auto"/>
        </w:rPr>
      </w:pPr>
    </w:p>
    <w:tbl>
      <w:tblPr>
        <w:tblLayout w:type="fixed"/>
        <w:tblInd w:w="670" w:type="dxa"/>
        <w:tblCellMar>
          <w:top w:w="0" w:type="dxa"/>
          <w:left w:w="0" w:type="dxa"/>
          <w:bottom w:w="0" w:type="dxa"/>
          <w:right w:w="0" w:type="dxa"/>
        </w:tblCellMar>
      </w:tblPr>
      <w:tr>
        <w:trPr>
          <w:trHeight w:val="237"/>
        </w:trPr>
        <w:tc>
          <w:tcPr>
            <w:tcW w:w="4720" w:type="dxa"/>
            <w:vAlign w:val="bottom"/>
            <w:tcBorders>
              <w:bottom w:val="single" w:sz="8" w:color="auto"/>
              <w:right w:val="single" w:sz="8" w:color="auto"/>
            </w:tcBorders>
          </w:tcPr>
          <w:p>
            <w:pPr>
              <w:spacing w:after="0"/>
              <w:rPr>
                <w:sz w:val="20"/>
                <w:szCs w:val="20"/>
                <w:color w:val="auto"/>
              </w:rPr>
            </w:pPr>
          </w:p>
        </w:tc>
        <w:tc>
          <w:tcPr>
            <w:tcW w:w="2440" w:type="dxa"/>
            <w:vAlign w:val="bottom"/>
            <w:tcBorders>
              <w:top w:val="single" w:sz="8" w:color="auto"/>
              <w:bottom w:val="single" w:sz="8" w:color="auto"/>
              <w:right w:val="single" w:sz="8" w:color="auto"/>
            </w:tcBorders>
            <w:shd w:val="clear" w:color="auto" w:fill="DBDBDB"/>
          </w:tcPr>
          <w:p>
            <w:pPr>
              <w:ind w:left="260"/>
              <w:spacing w:after="0"/>
              <w:rPr>
                <w:sz w:val="20"/>
                <w:szCs w:val="20"/>
                <w:color w:val="auto"/>
              </w:rPr>
            </w:pPr>
            <w:r>
              <w:rPr>
                <w:rFonts w:ascii="Arial" w:cs="Arial" w:eastAsia="Arial" w:hAnsi="Arial"/>
                <w:sz w:val="14"/>
                <w:szCs w:val="14"/>
                <w:b w:val="1"/>
                <w:bCs w:val="1"/>
                <w:color w:val="auto"/>
              </w:rPr>
              <w:t>2024 Absolute Performance</w:t>
            </w:r>
          </w:p>
        </w:tc>
        <w:tc>
          <w:tcPr>
            <w:tcW w:w="2380" w:type="dxa"/>
            <w:vAlign w:val="bottom"/>
            <w:tcBorders>
              <w:top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2024 Relative Performance *</w:t>
            </w:r>
          </w:p>
        </w:tc>
        <w:tc>
          <w:tcPr>
            <w:tcW w:w="0" w:type="dxa"/>
            <w:vAlign w:val="bottom"/>
          </w:tcPr>
          <w:p>
            <w:pPr>
              <w:spacing w:after="0"/>
              <w:rPr>
                <w:sz w:val="1"/>
                <w:szCs w:val="1"/>
                <w:color w:val="auto"/>
              </w:rPr>
            </w:pPr>
          </w:p>
        </w:tc>
      </w:tr>
      <w:tr>
        <w:trPr>
          <w:trHeight w:val="270"/>
        </w:trPr>
        <w:tc>
          <w:tcPr>
            <w:tcW w:w="4720" w:type="dxa"/>
            <w:vAlign w:val="bottom"/>
            <w:tcBorders>
              <w:left w:val="single" w:sz="8" w:color="auto"/>
              <w:bottom w:val="single" w:sz="8" w:color="DBDBDB"/>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Revenue Growth: Total TI</w:t>
            </w:r>
          </w:p>
        </w:tc>
        <w:tc>
          <w:tcPr>
            <w:tcW w:w="244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-10.7%</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Below median</w:t>
            </w:r>
          </w:p>
        </w:tc>
        <w:tc>
          <w:tcPr>
            <w:tcW w:w="0" w:type="dxa"/>
            <w:vAlign w:val="bottom"/>
          </w:tcPr>
          <w:p>
            <w:pPr>
              <w:spacing w:after="0"/>
              <w:rPr>
                <w:sz w:val="1"/>
                <w:szCs w:val="1"/>
                <w:color w:val="auto"/>
              </w:rPr>
            </w:pPr>
          </w:p>
        </w:tc>
      </w:tr>
      <w:tr>
        <w:trPr>
          <w:trHeight w:val="218"/>
        </w:trPr>
        <w:tc>
          <w:tcPr>
            <w:tcW w:w="4720" w:type="dxa"/>
            <w:vAlign w:val="bottom"/>
            <w:tcBorders>
              <w:top w:val="single" w:sz="8" w:color="auto"/>
              <w:left w:val="single" w:sz="8" w:color="auto"/>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Profit from Operations as a % of Revenue (Operating</w:t>
            </w:r>
          </w:p>
        </w:tc>
        <w:tc>
          <w:tcPr>
            <w:tcW w:w="2440" w:type="dxa"/>
            <w:vAlign w:val="bottom"/>
            <w:tcBorders>
              <w:top w:val="single" w:sz="8" w:color="auto"/>
              <w:right w:val="single" w:sz="8" w:color="auto"/>
            </w:tcBorders>
            <w:vMerge w:val="restart"/>
          </w:tcPr>
          <w:p>
            <w:pPr>
              <w:ind w:left="820"/>
              <w:spacing w:after="0"/>
              <w:rPr>
                <w:sz w:val="20"/>
                <w:szCs w:val="20"/>
                <w:color w:val="auto"/>
              </w:rPr>
            </w:pPr>
            <w:r>
              <w:rPr>
                <w:rFonts w:ascii="Arial" w:cs="Arial" w:eastAsia="Arial" w:hAnsi="Arial"/>
                <w:sz w:val="18"/>
                <w:szCs w:val="18"/>
                <w:color w:val="auto"/>
              </w:rPr>
              <w:t>34.9%</w:t>
            </w:r>
          </w:p>
        </w:tc>
        <w:tc>
          <w:tcPr>
            <w:tcW w:w="2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Above median</w:t>
            </w:r>
          </w:p>
        </w:tc>
        <w:tc>
          <w:tcPr>
            <w:tcW w:w="0" w:type="dxa"/>
            <w:vAlign w:val="bottom"/>
          </w:tcPr>
          <w:p>
            <w:pPr>
              <w:spacing w:after="0"/>
              <w:rPr>
                <w:sz w:val="1"/>
                <w:szCs w:val="1"/>
                <w:color w:val="auto"/>
              </w:rPr>
            </w:pPr>
          </w:p>
        </w:tc>
      </w:tr>
      <w:tr>
        <w:trPr>
          <w:trHeight w:val="131"/>
        </w:trPr>
        <w:tc>
          <w:tcPr>
            <w:tcW w:w="4720" w:type="dxa"/>
            <w:vAlign w:val="bottom"/>
            <w:tcBorders>
              <w:left w:val="single" w:sz="8" w:color="auto"/>
              <w:right w:val="single" w:sz="8" w:color="auto"/>
            </w:tcBorders>
            <w:vMerge w:val="restart"/>
            <w:shd w:val="clear" w:color="auto" w:fill="DBDBDB"/>
          </w:tcPr>
          <w:p>
            <w:pPr>
              <w:ind w:left="140"/>
              <w:spacing w:after="0"/>
              <w:rPr>
                <w:sz w:val="20"/>
                <w:szCs w:val="20"/>
                <w:color w:val="auto"/>
              </w:rPr>
            </w:pPr>
            <w:r>
              <w:rPr>
                <w:rFonts w:ascii="Arial" w:cs="Arial" w:eastAsia="Arial" w:hAnsi="Arial"/>
                <w:sz w:val="18"/>
                <w:szCs w:val="18"/>
                <w:color w:val="auto"/>
              </w:rPr>
              <w:t>Profit Margin)</w:t>
            </w:r>
          </w:p>
        </w:tc>
        <w:tc>
          <w:tcPr>
            <w:tcW w:w="2440" w:type="dxa"/>
            <w:vAlign w:val="bottom"/>
            <w:tcBorders>
              <w:right w:val="single" w:sz="8" w:color="auto"/>
            </w:tcBorders>
            <w:vMerge w:val="continue"/>
          </w:tcPr>
          <w:p>
            <w:pPr>
              <w:spacing w:after="0"/>
              <w:rPr>
                <w:sz w:val="11"/>
                <w:szCs w:val="11"/>
                <w:color w:val="auto"/>
              </w:rPr>
            </w:pPr>
          </w:p>
        </w:tc>
        <w:tc>
          <w:tcPr>
            <w:tcW w:w="2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720" w:type="dxa"/>
            <w:vAlign w:val="bottom"/>
            <w:tcBorders>
              <w:left w:val="single" w:sz="8" w:color="auto"/>
              <w:bottom w:val="single" w:sz="8" w:color="DBDBDB"/>
              <w:right w:val="single" w:sz="8" w:color="auto"/>
            </w:tcBorders>
            <w:vMerge w:val="continue"/>
            <w:shd w:val="clear" w:color="auto" w:fill="DBDBDB"/>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4720" w:type="dxa"/>
            <w:vAlign w:val="bottom"/>
            <w:tcBorders>
              <w:top w:val="single" w:sz="8" w:color="auto"/>
              <w:left w:val="single" w:sz="8" w:color="auto"/>
              <w:bottom w:val="single" w:sz="8" w:color="DBDBDB"/>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Total Shareholder Return (TSR)</w:t>
            </w:r>
          </w:p>
        </w:tc>
        <w:tc>
          <w:tcPr>
            <w:tcW w:w="244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8"/>
                <w:szCs w:val="18"/>
                <w:color w:val="auto"/>
              </w:rPr>
              <w:t>13.1%</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Above median</w:t>
            </w:r>
          </w:p>
        </w:tc>
        <w:tc>
          <w:tcPr>
            <w:tcW w:w="0" w:type="dxa"/>
            <w:vAlign w:val="bottom"/>
          </w:tcPr>
          <w:p>
            <w:pPr>
              <w:spacing w:after="0"/>
              <w:rPr>
                <w:sz w:val="1"/>
                <w:szCs w:val="1"/>
                <w:color w:val="auto"/>
              </w:rPr>
            </w:pPr>
          </w:p>
        </w:tc>
      </w:tr>
      <w:tr>
        <w:trPr>
          <w:trHeight w:val="74"/>
        </w:trPr>
        <w:tc>
          <w:tcPr>
            <w:tcW w:w="4720" w:type="dxa"/>
            <w:vAlign w:val="bottom"/>
            <w:tcBorders>
              <w:top w:val="single" w:sz="8" w:color="auto"/>
              <w:left w:val="single" w:sz="8" w:color="auto"/>
              <w:bottom w:val="single" w:sz="8" w:color="auto"/>
              <w:right w:val="single" w:sz="8" w:color="DBDBDB"/>
            </w:tcBorders>
            <w:shd w:val="clear" w:color="auto" w:fill="DBDBDB"/>
          </w:tcPr>
          <w:p>
            <w:pPr>
              <w:spacing w:after="0"/>
              <w:rPr>
                <w:sz w:val="6"/>
                <w:szCs w:val="6"/>
                <w:color w:val="auto"/>
              </w:rPr>
            </w:pPr>
          </w:p>
        </w:tc>
        <w:tc>
          <w:tcPr>
            <w:tcW w:w="2440" w:type="dxa"/>
            <w:vAlign w:val="bottom"/>
            <w:tcBorders>
              <w:top w:val="single" w:sz="8" w:color="auto"/>
              <w:bottom w:val="single" w:sz="8" w:color="auto"/>
              <w:right w:val="single" w:sz="8" w:color="DBDBDB"/>
            </w:tcBorders>
            <w:shd w:val="clear" w:color="auto" w:fill="DBDBDB"/>
          </w:tcPr>
          <w:p>
            <w:pPr>
              <w:spacing w:after="0"/>
              <w:rPr>
                <w:sz w:val="6"/>
                <w:szCs w:val="6"/>
                <w:color w:val="auto"/>
              </w:rPr>
            </w:pPr>
          </w:p>
        </w:tc>
        <w:tc>
          <w:tcPr>
            <w:tcW w:w="2380" w:type="dxa"/>
            <w:vAlign w:val="bottom"/>
            <w:tcBorders>
              <w:top w:val="single" w:sz="8" w:color="auto"/>
              <w:bottom w:val="single" w:sz="8" w:color="auto"/>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4720" w:type="dxa"/>
            <w:vAlign w:val="bottom"/>
            <w:tcBorders>
              <w:left w:val="single" w:sz="8" w:color="auto"/>
              <w:bottom w:val="single" w:sz="8" w:color="DBDBDB"/>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Assessment of Strategic Progress</w:t>
            </w:r>
          </w:p>
        </w:tc>
        <w:tc>
          <w:tcPr>
            <w:tcW w:w="48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rPr>
              <w:t>Strengthened strategic position in 2024</w:t>
            </w:r>
          </w:p>
        </w:tc>
        <w:tc>
          <w:tcPr>
            <w:tcW w:w="0" w:type="dxa"/>
            <w:vAlign w:val="bottom"/>
          </w:tcPr>
          <w:p>
            <w:pPr>
              <w:spacing w:after="0"/>
              <w:rPr>
                <w:sz w:val="1"/>
                <w:szCs w:val="1"/>
                <w:color w:val="auto"/>
              </w:rPr>
            </w:pPr>
          </w:p>
        </w:tc>
      </w:tr>
      <w:tr>
        <w:trPr>
          <w:trHeight w:val="20"/>
        </w:trPr>
        <w:tc>
          <w:tcPr>
            <w:tcW w:w="47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40" w:type="dxa"/>
            <w:vAlign w:val="bottom"/>
            <w:tcBorders>
              <w:right w:val="single" w:sz="8" w:color="auto"/>
            </w:tcBorders>
            <w:shd w:val="clear" w:color="auto" w:fill="000000"/>
          </w:tcPr>
          <w:p>
            <w:pPr>
              <w:spacing w:after="0" w:line="20" w:lineRule="exact"/>
              <w:rPr>
                <w:sz w:val="1"/>
                <w:szCs w:val="1"/>
                <w:color w:val="auto"/>
              </w:rPr>
            </w:pPr>
          </w:p>
        </w:tc>
        <w:tc>
          <w:tcPr>
            <w:tcW w:w="23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80" w:right="20" w:hanging="324"/>
        <w:spacing w:after="0" w:line="262" w:lineRule="auto"/>
        <w:tabs>
          <w:tab w:leader="none" w:pos="969"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Relative to Semiconductor Peers; includes estimates and projections of certain peer companies’ financial results. See “Analysis of compensation determinations – Bonus – Assessment of 2024 performance” for details of the compensation committee’s assessment of TI’s performance. (It is important to note that the median growth rate of Semiconductor Peers includes the benefit of acquisitions, whereas TI’s growth rate is entirely organic.)</w:t>
      </w:r>
    </w:p>
    <w:p>
      <w:pPr>
        <w:spacing w:after="0" w:line="122" w:lineRule="exact"/>
        <w:rPr>
          <w:rFonts w:ascii="Arial" w:cs="Arial" w:eastAsia="Arial" w:hAnsi="Arial"/>
          <w:sz w:val="18"/>
          <w:szCs w:val="18"/>
          <w:color w:val="auto"/>
        </w:rPr>
      </w:pPr>
    </w:p>
    <w:p>
      <w:pPr>
        <w:ind w:left="660" w:right="180" w:hanging="328"/>
        <w:spacing w:after="0" w:line="298"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TI generally targets annual equity grants to executives at market median to align with the projected market range for similarly situated executives in our Comparator Group (as defined below in “Compensation philosophy and elements - Comparator Group”).</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2024 compensation decisions for the CEO:</w:t>
      </w:r>
    </w:p>
    <w:p>
      <w:pPr>
        <w:spacing w:after="0" w:line="6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Base salary was increased by 8.7% over 2023.</w:t>
      </w:r>
    </w:p>
    <w:p>
      <w:pPr>
        <w:spacing w:after="0" w:line="63" w:lineRule="exact"/>
        <w:rPr>
          <w:rFonts w:ascii="Arial" w:cs="Arial" w:eastAsia="Arial" w:hAnsi="Arial"/>
          <w:sz w:val="18"/>
          <w:szCs w:val="18"/>
          <w:color w:val="auto"/>
        </w:rPr>
      </w:pPr>
    </w:p>
    <w:p>
      <w:pPr>
        <w:ind w:left="980" w:hanging="324"/>
        <w:spacing w:after="0" w:line="268" w:lineRule="auto"/>
        <w:rPr>
          <w:rFonts w:ascii="Arial" w:cs="Arial" w:eastAsia="Arial" w:hAnsi="Arial"/>
          <w:sz w:val="18"/>
          <w:szCs w:val="18"/>
          <w:color w:val="auto"/>
        </w:rPr>
      </w:pPr>
      <w:r>
        <w:rPr>
          <w:rFonts w:ascii="Arial" w:cs="Arial" w:eastAsia="Arial" w:hAnsi="Arial"/>
          <w:sz w:val="18"/>
          <w:szCs w:val="18"/>
          <w:color w:val="auto"/>
        </w:rPr>
        <w:t>◦ For the 2024 performance year, Mr. Ilan’s first full year in the role of CEO, the committee awarded a $2.38 million performance bonus paid in February 2025. The committee determined Mr. Ilan’s bonus by assessing the competitive market range of bonuses for similarly situated CEOs in the Comparator Group and giving due consideration to company performance in 2024.</w:t>
      </w:r>
    </w:p>
    <w:p>
      <w:pPr>
        <w:spacing w:after="0" w:line="8" w:lineRule="exact"/>
        <w:rPr>
          <w:rFonts w:ascii="Arial" w:cs="Arial" w:eastAsia="Arial" w:hAnsi="Arial"/>
          <w:sz w:val="18"/>
          <w:szCs w:val="18"/>
          <w:color w:val="auto"/>
        </w:rPr>
      </w:pPr>
    </w:p>
    <w:p>
      <w:pPr>
        <w:ind w:left="980" w:right="100" w:hanging="324"/>
        <w:spacing w:after="0" w:line="268" w:lineRule="auto"/>
        <w:rPr>
          <w:rFonts w:ascii="Arial" w:cs="Arial" w:eastAsia="Arial" w:hAnsi="Arial"/>
          <w:sz w:val="18"/>
          <w:szCs w:val="18"/>
          <w:color w:val="auto"/>
        </w:rPr>
      </w:pPr>
      <w:r>
        <w:rPr>
          <w:rFonts w:ascii="Arial" w:cs="Arial" w:eastAsia="Arial" w:hAnsi="Arial"/>
          <w:sz w:val="18"/>
          <w:szCs w:val="18"/>
          <w:color w:val="auto"/>
        </w:rPr>
        <w:t>◦ In January 2024, Mr. Ilan received an equity compensation award, which was his first while in the role of CEO, with a grant date fair value of $15 million in order to align his equity compensation with the projected market range for similarly situated CEOs in the Comparator Group.</w:t>
      </w:r>
    </w:p>
    <w:p>
      <w:pPr>
        <w:spacing w:after="0" w:line="8"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executive compensation program is designed to encourage executive officers to pursue strategies that serve the long-term interests of the company and shareholders, and not to promote excessive risk-taking by our executives. It is built on a foundation of sound corporate governance and includes:</w:t>
      </w:r>
    </w:p>
    <w:p>
      <w:pPr>
        <w:spacing w:after="0" w:line="8" w:lineRule="exact"/>
        <w:rPr>
          <w:rFonts w:ascii="Arial" w:cs="Arial" w:eastAsia="Arial" w:hAnsi="Arial"/>
          <w:sz w:val="18"/>
          <w:szCs w:val="18"/>
          <w:color w:val="auto"/>
        </w:rPr>
      </w:pPr>
    </w:p>
    <w:p>
      <w:pPr>
        <w:ind w:left="980" w:right="380" w:hanging="324"/>
        <w:spacing w:after="0" w:line="281" w:lineRule="auto"/>
        <w:rPr>
          <w:rFonts w:ascii="Arial" w:cs="Arial" w:eastAsia="Arial" w:hAnsi="Arial"/>
          <w:sz w:val="18"/>
          <w:szCs w:val="18"/>
          <w:color w:val="auto"/>
        </w:rPr>
      </w:pPr>
      <w:r>
        <w:rPr>
          <w:rFonts w:ascii="Arial" w:cs="Arial" w:eastAsia="Arial" w:hAnsi="Arial"/>
          <w:sz w:val="18"/>
          <w:szCs w:val="18"/>
          <w:color w:val="auto"/>
        </w:rPr>
        <w:t>◦ Executive officers do not have employment contracts and are not guaranteed salary increases, bonus amounts or awards of equity compensation.</w:t>
      </w:r>
    </w:p>
    <w:p>
      <w:pPr>
        <w:spacing w:after="0" w:line="1" w:lineRule="exact"/>
        <w:rPr>
          <w:rFonts w:ascii="Arial" w:cs="Arial" w:eastAsia="Arial" w:hAnsi="Arial"/>
          <w:sz w:val="18"/>
          <w:szCs w:val="18"/>
          <w:color w:val="auto"/>
        </w:rPr>
      </w:pPr>
    </w:p>
    <w:p>
      <w:pPr>
        <w:ind w:left="980" w:right="400" w:hanging="324"/>
        <w:spacing w:after="0" w:line="268" w:lineRule="auto"/>
        <w:rPr>
          <w:rFonts w:ascii="Arial" w:cs="Arial" w:eastAsia="Arial" w:hAnsi="Arial"/>
          <w:sz w:val="18"/>
          <w:szCs w:val="18"/>
          <w:color w:val="auto"/>
        </w:rPr>
      </w:pPr>
      <w:r>
        <w:rPr>
          <w:rFonts w:ascii="Arial" w:cs="Arial" w:eastAsia="Arial" w:hAnsi="Arial"/>
          <w:sz w:val="18"/>
          <w:szCs w:val="18"/>
          <w:color w:val="auto"/>
        </w:rPr>
        <w:t>◦ We have never repriced stock options. We do not grant reload options. We grant equity compensation with double-trigger change in control terms, which accelerate the vesting of grants only if the grantee has been terminated involuntarily within a limited time after a change in control of the company.</w:t>
      </w:r>
    </w:p>
    <w:p>
      <w:pPr>
        <w:spacing w:after="0" w:line="8" w:lineRule="exact"/>
        <w:rPr>
          <w:rFonts w:ascii="Arial" w:cs="Arial" w:eastAsia="Arial" w:hAnsi="Arial"/>
          <w:sz w:val="18"/>
          <w:szCs w:val="18"/>
          <w:color w:val="auto"/>
        </w:rPr>
      </w:pPr>
    </w:p>
    <w:p>
      <w:pPr>
        <w:ind w:left="660" w:right="1280"/>
        <w:spacing w:after="0" w:line="313" w:lineRule="auto"/>
        <w:rPr>
          <w:rFonts w:ascii="Arial" w:cs="Arial" w:eastAsia="Arial" w:hAnsi="Arial"/>
          <w:sz w:val="18"/>
          <w:szCs w:val="18"/>
          <w:color w:val="auto"/>
        </w:rPr>
      </w:pPr>
      <w:r>
        <w:rPr>
          <w:rFonts w:ascii="Arial" w:cs="Arial" w:eastAsia="Arial" w:hAnsi="Arial"/>
          <w:sz w:val="18"/>
          <w:szCs w:val="18"/>
          <w:color w:val="auto"/>
        </w:rPr>
        <w:t>◦ Bonus and equity compensation awards are subject to clawback as described under “Recoupment policy” below. ◦ We do not provide excessive perquisites. We provide no tax gross-ups for perquisites.</w:t>
      </w:r>
    </w:p>
    <w:p>
      <w:pPr>
        <w:ind w:left="660"/>
        <w:spacing w:after="0"/>
        <w:rPr>
          <w:rFonts w:ascii="Arial" w:cs="Arial" w:eastAsia="Arial" w:hAnsi="Arial"/>
          <w:sz w:val="18"/>
          <w:szCs w:val="18"/>
          <w:color w:val="auto"/>
        </w:rPr>
      </w:pPr>
      <w:r>
        <w:rPr>
          <w:rFonts w:ascii="Arial" w:cs="Arial" w:eastAsia="Arial" w:hAnsi="Arial"/>
          <w:sz w:val="18"/>
          <w:szCs w:val="18"/>
          <w:color w:val="auto"/>
        </w:rPr>
        <w:t>◦   We do not guarantee a return or provide above-market returns on compensation that has been deferred.</w:t>
      </w:r>
    </w:p>
    <w:p>
      <w:pPr>
        <w:spacing w:after="0" w:line="63" w:lineRule="exact"/>
        <w:rPr>
          <w:rFonts w:ascii="Arial" w:cs="Arial" w:eastAsia="Arial" w:hAnsi="Arial"/>
          <w:sz w:val="18"/>
          <w:szCs w:val="18"/>
          <w:color w:val="auto"/>
        </w:rPr>
      </w:pPr>
    </w:p>
    <w:p>
      <w:pPr>
        <w:ind w:left="980" w:right="180" w:hanging="324"/>
        <w:spacing w:after="0" w:line="287" w:lineRule="auto"/>
        <w:rPr>
          <w:rFonts w:ascii="Arial" w:cs="Arial" w:eastAsia="Arial" w:hAnsi="Arial"/>
          <w:sz w:val="18"/>
          <w:szCs w:val="18"/>
          <w:color w:val="auto"/>
        </w:rPr>
      </w:pPr>
      <w:r>
        <w:rPr>
          <w:rFonts w:ascii="Arial" w:cs="Arial" w:eastAsia="Arial" w:hAnsi="Arial"/>
          <w:sz w:val="18"/>
          <w:szCs w:val="18"/>
          <w:color w:val="auto"/>
        </w:rPr>
        <w:t>◦ Pension benefits are calculated on salary and bonus only; the proceeds earned on equity or other performance awards are not part of the pension calculation.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Detailed discussion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philosophy and elements</w:t>
      </w:r>
    </w:p>
    <w:p>
      <w:pPr>
        <w:spacing w:after="0" w:line="23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For years, we have run our business and invested in our people and communities with three overarching ambitions in mind. First, we will act like owners who will own the company for decades. Second, we will adapt and succeed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2025 PROXY STATEMENT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23" w:right="379" w:bottom="1440" w:gutter="0" w:footer="0" w:header="0"/>
        </w:sectPr>
      </w:pPr>
    </w:p>
    <w:bookmarkStart w:id="24" w:name="page25"/>
    <w:bookmarkEnd w:id="24"/>
    <w:p>
      <w:pPr>
        <w:ind w:right="120"/>
        <w:spacing w:after="0" w:line="259" w:lineRule="auto"/>
        <w:rPr>
          <w:sz w:val="20"/>
          <w:szCs w:val="20"/>
          <w:color w:val="auto"/>
        </w:rPr>
      </w:pPr>
      <w:r>
        <w:rPr>
          <w:rFonts w:ascii="Arial" w:cs="Arial" w:eastAsia="Arial" w:hAnsi="Arial"/>
          <w:sz w:val="18"/>
          <w:szCs w:val="18"/>
          <w:color w:val="auto"/>
        </w:rPr>
        <w:t>a world that is ever changing. And third, we will be a company that we are personally proud to be a part of and that we would want as our neighbor. When we are successful in achieving these ambitions, our employees, customers, communities and shareholders all win. Central to our ambitions, which are the foundation of our approach to environmental, social and governance (ESG) and sustainability, is a belief that in order for all stakeholders to benefit, the company must grow stronger over the long term. Our compensation program is structured with these ambitions in mind.</w:t>
      </w:r>
    </w:p>
    <w:p>
      <w:pPr>
        <w:spacing w:after="0" w:line="17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compensation committee of TI’s board of directors is responsible for setting the compensation of all TI executive officers. The committee consults with the other independent directors and its compensation consultant, Pearl Meyer, before setting annual compensation for the executives. The committee chair regularly reports on committee actions at board meetings.</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assessing performance and compensation decisions, the committee does not use formulas, thresholds or multiples. Because market conditions can quickly change in our industry, thresholds established at the beginning of a year could prove irrelevant by year-end. The committee believes its holistic approach, which assesses the company’s absolute and relative performance in hindsight after year-end (for the most recent one- and three-year periods), gives it the insight to most effectively and critically judge results and encourages executives to pursue strategies that serve the long-term interests of the company and its shareholders. It also promotes accuracy in our assessment and comparison to competition and eliminates the need for adjustments to formulas, targets or thresholds during times of uncertain market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Near-term compensation, paid in cash</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 w:type="dxa"/>
            <w:vAlign w:val="bottom"/>
          </w:tcPr>
          <w:p>
            <w:pPr>
              <w:ind w:left="20"/>
              <w:spacing w:after="0"/>
              <w:rPr>
                <w:sz w:val="20"/>
                <w:szCs w:val="20"/>
                <w:color w:val="auto"/>
              </w:rPr>
            </w:pPr>
            <w:r>
              <w:rPr>
                <w:rFonts w:ascii="Arial" w:cs="Arial" w:eastAsia="Arial" w:hAnsi="Arial"/>
                <w:sz w:val="18"/>
                <w:szCs w:val="18"/>
                <w:color w:val="auto"/>
              </w:rPr>
              <w:t>Purpose</w:t>
            </w:r>
          </w:p>
        </w:tc>
        <w:tc>
          <w:tcPr>
            <w:tcW w:w="10240" w:type="dxa"/>
            <w:vAlign w:val="bottom"/>
          </w:tcPr>
          <w:p>
            <w:pPr>
              <w:ind w:left="280"/>
              <w:spacing w:after="0"/>
              <w:rPr>
                <w:sz w:val="20"/>
                <w:szCs w:val="20"/>
                <w:color w:val="auto"/>
              </w:rPr>
            </w:pPr>
            <w:r>
              <w:rPr>
                <w:rFonts w:ascii="Arial" w:cs="Arial" w:eastAsia="Arial" w:hAnsi="Arial"/>
                <w:sz w:val="18"/>
                <w:szCs w:val="18"/>
                <w:color w:val="auto"/>
              </w:rPr>
              <w:t>Basic, least variable form of compensation, designed to provide a stable source of income.</w:t>
            </w:r>
          </w:p>
        </w:tc>
      </w:tr>
      <w:tr>
        <w:trPr>
          <w:trHeight w:val="409"/>
        </w:trPr>
        <w:tc>
          <w:tcPr>
            <w:tcW w:w="980" w:type="dxa"/>
            <w:vAlign w:val="bottom"/>
          </w:tcPr>
          <w:p>
            <w:pPr>
              <w:ind w:left="20"/>
              <w:spacing w:after="0"/>
              <w:rPr>
                <w:sz w:val="20"/>
                <w:szCs w:val="20"/>
                <w:color w:val="auto"/>
              </w:rPr>
            </w:pPr>
            <w:r>
              <w:rPr>
                <w:rFonts w:ascii="Arial" w:cs="Arial" w:eastAsia="Arial" w:hAnsi="Arial"/>
                <w:sz w:val="18"/>
                <w:szCs w:val="18"/>
                <w:color w:val="auto"/>
              </w:rPr>
              <w:t>Strategy</w:t>
            </w:r>
          </w:p>
        </w:tc>
        <w:tc>
          <w:tcPr>
            <w:tcW w:w="10240" w:type="dxa"/>
            <w:vAlign w:val="bottom"/>
          </w:tcPr>
          <w:p>
            <w:pPr>
              <w:ind w:left="280"/>
              <w:spacing w:after="0"/>
              <w:rPr>
                <w:sz w:val="20"/>
                <w:szCs w:val="20"/>
                <w:color w:val="auto"/>
              </w:rPr>
            </w:pPr>
            <w:r>
              <w:rPr>
                <w:rFonts w:ascii="Arial" w:cs="Arial" w:eastAsia="Arial" w:hAnsi="Arial"/>
                <w:sz w:val="18"/>
                <w:szCs w:val="18"/>
                <w:color w:val="auto"/>
              </w:rPr>
              <w:t>Generally, target market median, giving appropriate consideration to job scope and tenure, to attract and retain highly</w:t>
            </w:r>
          </w:p>
        </w:tc>
      </w:tr>
      <w:tr>
        <w:trPr>
          <w:trHeight w:val="239"/>
        </w:trPr>
        <w:tc>
          <w:tcPr>
            <w:tcW w:w="98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qualified executives.</w:t>
            </w:r>
          </w:p>
        </w:tc>
      </w:tr>
      <w:tr>
        <w:trPr>
          <w:trHeight w:val="432"/>
        </w:trPr>
        <w:tc>
          <w:tcPr>
            <w:tcW w:w="980" w:type="dxa"/>
            <w:vAlign w:val="bottom"/>
          </w:tcPr>
          <w:p>
            <w:pPr>
              <w:ind w:left="20"/>
              <w:spacing w:after="0"/>
              <w:rPr>
                <w:sz w:val="20"/>
                <w:szCs w:val="20"/>
                <w:color w:val="auto"/>
              </w:rPr>
            </w:pPr>
            <w:r>
              <w:rPr>
                <w:rFonts w:ascii="Arial" w:cs="Arial" w:eastAsia="Arial" w:hAnsi="Arial"/>
                <w:sz w:val="18"/>
                <w:szCs w:val="18"/>
                <w:color w:val="auto"/>
              </w:rPr>
              <w:t>Terms</w:t>
            </w:r>
          </w:p>
        </w:tc>
        <w:tc>
          <w:tcPr>
            <w:tcW w:w="10240" w:type="dxa"/>
            <w:vAlign w:val="bottom"/>
          </w:tcPr>
          <w:p>
            <w:pPr>
              <w:ind w:left="280"/>
              <w:spacing w:after="0"/>
              <w:rPr>
                <w:sz w:val="20"/>
                <w:szCs w:val="20"/>
                <w:color w:val="auto"/>
              </w:rPr>
            </w:pPr>
            <w:r>
              <w:rPr>
                <w:rFonts w:ascii="Arial" w:cs="Arial" w:eastAsia="Arial" w:hAnsi="Arial"/>
                <w:sz w:val="18"/>
                <w:szCs w:val="18"/>
                <w:color w:val="auto"/>
              </w:rPr>
              <w:t>Paid twice monthly.</w:t>
            </w:r>
          </w:p>
        </w:tc>
      </w:tr>
      <w:tr>
        <w:trPr>
          <w:trHeight w:val="624"/>
        </w:trPr>
        <w:tc>
          <w:tcPr>
            <w:tcW w:w="1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Performance Bonus</w:t>
            </w:r>
          </w:p>
        </w:tc>
      </w:tr>
      <w:tr>
        <w:trPr>
          <w:trHeight w:val="224"/>
        </w:trPr>
        <w:tc>
          <w:tcPr>
            <w:tcW w:w="980" w:type="dxa"/>
            <w:vAlign w:val="bottom"/>
          </w:tcPr>
          <w:p>
            <w:pPr>
              <w:ind w:left="20"/>
              <w:spacing w:after="0"/>
              <w:rPr>
                <w:sz w:val="20"/>
                <w:szCs w:val="20"/>
                <w:color w:val="auto"/>
              </w:rPr>
            </w:pPr>
            <w:r>
              <w:rPr>
                <w:rFonts w:ascii="Arial" w:cs="Arial" w:eastAsia="Arial" w:hAnsi="Arial"/>
                <w:sz w:val="18"/>
                <w:szCs w:val="18"/>
                <w:color w:val="auto"/>
              </w:rPr>
              <w:t>Purpose</w:t>
            </w:r>
          </w:p>
        </w:tc>
        <w:tc>
          <w:tcPr>
            <w:tcW w:w="10240" w:type="dxa"/>
            <w:vAlign w:val="bottom"/>
          </w:tcPr>
          <w:p>
            <w:pPr>
              <w:ind w:left="280"/>
              <w:spacing w:after="0"/>
              <w:rPr>
                <w:sz w:val="20"/>
                <w:szCs w:val="20"/>
                <w:color w:val="auto"/>
              </w:rPr>
            </w:pPr>
            <w:r>
              <w:rPr>
                <w:rFonts w:ascii="Arial" w:cs="Arial" w:eastAsia="Arial" w:hAnsi="Arial"/>
                <w:sz w:val="18"/>
                <w:szCs w:val="18"/>
                <w:color w:val="auto"/>
              </w:rPr>
              <w:t>To motivate executives and reward them according to the company’s relative and absolute performance and the executive’s</w:t>
            </w:r>
          </w:p>
        </w:tc>
      </w:tr>
      <w:tr>
        <w:trPr>
          <w:trHeight w:val="239"/>
        </w:trPr>
        <w:tc>
          <w:tcPr>
            <w:tcW w:w="98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individual performance.</w:t>
            </w:r>
          </w:p>
        </w:tc>
      </w:tr>
      <w:tr>
        <w:trPr>
          <w:trHeight w:val="407"/>
        </w:trPr>
        <w:tc>
          <w:tcPr>
            <w:tcW w:w="980" w:type="dxa"/>
            <w:vAlign w:val="bottom"/>
          </w:tcPr>
          <w:p>
            <w:pPr>
              <w:ind w:left="20"/>
              <w:spacing w:after="0"/>
              <w:rPr>
                <w:sz w:val="20"/>
                <w:szCs w:val="20"/>
                <w:color w:val="auto"/>
              </w:rPr>
            </w:pPr>
            <w:r>
              <w:rPr>
                <w:rFonts w:ascii="Arial" w:cs="Arial" w:eastAsia="Arial" w:hAnsi="Arial"/>
                <w:sz w:val="18"/>
                <w:szCs w:val="18"/>
                <w:color w:val="auto"/>
              </w:rPr>
              <w:t>Strategy</w:t>
            </w:r>
          </w:p>
        </w:tc>
        <w:tc>
          <w:tcPr>
            <w:tcW w:w="10240" w:type="dxa"/>
            <w:vAlign w:val="bottom"/>
          </w:tcPr>
          <w:p>
            <w:pPr>
              <w:ind w:left="280"/>
              <w:spacing w:after="0"/>
              <w:rPr>
                <w:sz w:val="20"/>
                <w:szCs w:val="20"/>
                <w:color w:val="auto"/>
              </w:rPr>
            </w:pPr>
            <w:r>
              <w:rPr>
                <w:rFonts w:ascii="Arial" w:cs="Arial" w:eastAsia="Arial" w:hAnsi="Arial"/>
                <w:sz w:val="18"/>
                <w:szCs w:val="18"/>
                <w:color w:val="auto"/>
              </w:rPr>
              <w:t>Determined primarily on the basis of one-year and three-year company performance on certain measures (revenue growth</w:t>
            </w:r>
          </w:p>
        </w:tc>
      </w:tr>
      <w:tr>
        <w:trPr>
          <w:trHeight w:val="218"/>
        </w:trPr>
        <w:tc>
          <w:tcPr>
            <w:tcW w:w="980" w:type="dxa"/>
            <w:vAlign w:val="bottom"/>
          </w:tcPr>
          <w:p>
            <w:pPr>
              <w:spacing w:after="0"/>
              <w:rPr>
                <w:sz w:val="18"/>
                <w:szCs w:val="18"/>
                <w:color w:val="auto"/>
              </w:rPr>
            </w:pPr>
          </w:p>
        </w:tc>
        <w:tc>
          <w:tcPr>
            <w:tcW w:w="10240" w:type="dxa"/>
            <w:vAlign w:val="bottom"/>
          </w:tcPr>
          <w:p>
            <w:pPr>
              <w:ind w:left="280"/>
              <w:spacing w:after="0" w:line="219" w:lineRule="exact"/>
              <w:rPr>
                <w:sz w:val="20"/>
                <w:szCs w:val="20"/>
                <w:color w:val="auto"/>
              </w:rPr>
            </w:pPr>
            <w:r>
              <w:rPr>
                <w:rFonts w:ascii="Arial" w:cs="Arial" w:eastAsia="Arial" w:hAnsi="Arial"/>
                <w:sz w:val="18"/>
                <w:szCs w:val="18"/>
                <w:color w:val="auto"/>
              </w:rPr>
              <w:t>percent, operating profit margin and total shareholder return</w:t>
            </w:r>
            <w:r>
              <w:rPr>
                <w:rFonts w:ascii="Arial" w:cs="Arial" w:eastAsia="Arial" w:hAnsi="Arial"/>
                <w:sz w:val="23"/>
                <w:szCs w:val="23"/>
                <w:color w:val="auto"/>
                <w:vertAlign w:val="superscript"/>
              </w:rPr>
              <w:t>1</w:t>
            </w:r>
            <w:r>
              <w:rPr>
                <w:rFonts w:ascii="Arial" w:cs="Arial" w:eastAsia="Arial" w:hAnsi="Arial"/>
                <w:sz w:val="18"/>
                <w:szCs w:val="18"/>
                <w:color w:val="auto"/>
              </w:rPr>
              <w:t>) as compared with peer companies and on our strategic</w:t>
            </w:r>
          </w:p>
        </w:tc>
      </w:tr>
      <w:tr>
        <w:trPr>
          <w:trHeight w:val="216"/>
        </w:trPr>
        <w:tc>
          <w:tcPr>
            <w:tcW w:w="98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progress. These factors have been chosen to reflect our near-term financial performance as well as our progress in building</w:t>
            </w:r>
          </w:p>
        </w:tc>
      </w:tr>
      <w:tr>
        <w:trPr>
          <w:trHeight w:val="239"/>
        </w:trPr>
        <w:tc>
          <w:tcPr>
            <w:tcW w:w="98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long-term shareholder value.</w:t>
            </w:r>
          </w:p>
        </w:tc>
      </w:tr>
      <w:tr>
        <w:trPr>
          <w:trHeight w:val="301"/>
        </w:trPr>
        <w:tc>
          <w:tcPr>
            <w:tcW w:w="980" w:type="dxa"/>
            <w:vAlign w:val="bottom"/>
          </w:tcPr>
          <w:p>
            <w:pPr>
              <w:spacing w:after="0"/>
              <w:rPr>
                <w:sz w:val="24"/>
                <w:szCs w:val="24"/>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The committee aims to pay total cash compensation (base salary, profit sharing and bonus) appropriately above market</w:t>
            </w:r>
          </w:p>
        </w:tc>
      </w:tr>
      <w:tr>
        <w:trPr>
          <w:trHeight w:val="216"/>
        </w:trPr>
        <w:tc>
          <w:tcPr>
            <w:tcW w:w="98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median if company performance is above that of peer companies, and pay total cash compensation appropriately below</w:t>
            </w:r>
          </w:p>
        </w:tc>
      </w:tr>
      <w:tr>
        <w:trPr>
          <w:trHeight w:val="239"/>
        </w:trPr>
        <w:tc>
          <w:tcPr>
            <w:tcW w:w="98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market median if company performance is below peer companies.</w:t>
            </w:r>
          </w:p>
        </w:tc>
      </w:tr>
      <w:tr>
        <w:trPr>
          <w:trHeight w:val="301"/>
        </w:trPr>
        <w:tc>
          <w:tcPr>
            <w:tcW w:w="980" w:type="dxa"/>
            <w:vAlign w:val="bottom"/>
          </w:tcPr>
          <w:p>
            <w:pPr>
              <w:spacing w:after="0"/>
              <w:rPr>
                <w:sz w:val="24"/>
                <w:szCs w:val="24"/>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The committee does not rely on formulas or performance targets or thresholds. Instead, it uses its</w:t>
            </w:r>
          </w:p>
        </w:tc>
      </w:tr>
      <w:tr>
        <w:trPr>
          <w:trHeight w:val="239"/>
        </w:trPr>
        <w:tc>
          <w:tcPr>
            <w:tcW w:w="98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judgment based on its assessment of the factors described above.</w:t>
            </w:r>
          </w:p>
        </w:tc>
      </w:tr>
      <w:tr>
        <w:trPr>
          <w:trHeight w:val="324"/>
        </w:trPr>
        <w:tc>
          <w:tcPr>
            <w:tcW w:w="980" w:type="dxa"/>
            <w:vAlign w:val="bottom"/>
          </w:tcPr>
          <w:p>
            <w:pPr>
              <w:ind w:left="20"/>
              <w:spacing w:after="0"/>
              <w:rPr>
                <w:sz w:val="20"/>
                <w:szCs w:val="20"/>
                <w:color w:val="auto"/>
              </w:rPr>
            </w:pPr>
            <w:r>
              <w:rPr>
                <w:rFonts w:ascii="Arial" w:cs="Arial" w:eastAsia="Arial" w:hAnsi="Arial"/>
                <w:sz w:val="18"/>
                <w:szCs w:val="18"/>
                <w:color w:val="auto"/>
              </w:rPr>
              <w:t>Terms</w:t>
            </w:r>
          </w:p>
        </w:tc>
        <w:tc>
          <w:tcPr>
            <w:tcW w:w="10240" w:type="dxa"/>
            <w:vAlign w:val="bottom"/>
          </w:tcPr>
          <w:p>
            <w:pPr>
              <w:ind w:left="280"/>
              <w:spacing w:after="0"/>
              <w:rPr>
                <w:sz w:val="20"/>
                <w:szCs w:val="20"/>
                <w:color w:val="auto"/>
              </w:rPr>
            </w:pPr>
            <w:r>
              <w:rPr>
                <w:rFonts w:ascii="Arial" w:cs="Arial" w:eastAsia="Arial" w:hAnsi="Arial"/>
                <w:sz w:val="18"/>
                <w:szCs w:val="18"/>
                <w:color w:val="auto"/>
              </w:rPr>
              <w:t>Determined by the committee and paid in a single payment after the performance year.</w:t>
            </w:r>
          </w:p>
        </w:tc>
      </w:tr>
    </w:tbl>
    <w:p>
      <w:pPr>
        <w:spacing w:after="0" w:line="98" w:lineRule="exact"/>
        <w:rPr>
          <w:sz w:val="20"/>
          <w:szCs w:val="20"/>
          <w:color w:val="auto"/>
        </w:rPr>
      </w:pPr>
    </w:p>
    <w:p>
      <w:pPr>
        <w:jc w:val="right"/>
        <w:spacing w:after="0"/>
        <w:rPr>
          <w:sz w:val="20"/>
          <w:szCs w:val="20"/>
          <w:color w:val="auto"/>
        </w:rPr>
      </w:pPr>
      <w:r>
        <w:rPr>
          <w:rFonts w:ascii="Arial" w:cs="Arial" w:eastAsia="Arial" w:hAnsi="Arial"/>
          <w:sz w:val="5"/>
          <w:szCs w:val="5"/>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14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4" w:lineRule="exact"/>
        <w:rPr>
          <w:sz w:val="20"/>
          <w:szCs w:val="20"/>
          <w:color w:val="auto"/>
        </w:rPr>
      </w:pPr>
    </w:p>
    <w:p>
      <w:pPr>
        <w:ind w:right="340" w:firstLine="8"/>
        <w:spacing w:after="0" w:line="237" w:lineRule="auto"/>
        <w:tabs>
          <w:tab w:leader="none" w:pos="115"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Total shareholder return refers to the percentage change in the value of a shareholder’s investment in a company over the relevant time period, as determined by dividends paid and the change in the company’s share price during the period. See notes to the performance summary table under “Analysis of compensation determinations – Bonus.”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2025 PROXY STATEMENT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4"/>
          <w:szCs w:val="14"/>
          <w:b w:val="1"/>
          <w:bCs w:val="1"/>
          <w:color w:val="auto"/>
        </w:rPr>
        <w:t>Profit Sharing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sectPr>
      </w:pP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Purpose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Broad-based program designed to emphasize that each employee contributes to the company’s profitability and can share in it.</w:t>
      </w:r>
    </w:p>
    <w:p>
      <w:pPr>
        <w:spacing w:after="0" w:line="45" w:lineRule="exact"/>
        <w:rPr>
          <w:sz w:val="20"/>
          <w:szCs w:val="20"/>
          <w:color w:val="auto"/>
        </w:rPr>
      </w:pPr>
    </w:p>
    <w:p>
      <w:pPr>
        <w:sectPr>
          <w:pgSz w:w="11900" w:h="16838" w:orient="portrait"/>
          <w:cols w:equalWidth="0" w:num="2">
            <w:col w:w="700" w:space="560"/>
            <w:col w:w="9960"/>
          </w:cols>
          <w:pgMar w:left="320" w:top="832" w:right="35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Strategy</w:t>
      </w:r>
    </w:p>
    <w:p>
      <w:pPr>
        <w:spacing w:after="0" w:line="20" w:lineRule="exact"/>
        <w:rPr>
          <w:sz w:val="20"/>
          <w:szCs w:val="20"/>
          <w:color w:val="auto"/>
        </w:rPr>
      </w:pPr>
      <w:r>
        <w:rPr>
          <w:sz w:val="20"/>
          <w:szCs w:val="20"/>
          <w:color w:val="auto"/>
        </w:rPr>
        <w:br w:type="column"/>
      </w:r>
    </w:p>
    <w:p>
      <w:pPr>
        <w:ind w:right="180"/>
        <w:spacing w:after="0" w:line="287" w:lineRule="auto"/>
        <w:rPr>
          <w:sz w:val="20"/>
          <w:szCs w:val="20"/>
          <w:color w:val="auto"/>
        </w:rPr>
      </w:pPr>
      <w:r>
        <w:rPr>
          <w:rFonts w:ascii="Arial" w:cs="Arial" w:eastAsia="Arial" w:hAnsi="Arial"/>
          <w:sz w:val="18"/>
          <w:szCs w:val="18"/>
          <w:color w:val="auto"/>
        </w:rPr>
        <w:t>Pay according to a formula that is the same for all employees to focus them on a company goal, and set payout potential at a level that will affect behavior. Profit sharing is paid in addition to any performance bonus awarded for the year.</w:t>
      </w:r>
    </w:p>
    <w:p>
      <w:pPr>
        <w:spacing w:after="0" w:line="45" w:lineRule="exact"/>
        <w:rPr>
          <w:sz w:val="20"/>
          <w:szCs w:val="20"/>
          <w:color w:val="auto"/>
        </w:rPr>
      </w:pPr>
    </w:p>
    <w:p>
      <w:pPr>
        <w:sectPr>
          <w:pgSz w:w="11900" w:h="16838" w:orient="portrait"/>
          <w:cols w:equalWidth="0" w:num="2">
            <w:col w:w="700" w:space="560"/>
            <w:col w:w="9960"/>
          </w:cols>
          <w:pgMar w:left="320" w:top="832" w:right="359" w:bottom="1440" w:gutter="0" w:footer="0" w:header="0"/>
          <w:type w:val="continuous"/>
        </w:sectPr>
      </w:pPr>
    </w:p>
    <w:p>
      <w:pPr>
        <w:ind w:left="1260" w:right="980"/>
        <w:spacing w:after="0" w:line="287" w:lineRule="auto"/>
        <w:rPr>
          <w:sz w:val="20"/>
          <w:szCs w:val="20"/>
          <w:color w:val="auto"/>
        </w:rPr>
      </w:pPr>
      <w:r>
        <w:rPr>
          <w:rFonts w:ascii="Arial" w:cs="Arial" w:eastAsia="Arial" w:hAnsi="Arial"/>
          <w:sz w:val="18"/>
          <w:szCs w:val="18"/>
          <w:color w:val="auto"/>
        </w:rPr>
        <w:t>The formula is based on company-level annual operating profit margin. The formula was set by the TI board. The committee’s practice has been not to adjust amounts earned under the formula.</w:t>
      </w:r>
    </w:p>
    <w:p>
      <w:pPr>
        <w:sectPr>
          <w:pgSz w:w="11900" w:h="16838" w:orient="portrait"/>
          <w:cols w:equalWidth="0" w:num="1">
            <w:col w:w="11220"/>
          </w:cols>
          <w:pgMar w:left="320" w:top="832" w:right="359" w:bottom="1440" w:gutter="0" w:footer="0" w:header="0"/>
          <w:type w:val="continuous"/>
        </w:sectPr>
      </w:pPr>
    </w:p>
    <w:p>
      <w:pPr>
        <w:spacing w:after="0" w:line="1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Terms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Payable in a single cash payment shortly after the end of the performance year. As in recent years, profit sharing for 2024 was calculated as follows:</w:t>
      </w:r>
    </w:p>
    <w:p>
      <w:pPr>
        <w:spacing w:after="0" w:line="45" w:lineRule="exact"/>
        <w:rPr>
          <w:sz w:val="20"/>
          <w:szCs w:val="20"/>
          <w:color w:val="auto"/>
        </w:rPr>
      </w:pPr>
    </w:p>
    <w:p>
      <w:pPr>
        <w:sectPr>
          <w:pgSz w:w="11900" w:h="16838" w:orient="portrait"/>
          <w:cols w:equalWidth="0" w:num="2">
            <w:col w:w="540" w:space="720"/>
            <w:col w:w="9960"/>
          </w:cols>
          <w:pgMar w:left="320" w:top="832" w:right="359" w:bottom="1440" w:gutter="0" w:footer="0" w:header="0"/>
          <w:type w:val="continuous"/>
        </w:sectPr>
      </w:pPr>
    </w:p>
    <w:p>
      <w:pPr>
        <w:ind w:left="1260"/>
        <w:spacing w:after="0"/>
        <w:rPr>
          <w:sz w:val="20"/>
          <w:szCs w:val="20"/>
          <w:color w:val="auto"/>
        </w:rPr>
      </w:pPr>
      <w:r>
        <w:rPr>
          <w:rFonts w:ascii="Arial" w:cs="Arial" w:eastAsia="Arial" w:hAnsi="Arial"/>
          <w:sz w:val="18"/>
          <w:szCs w:val="18"/>
          <w:color w:val="auto"/>
        </w:rPr>
        <w:t>If operating profit margin was:</w:t>
      </w:r>
    </w:p>
    <w:p>
      <w:pPr>
        <w:sectPr>
          <w:pgSz w:w="11900" w:h="16838" w:orient="portrait"/>
          <w:cols w:equalWidth="0" w:num="1">
            <w:col w:w="11220"/>
          </w:cols>
          <w:pgMar w:left="320" w:top="832" w:right="359" w:bottom="1440" w:gutter="0" w:footer="0" w:header="0"/>
          <w:type w:val="continuous"/>
        </w:sectPr>
      </w:pPr>
    </w:p>
    <w:p>
      <w:pPr>
        <w:spacing w:after="0" w:line="117" w:lineRule="exact"/>
        <w:rPr>
          <w:sz w:val="20"/>
          <w:szCs w:val="20"/>
          <w:color w:val="auto"/>
        </w:rPr>
      </w:pPr>
    </w:p>
    <w:p>
      <w:pPr>
        <w:ind w:left="1920" w:hanging="328"/>
        <w:spacing w:after="0"/>
        <w:tabs>
          <w:tab w:leader="none" w:pos="1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Below 10%: no profit sharing</w:t>
      </w:r>
    </w:p>
    <w:p>
      <w:pPr>
        <w:spacing w:after="0" w:line="63" w:lineRule="exact"/>
        <w:rPr>
          <w:rFonts w:ascii="Arial" w:cs="Arial" w:eastAsia="Arial" w:hAnsi="Arial"/>
          <w:sz w:val="18"/>
          <w:szCs w:val="18"/>
          <w:color w:val="auto"/>
        </w:rPr>
      </w:pPr>
    </w:p>
    <w:p>
      <w:pPr>
        <w:ind w:left="1920" w:hanging="328"/>
        <w:spacing w:after="0"/>
        <w:tabs>
          <w:tab w:leader="none" w:pos="1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10%: profit sharing = 2% of base salary</w:t>
      </w:r>
    </w:p>
    <w:p>
      <w:pPr>
        <w:spacing w:after="0" w:line="63" w:lineRule="exact"/>
        <w:rPr>
          <w:rFonts w:ascii="Arial" w:cs="Arial" w:eastAsia="Arial" w:hAnsi="Arial"/>
          <w:sz w:val="18"/>
          <w:szCs w:val="18"/>
          <w:color w:val="auto"/>
        </w:rPr>
      </w:pPr>
    </w:p>
    <w:p>
      <w:pPr>
        <w:ind w:left="1920" w:right="160" w:hanging="328"/>
        <w:spacing w:after="0" w:line="318" w:lineRule="auto"/>
        <w:tabs>
          <w:tab w:leader="none" w:pos="1915" w:val="left"/>
        </w:tabs>
        <w:numPr>
          <w:ilvl w:val="0"/>
          <w:numId w:val="49"/>
        </w:numPr>
        <w:rPr>
          <w:rFonts w:ascii="Arial" w:cs="Arial" w:eastAsia="Arial" w:hAnsi="Arial"/>
          <w:sz w:val="17"/>
          <w:szCs w:val="17"/>
          <w:color w:val="auto"/>
        </w:rPr>
      </w:pPr>
      <w:r>
        <w:rPr>
          <w:rFonts w:ascii="Arial" w:cs="Arial" w:eastAsia="Arial" w:hAnsi="Arial"/>
          <w:sz w:val="17"/>
          <w:szCs w:val="17"/>
          <w:color w:val="auto"/>
        </w:rPr>
        <w:t>Above 10%: profit sharing increases by 0.5% of base salary for each percentage point between 10% and 24%, and by 1% of base salary for each percentage point above 24%. The maximum profit sharing is 20% of base salary.</w:t>
      </w:r>
    </w:p>
    <w:p>
      <w:pPr>
        <w:spacing w:after="0" w:line="22" w:lineRule="exact"/>
        <w:rPr>
          <w:sz w:val="20"/>
          <w:szCs w:val="20"/>
          <w:color w:val="auto"/>
        </w:rPr>
      </w:pPr>
    </w:p>
    <w:p>
      <w:pPr>
        <w:ind w:left="1260" w:right="640"/>
        <w:spacing w:after="0" w:line="287" w:lineRule="auto"/>
        <w:rPr>
          <w:sz w:val="20"/>
          <w:szCs w:val="20"/>
          <w:color w:val="auto"/>
        </w:rPr>
      </w:pPr>
      <w:r>
        <w:rPr>
          <w:rFonts w:ascii="Arial" w:cs="Arial" w:eastAsia="Arial" w:hAnsi="Arial"/>
          <w:sz w:val="18"/>
          <w:szCs w:val="18"/>
          <w:color w:val="auto"/>
        </w:rPr>
        <w:t>In 2024, TI delivered operating profit margin of 34.9%. As a result, all eligible employees, including executive officers, received profit sharing of 19.9% of base salary.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compensation, awarded in equity</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 Options and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type w:val="continuous"/>
        </w:sectPr>
      </w:pP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Purpose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Alignment with shareholders; long-term focus; balance retention, particularly with respect to restricted stock units, and performance, particularly with respect to stock options which only have value when the value of the company increases (as measured by stock price).</w:t>
      </w:r>
    </w:p>
    <w:p>
      <w:pPr>
        <w:spacing w:after="0" w:line="171" w:lineRule="exact"/>
        <w:rPr>
          <w:sz w:val="20"/>
          <w:szCs w:val="20"/>
          <w:color w:val="auto"/>
        </w:rPr>
      </w:pPr>
    </w:p>
    <w:p>
      <w:pPr>
        <w:sectPr>
          <w:pgSz w:w="11900" w:h="16838" w:orient="portrait"/>
          <w:cols w:equalWidth="0" w:num="2">
            <w:col w:w="700" w:space="560"/>
            <w:col w:w="9960"/>
          </w:cols>
          <w:pgMar w:left="320" w:top="832" w:right="35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Strategy</w:t>
      </w:r>
    </w:p>
    <w:p>
      <w:pPr>
        <w:spacing w:after="0" w:line="20" w:lineRule="exact"/>
        <w:rPr>
          <w:sz w:val="20"/>
          <w:szCs w:val="20"/>
          <w:color w:val="auto"/>
        </w:rPr>
      </w:pPr>
      <w:r>
        <w:rPr>
          <w:sz w:val="20"/>
          <w:szCs w:val="20"/>
          <w:color w:val="auto"/>
        </w:rPr>
        <w:br w:type="column"/>
      </w:r>
    </w:p>
    <w:p>
      <w:pPr>
        <w:ind w:right="220"/>
        <w:spacing w:after="0" w:line="257" w:lineRule="auto"/>
        <w:rPr>
          <w:sz w:val="20"/>
          <w:szCs w:val="20"/>
          <w:color w:val="auto"/>
        </w:rPr>
      </w:pPr>
      <w:r>
        <w:rPr>
          <w:rFonts w:ascii="Arial" w:cs="Arial" w:eastAsia="Arial" w:hAnsi="Arial"/>
          <w:sz w:val="18"/>
          <w:szCs w:val="18"/>
          <w:color w:val="auto"/>
        </w:rPr>
        <w:t>We grant a combination of non-qualified stock options and restricted stock units, generally targeted at the median level of equity compensation awarded to executives in similar positions within the Comparator Group. The committee does not rely on formulas or performance targets or thresholds. Restricted stock units have a four-year cliff vest schedule in order to support retention of our executives. Stock options, which only have value when the value of the company increases (as measured by stock price), enhance the performance orientation of our executive compensation program. Both of these equity awards align with shareholder interests to drive the long-term performance of the company.</w:t>
      </w:r>
    </w:p>
    <w:p>
      <w:pPr>
        <w:spacing w:after="0" w:line="182" w:lineRule="exact"/>
        <w:rPr>
          <w:sz w:val="20"/>
          <w:szCs w:val="20"/>
          <w:color w:val="auto"/>
        </w:rPr>
      </w:pPr>
    </w:p>
    <w:p>
      <w:pPr>
        <w:sectPr>
          <w:pgSz w:w="11900" w:h="16838" w:orient="portrait"/>
          <w:cols w:equalWidth="0" w:num="2">
            <w:col w:w="700" w:space="560"/>
            <w:col w:w="9960"/>
          </w:cols>
          <w:pgMar w:left="320" w:top="832" w:right="3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Terms</w:t>
      </w:r>
    </w:p>
    <w:p>
      <w:pPr>
        <w:spacing w:after="0" w:line="20" w:lineRule="exact"/>
        <w:rPr>
          <w:sz w:val="20"/>
          <w:szCs w:val="20"/>
          <w:color w:val="auto"/>
        </w:rPr>
      </w:pPr>
      <w:r>
        <w:rPr>
          <w:sz w:val="20"/>
          <w:szCs w:val="20"/>
          <w:color w:val="auto"/>
        </w:rPr>
        <w:br w:type="column"/>
      </w:r>
    </w:p>
    <w:p>
      <w:pPr>
        <w:ind w:right="300"/>
        <w:spacing w:after="0" w:line="287" w:lineRule="auto"/>
        <w:rPr>
          <w:sz w:val="20"/>
          <w:szCs w:val="20"/>
          <w:color w:val="auto"/>
        </w:rPr>
      </w:pPr>
      <w:r>
        <w:rPr>
          <w:rFonts w:ascii="Arial" w:cs="Arial" w:eastAsia="Arial" w:hAnsi="Arial"/>
          <w:sz w:val="18"/>
          <w:szCs w:val="18"/>
          <w:color w:val="auto"/>
        </w:rPr>
        <w:t>The terms and conditions of stock options and restricted stock units are summarized under “Outstanding equity awards at fiscal year-end 2024.” The committee’s grant procedures are described under “Process for equity grants.”</w:t>
      </w:r>
    </w:p>
    <w:p>
      <w:pPr>
        <w:spacing w:after="0" w:line="200" w:lineRule="exact"/>
        <w:rPr>
          <w:sz w:val="20"/>
          <w:szCs w:val="20"/>
          <w:color w:val="auto"/>
        </w:rPr>
      </w:pPr>
    </w:p>
    <w:p>
      <w:pPr>
        <w:sectPr>
          <w:pgSz w:w="11900" w:h="16838" w:orient="portrait"/>
          <w:cols w:equalWidth="0" w:num="2">
            <w:col w:w="540" w:space="720"/>
            <w:col w:w="9960"/>
          </w:cols>
          <w:pgMar w:left="320" w:top="832" w:right="35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Comparator group</w:t>
      </w:r>
    </w:p>
    <w:p>
      <w:pPr>
        <w:spacing w:after="0" w:line="23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compensation committee considers the market level of compensation when setting the salary, bonuses and equity compensation of the executive officers. To estimate the market level of pay, the committee uses information provided by its compensation consultant and TI’s Compensation and Benefits organization about compensation paid to executives in similar positions at a peer group of companies (the “Comparator Group”).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sets the Comparator Group and reviews it annually. In general, the Comparator Group companies (i) are U.S.-based,</w:t>
      </w:r>
    </w:p>
    <w:p>
      <w:pPr>
        <w:spacing w:after="0" w:line="27" w:lineRule="exact"/>
        <w:rPr>
          <w:sz w:val="20"/>
          <w:szCs w:val="20"/>
          <w:color w:val="auto"/>
        </w:rPr>
      </w:pPr>
    </w:p>
    <w:p>
      <w:pPr>
        <w:ind w:firstLine="8"/>
        <w:spacing w:after="0" w:line="258" w:lineRule="auto"/>
        <w:tabs>
          <w:tab w:leader="none" w:pos="2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engage in the semiconductor business, other electronics or information technology activities or use sophisticated manufacturing processes, (iii) have executive positions comparable in complexity to those of TI and (iv) use forms of executive compensation comparable to 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Shown in the table below is the Comparator Group used for the compensation decisions for 2024.</w:t>
      </w:r>
    </w:p>
    <w:p>
      <w:pPr>
        <w:spacing w:after="0" w:line="279" w:lineRule="exact"/>
        <w:rPr>
          <w:sz w:val="20"/>
          <w:szCs w:val="20"/>
          <w:color w:val="auto"/>
        </w:rPr>
      </w:pPr>
    </w:p>
    <w:p>
      <w:pPr>
        <w:ind w:left="1320"/>
        <w:spacing w:after="0"/>
        <w:tabs>
          <w:tab w:leader="none" w:pos="4820" w:val="left"/>
        </w:tabs>
        <w:rPr>
          <w:sz w:val="20"/>
          <w:szCs w:val="20"/>
          <w:color w:val="auto"/>
        </w:rPr>
      </w:pPr>
      <w:r>
        <w:rPr>
          <w:rFonts w:ascii="Arial" w:cs="Arial" w:eastAsia="Arial" w:hAnsi="Arial"/>
          <w:sz w:val="18"/>
          <w:szCs w:val="18"/>
          <w:color w:val="auto"/>
        </w:rPr>
        <w:t>3M Company</w:t>
      </w:r>
      <w:r>
        <w:rPr>
          <w:sz w:val="20"/>
          <w:szCs w:val="20"/>
          <w:color w:val="auto"/>
        </w:rPr>
        <w:tab/>
      </w:r>
      <w:r>
        <w:rPr>
          <w:rFonts w:ascii="Arial" w:cs="Arial" w:eastAsia="Arial" w:hAnsi="Arial"/>
          <w:sz w:val="17"/>
          <w:szCs w:val="17"/>
          <w:color w:val="auto"/>
        </w:rPr>
        <w:t>Intel Corporation</w:t>
      </w:r>
    </w:p>
    <w:p>
      <w:pPr>
        <w:spacing w:after="0" w:line="63" w:lineRule="exact"/>
        <w:rPr>
          <w:sz w:val="20"/>
          <w:szCs w:val="20"/>
          <w:color w:val="auto"/>
        </w:rPr>
      </w:pPr>
    </w:p>
    <w:p>
      <w:pPr>
        <w:ind w:left="1320"/>
        <w:spacing w:after="0"/>
        <w:tabs>
          <w:tab w:leader="none" w:pos="4820" w:val="left"/>
        </w:tabs>
        <w:rPr>
          <w:sz w:val="20"/>
          <w:szCs w:val="20"/>
          <w:color w:val="auto"/>
        </w:rPr>
      </w:pPr>
      <w:r>
        <w:rPr>
          <w:rFonts w:ascii="Arial" w:cs="Arial" w:eastAsia="Arial" w:hAnsi="Arial"/>
          <w:sz w:val="18"/>
          <w:szCs w:val="18"/>
          <w:color w:val="auto"/>
        </w:rPr>
        <w:t>Accenture plc</w:t>
      </w:r>
      <w:r>
        <w:rPr>
          <w:sz w:val="20"/>
          <w:szCs w:val="20"/>
          <w:color w:val="auto"/>
        </w:rPr>
        <w:tab/>
      </w:r>
      <w:r>
        <w:rPr>
          <w:rFonts w:ascii="Arial" w:cs="Arial" w:eastAsia="Arial" w:hAnsi="Arial"/>
          <w:sz w:val="17"/>
          <w:szCs w:val="17"/>
          <w:color w:val="auto"/>
        </w:rPr>
        <w:t>Medtronic plc</w:t>
      </w:r>
    </w:p>
    <w:p>
      <w:pPr>
        <w:spacing w:after="0" w:line="63" w:lineRule="exact"/>
        <w:rPr>
          <w:sz w:val="20"/>
          <w:szCs w:val="20"/>
          <w:color w:val="auto"/>
        </w:rPr>
      </w:pPr>
    </w:p>
    <w:p>
      <w:pPr>
        <w:ind w:left="1320"/>
        <w:spacing w:after="0"/>
        <w:tabs>
          <w:tab w:leader="none" w:pos="4820" w:val="left"/>
        </w:tabs>
        <w:rPr>
          <w:sz w:val="20"/>
          <w:szCs w:val="20"/>
          <w:color w:val="auto"/>
        </w:rPr>
      </w:pPr>
      <w:r>
        <w:rPr>
          <w:rFonts w:ascii="Arial" w:cs="Arial" w:eastAsia="Arial" w:hAnsi="Arial"/>
          <w:sz w:val="18"/>
          <w:szCs w:val="18"/>
          <w:color w:val="auto"/>
        </w:rPr>
        <w:t>Analog Devices, Inc.</w:t>
      </w:r>
      <w:r>
        <w:rPr>
          <w:sz w:val="20"/>
          <w:szCs w:val="20"/>
          <w:color w:val="auto"/>
        </w:rPr>
        <w:tab/>
      </w:r>
      <w:r>
        <w:rPr>
          <w:rFonts w:ascii="Arial" w:cs="Arial" w:eastAsia="Arial" w:hAnsi="Arial"/>
          <w:sz w:val="17"/>
          <w:szCs w:val="17"/>
          <w:color w:val="auto"/>
        </w:rPr>
        <w:t>Micron Technology, Inc.</w:t>
      </w:r>
    </w:p>
    <w:p>
      <w:pPr>
        <w:spacing w:after="0" w:line="63" w:lineRule="exact"/>
        <w:rPr>
          <w:sz w:val="20"/>
          <w:szCs w:val="20"/>
          <w:color w:val="auto"/>
        </w:rPr>
      </w:pPr>
    </w:p>
    <w:p>
      <w:pPr>
        <w:ind w:left="1320"/>
        <w:spacing w:after="0"/>
        <w:tabs>
          <w:tab w:leader="none" w:pos="4820" w:val="left"/>
        </w:tabs>
        <w:rPr>
          <w:sz w:val="20"/>
          <w:szCs w:val="20"/>
          <w:color w:val="auto"/>
        </w:rPr>
      </w:pPr>
      <w:r>
        <w:rPr>
          <w:rFonts w:ascii="Arial" w:cs="Arial" w:eastAsia="Arial" w:hAnsi="Arial"/>
          <w:sz w:val="18"/>
          <w:szCs w:val="18"/>
          <w:color w:val="auto"/>
        </w:rPr>
        <w:t>Applied Materials, Inc.</w:t>
      </w:r>
      <w:r>
        <w:rPr>
          <w:sz w:val="20"/>
          <w:szCs w:val="20"/>
          <w:color w:val="auto"/>
        </w:rPr>
        <w:tab/>
      </w:r>
      <w:r>
        <w:rPr>
          <w:rFonts w:ascii="Arial" w:cs="Arial" w:eastAsia="Arial" w:hAnsi="Arial"/>
          <w:sz w:val="17"/>
          <w:szCs w:val="17"/>
          <w:color w:val="auto"/>
        </w:rPr>
        <w:t>Motorola Solutions, Inc.</w:t>
      </w:r>
    </w:p>
    <w:p>
      <w:pPr>
        <w:spacing w:after="0" w:line="63" w:lineRule="exact"/>
        <w:rPr>
          <w:sz w:val="20"/>
          <w:szCs w:val="20"/>
          <w:color w:val="auto"/>
        </w:rPr>
      </w:pPr>
    </w:p>
    <w:p>
      <w:pPr>
        <w:ind w:left="1320"/>
        <w:spacing w:after="0"/>
        <w:tabs>
          <w:tab w:leader="none" w:pos="4820" w:val="left"/>
        </w:tabs>
        <w:rPr>
          <w:sz w:val="20"/>
          <w:szCs w:val="20"/>
          <w:color w:val="auto"/>
        </w:rPr>
      </w:pPr>
      <w:r>
        <w:rPr>
          <w:rFonts w:ascii="Arial" w:cs="Arial" w:eastAsia="Arial" w:hAnsi="Arial"/>
          <w:sz w:val="18"/>
          <w:szCs w:val="18"/>
          <w:color w:val="auto"/>
        </w:rPr>
        <w:t>Broadcom Inc.</w:t>
      </w:r>
      <w:r>
        <w:rPr>
          <w:sz w:val="20"/>
          <w:szCs w:val="20"/>
          <w:color w:val="auto"/>
        </w:rPr>
        <w:tab/>
      </w:r>
      <w:r>
        <w:rPr>
          <w:rFonts w:ascii="Arial" w:cs="Arial" w:eastAsia="Arial" w:hAnsi="Arial"/>
          <w:sz w:val="17"/>
          <w:szCs w:val="17"/>
          <w:color w:val="auto"/>
        </w:rPr>
        <w:t>NVIDIA Corporation</w:t>
      </w:r>
    </w:p>
    <w:p>
      <w:pPr>
        <w:spacing w:after="0" w:line="63" w:lineRule="exact"/>
        <w:rPr>
          <w:sz w:val="20"/>
          <w:szCs w:val="20"/>
          <w:color w:val="auto"/>
        </w:rPr>
      </w:pPr>
    </w:p>
    <w:p>
      <w:pPr>
        <w:ind w:left="1320"/>
        <w:spacing w:after="0"/>
        <w:tabs>
          <w:tab w:leader="none" w:pos="4820" w:val="left"/>
        </w:tabs>
        <w:rPr>
          <w:sz w:val="20"/>
          <w:szCs w:val="20"/>
          <w:color w:val="auto"/>
        </w:rPr>
      </w:pPr>
      <w:r>
        <w:rPr>
          <w:rFonts w:ascii="Arial" w:cs="Arial" w:eastAsia="Arial" w:hAnsi="Arial"/>
          <w:sz w:val="18"/>
          <w:szCs w:val="18"/>
          <w:color w:val="auto"/>
        </w:rPr>
        <w:t>Cisco Systems, Inc.</w:t>
      </w:r>
      <w:r>
        <w:rPr>
          <w:sz w:val="20"/>
          <w:szCs w:val="20"/>
          <w:color w:val="auto"/>
        </w:rPr>
        <w:tab/>
      </w:r>
      <w:r>
        <w:rPr>
          <w:rFonts w:ascii="Arial" w:cs="Arial" w:eastAsia="Arial" w:hAnsi="Arial"/>
          <w:sz w:val="17"/>
          <w:szCs w:val="17"/>
          <w:color w:val="auto"/>
        </w:rPr>
        <w:t>QUALCOMM Incorporated</w:t>
      </w:r>
    </w:p>
    <w:p>
      <w:pPr>
        <w:spacing w:after="0" w:line="63" w:lineRule="exact"/>
        <w:rPr>
          <w:sz w:val="20"/>
          <w:szCs w:val="20"/>
          <w:color w:val="auto"/>
        </w:rPr>
      </w:pPr>
    </w:p>
    <w:p>
      <w:pPr>
        <w:ind w:left="1320"/>
        <w:spacing w:after="0"/>
        <w:tabs>
          <w:tab w:leader="none" w:pos="4820" w:val="left"/>
        </w:tabs>
        <w:rPr>
          <w:sz w:val="20"/>
          <w:szCs w:val="20"/>
          <w:color w:val="auto"/>
        </w:rPr>
      </w:pPr>
      <w:r>
        <w:rPr>
          <w:rFonts w:ascii="Arial" w:cs="Arial" w:eastAsia="Arial" w:hAnsi="Arial"/>
          <w:sz w:val="18"/>
          <w:szCs w:val="18"/>
          <w:color w:val="auto"/>
        </w:rPr>
        <w:t>Corning Incorporated</w:t>
      </w:r>
      <w:r>
        <w:rPr>
          <w:sz w:val="20"/>
          <w:szCs w:val="20"/>
          <w:color w:val="auto"/>
        </w:rPr>
        <w:tab/>
      </w:r>
      <w:r>
        <w:rPr>
          <w:rFonts w:ascii="Arial" w:cs="Arial" w:eastAsia="Arial" w:hAnsi="Arial"/>
          <w:sz w:val="17"/>
          <w:szCs w:val="17"/>
          <w:color w:val="auto"/>
        </w:rPr>
        <w:t>TE Connectivity Ltd.</w:t>
      </w:r>
    </w:p>
    <w:p>
      <w:pPr>
        <w:spacing w:after="0" w:line="63" w:lineRule="exact"/>
        <w:rPr>
          <w:sz w:val="20"/>
          <w:szCs w:val="20"/>
          <w:color w:val="auto"/>
        </w:rPr>
      </w:pPr>
    </w:p>
    <w:p>
      <w:pPr>
        <w:ind w:left="1320"/>
        <w:spacing w:after="0"/>
        <w:tabs>
          <w:tab w:leader="none" w:pos="4820" w:val="left"/>
        </w:tabs>
        <w:rPr>
          <w:sz w:val="20"/>
          <w:szCs w:val="20"/>
          <w:color w:val="auto"/>
        </w:rPr>
      </w:pPr>
      <w:r>
        <w:rPr>
          <w:rFonts w:ascii="Arial" w:cs="Arial" w:eastAsia="Arial" w:hAnsi="Arial"/>
          <w:sz w:val="18"/>
          <w:szCs w:val="18"/>
          <w:color w:val="auto"/>
        </w:rPr>
        <w:t>Emerson Electric Co.</w:t>
      </w:r>
      <w:r>
        <w:rPr>
          <w:sz w:val="20"/>
          <w:szCs w:val="20"/>
          <w:color w:val="auto"/>
        </w:rPr>
        <w:tab/>
      </w:r>
      <w:r>
        <w:rPr>
          <w:rFonts w:ascii="Arial" w:cs="Arial" w:eastAsia="Arial" w:hAnsi="Arial"/>
          <w:sz w:val="17"/>
          <w:szCs w:val="17"/>
          <w:color w:val="auto"/>
        </w:rPr>
        <w:t>Thermo Fisher Scientific Inc.</w:t>
      </w:r>
    </w:p>
    <w:p>
      <w:pPr>
        <w:spacing w:after="0" w:line="63" w:lineRule="exact"/>
        <w:rPr>
          <w:sz w:val="20"/>
          <w:szCs w:val="20"/>
          <w:color w:val="auto"/>
        </w:rPr>
      </w:pPr>
    </w:p>
    <w:p>
      <w:pPr>
        <w:ind w:left="1320"/>
        <w:spacing w:after="0"/>
        <w:tabs>
          <w:tab w:leader="none" w:pos="4820" w:val="left"/>
        </w:tabs>
        <w:rPr>
          <w:sz w:val="20"/>
          <w:szCs w:val="20"/>
          <w:color w:val="auto"/>
        </w:rPr>
      </w:pPr>
      <w:r>
        <w:rPr>
          <w:rFonts w:ascii="Arial" w:cs="Arial" w:eastAsia="Arial" w:hAnsi="Arial"/>
          <w:sz w:val="18"/>
          <w:szCs w:val="18"/>
          <w:color w:val="auto"/>
        </w:rPr>
        <w:t>Honeywell International Inc.</w:t>
      </w:r>
      <w:r>
        <w:rPr>
          <w:sz w:val="20"/>
          <w:szCs w:val="20"/>
          <w:color w:val="auto"/>
        </w:rPr>
        <w:tab/>
      </w:r>
      <w:r>
        <w:rPr>
          <w:rFonts w:ascii="Arial" w:cs="Arial" w:eastAsia="Arial" w:hAnsi="Arial"/>
          <w:sz w:val="17"/>
          <w:szCs w:val="17"/>
          <w:color w:val="auto"/>
        </w:rPr>
        <w:t>Western Digital Corporation</w:t>
      </w:r>
    </w:p>
    <w:p>
      <w:pPr>
        <w:spacing w:after="0" w:line="3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committee set the Comparator Group in July 2023 for the base salary and equity compensation decisions it made in 2024. For a discussion of the factors considered by the committee in setting the Comparator Group in July 2023, please see “Comparator group” on page 32 of the company’s 2024 proxy statement.</w:t>
      </w:r>
    </w:p>
    <w:p>
      <w:pPr>
        <w:spacing w:after="0" w:line="1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July 2024, the committee conducted its regular review of the Comparator Group in terms of industry, revenue and market capitalization. With the advice of its compensation consultant and to maintain comparability of company size and degree of industry similarity to TI, the committee decided to remove Accenture plc, NVIDIA Corporation and Western Digital Corporation and to add Advanced Micro Devices, Inc., Lam Research Corporation and NXP Semiconductors N.V. to the group. The committee used the new Comparator Group for the bonus decisions in January 2025 relating to 2024 performance. The table below compares the Comparator Group to TI in terms of revenue and market capitalization.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w:t>
            </w:r>
          </w:p>
        </w:tc>
        <w:tc>
          <w:tcPr>
            <w:tcW w:w="40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Revenue ($ Billion) *</w:t>
            </w:r>
          </w:p>
        </w:tc>
        <w:tc>
          <w:tcPr>
            <w:tcW w:w="27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Market Cap ($ Billion) *</w:t>
            </w: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Intel Corporation</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54.2</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86.5</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Cisco Systems, Inc.</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53.0</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235.8</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Broadcom Inc.</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51.6</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1,086.7</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Thermo Fisher Scientific Inc.</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42.4</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199.0</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QUALCOMM Incorporated</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39.0</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170.7</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Honeywell International Inc.</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37.9</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146.9</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Medtronic plc</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33.0</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102.4</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3M Company</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32.6</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70.3</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Micron Technology, Inc.</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29.1</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93.8</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Applied Materials, Inc.</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27.2</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132.3</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Advanced Micro Devices, Inc.</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24.3</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196.0</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Emerson Electric Co.</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17.5</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71.0</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TE Connectivity Ltd.</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15.8</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42.8</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Lam Research Corporation</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15.6</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92.9</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NXP Semiconductors N.V.</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12.9</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52.8</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Corning Incorporated</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12.6</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40.7</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Motorola Solutions, Inc.</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10.7</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77.2</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Analog Devices, Inc.</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9.4</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105.4</w:t>
            </w:r>
          </w:p>
        </w:tc>
      </w:tr>
      <w:tr>
        <w:trPr>
          <w:trHeight w:val="23"/>
        </w:trPr>
        <w:tc>
          <w:tcPr>
            <w:tcW w:w="44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Median</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28.1</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98.1</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Texas Instruments Incorporated</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15.7</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171.0</w:t>
            </w:r>
          </w:p>
        </w:tc>
      </w:tr>
    </w:tbl>
    <w:p>
      <w:pPr>
        <w:spacing w:after="0" w:line="207"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Trailing four-quarter revenue and market capitalization is as reported by Seeking Alpha on January 2, 2025.</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i w:val="1"/>
          <w:iCs w:val="1"/>
          <w:color w:val="auto"/>
        </w:rPr>
        <w:t>Analysis of compensation determinations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compensation</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Before finalizing the compensation of the executive officers, the committee reviewed all elements of compensation. The information included total cash compensation (salary, profit sharing and projected bonus), the grant date fair value of equity compensation, the impact (if any) that proposed compensation would have on other compensation elements,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information, the committee did not target a specific level of total compensation or use a formula to allocate compensation among the various elements. Instead, it used its judgment in assessing whether the total was consistent with the objectives of the program. Based on this review, the committee determined that the level of compensation was appropriate.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salary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set the 2024 rate of base salary for the following named executive officers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4140" w:type="dxa"/>
            <w:vAlign w:val="bottom"/>
            <w:tcBorders>
              <w:bottom w:val="single" w:sz="8" w:color="auto"/>
            </w:tcBorders>
            <w:gridSpan w:val="2"/>
          </w:tcPr>
          <w:p>
            <w:pPr>
              <w:ind w:left="2420"/>
              <w:spacing w:after="0"/>
              <w:rPr>
                <w:sz w:val="20"/>
                <w:szCs w:val="20"/>
                <w:color w:val="auto"/>
              </w:rPr>
            </w:pPr>
            <w:r>
              <w:rPr>
                <w:rFonts w:ascii="Arial" w:cs="Arial" w:eastAsia="Arial" w:hAnsi="Arial"/>
                <w:sz w:val="14"/>
                <w:szCs w:val="14"/>
                <w:b w:val="1"/>
                <w:bCs w:val="1"/>
                <w:color w:val="auto"/>
              </w:rPr>
              <w:t>2024 Annual Rate</w:t>
            </w:r>
          </w:p>
        </w:tc>
        <w:tc>
          <w:tcPr>
            <w:tcW w:w="3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Change from 2023 Annual Rate</w:t>
            </w:r>
          </w:p>
        </w:tc>
      </w:tr>
      <w:tr>
        <w:trPr>
          <w:trHeight w:val="250"/>
        </w:trPr>
        <w:tc>
          <w:tcPr>
            <w:tcW w:w="3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2620" w:type="dxa"/>
            <w:vAlign w:val="bottom"/>
            <w:tcBorders>
              <w:bottom w:val="single" w:sz="8" w:color="DBDBDB"/>
            </w:tcBorders>
            <w:shd w:val="clear" w:color="auto" w:fill="DBDBDB"/>
          </w:tcPr>
          <w:p>
            <w:pPr>
              <w:ind w:left="24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BDB"/>
            </w:tcBorders>
            <w:shd w:val="clear" w:color="auto" w:fill="DBDBDB"/>
          </w:tcPr>
          <w:p>
            <w:pPr>
              <w:jc w:val="right"/>
              <w:ind w:right="510"/>
              <w:spacing w:after="0"/>
              <w:rPr>
                <w:sz w:val="20"/>
                <w:szCs w:val="20"/>
                <w:color w:val="auto"/>
              </w:rPr>
            </w:pPr>
            <w:r>
              <w:rPr>
                <w:rFonts w:ascii="Arial" w:cs="Arial" w:eastAsia="Arial" w:hAnsi="Arial"/>
                <w:sz w:val="18"/>
                <w:szCs w:val="18"/>
                <w:color w:val="auto"/>
              </w:rPr>
              <w:t>1,250,000</w:t>
            </w:r>
          </w:p>
        </w:tc>
        <w:tc>
          <w:tcPr>
            <w:tcW w:w="3160" w:type="dxa"/>
            <w:vAlign w:val="bottom"/>
            <w:tcBorders>
              <w:bottom w:val="single" w:sz="8" w:color="DBDBDB"/>
            </w:tcBorders>
            <w:shd w:val="clear" w:color="auto" w:fill="DBDBDB"/>
          </w:tcPr>
          <w:p>
            <w:pPr>
              <w:jc w:val="right"/>
              <w:ind w:right="953"/>
              <w:spacing w:after="0"/>
              <w:rPr>
                <w:sz w:val="20"/>
                <w:szCs w:val="20"/>
                <w:color w:val="auto"/>
              </w:rPr>
            </w:pPr>
            <w:r>
              <w:rPr>
                <w:rFonts w:ascii="Arial" w:cs="Arial" w:eastAsia="Arial" w:hAnsi="Arial"/>
                <w:sz w:val="18"/>
                <w:szCs w:val="18"/>
                <w:color w:val="auto"/>
              </w:rPr>
              <w:t>8.7 %</w:t>
            </w:r>
          </w:p>
        </w:tc>
      </w:tr>
      <w:tr>
        <w:trPr>
          <w:trHeight w:val="247"/>
        </w:trPr>
        <w:tc>
          <w:tcPr>
            <w:tcW w:w="3920" w:type="dxa"/>
            <w:vAlign w:val="bottom"/>
          </w:tcPr>
          <w:p>
            <w:pPr>
              <w:ind w:left="20"/>
              <w:spacing w:after="0"/>
              <w:rPr>
                <w:sz w:val="20"/>
                <w:szCs w:val="20"/>
                <w:color w:val="auto"/>
              </w:rPr>
            </w:pPr>
            <w:r>
              <w:rPr>
                <w:rFonts w:ascii="Arial" w:cs="Arial" w:eastAsia="Arial" w:hAnsi="Arial"/>
                <w:sz w:val="18"/>
                <w:szCs w:val="18"/>
                <w:color w:val="auto"/>
              </w:rPr>
              <w:t>Rafael Lizardi</w:t>
            </w:r>
          </w:p>
        </w:tc>
        <w:tc>
          <w:tcPr>
            <w:tcW w:w="2620" w:type="dxa"/>
            <w:vAlign w:val="bottom"/>
          </w:tcPr>
          <w:p>
            <w:pPr>
              <w:ind w:left="240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845,000</w:t>
            </w:r>
          </w:p>
        </w:tc>
        <w:tc>
          <w:tcPr>
            <w:tcW w:w="3160" w:type="dxa"/>
            <w:vAlign w:val="bottom"/>
          </w:tcPr>
          <w:p>
            <w:pPr>
              <w:jc w:val="right"/>
              <w:ind w:right="953"/>
              <w:spacing w:after="0"/>
              <w:rPr>
                <w:sz w:val="20"/>
                <w:szCs w:val="20"/>
                <w:color w:val="auto"/>
              </w:rPr>
            </w:pPr>
            <w:r>
              <w:rPr>
                <w:rFonts w:ascii="Arial" w:cs="Arial" w:eastAsia="Arial" w:hAnsi="Arial"/>
                <w:sz w:val="18"/>
                <w:szCs w:val="18"/>
                <w:color w:val="auto"/>
              </w:rPr>
              <w:t>4.3 %</w:t>
            </w:r>
          </w:p>
        </w:tc>
      </w:tr>
      <w:tr>
        <w:trPr>
          <w:trHeight w:val="23"/>
        </w:trPr>
        <w:tc>
          <w:tcPr>
            <w:tcW w:w="39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50"/>
        </w:trPr>
        <w:tc>
          <w:tcPr>
            <w:tcW w:w="3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2620" w:type="dxa"/>
            <w:vAlign w:val="bottom"/>
            <w:tcBorders>
              <w:bottom w:val="single" w:sz="8" w:color="DBDBDB"/>
            </w:tcBorders>
            <w:shd w:val="clear" w:color="auto" w:fill="DBDBDB"/>
          </w:tcPr>
          <w:p>
            <w:pPr>
              <w:ind w:left="24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BDB"/>
            </w:tcBorders>
            <w:shd w:val="clear" w:color="auto" w:fill="DBDBDB"/>
          </w:tcPr>
          <w:p>
            <w:pPr>
              <w:jc w:val="right"/>
              <w:ind w:right="510"/>
              <w:spacing w:after="0"/>
              <w:rPr>
                <w:sz w:val="20"/>
                <w:szCs w:val="20"/>
                <w:color w:val="auto"/>
              </w:rPr>
            </w:pPr>
            <w:r>
              <w:rPr>
                <w:rFonts w:ascii="Arial" w:cs="Arial" w:eastAsia="Arial" w:hAnsi="Arial"/>
                <w:sz w:val="18"/>
                <w:szCs w:val="18"/>
                <w:color w:val="auto"/>
              </w:rPr>
              <w:t>600,000</w:t>
            </w:r>
          </w:p>
        </w:tc>
        <w:tc>
          <w:tcPr>
            <w:tcW w:w="3160" w:type="dxa"/>
            <w:vAlign w:val="bottom"/>
            <w:tcBorders>
              <w:bottom w:val="single" w:sz="8" w:color="DBDBDB"/>
            </w:tcBorders>
            <w:shd w:val="clear" w:color="auto" w:fill="DBDBDB"/>
          </w:tcPr>
          <w:p>
            <w:pPr>
              <w:jc w:val="right"/>
              <w:ind w:right="1153"/>
              <w:spacing w:after="0"/>
              <w:rPr>
                <w:sz w:val="20"/>
                <w:szCs w:val="20"/>
                <w:color w:val="auto"/>
              </w:rPr>
            </w:pPr>
            <w:r>
              <w:rPr>
                <w:rFonts w:ascii="Arial" w:cs="Arial" w:eastAsia="Arial" w:hAnsi="Arial"/>
                <w:sz w:val="18"/>
                <w:szCs w:val="18"/>
                <w:color w:val="auto"/>
              </w:rPr>
              <w:t>—</w:t>
            </w:r>
          </w:p>
        </w:tc>
      </w:tr>
      <w:tr>
        <w:trPr>
          <w:trHeight w:val="247"/>
        </w:trPr>
        <w:tc>
          <w:tcPr>
            <w:tcW w:w="3920" w:type="dxa"/>
            <w:vAlign w:val="bottom"/>
          </w:tcPr>
          <w:p>
            <w:pPr>
              <w:ind w:left="20"/>
              <w:spacing w:after="0"/>
              <w:rPr>
                <w:sz w:val="20"/>
                <w:szCs w:val="20"/>
                <w:color w:val="auto"/>
              </w:rPr>
            </w:pPr>
            <w:r>
              <w:rPr>
                <w:rFonts w:ascii="Arial" w:cs="Arial" w:eastAsia="Arial" w:hAnsi="Arial"/>
                <w:sz w:val="18"/>
                <w:szCs w:val="18"/>
                <w:color w:val="auto"/>
              </w:rPr>
              <w:t>Hagop Kozanian</w:t>
            </w:r>
          </w:p>
        </w:tc>
        <w:tc>
          <w:tcPr>
            <w:tcW w:w="2620" w:type="dxa"/>
            <w:vAlign w:val="bottom"/>
          </w:tcPr>
          <w:p>
            <w:pPr>
              <w:ind w:left="240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800,000</w:t>
            </w:r>
          </w:p>
        </w:tc>
        <w:tc>
          <w:tcPr>
            <w:tcW w:w="3160" w:type="dxa"/>
            <w:vAlign w:val="bottom"/>
          </w:tcPr>
          <w:p>
            <w:pPr>
              <w:jc w:val="right"/>
              <w:ind w:right="953"/>
              <w:spacing w:after="0"/>
              <w:rPr>
                <w:sz w:val="20"/>
                <w:szCs w:val="20"/>
                <w:color w:val="auto"/>
              </w:rPr>
            </w:pPr>
            <w:r>
              <w:rPr>
                <w:rFonts w:ascii="Arial" w:cs="Arial" w:eastAsia="Arial" w:hAnsi="Arial"/>
                <w:sz w:val="18"/>
                <w:szCs w:val="18"/>
                <w:color w:val="auto"/>
              </w:rPr>
              <w:t>3.9 %</w:t>
            </w:r>
          </w:p>
        </w:tc>
      </w:tr>
      <w:tr>
        <w:trPr>
          <w:trHeight w:val="23"/>
        </w:trPr>
        <w:tc>
          <w:tcPr>
            <w:tcW w:w="39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47"/>
        </w:trPr>
        <w:tc>
          <w:tcPr>
            <w:tcW w:w="39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2620" w:type="dxa"/>
            <w:vAlign w:val="bottom"/>
            <w:shd w:val="clear" w:color="auto" w:fill="DBDBDB"/>
          </w:tcPr>
          <w:p>
            <w:pPr>
              <w:ind w:left="24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DBDBDB"/>
          </w:tcPr>
          <w:p>
            <w:pPr>
              <w:jc w:val="right"/>
              <w:ind w:right="510"/>
              <w:spacing w:after="0"/>
              <w:rPr>
                <w:sz w:val="20"/>
                <w:szCs w:val="20"/>
                <w:color w:val="auto"/>
              </w:rPr>
            </w:pPr>
            <w:r>
              <w:rPr>
                <w:rFonts w:ascii="Arial" w:cs="Arial" w:eastAsia="Arial" w:hAnsi="Arial"/>
                <w:sz w:val="18"/>
                <w:szCs w:val="18"/>
                <w:color w:val="auto"/>
              </w:rPr>
              <w:t>780,000</w:t>
            </w:r>
          </w:p>
        </w:tc>
        <w:tc>
          <w:tcPr>
            <w:tcW w:w="3160" w:type="dxa"/>
            <w:vAlign w:val="bottom"/>
            <w:shd w:val="clear" w:color="auto" w:fill="DBDBDB"/>
          </w:tcPr>
          <w:p>
            <w:pPr>
              <w:jc w:val="right"/>
              <w:ind w:right="953"/>
              <w:spacing w:after="0"/>
              <w:rPr>
                <w:sz w:val="20"/>
                <w:szCs w:val="20"/>
                <w:color w:val="auto"/>
              </w:rPr>
            </w:pPr>
            <w:r>
              <w:rPr>
                <w:rFonts w:ascii="Arial" w:cs="Arial" w:eastAsia="Arial" w:hAnsi="Arial"/>
                <w:sz w:val="18"/>
                <w:szCs w:val="18"/>
                <w:color w:val="auto"/>
              </w:rPr>
              <w:t>5.4 %</w:t>
            </w:r>
          </w:p>
        </w:tc>
      </w:tr>
      <w:tr>
        <w:trPr>
          <w:trHeight w:val="23"/>
        </w:trPr>
        <w:tc>
          <w:tcPr>
            <w:tcW w:w="3920" w:type="dxa"/>
            <w:vAlign w:val="bottom"/>
            <w:shd w:val="clear" w:color="auto" w:fill="DBDBDB"/>
          </w:tcPr>
          <w:p>
            <w:pPr>
              <w:spacing w:after="0"/>
              <w:rPr>
                <w:sz w:val="2"/>
                <w:szCs w:val="2"/>
                <w:color w:val="auto"/>
              </w:rPr>
            </w:pPr>
          </w:p>
        </w:tc>
        <w:tc>
          <w:tcPr>
            <w:tcW w:w="2620" w:type="dxa"/>
            <w:vAlign w:val="bottom"/>
            <w:shd w:val="clear" w:color="auto" w:fill="DBDBDB"/>
          </w:tcPr>
          <w:p>
            <w:pPr>
              <w:spacing w:after="0"/>
              <w:rPr>
                <w:sz w:val="2"/>
                <w:szCs w:val="2"/>
                <w:color w:val="auto"/>
              </w:rPr>
            </w:pPr>
          </w:p>
        </w:tc>
        <w:tc>
          <w:tcPr>
            <w:tcW w:w="1520" w:type="dxa"/>
            <w:vAlign w:val="bottom"/>
            <w:shd w:val="clear" w:color="auto" w:fill="DBDBDB"/>
          </w:tcPr>
          <w:p>
            <w:pPr>
              <w:spacing w:after="0"/>
              <w:rPr>
                <w:sz w:val="2"/>
                <w:szCs w:val="2"/>
                <w:color w:val="auto"/>
              </w:rPr>
            </w:pPr>
          </w:p>
        </w:tc>
        <w:tc>
          <w:tcPr>
            <w:tcW w:w="3160" w:type="dxa"/>
            <w:vAlign w:val="bottom"/>
            <w:shd w:val="clear" w:color="auto" w:fill="DBDBDB"/>
          </w:tcPr>
          <w:p>
            <w:pPr>
              <w:spacing w:after="0"/>
              <w:rPr>
                <w:sz w:val="2"/>
                <w:szCs w:val="2"/>
                <w:color w:val="auto"/>
              </w:rPr>
            </w:pPr>
          </w:p>
        </w:tc>
      </w:tr>
    </w:tbl>
    <w:p>
      <w:pPr>
        <w:spacing w:after="0" w:line="27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For each of these executive officers, the committee set the 2024 base-salary rate listed above in January 2024. In keeping with its strategy, the committee targeted the annual base-salary rates to be at the estimated median level of salaries expected to be paid to similarly situated executives (considering job scope and tenure) of companies within the Comparator Group in January 2024.</w:t>
      </w:r>
    </w:p>
    <w:p>
      <w:pPr>
        <w:spacing w:after="0" w:line="171"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salary differences between the named executive officers were driven primarily by the market rate of pay (considering job scope and tenure) for each officer and not the application of a formula designed to maintain a differential between the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auto"/>
        </w:rPr>
        <w:t>Equity compensation</w:t>
      </w:r>
    </w:p>
    <w:p>
      <w:pPr>
        <w:spacing w:after="0" w:line="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January 2024, the committee awarded equity compensation to each of the named executive officers listed below. The grants are shown in the table under “Grants of plan-based awards in 2024.” The grant date fair value of the awards is reflected in that table and in the “Stock Awards” and “Option Awards” columns of the 2024 summary compensation table. The table below is provided to assist the reader in comparing the grant date fair values and number of shares for each of the years shown in the summary compensation table.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Grant Date</w:t>
            </w:r>
          </w:p>
        </w:tc>
        <w:tc>
          <w:tcPr>
            <w:tcW w:w="17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Stock Options</w:t>
            </w:r>
          </w:p>
        </w:tc>
        <w:tc>
          <w:tcPr>
            <w:tcW w:w="1500" w:type="dxa"/>
            <w:vAlign w:val="bottom"/>
          </w:tcPr>
          <w:p>
            <w:pPr>
              <w:jc w:val="center"/>
              <w:ind w:left="73"/>
              <w:spacing w:after="0"/>
              <w:rPr>
                <w:sz w:val="20"/>
                <w:szCs w:val="20"/>
                <w:color w:val="auto"/>
              </w:rPr>
            </w:pPr>
            <w:r>
              <w:rPr>
                <w:rFonts w:ascii="Arial" w:cs="Arial" w:eastAsia="Arial" w:hAnsi="Arial"/>
                <w:sz w:val="14"/>
                <w:szCs w:val="14"/>
                <w:b w:val="1"/>
                <w:bCs w:val="1"/>
                <w:color w:val="auto"/>
              </w:rPr>
              <w:t>Restricted</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500" w:type="dxa"/>
            <w:vAlign w:val="bottom"/>
          </w:tcPr>
          <w:p>
            <w:pPr>
              <w:jc w:val="center"/>
              <w:ind w:left="33"/>
              <w:spacing w:after="0"/>
              <w:rPr>
                <w:sz w:val="20"/>
                <w:szCs w:val="20"/>
                <w:color w:val="auto"/>
              </w:rPr>
            </w:pPr>
            <w:r>
              <w:rPr>
                <w:rFonts w:ascii="Arial" w:cs="Arial" w:eastAsia="Arial" w:hAnsi="Arial"/>
                <w:sz w:val="14"/>
                <w:szCs w:val="14"/>
                <w:b w:val="1"/>
                <w:bCs w:val="1"/>
                <w:color w:val="auto"/>
              </w:rPr>
              <w:t>Stock Units</w:t>
            </w:r>
          </w:p>
        </w:tc>
        <w:tc>
          <w:tcPr>
            <w:tcW w:w="0" w:type="dxa"/>
            <w:vAlign w:val="bottom"/>
          </w:tcPr>
          <w:p>
            <w:pPr>
              <w:spacing w:after="0"/>
              <w:rPr>
                <w:sz w:val="1"/>
                <w:szCs w:val="1"/>
                <w:color w:val="auto"/>
              </w:rPr>
            </w:pPr>
          </w:p>
        </w:tc>
      </w:tr>
      <w:tr>
        <w:trPr>
          <w:trHeight w:val="211"/>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2600" w:type="dxa"/>
            <w:vAlign w:val="bottom"/>
            <w:tcBorders>
              <w:bottom w:val="single" w:sz="8" w:color="auto"/>
            </w:tcBorders>
          </w:tcPr>
          <w:p>
            <w:pPr>
              <w:jc w:val="center"/>
              <w:ind w:left="1171"/>
              <w:spacing w:after="0"/>
              <w:rPr>
                <w:sz w:val="20"/>
                <w:szCs w:val="20"/>
                <w:color w:val="auto"/>
              </w:rPr>
            </w:pPr>
            <w:r>
              <w:rPr>
                <w:rFonts w:ascii="Arial" w:cs="Arial" w:eastAsia="Arial" w:hAnsi="Arial"/>
                <w:sz w:val="14"/>
                <w:szCs w:val="14"/>
                <w:b w:val="1"/>
                <w:bCs w:val="1"/>
                <w:color w:val="auto"/>
                <w:w w:val="98"/>
              </w:rPr>
              <w:t>Year</w:t>
            </w:r>
          </w:p>
        </w:tc>
        <w:tc>
          <w:tcPr>
            <w:tcW w:w="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Fair Value *</w:t>
            </w:r>
          </w:p>
        </w:tc>
        <w:tc>
          <w:tcPr>
            <w:tcW w:w="17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(Shares)</w:t>
            </w:r>
          </w:p>
        </w:tc>
        <w:tc>
          <w:tcPr>
            <w:tcW w:w="1500" w:type="dxa"/>
            <w:vAlign w:val="bottom"/>
            <w:tcBorders>
              <w:bottom w:val="single" w:sz="8" w:color="auto"/>
            </w:tcBorders>
          </w:tcPr>
          <w:p>
            <w:pPr>
              <w:jc w:val="center"/>
              <w:ind w:left="73"/>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45"/>
        </w:trPr>
        <w:tc>
          <w:tcPr>
            <w:tcW w:w="3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2600" w:type="dxa"/>
            <w:vAlign w:val="bottom"/>
            <w:tcBorders>
              <w:bottom w:val="single" w:sz="8" w:color="DBDBDB"/>
            </w:tcBorders>
            <w:shd w:val="clear" w:color="auto" w:fill="DBDBDB"/>
          </w:tcPr>
          <w:p>
            <w:pPr>
              <w:jc w:val="center"/>
              <w:ind w:left="1191"/>
              <w:spacing w:after="0"/>
              <w:rPr>
                <w:sz w:val="20"/>
                <w:szCs w:val="20"/>
                <w:color w:val="auto"/>
              </w:rPr>
            </w:pPr>
            <w:r>
              <w:rPr>
                <w:rFonts w:ascii="Arial" w:cs="Arial" w:eastAsia="Arial" w:hAnsi="Arial"/>
                <w:sz w:val="18"/>
                <w:szCs w:val="18"/>
                <w:color w:val="auto"/>
                <w:w w:val="99"/>
              </w:rPr>
              <w:t>2024</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15,000,084</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199,989</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44,798</w:t>
            </w:r>
          </w:p>
        </w:tc>
        <w:tc>
          <w:tcPr>
            <w:tcW w:w="0" w:type="dxa"/>
            <w:vAlign w:val="bottom"/>
          </w:tcPr>
          <w:p>
            <w:pPr>
              <w:spacing w:after="0"/>
              <w:rPr>
                <w:sz w:val="1"/>
                <w:szCs w:val="1"/>
                <w:color w:val="auto"/>
              </w:rPr>
            </w:pPr>
          </w:p>
        </w:tc>
      </w:tr>
      <w:tr>
        <w:trPr>
          <w:trHeight w:val="247"/>
        </w:trPr>
        <w:tc>
          <w:tcPr>
            <w:tcW w:w="3260" w:type="dxa"/>
            <w:vAlign w:val="bottom"/>
          </w:tcPr>
          <w:p>
            <w:pPr>
              <w:spacing w:after="0"/>
              <w:rPr>
                <w:sz w:val="21"/>
                <w:szCs w:val="21"/>
                <w:color w:val="auto"/>
              </w:rPr>
            </w:pPr>
          </w:p>
        </w:tc>
        <w:tc>
          <w:tcPr>
            <w:tcW w:w="2600" w:type="dxa"/>
            <w:vAlign w:val="bottom"/>
          </w:tcPr>
          <w:p>
            <w:pPr>
              <w:jc w:val="center"/>
              <w:ind w:left="1191"/>
              <w:spacing w:after="0"/>
              <w:rPr>
                <w:sz w:val="20"/>
                <w:szCs w:val="20"/>
                <w:color w:val="auto"/>
              </w:rPr>
            </w:pPr>
            <w:r>
              <w:rPr>
                <w:rFonts w:ascii="Arial" w:cs="Arial" w:eastAsia="Arial" w:hAnsi="Arial"/>
                <w:sz w:val="18"/>
                <w:szCs w:val="18"/>
                <w:color w:val="auto"/>
                <w:w w:val="99"/>
              </w:rPr>
              <w:t>2023</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12,000,009</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129,560</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34,463</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DBDBDB"/>
            </w:tcBorders>
            <w:shd w:val="clear" w:color="auto" w:fill="DBDBDB"/>
          </w:tcPr>
          <w:p>
            <w:pPr>
              <w:spacing w:after="0"/>
              <w:rPr>
                <w:sz w:val="21"/>
                <w:szCs w:val="21"/>
                <w:color w:val="auto"/>
              </w:rPr>
            </w:pPr>
          </w:p>
        </w:tc>
        <w:tc>
          <w:tcPr>
            <w:tcW w:w="2600" w:type="dxa"/>
            <w:vAlign w:val="bottom"/>
            <w:tcBorders>
              <w:bottom w:val="single" w:sz="8" w:color="DBDBDB"/>
            </w:tcBorders>
            <w:shd w:val="clear" w:color="auto" w:fill="DBDBDB"/>
          </w:tcPr>
          <w:p>
            <w:pPr>
              <w:jc w:val="center"/>
              <w:ind w:left="1191"/>
              <w:spacing w:after="0"/>
              <w:rPr>
                <w:sz w:val="20"/>
                <w:szCs w:val="20"/>
                <w:color w:val="auto"/>
              </w:rPr>
            </w:pPr>
            <w:r>
              <w:rPr>
                <w:rFonts w:ascii="Arial" w:cs="Arial" w:eastAsia="Arial" w:hAnsi="Arial"/>
                <w:sz w:val="18"/>
                <w:szCs w:val="18"/>
                <w:color w:val="auto"/>
                <w:w w:val="99"/>
              </w:rPr>
              <w:t>2022</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9,000,162</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113,054</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25,743</w:t>
            </w:r>
          </w:p>
        </w:tc>
        <w:tc>
          <w:tcPr>
            <w:tcW w:w="0" w:type="dxa"/>
            <w:vAlign w:val="bottom"/>
          </w:tcPr>
          <w:p>
            <w:pPr>
              <w:spacing w:after="0"/>
              <w:rPr>
                <w:sz w:val="1"/>
                <w:szCs w:val="1"/>
                <w:color w:val="auto"/>
              </w:rPr>
            </w:pPr>
          </w:p>
        </w:tc>
      </w:tr>
      <w:tr>
        <w:trPr>
          <w:trHeight w:val="257"/>
        </w:trPr>
        <w:tc>
          <w:tcPr>
            <w:tcW w:w="32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Lizardi</w:t>
            </w:r>
          </w:p>
        </w:tc>
        <w:tc>
          <w:tcPr>
            <w:tcW w:w="2600" w:type="dxa"/>
            <w:vAlign w:val="bottom"/>
            <w:tcBorders>
              <w:bottom w:val="single" w:sz="8" w:color="DBDBDB"/>
            </w:tcBorders>
            <w:shd w:val="clear" w:color="auto" w:fill="DBDBDB"/>
          </w:tcPr>
          <w:p>
            <w:pPr>
              <w:jc w:val="center"/>
              <w:ind w:left="1191"/>
              <w:spacing w:after="0"/>
              <w:rPr>
                <w:sz w:val="20"/>
                <w:szCs w:val="20"/>
                <w:color w:val="auto"/>
              </w:rPr>
            </w:pPr>
            <w:r>
              <w:rPr>
                <w:rFonts w:ascii="Arial" w:cs="Arial" w:eastAsia="Arial" w:hAnsi="Arial"/>
                <w:sz w:val="18"/>
                <w:szCs w:val="18"/>
                <w:color w:val="auto"/>
                <w:w w:val="99"/>
              </w:rPr>
              <w:t>2024</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4,800,154</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63,997</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14,336</w:t>
            </w:r>
          </w:p>
        </w:tc>
        <w:tc>
          <w:tcPr>
            <w:tcW w:w="0" w:type="dxa"/>
            <w:vAlign w:val="bottom"/>
          </w:tcPr>
          <w:p>
            <w:pPr>
              <w:spacing w:after="0"/>
              <w:rPr>
                <w:sz w:val="1"/>
                <w:szCs w:val="1"/>
                <w:color w:val="auto"/>
              </w:rPr>
            </w:pPr>
          </w:p>
        </w:tc>
      </w:tr>
      <w:tr>
        <w:trPr>
          <w:trHeight w:val="247"/>
        </w:trPr>
        <w:tc>
          <w:tcPr>
            <w:tcW w:w="3260" w:type="dxa"/>
            <w:vAlign w:val="bottom"/>
          </w:tcPr>
          <w:p>
            <w:pPr>
              <w:spacing w:after="0"/>
              <w:rPr>
                <w:sz w:val="21"/>
                <w:szCs w:val="21"/>
                <w:color w:val="auto"/>
              </w:rPr>
            </w:pPr>
          </w:p>
        </w:tc>
        <w:tc>
          <w:tcPr>
            <w:tcW w:w="2600" w:type="dxa"/>
            <w:vAlign w:val="bottom"/>
          </w:tcPr>
          <w:p>
            <w:pPr>
              <w:jc w:val="center"/>
              <w:ind w:left="1191"/>
              <w:spacing w:after="0"/>
              <w:rPr>
                <w:sz w:val="20"/>
                <w:szCs w:val="20"/>
                <w:color w:val="auto"/>
              </w:rPr>
            </w:pPr>
            <w:r>
              <w:rPr>
                <w:rFonts w:ascii="Arial" w:cs="Arial" w:eastAsia="Arial" w:hAnsi="Arial"/>
                <w:sz w:val="18"/>
                <w:szCs w:val="18"/>
                <w:color w:val="auto"/>
                <w:w w:val="99"/>
              </w:rPr>
              <w:t>2023</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4,800,144</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51,824</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13,786</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DBDBDB"/>
            </w:tcBorders>
            <w:shd w:val="clear" w:color="auto" w:fill="DBDBDB"/>
          </w:tcPr>
          <w:p>
            <w:pPr>
              <w:spacing w:after="0"/>
              <w:rPr>
                <w:sz w:val="21"/>
                <w:szCs w:val="21"/>
                <w:color w:val="auto"/>
              </w:rPr>
            </w:pPr>
          </w:p>
        </w:tc>
        <w:tc>
          <w:tcPr>
            <w:tcW w:w="2600" w:type="dxa"/>
            <w:vAlign w:val="bottom"/>
            <w:tcBorders>
              <w:bottom w:val="single" w:sz="8" w:color="DBDBDB"/>
            </w:tcBorders>
            <w:shd w:val="clear" w:color="auto" w:fill="DBDBDB"/>
          </w:tcPr>
          <w:p>
            <w:pPr>
              <w:jc w:val="center"/>
              <w:ind w:left="1191"/>
              <w:spacing w:after="0"/>
              <w:rPr>
                <w:sz w:val="20"/>
                <w:szCs w:val="20"/>
                <w:color w:val="auto"/>
              </w:rPr>
            </w:pPr>
            <w:r>
              <w:rPr>
                <w:rFonts w:ascii="Arial" w:cs="Arial" w:eastAsia="Arial" w:hAnsi="Arial"/>
                <w:sz w:val="18"/>
                <w:szCs w:val="18"/>
                <w:color w:val="auto"/>
                <w:w w:val="99"/>
              </w:rPr>
              <w:t>2022</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3,800,025</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47,734</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10,869</w:t>
            </w:r>
          </w:p>
        </w:tc>
        <w:tc>
          <w:tcPr>
            <w:tcW w:w="0" w:type="dxa"/>
            <w:vAlign w:val="bottom"/>
          </w:tcPr>
          <w:p>
            <w:pPr>
              <w:spacing w:after="0"/>
              <w:rPr>
                <w:sz w:val="1"/>
                <w:szCs w:val="1"/>
                <w:color w:val="auto"/>
              </w:rPr>
            </w:pPr>
          </w:p>
        </w:tc>
      </w:tr>
      <w:tr>
        <w:trPr>
          <w:trHeight w:val="257"/>
        </w:trPr>
        <w:tc>
          <w:tcPr>
            <w:tcW w:w="32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2600" w:type="dxa"/>
            <w:vAlign w:val="bottom"/>
            <w:tcBorders>
              <w:bottom w:val="single" w:sz="8" w:color="DBDBDB"/>
            </w:tcBorders>
            <w:shd w:val="clear" w:color="auto" w:fill="DBDBDB"/>
          </w:tcPr>
          <w:p>
            <w:pPr>
              <w:jc w:val="center"/>
              <w:ind w:left="1191"/>
              <w:spacing w:after="0"/>
              <w:rPr>
                <w:sz w:val="20"/>
                <w:szCs w:val="20"/>
                <w:color w:val="auto"/>
              </w:rPr>
            </w:pPr>
            <w:r>
              <w:rPr>
                <w:rFonts w:ascii="Arial" w:cs="Arial" w:eastAsia="Arial" w:hAnsi="Arial"/>
                <w:sz w:val="18"/>
                <w:szCs w:val="18"/>
                <w:color w:val="auto"/>
                <w:w w:val="99"/>
              </w:rPr>
              <w:t>2024</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7,500,061</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99,995</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22,399</w:t>
            </w:r>
          </w:p>
        </w:tc>
        <w:tc>
          <w:tcPr>
            <w:tcW w:w="0" w:type="dxa"/>
            <w:vAlign w:val="bottom"/>
          </w:tcPr>
          <w:p>
            <w:pPr>
              <w:spacing w:after="0"/>
              <w:rPr>
                <w:sz w:val="1"/>
                <w:szCs w:val="1"/>
                <w:color w:val="auto"/>
              </w:rPr>
            </w:pPr>
          </w:p>
        </w:tc>
      </w:tr>
      <w:tr>
        <w:trPr>
          <w:trHeight w:val="247"/>
        </w:trPr>
        <w:tc>
          <w:tcPr>
            <w:tcW w:w="3260" w:type="dxa"/>
            <w:vAlign w:val="bottom"/>
          </w:tcPr>
          <w:p>
            <w:pPr>
              <w:spacing w:after="0"/>
              <w:rPr>
                <w:sz w:val="21"/>
                <w:szCs w:val="21"/>
                <w:color w:val="auto"/>
              </w:rPr>
            </w:pPr>
          </w:p>
        </w:tc>
        <w:tc>
          <w:tcPr>
            <w:tcW w:w="2600" w:type="dxa"/>
            <w:vAlign w:val="bottom"/>
          </w:tcPr>
          <w:p>
            <w:pPr>
              <w:jc w:val="center"/>
              <w:ind w:left="1191"/>
              <w:spacing w:after="0"/>
              <w:rPr>
                <w:sz w:val="20"/>
                <w:szCs w:val="20"/>
                <w:color w:val="auto"/>
              </w:rPr>
            </w:pPr>
            <w:r>
              <w:rPr>
                <w:rFonts w:ascii="Arial" w:cs="Arial" w:eastAsia="Arial" w:hAnsi="Arial"/>
                <w:sz w:val="18"/>
                <w:szCs w:val="18"/>
                <w:color w:val="auto"/>
                <w:w w:val="99"/>
              </w:rPr>
              <w:t>2023</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17,500,109</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188,942</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50,259</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DBDBDB"/>
            </w:tcBorders>
            <w:shd w:val="clear" w:color="auto" w:fill="DBDBDB"/>
          </w:tcPr>
          <w:p>
            <w:pPr>
              <w:spacing w:after="0"/>
              <w:rPr>
                <w:sz w:val="21"/>
                <w:szCs w:val="21"/>
                <w:color w:val="auto"/>
              </w:rPr>
            </w:pPr>
          </w:p>
        </w:tc>
        <w:tc>
          <w:tcPr>
            <w:tcW w:w="2600" w:type="dxa"/>
            <w:vAlign w:val="bottom"/>
            <w:tcBorders>
              <w:bottom w:val="single" w:sz="8" w:color="DBDBDB"/>
            </w:tcBorders>
            <w:shd w:val="clear" w:color="auto" w:fill="DBDBDB"/>
          </w:tcPr>
          <w:p>
            <w:pPr>
              <w:jc w:val="center"/>
              <w:ind w:left="1191"/>
              <w:spacing w:after="0"/>
              <w:rPr>
                <w:sz w:val="20"/>
                <w:szCs w:val="20"/>
                <w:color w:val="auto"/>
              </w:rPr>
            </w:pPr>
            <w:r>
              <w:rPr>
                <w:rFonts w:ascii="Arial" w:cs="Arial" w:eastAsia="Arial" w:hAnsi="Arial"/>
                <w:sz w:val="18"/>
                <w:szCs w:val="18"/>
                <w:color w:val="auto"/>
                <w:w w:val="99"/>
              </w:rPr>
              <w:t>2022</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15,000,082</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188,423</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42,904</w:t>
            </w:r>
          </w:p>
        </w:tc>
        <w:tc>
          <w:tcPr>
            <w:tcW w:w="0" w:type="dxa"/>
            <w:vAlign w:val="bottom"/>
          </w:tcPr>
          <w:p>
            <w:pPr>
              <w:spacing w:after="0"/>
              <w:rPr>
                <w:sz w:val="1"/>
                <w:szCs w:val="1"/>
                <w:color w:val="auto"/>
              </w:rPr>
            </w:pPr>
          </w:p>
        </w:tc>
      </w:tr>
      <w:tr>
        <w:trPr>
          <w:trHeight w:val="257"/>
        </w:trPr>
        <w:tc>
          <w:tcPr>
            <w:tcW w:w="32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Hagop Kozanian</w:t>
            </w:r>
          </w:p>
        </w:tc>
        <w:tc>
          <w:tcPr>
            <w:tcW w:w="2600" w:type="dxa"/>
            <w:vAlign w:val="bottom"/>
            <w:tcBorders>
              <w:bottom w:val="single" w:sz="8" w:color="DBDBDB"/>
            </w:tcBorders>
            <w:shd w:val="clear" w:color="auto" w:fill="DBDBDB"/>
          </w:tcPr>
          <w:p>
            <w:pPr>
              <w:jc w:val="center"/>
              <w:ind w:left="1191"/>
              <w:spacing w:after="0"/>
              <w:rPr>
                <w:sz w:val="20"/>
                <w:szCs w:val="20"/>
                <w:color w:val="auto"/>
              </w:rPr>
            </w:pPr>
            <w:r>
              <w:rPr>
                <w:rFonts w:ascii="Arial" w:cs="Arial" w:eastAsia="Arial" w:hAnsi="Arial"/>
                <w:sz w:val="18"/>
                <w:szCs w:val="18"/>
                <w:color w:val="auto"/>
                <w:w w:val="99"/>
              </w:rPr>
              <w:t>2024</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5,100,170</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67,997</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15,232</w:t>
            </w:r>
          </w:p>
        </w:tc>
        <w:tc>
          <w:tcPr>
            <w:tcW w:w="0" w:type="dxa"/>
            <w:vAlign w:val="bottom"/>
          </w:tcPr>
          <w:p>
            <w:pPr>
              <w:spacing w:after="0"/>
              <w:rPr>
                <w:sz w:val="1"/>
                <w:szCs w:val="1"/>
                <w:color w:val="auto"/>
              </w:rPr>
            </w:pPr>
          </w:p>
        </w:tc>
      </w:tr>
      <w:tr>
        <w:trPr>
          <w:trHeight w:val="247"/>
        </w:trPr>
        <w:tc>
          <w:tcPr>
            <w:tcW w:w="3260" w:type="dxa"/>
            <w:vAlign w:val="bottom"/>
          </w:tcPr>
          <w:p>
            <w:pPr>
              <w:spacing w:after="0"/>
              <w:rPr>
                <w:sz w:val="21"/>
                <w:szCs w:val="21"/>
                <w:color w:val="auto"/>
              </w:rPr>
            </w:pPr>
          </w:p>
        </w:tc>
        <w:tc>
          <w:tcPr>
            <w:tcW w:w="2600" w:type="dxa"/>
            <w:vAlign w:val="bottom"/>
          </w:tcPr>
          <w:p>
            <w:pPr>
              <w:jc w:val="center"/>
              <w:ind w:left="1191"/>
              <w:spacing w:after="0"/>
              <w:rPr>
                <w:sz w:val="20"/>
                <w:szCs w:val="20"/>
                <w:color w:val="auto"/>
              </w:rPr>
            </w:pPr>
            <w:r>
              <w:rPr>
                <w:rFonts w:ascii="Arial" w:cs="Arial" w:eastAsia="Arial" w:hAnsi="Arial"/>
                <w:sz w:val="18"/>
                <w:szCs w:val="18"/>
                <w:color w:val="auto"/>
                <w:w w:val="99"/>
              </w:rPr>
              <w:t>2023</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5,100,044</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55,063</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14,647</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DBDBDB"/>
            </w:tcBorders>
            <w:shd w:val="clear" w:color="auto" w:fill="DBDBDB"/>
          </w:tcPr>
          <w:p>
            <w:pPr>
              <w:spacing w:after="0"/>
              <w:rPr>
                <w:sz w:val="21"/>
                <w:szCs w:val="21"/>
                <w:color w:val="auto"/>
              </w:rPr>
            </w:pPr>
          </w:p>
        </w:tc>
        <w:tc>
          <w:tcPr>
            <w:tcW w:w="2600" w:type="dxa"/>
            <w:vAlign w:val="bottom"/>
            <w:tcBorders>
              <w:bottom w:val="single" w:sz="8" w:color="DBDBDB"/>
            </w:tcBorders>
            <w:shd w:val="clear" w:color="auto" w:fill="DBDBDB"/>
          </w:tcPr>
          <w:p>
            <w:pPr>
              <w:jc w:val="center"/>
              <w:ind w:left="1191"/>
              <w:spacing w:after="0"/>
              <w:rPr>
                <w:sz w:val="20"/>
                <w:szCs w:val="20"/>
                <w:color w:val="auto"/>
              </w:rPr>
            </w:pPr>
            <w:r>
              <w:rPr>
                <w:rFonts w:ascii="Arial" w:cs="Arial" w:eastAsia="Arial" w:hAnsi="Arial"/>
                <w:sz w:val="18"/>
                <w:szCs w:val="18"/>
                <w:color w:val="auto"/>
                <w:w w:val="99"/>
              </w:rPr>
              <w:t>2022</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4,400,179</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55,271</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12,586</w:t>
            </w:r>
          </w:p>
        </w:tc>
        <w:tc>
          <w:tcPr>
            <w:tcW w:w="0" w:type="dxa"/>
            <w:vAlign w:val="bottom"/>
          </w:tcPr>
          <w:p>
            <w:pPr>
              <w:spacing w:after="0"/>
              <w:rPr>
                <w:sz w:val="1"/>
                <w:szCs w:val="1"/>
                <w:color w:val="auto"/>
              </w:rPr>
            </w:pPr>
          </w:p>
        </w:tc>
      </w:tr>
      <w:tr>
        <w:trPr>
          <w:trHeight w:val="257"/>
        </w:trPr>
        <w:tc>
          <w:tcPr>
            <w:tcW w:w="32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2600" w:type="dxa"/>
            <w:vAlign w:val="bottom"/>
            <w:tcBorders>
              <w:bottom w:val="single" w:sz="8" w:color="DBDBDB"/>
            </w:tcBorders>
            <w:shd w:val="clear" w:color="auto" w:fill="DBDBDB"/>
          </w:tcPr>
          <w:p>
            <w:pPr>
              <w:jc w:val="center"/>
              <w:ind w:left="1191"/>
              <w:spacing w:after="0"/>
              <w:rPr>
                <w:sz w:val="20"/>
                <w:szCs w:val="20"/>
                <w:color w:val="auto"/>
              </w:rPr>
            </w:pPr>
            <w:r>
              <w:rPr>
                <w:rFonts w:ascii="Arial" w:cs="Arial" w:eastAsia="Arial" w:hAnsi="Arial"/>
                <w:sz w:val="18"/>
                <w:szCs w:val="18"/>
                <w:color w:val="auto"/>
                <w:w w:val="99"/>
              </w:rPr>
              <w:t>2024</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5,100,170</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67,997</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15,232</w:t>
            </w:r>
          </w:p>
        </w:tc>
        <w:tc>
          <w:tcPr>
            <w:tcW w:w="0" w:type="dxa"/>
            <w:vAlign w:val="bottom"/>
          </w:tcPr>
          <w:p>
            <w:pPr>
              <w:spacing w:after="0"/>
              <w:rPr>
                <w:sz w:val="1"/>
                <w:szCs w:val="1"/>
                <w:color w:val="auto"/>
              </w:rPr>
            </w:pPr>
          </w:p>
        </w:tc>
      </w:tr>
      <w:tr>
        <w:trPr>
          <w:trHeight w:val="247"/>
        </w:trPr>
        <w:tc>
          <w:tcPr>
            <w:tcW w:w="3260" w:type="dxa"/>
            <w:vAlign w:val="bottom"/>
          </w:tcPr>
          <w:p>
            <w:pPr>
              <w:spacing w:after="0"/>
              <w:rPr>
                <w:sz w:val="21"/>
                <w:szCs w:val="21"/>
                <w:color w:val="auto"/>
              </w:rPr>
            </w:pPr>
          </w:p>
        </w:tc>
        <w:tc>
          <w:tcPr>
            <w:tcW w:w="2600" w:type="dxa"/>
            <w:vAlign w:val="bottom"/>
          </w:tcPr>
          <w:p>
            <w:pPr>
              <w:jc w:val="center"/>
              <w:ind w:left="1191"/>
              <w:spacing w:after="0"/>
              <w:rPr>
                <w:sz w:val="20"/>
                <w:szCs w:val="20"/>
                <w:color w:val="auto"/>
              </w:rPr>
            </w:pPr>
            <w:r>
              <w:rPr>
                <w:rFonts w:ascii="Arial" w:cs="Arial" w:eastAsia="Arial" w:hAnsi="Arial"/>
                <w:sz w:val="18"/>
                <w:szCs w:val="18"/>
                <w:color w:val="auto"/>
                <w:w w:val="99"/>
              </w:rPr>
              <w:t>2023</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4,800,144</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51,824</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13,786</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 Notes 1 and 2 to the summary compensation table for information on how grant date fair value was calculated.</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January 2024, the committee awarded equity compensation to each of the named executive officers listed above. The committee’s general objective was to award to those officers equity compensation that had a grant date fair value at approximately the median market level of the most recently disclosed equity compensation granted by the Comparator Group.</w:t>
      </w:r>
    </w:p>
    <w:p>
      <w:pPr>
        <w:spacing w:after="0" w:line="17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assessing the market level, the committee considered information presented by TI’s Compensation and Benefits organization (prepared using data provided by the committee’s compensation consultant) on the estimated value of the awards expected to be granted to similarly situated executives (considering job scope and tenure) of companies within the Comparator Group. The committee approved an increase in equity values granted to Messrs. Ilan and Ron reflecting an effort to align with the projected market range for similarly situated executives in our Comparator Group. The award value was estimated using the same methodology used for financial accounting.</w:t>
      </w:r>
    </w:p>
    <w:p>
      <w:pPr>
        <w:spacing w:after="0" w:line="1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each officer, the committee set the desired grant value. The committee decided to allocate the value equally between restricted stock units and options for each officer, to give equal emphasis to promoting retention and performance, motivating the executive and aligning long-term interests with those of shareholders. Restricted stock units have a four-year cliff vest schedule in order to support retention of our executives. Stock options, which only have value when the value of the company increases (as measured by stock price), enhance the performance orientation of our executive compensation program. Both of these equity awards align with shareholder interests to drive the long-term performance of the company.</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w:t>
      </w:r>
    </w:p>
    <w:p>
      <w:pPr>
        <w:sectPr>
          <w:pgSz w:w="11900" w:h="16838" w:orient="portrait"/>
          <w:cols w:equalWidth="0" w:num="1">
            <w:col w:w="11240"/>
          </w:cols>
          <w:pgMar w:left="320" w:top="9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2025 PROXY STATEMENT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29" w:name="page30"/>
    <w:bookmarkEnd w:id="29"/>
    <w:p>
      <w:pPr>
        <w:ind w:right="220"/>
        <w:spacing w:after="0" w:line="262" w:lineRule="auto"/>
        <w:rPr>
          <w:sz w:val="20"/>
          <w:szCs w:val="20"/>
          <w:color w:val="auto"/>
        </w:rPr>
      </w:pPr>
      <w:r>
        <w:rPr>
          <w:rFonts w:ascii="Arial" w:cs="Arial" w:eastAsia="Arial" w:hAnsi="Arial"/>
          <w:sz w:val="18"/>
          <w:szCs w:val="18"/>
          <w:color w:val="auto"/>
        </w:rPr>
        <w:t>The exercise price of the options was the closing price of TI stock on January 25, 2024, the second trading day after TI released its annual and fourth quarter financial results for 2023. All grants were made under the Texas Instruments 2009 Long-Term Incentive Plan, which shareholders approved in April 2009 and amended in 2016. In April 2024, shareholders approved the Texas Instruments 2024 Long-Term Incentive Plan.</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grants have the terms described under “Outstanding equity awards at fiscal year-end 2024.” The differences in the equity awards between the named executive officers were primarily the result of differences in the applicable estimated market level of equity compensation for their positions and not the application of any formula designed to maintain differentials between the officers.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Bonus</w:t>
      </w:r>
    </w:p>
    <w:p>
      <w:pPr>
        <w:spacing w:after="0" w:line="25"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In January 2025, the committee set the 2024 bonus compensation for executive officers based on its assessment of 2024 performance. In setting the bonuses, the committee used the following performance measures to assess the company:</w:t>
      </w:r>
    </w:p>
    <w:p>
      <w:pPr>
        <w:spacing w:after="0" w:line="17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relative one-year and three-year performance of TI as compared with Semiconductor Peers, as measured by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operating profit margin,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total shareholder return,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absolute one-year and three-year performance of TI on the above measures.</w:t>
      </w:r>
    </w:p>
    <w:p>
      <w:pPr>
        <w:spacing w:after="0" w:line="63"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addition, the committee considered strategic progress by reviewing company and strategic positioning (including ESG), operating performance, and revenue growth, including TI competitiveness in key markets with core products and technologies, and the strength of relationships with customers.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committee has consistently utilized these measures and believes its holistic approach to evaluation gives it the insight to most effectively and critically judge results and encourages executives to pursue strategies that serve the long-term interests of the company and its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the comparison of relative performance, the committee used the following companies (the “Semiconductor Peers”):</w:t>
      </w:r>
    </w:p>
    <w:p>
      <w:pPr>
        <w:sectPr>
          <w:pgSz w:w="11900" w:h="16838" w:orient="portrait"/>
          <w:cols w:equalWidth="0" w:num="1">
            <w:col w:w="11220"/>
          </w:cols>
          <w:pgMar w:left="320" w:top="769" w:right="359" w:bottom="1440" w:gutter="0" w:footer="0" w:header="0"/>
        </w:sectPr>
      </w:pPr>
    </w:p>
    <w:p>
      <w:pPr>
        <w:spacing w:after="0" w:line="27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Advanced Micro Devices, Inc.</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NXP Semiconductors N.V.</w:t>
      </w:r>
    </w:p>
    <w:p>
      <w:pPr>
        <w:spacing w:after="0" w:line="75" w:lineRule="exact"/>
        <w:rPr>
          <w:sz w:val="20"/>
          <w:szCs w:val="20"/>
          <w:color w:val="auto"/>
        </w:rPr>
      </w:pPr>
    </w:p>
    <w:p>
      <w:pPr>
        <w:sectPr>
          <w:pgSz w:w="11900" w:h="16838" w:orient="portrait"/>
          <w:cols w:equalWidth="0" w:num="2">
            <w:col w:w="4940" w:space="720"/>
            <w:col w:w="5560"/>
          </w:cols>
          <w:pgMar w:left="320" w:top="769" w:right="35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br w:type="column"/>
      </w:r>
    </w:p>
    <w:p>
      <w:pPr>
        <w:jc w:val="center"/>
        <w:ind w:right="3060"/>
        <w:spacing w:after="0"/>
        <w:rPr>
          <w:sz w:val="20"/>
          <w:szCs w:val="20"/>
          <w:color w:val="auto"/>
        </w:rPr>
      </w:pPr>
      <w:r>
        <w:rPr>
          <w:rFonts w:ascii="Arial" w:cs="Arial" w:eastAsia="Arial" w:hAnsi="Arial"/>
          <w:sz w:val="17"/>
          <w:szCs w:val="17"/>
          <w:color w:val="auto"/>
        </w:rPr>
        <w:t>ON Semiconductor Corporation</w:t>
      </w:r>
    </w:p>
    <w:p>
      <w:pPr>
        <w:spacing w:after="0" w:line="75" w:lineRule="exact"/>
        <w:rPr>
          <w:sz w:val="20"/>
          <w:szCs w:val="20"/>
          <w:color w:val="auto"/>
        </w:rPr>
      </w:pPr>
    </w:p>
    <w:p>
      <w:pPr>
        <w:sectPr>
          <w:pgSz w:w="11900" w:h="16838" w:orient="portrait"/>
          <w:cols w:equalWidth="0" w:num="2">
            <w:col w:w="4940" w:space="720"/>
            <w:col w:w="5560"/>
          </w:cols>
          <w:pgMar w:left="320" w:top="769" w:right="35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Broadcom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Qorvo, Inc.</w:t>
      </w:r>
    </w:p>
    <w:p>
      <w:pPr>
        <w:spacing w:after="0" w:line="75" w:lineRule="exact"/>
        <w:rPr>
          <w:sz w:val="20"/>
          <w:szCs w:val="20"/>
          <w:color w:val="auto"/>
        </w:rPr>
      </w:pPr>
    </w:p>
    <w:p>
      <w:pPr>
        <w:sectPr>
          <w:pgSz w:w="11900" w:h="16838" w:orient="portrait"/>
          <w:cols w:equalWidth="0" w:num="2">
            <w:col w:w="4940" w:space="720"/>
            <w:col w:w="5560"/>
          </w:cols>
          <w:pgMar w:left="320" w:top="769" w:right="35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Infineon Technologies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QUALCOMM Incorporated</w:t>
      </w:r>
    </w:p>
    <w:p>
      <w:pPr>
        <w:spacing w:after="0" w:line="75" w:lineRule="exact"/>
        <w:rPr>
          <w:sz w:val="20"/>
          <w:szCs w:val="20"/>
          <w:color w:val="auto"/>
        </w:rPr>
      </w:pPr>
    </w:p>
    <w:p>
      <w:pPr>
        <w:sectPr>
          <w:pgSz w:w="11900" w:h="16838" w:orient="portrait"/>
          <w:cols w:equalWidth="0" w:num="2">
            <w:col w:w="4940" w:space="720"/>
            <w:col w:w="5560"/>
          </w:cols>
          <w:pgMar w:left="320" w:top="769" w:right="35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Intel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Renesas Electronics Corporation</w:t>
      </w:r>
    </w:p>
    <w:p>
      <w:pPr>
        <w:spacing w:after="0" w:line="75" w:lineRule="exact"/>
        <w:rPr>
          <w:sz w:val="20"/>
          <w:szCs w:val="20"/>
          <w:color w:val="auto"/>
        </w:rPr>
      </w:pPr>
    </w:p>
    <w:p>
      <w:pPr>
        <w:sectPr>
          <w:pgSz w:w="11900" w:h="16838" w:orient="portrait"/>
          <w:cols w:equalWidth="0" w:num="2">
            <w:col w:w="4940" w:space="720"/>
            <w:col w:w="5560"/>
          </w:cols>
          <w:pgMar w:left="320" w:top="769" w:right="35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Marvell Technology Group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Skyworks Solutions, Inc.</w:t>
      </w:r>
    </w:p>
    <w:p>
      <w:pPr>
        <w:spacing w:after="0" w:line="75" w:lineRule="exact"/>
        <w:rPr>
          <w:sz w:val="20"/>
          <w:szCs w:val="20"/>
          <w:color w:val="auto"/>
        </w:rPr>
      </w:pPr>
    </w:p>
    <w:p>
      <w:pPr>
        <w:sectPr>
          <w:pgSz w:w="11900" w:h="16838" w:orient="portrait"/>
          <w:cols w:equalWidth="0" w:num="2">
            <w:col w:w="4940" w:space="720"/>
            <w:col w:w="5560"/>
          </w:cols>
          <w:pgMar w:left="320" w:top="769" w:right="35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Microchip Technology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STMicroelectronics N.V.</w:t>
      </w:r>
    </w:p>
    <w:p>
      <w:pPr>
        <w:spacing w:after="0" w:line="75" w:lineRule="exact"/>
        <w:rPr>
          <w:sz w:val="20"/>
          <w:szCs w:val="20"/>
          <w:color w:val="auto"/>
        </w:rPr>
      </w:pPr>
    </w:p>
    <w:p>
      <w:pPr>
        <w:sectPr>
          <w:pgSz w:w="11900" w:h="16838" w:orient="portrait"/>
          <w:cols w:equalWidth="0" w:num="2">
            <w:col w:w="4940" w:space="720"/>
            <w:col w:w="5560"/>
          </w:cols>
          <w:pgMar w:left="320" w:top="769" w:right="35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NVIDIA Corporation</w:t>
      </w:r>
    </w:p>
    <w:p>
      <w:pPr>
        <w:sectPr>
          <w:pgSz w:w="11900" w:h="16838" w:orient="portrait"/>
          <w:cols w:equalWidth="0" w:num="1">
            <w:col w:w="11220"/>
          </w:cols>
          <w:pgMar w:left="320" w:top="769" w:right="359" w:bottom="1440" w:gutter="0" w:footer="0" w:header="0"/>
          <w:type w:val="continuous"/>
        </w:sectPr>
      </w:pPr>
    </w:p>
    <w:p>
      <w:pPr>
        <w:spacing w:after="0" w:line="35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To the extent the companies had not released financial results for the year or the most recent quarter, the committee based its evaluation on estimates and projections of the companies’ financial results for 2024.</w:t>
      </w:r>
    </w:p>
    <w:p>
      <w:pPr>
        <w:spacing w:after="0" w:line="15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list includes both broad-based and niche suppliers that operate in our key markets or offer technology that competes with our products. The committee considers annually whether the list is still appropriate in terms of revenue, market capitalization and changes in business activities of the companies. The committee made no changes to the list of Semiconductor Peers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2025 PROXY STATEMENT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i w:val="1"/>
          <w:iCs w:val="1"/>
          <w:u w:val="single" w:color="auto"/>
          <w:color w:val="auto"/>
        </w:rPr>
        <w:t>Assessment of 2024 performance</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committee spent extensive time in November and January assessing TI’s results and strategic progress for 2024. In setting bonuses, the committee considered quantitative and qualitative measures on both an absolute and relative basis, and the company’s strategic focus on long-term growth of free cash flow per share, and made certain that resulting decisions were founded on both solid data and sound judgment. In 2024, revenue declined and relative performance was below median. Operating profit margin was positive on an absolute basis, and above median relative to Semiconductor Peers. TSR was up year-on-year, and above median relative to Semiconductor Peers. In aggregate, the committee determined that the company continued to strengthen its strategic position, which will benefit the company and drive value for shareholders for the long term. This strategic progress includes continued investments to extend the company’s manufacturing advantage to support future revenue growth and provide customers with geopolitically dependable, low-cost 300mm capacity at scale. Considering these results holistically, the committee determined bonuses for executive officers should be down 5% year-on-year. Details on the committee’s assessment are below.</w:t>
      </w:r>
    </w:p>
    <w:p>
      <w:pPr>
        <w:spacing w:after="0" w:line="211" w:lineRule="exact"/>
        <w:rPr>
          <w:sz w:val="20"/>
          <w:szCs w:val="20"/>
          <w:color w:val="auto"/>
        </w:rPr>
      </w:pPr>
    </w:p>
    <w:tbl>
      <w:tblPr>
        <w:tblLayout w:type="fixed"/>
        <w:tblInd w:w="350" w:type="dxa"/>
        <w:tblCellMar>
          <w:top w:w="0" w:type="dxa"/>
          <w:left w:w="0" w:type="dxa"/>
          <w:bottom w:w="0" w:type="dxa"/>
          <w:right w:w="0" w:type="dxa"/>
        </w:tblCellMar>
      </w:tblPr>
      <w:tr>
        <w:trPr>
          <w:trHeight w:val="236"/>
        </w:trPr>
        <w:tc>
          <w:tcPr>
            <w:tcW w:w="5360" w:type="dxa"/>
            <w:vAlign w:val="bottom"/>
            <w:tcBorders>
              <w:bottom w:val="single" w:sz="8" w:color="auto"/>
              <w:right w:val="single" w:sz="8" w:color="auto"/>
            </w:tcBorders>
          </w:tcPr>
          <w:p>
            <w:pPr>
              <w:spacing w:after="0"/>
              <w:rPr>
                <w:sz w:val="20"/>
                <w:szCs w:val="20"/>
                <w:color w:val="auto"/>
              </w:rPr>
            </w:pPr>
          </w:p>
        </w:tc>
        <w:tc>
          <w:tcPr>
            <w:tcW w:w="2680" w:type="dxa"/>
            <w:vAlign w:val="bottom"/>
            <w:tcBorders>
              <w:top w:val="single" w:sz="8" w:color="auto"/>
              <w:bottom w:val="single" w:sz="8" w:color="auto"/>
              <w:right w:val="single" w:sz="8" w:color="auto"/>
            </w:tcBorders>
            <w:shd w:val="clear" w:color="auto" w:fill="DBDBDB"/>
          </w:tcPr>
          <w:p>
            <w:pPr>
              <w:jc w:val="right"/>
              <w:ind w:right="333"/>
              <w:spacing w:after="0"/>
              <w:rPr>
                <w:sz w:val="20"/>
                <w:szCs w:val="20"/>
                <w:color w:val="auto"/>
              </w:rPr>
            </w:pPr>
            <w:r>
              <w:rPr>
                <w:rFonts w:ascii="Arial" w:cs="Arial" w:eastAsia="Arial" w:hAnsi="Arial"/>
                <w:sz w:val="14"/>
                <w:szCs w:val="14"/>
                <w:b w:val="1"/>
                <w:bCs w:val="1"/>
                <w:color w:val="auto"/>
              </w:rPr>
              <w:t>2024 Absolute Performance</w:t>
            </w:r>
          </w:p>
        </w:tc>
        <w:tc>
          <w:tcPr>
            <w:tcW w:w="2480" w:type="dxa"/>
            <w:vAlign w:val="bottom"/>
            <w:tcBorders>
              <w:top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2024 Relative Performance *</w:t>
            </w:r>
          </w:p>
        </w:tc>
        <w:tc>
          <w:tcPr>
            <w:tcW w:w="0" w:type="dxa"/>
            <w:vAlign w:val="bottom"/>
          </w:tcPr>
          <w:p>
            <w:pPr>
              <w:spacing w:after="0"/>
              <w:rPr>
                <w:sz w:val="1"/>
                <w:szCs w:val="1"/>
                <w:color w:val="auto"/>
              </w:rPr>
            </w:pPr>
          </w:p>
        </w:tc>
      </w:tr>
      <w:tr>
        <w:trPr>
          <w:trHeight w:val="270"/>
        </w:trPr>
        <w:tc>
          <w:tcPr>
            <w:tcW w:w="5360" w:type="dxa"/>
            <w:vAlign w:val="bottom"/>
            <w:tcBorders>
              <w:left w:val="single" w:sz="8" w:color="auto"/>
              <w:bottom w:val="single" w:sz="8" w:color="DBDBDB"/>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Revenue Growth: Total TI</w:t>
            </w:r>
          </w:p>
        </w:tc>
        <w:tc>
          <w:tcPr>
            <w:tcW w:w="2680" w:type="dxa"/>
            <w:vAlign w:val="bottom"/>
            <w:tcBorders>
              <w:right w:val="single" w:sz="8" w:color="auto"/>
            </w:tcBorders>
          </w:tcPr>
          <w:p>
            <w:pPr>
              <w:jc w:val="right"/>
              <w:ind w:right="833"/>
              <w:spacing w:after="0"/>
              <w:rPr>
                <w:sz w:val="20"/>
                <w:szCs w:val="20"/>
                <w:color w:val="auto"/>
              </w:rPr>
            </w:pPr>
            <w:r>
              <w:rPr>
                <w:rFonts w:ascii="Arial" w:cs="Arial" w:eastAsia="Arial" w:hAnsi="Arial"/>
                <w:sz w:val="18"/>
                <w:szCs w:val="18"/>
                <w:color w:val="auto"/>
              </w:rPr>
              <w:t>-10.7%</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Below median</w:t>
            </w:r>
          </w:p>
        </w:tc>
        <w:tc>
          <w:tcPr>
            <w:tcW w:w="0" w:type="dxa"/>
            <w:vAlign w:val="bottom"/>
          </w:tcPr>
          <w:p>
            <w:pPr>
              <w:spacing w:after="0"/>
              <w:rPr>
                <w:sz w:val="1"/>
                <w:szCs w:val="1"/>
                <w:color w:val="auto"/>
              </w:rPr>
            </w:pPr>
          </w:p>
        </w:tc>
      </w:tr>
      <w:tr>
        <w:trPr>
          <w:trHeight w:val="218"/>
        </w:trPr>
        <w:tc>
          <w:tcPr>
            <w:tcW w:w="5360" w:type="dxa"/>
            <w:vAlign w:val="bottom"/>
            <w:tcBorders>
              <w:top w:val="single" w:sz="8" w:color="auto"/>
              <w:left w:val="single" w:sz="8" w:color="auto"/>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Profit from Operations as a % of Revenue</w:t>
            </w:r>
          </w:p>
        </w:tc>
        <w:tc>
          <w:tcPr>
            <w:tcW w:w="2680" w:type="dxa"/>
            <w:vAlign w:val="bottom"/>
            <w:tcBorders>
              <w:top w:val="single" w:sz="8" w:color="auto"/>
              <w:right w:val="single" w:sz="8" w:color="auto"/>
            </w:tcBorders>
            <w:vMerge w:val="restart"/>
          </w:tcPr>
          <w:p>
            <w:pPr>
              <w:jc w:val="right"/>
              <w:ind w:right="833"/>
              <w:spacing w:after="0"/>
              <w:rPr>
                <w:sz w:val="20"/>
                <w:szCs w:val="20"/>
                <w:color w:val="auto"/>
              </w:rPr>
            </w:pPr>
            <w:r>
              <w:rPr>
                <w:rFonts w:ascii="Arial" w:cs="Arial" w:eastAsia="Arial" w:hAnsi="Arial"/>
                <w:sz w:val="18"/>
                <w:szCs w:val="18"/>
                <w:color w:val="auto"/>
              </w:rPr>
              <w:t>34.9%</w:t>
            </w:r>
          </w:p>
        </w:tc>
        <w:tc>
          <w:tcPr>
            <w:tcW w:w="2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Above median</w:t>
            </w:r>
          </w:p>
        </w:tc>
        <w:tc>
          <w:tcPr>
            <w:tcW w:w="0" w:type="dxa"/>
            <w:vAlign w:val="bottom"/>
          </w:tcPr>
          <w:p>
            <w:pPr>
              <w:spacing w:after="0"/>
              <w:rPr>
                <w:sz w:val="1"/>
                <w:szCs w:val="1"/>
                <w:color w:val="auto"/>
              </w:rPr>
            </w:pPr>
          </w:p>
        </w:tc>
      </w:tr>
      <w:tr>
        <w:trPr>
          <w:trHeight w:val="131"/>
        </w:trPr>
        <w:tc>
          <w:tcPr>
            <w:tcW w:w="5360" w:type="dxa"/>
            <w:vAlign w:val="bottom"/>
            <w:tcBorders>
              <w:left w:val="single" w:sz="8" w:color="auto"/>
              <w:right w:val="single" w:sz="8" w:color="auto"/>
            </w:tcBorders>
            <w:vMerge w:val="restart"/>
            <w:shd w:val="clear" w:color="auto" w:fill="DBDBDB"/>
          </w:tcPr>
          <w:p>
            <w:pPr>
              <w:ind w:left="140"/>
              <w:spacing w:after="0"/>
              <w:rPr>
                <w:sz w:val="20"/>
                <w:szCs w:val="20"/>
                <w:color w:val="auto"/>
              </w:rPr>
            </w:pPr>
            <w:r>
              <w:rPr>
                <w:rFonts w:ascii="Arial" w:cs="Arial" w:eastAsia="Arial" w:hAnsi="Arial"/>
                <w:sz w:val="18"/>
                <w:szCs w:val="18"/>
                <w:color w:val="auto"/>
              </w:rPr>
              <w:t>(Operating Profit Margin)</w:t>
            </w:r>
          </w:p>
        </w:tc>
        <w:tc>
          <w:tcPr>
            <w:tcW w:w="2680" w:type="dxa"/>
            <w:vAlign w:val="bottom"/>
            <w:tcBorders>
              <w:right w:val="single" w:sz="8" w:color="auto"/>
            </w:tcBorders>
            <w:vMerge w:val="continue"/>
          </w:tcPr>
          <w:p>
            <w:pPr>
              <w:spacing w:after="0"/>
              <w:rPr>
                <w:sz w:val="11"/>
                <w:szCs w:val="11"/>
                <w:color w:val="auto"/>
              </w:rPr>
            </w:pPr>
          </w:p>
        </w:tc>
        <w:tc>
          <w:tcPr>
            <w:tcW w:w="2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360" w:type="dxa"/>
            <w:vAlign w:val="bottom"/>
            <w:tcBorders>
              <w:left w:val="single" w:sz="8" w:color="auto"/>
              <w:bottom w:val="single" w:sz="8" w:color="DBDBDB"/>
              <w:right w:val="single" w:sz="8" w:color="auto"/>
            </w:tcBorders>
            <w:vMerge w:val="continue"/>
            <w:shd w:val="clear" w:color="auto" w:fill="DBDBDB"/>
          </w:tcPr>
          <w:p>
            <w:pPr>
              <w:spacing w:after="0"/>
              <w:rPr>
                <w:sz w:val="11"/>
                <w:szCs w:val="11"/>
                <w:color w:val="auto"/>
              </w:rPr>
            </w:pPr>
          </w:p>
        </w:tc>
        <w:tc>
          <w:tcPr>
            <w:tcW w:w="2680" w:type="dxa"/>
            <w:vAlign w:val="bottom"/>
            <w:tcBorders>
              <w:right w:val="single" w:sz="8" w:color="auto"/>
            </w:tcBorders>
          </w:tcPr>
          <w:p>
            <w:pPr>
              <w:spacing w:after="0"/>
              <w:rPr>
                <w:sz w:val="11"/>
                <w:szCs w:val="11"/>
                <w:color w:val="auto"/>
              </w:rPr>
            </w:pPr>
          </w:p>
        </w:tc>
        <w:tc>
          <w:tcPr>
            <w:tcW w:w="2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5360" w:type="dxa"/>
            <w:vAlign w:val="bottom"/>
            <w:tcBorders>
              <w:top w:val="single" w:sz="8" w:color="auto"/>
              <w:left w:val="single" w:sz="8" w:color="auto"/>
              <w:bottom w:val="single" w:sz="8" w:color="DBDBDB"/>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Total Shareholder Return (TSR)</w:t>
            </w:r>
          </w:p>
        </w:tc>
        <w:tc>
          <w:tcPr>
            <w:tcW w:w="2680" w:type="dxa"/>
            <w:vAlign w:val="bottom"/>
            <w:tcBorders>
              <w:top w:val="single" w:sz="8" w:color="auto"/>
              <w:right w:val="single" w:sz="8" w:color="auto"/>
            </w:tcBorders>
          </w:tcPr>
          <w:p>
            <w:pPr>
              <w:jc w:val="right"/>
              <w:ind w:right="833"/>
              <w:spacing w:after="0"/>
              <w:rPr>
                <w:sz w:val="20"/>
                <w:szCs w:val="20"/>
                <w:color w:val="auto"/>
              </w:rPr>
            </w:pPr>
            <w:r>
              <w:rPr>
                <w:rFonts w:ascii="Arial" w:cs="Arial" w:eastAsia="Arial" w:hAnsi="Arial"/>
                <w:sz w:val="18"/>
                <w:szCs w:val="18"/>
                <w:color w:val="auto"/>
              </w:rPr>
              <w:t>13.1 %</w:t>
            </w:r>
          </w:p>
        </w:tc>
        <w:tc>
          <w:tcPr>
            <w:tcW w:w="2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Above median</w:t>
            </w:r>
          </w:p>
        </w:tc>
        <w:tc>
          <w:tcPr>
            <w:tcW w:w="0" w:type="dxa"/>
            <w:vAlign w:val="bottom"/>
          </w:tcPr>
          <w:p>
            <w:pPr>
              <w:spacing w:after="0"/>
              <w:rPr>
                <w:sz w:val="1"/>
                <w:szCs w:val="1"/>
                <w:color w:val="auto"/>
              </w:rPr>
            </w:pPr>
          </w:p>
        </w:tc>
      </w:tr>
      <w:tr>
        <w:trPr>
          <w:trHeight w:val="74"/>
        </w:trPr>
        <w:tc>
          <w:tcPr>
            <w:tcW w:w="5360" w:type="dxa"/>
            <w:vAlign w:val="bottom"/>
            <w:tcBorders>
              <w:top w:val="single" w:sz="8" w:color="auto"/>
              <w:left w:val="single" w:sz="8" w:color="auto"/>
              <w:bottom w:val="single" w:sz="8" w:color="auto"/>
              <w:right w:val="single" w:sz="8" w:color="DBDBDB"/>
            </w:tcBorders>
            <w:shd w:val="clear" w:color="auto" w:fill="DBDBDB"/>
          </w:tcPr>
          <w:p>
            <w:pPr>
              <w:spacing w:after="0"/>
              <w:rPr>
                <w:sz w:val="6"/>
                <w:szCs w:val="6"/>
                <w:color w:val="auto"/>
              </w:rPr>
            </w:pPr>
          </w:p>
        </w:tc>
        <w:tc>
          <w:tcPr>
            <w:tcW w:w="2680" w:type="dxa"/>
            <w:vAlign w:val="bottom"/>
            <w:tcBorders>
              <w:top w:val="single" w:sz="8" w:color="auto"/>
              <w:bottom w:val="single" w:sz="8" w:color="auto"/>
              <w:right w:val="single" w:sz="8" w:color="DBDBDB"/>
            </w:tcBorders>
            <w:shd w:val="clear" w:color="auto" w:fill="DBDBDB"/>
          </w:tcPr>
          <w:p>
            <w:pPr>
              <w:spacing w:after="0"/>
              <w:rPr>
                <w:sz w:val="6"/>
                <w:szCs w:val="6"/>
                <w:color w:val="auto"/>
              </w:rPr>
            </w:pPr>
          </w:p>
        </w:tc>
        <w:tc>
          <w:tcPr>
            <w:tcW w:w="2480" w:type="dxa"/>
            <w:vAlign w:val="bottom"/>
            <w:tcBorders>
              <w:top w:val="single" w:sz="8" w:color="auto"/>
              <w:bottom w:val="single" w:sz="8" w:color="auto"/>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5360" w:type="dxa"/>
            <w:vAlign w:val="bottom"/>
            <w:tcBorders>
              <w:left w:val="single" w:sz="8" w:color="auto"/>
              <w:bottom w:val="single" w:sz="8" w:color="DBDBDB"/>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Assessment of Strategic Progress</w:t>
            </w:r>
          </w:p>
        </w:tc>
        <w:tc>
          <w:tcPr>
            <w:tcW w:w="51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Strengthened strategic position in 2024</w:t>
            </w:r>
          </w:p>
        </w:tc>
        <w:tc>
          <w:tcPr>
            <w:tcW w:w="0" w:type="dxa"/>
            <w:vAlign w:val="bottom"/>
          </w:tcPr>
          <w:p>
            <w:pPr>
              <w:spacing w:after="0"/>
              <w:rPr>
                <w:sz w:val="1"/>
                <w:szCs w:val="1"/>
                <w:color w:val="auto"/>
              </w:rPr>
            </w:pPr>
          </w:p>
        </w:tc>
      </w:tr>
      <w:tr>
        <w:trPr>
          <w:trHeight w:val="75"/>
        </w:trPr>
        <w:tc>
          <w:tcPr>
            <w:tcW w:w="5360" w:type="dxa"/>
            <w:vAlign w:val="bottom"/>
            <w:tcBorders>
              <w:top w:val="single" w:sz="8" w:color="auto"/>
              <w:left w:val="single" w:sz="8" w:color="auto"/>
              <w:bottom w:val="single" w:sz="8" w:color="auto"/>
              <w:right w:val="single" w:sz="8" w:color="DBDBDB"/>
            </w:tcBorders>
            <w:shd w:val="clear" w:color="auto" w:fill="DBDBDB"/>
          </w:tcPr>
          <w:p>
            <w:pPr>
              <w:spacing w:after="0"/>
              <w:rPr>
                <w:sz w:val="6"/>
                <w:szCs w:val="6"/>
                <w:color w:val="auto"/>
              </w:rPr>
            </w:pPr>
          </w:p>
        </w:tc>
        <w:tc>
          <w:tcPr>
            <w:tcW w:w="2680" w:type="dxa"/>
            <w:vAlign w:val="bottom"/>
            <w:tcBorders>
              <w:top w:val="single" w:sz="8" w:color="auto"/>
              <w:bottom w:val="single" w:sz="8" w:color="auto"/>
              <w:right w:val="single" w:sz="8" w:color="DBDBDB"/>
            </w:tcBorders>
            <w:shd w:val="clear" w:color="auto" w:fill="DBDBDB"/>
          </w:tcPr>
          <w:p>
            <w:pPr>
              <w:spacing w:after="0"/>
              <w:rPr>
                <w:sz w:val="6"/>
                <w:szCs w:val="6"/>
                <w:color w:val="auto"/>
              </w:rPr>
            </w:pPr>
          </w:p>
        </w:tc>
        <w:tc>
          <w:tcPr>
            <w:tcW w:w="2480" w:type="dxa"/>
            <w:vAlign w:val="bottom"/>
            <w:tcBorders>
              <w:top w:val="single" w:sz="8" w:color="auto"/>
              <w:bottom w:val="single" w:sz="8" w:color="auto"/>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5360" w:type="dxa"/>
            <w:vAlign w:val="bottom"/>
            <w:tcBorders>
              <w:left w:val="single" w:sz="8" w:color="auto"/>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Year-on-Year Change in Bonus for NEOs</w:t>
            </w:r>
          </w:p>
        </w:tc>
        <w:tc>
          <w:tcPr>
            <w:tcW w:w="5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5% decrease</w:t>
            </w:r>
          </w:p>
        </w:tc>
        <w:tc>
          <w:tcPr>
            <w:tcW w:w="0" w:type="dxa"/>
            <w:vAlign w:val="bottom"/>
          </w:tcPr>
          <w:p>
            <w:pPr>
              <w:spacing w:after="0"/>
              <w:rPr>
                <w:sz w:val="1"/>
                <w:szCs w:val="1"/>
                <w:color w:val="auto"/>
              </w:rPr>
            </w:pPr>
          </w:p>
        </w:tc>
      </w:tr>
      <w:tr>
        <w:trPr>
          <w:trHeight w:val="131"/>
        </w:trPr>
        <w:tc>
          <w:tcPr>
            <w:tcW w:w="5360" w:type="dxa"/>
            <w:vAlign w:val="bottom"/>
            <w:tcBorders>
              <w:left w:val="single" w:sz="8" w:color="auto"/>
              <w:right w:val="single" w:sz="8" w:color="auto"/>
            </w:tcBorders>
            <w:vMerge w:val="restart"/>
            <w:shd w:val="clear" w:color="auto" w:fill="DBDBDB"/>
          </w:tcPr>
          <w:p>
            <w:pPr>
              <w:ind w:left="140"/>
              <w:spacing w:after="0"/>
              <w:rPr>
                <w:sz w:val="20"/>
                <w:szCs w:val="20"/>
                <w:color w:val="auto"/>
              </w:rPr>
            </w:pPr>
            <w:r>
              <w:rPr>
                <w:rFonts w:ascii="Arial" w:cs="Arial" w:eastAsia="Arial" w:hAnsi="Arial"/>
                <w:sz w:val="18"/>
                <w:szCs w:val="18"/>
                <w:color w:val="auto"/>
              </w:rPr>
              <w:t>(2024 Bonus Compared with 2023)</w:t>
            </w:r>
          </w:p>
        </w:tc>
        <w:tc>
          <w:tcPr>
            <w:tcW w:w="51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5360" w:type="dxa"/>
            <w:vAlign w:val="bottom"/>
            <w:tcBorders>
              <w:left w:val="single" w:sz="8" w:color="auto"/>
              <w:bottom w:val="single" w:sz="8" w:color="DBDBDB"/>
              <w:right w:val="single" w:sz="8" w:color="auto"/>
            </w:tcBorders>
            <w:vMerge w:val="continue"/>
            <w:shd w:val="clear" w:color="auto" w:fill="DBDBDB"/>
          </w:tcPr>
          <w:p>
            <w:pPr>
              <w:spacing w:after="0"/>
              <w:rPr>
                <w:sz w:val="9"/>
                <w:szCs w:val="9"/>
                <w:color w:val="auto"/>
              </w:rPr>
            </w:pPr>
          </w:p>
        </w:tc>
        <w:tc>
          <w:tcPr>
            <w:tcW w:w="2680" w:type="dxa"/>
            <w:vAlign w:val="bottom"/>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3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80" w:type="dxa"/>
            <w:vAlign w:val="bottom"/>
            <w:tcBorders>
              <w:right w:val="single" w:sz="8" w:color="auto"/>
            </w:tcBorders>
            <w:shd w:val="clear" w:color="auto" w:fill="000000"/>
          </w:tcPr>
          <w:p>
            <w:pPr>
              <w:spacing w:after="0" w:line="20" w:lineRule="exact"/>
              <w:rPr>
                <w:sz w:val="1"/>
                <w:szCs w:val="1"/>
                <w:color w:val="auto"/>
              </w:rPr>
            </w:pPr>
          </w:p>
        </w:tc>
        <w:tc>
          <w:tcPr>
            <w:tcW w:w="24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right="280" w:hanging="328"/>
        <w:spacing w:after="0" w:line="268" w:lineRule="auto"/>
        <w:tabs>
          <w:tab w:leader="none" w:pos="606"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Relative to Semiconductor Peers; includes estimates and projections of certain peer companies’ financial results. (It is important to note that the median growth rate of Semiconductor Peers includes the benefit of acquisitions, whereas TI’s growth rate is entirely organic.)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progress</w:t>
      </w:r>
    </w:p>
    <w:p>
      <w:pPr>
        <w:spacing w:after="0" w:line="223" w:lineRule="exact"/>
        <w:rPr>
          <w:sz w:val="20"/>
          <w:szCs w:val="20"/>
          <w:color w:val="auto"/>
        </w:rPr>
      </w:pPr>
    </w:p>
    <w:p>
      <w:pPr>
        <w:ind w:left="660" w:right="660" w:hanging="328"/>
        <w:spacing w:after="0" w:line="281"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primary objective is the long-term growth of free cash flow per share. To achieve this objective, the company’s strategy is comprised of having a great business model, a disciplined approach to capital allocation and a focus on efficiency.</w:t>
      </w:r>
    </w:p>
    <w:p>
      <w:pPr>
        <w:spacing w:after="0" w:line="1" w:lineRule="exact"/>
        <w:rPr>
          <w:rFonts w:ascii="Arial" w:cs="Arial" w:eastAsia="Arial" w:hAnsi="Arial"/>
          <w:sz w:val="18"/>
          <w:szCs w:val="18"/>
          <w:color w:val="auto"/>
        </w:rPr>
      </w:pPr>
    </w:p>
    <w:p>
      <w:pPr>
        <w:ind w:left="660" w:right="140" w:hanging="328"/>
        <w:spacing w:after="0" w:line="255"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company’s business model is designed around four sustainable competitive advantages that, in combination, provide tangible benefits and are difficult to replicate. These advantages include (i) a strong foundation of manufacturing and technology, (ii) a broad portfolio of analog and embedded processing products, (iii) the reach of our market channels, and (iv) diversity and longevity of our products, markets and customer positions. In 2024, the company continued investing to strengthen and leverage these advantages for the long term. The company’s strategic focus is on analog and embedded processing products sold into six end markets: industrial, automotive, personal electronics, enterprise systems, communications equipment and other. In 2024, the company continued the disciplined allocation of R&amp;D spending to strengthen its product portfolio, building on the existing foundation for near-and long-term results.</w:t>
      </w:r>
    </w:p>
    <w:p>
      <w:pPr>
        <w:spacing w:after="0" w:line="22"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TI’s broad analog and embedded processing product portfolio includes tens of thousands of products, with more products added each year, offering strong differentiation and longevity. In 2024, greater than 90% of TI’s revenue came from analog and embedded processing semiconductors.</w:t>
      </w:r>
    </w:p>
    <w:p>
      <w:pPr>
        <w:spacing w:after="0" w:line="8" w:lineRule="exact"/>
        <w:rPr>
          <w:rFonts w:ascii="Arial" w:cs="Arial" w:eastAsia="Arial" w:hAnsi="Arial"/>
          <w:sz w:val="18"/>
          <w:szCs w:val="18"/>
          <w:color w:val="auto"/>
        </w:rPr>
      </w:pPr>
    </w:p>
    <w:p>
      <w:pPr>
        <w:ind w:left="980" w:right="80" w:hanging="324"/>
        <w:spacing w:after="0" w:line="268" w:lineRule="auto"/>
        <w:tabs>
          <w:tab w:leader="none" w:pos="976"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company places additional strategic emphasis on designing and selling products into the industrial and automotive markets, which it believes represent the best growth opportunity because of the increasing semiconductor content in these markets. In 2024, approximately 70% of TI’s revenue came from industrial and automotive markets.</w:t>
      </w:r>
    </w:p>
    <w:p>
      <w:pPr>
        <w:spacing w:after="0" w:line="8" w:lineRule="exact"/>
        <w:rPr>
          <w:rFonts w:ascii="Arial" w:cs="Arial" w:eastAsia="Arial" w:hAnsi="Arial"/>
          <w:sz w:val="18"/>
          <w:szCs w:val="18"/>
          <w:color w:val="auto"/>
        </w:rPr>
      </w:pPr>
    </w:p>
    <w:p>
      <w:pPr>
        <w:ind w:left="660" w:right="660" w:hanging="328"/>
        <w:spacing w:after="0" w:line="28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TI’s revenue continues to come from a diverse base of thousands of applications. This is an intentional strategy that prevents dependence on a single market, customer or product.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2025 PROXY STATEMENT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1" w:name="page32"/>
    <w:bookmarkEnd w:id="31"/>
    <w:p>
      <w:pPr>
        <w:ind w:left="660" w:right="240" w:hanging="328"/>
        <w:spacing w:after="0" w:line="281"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TI’s internal capability to develop process technology and manufacture semiconductors remains a competitive advantage by providing lower costs and greater control of the supply chain. In 2024, the company continued to invest in long-term 300mm wafer capacity to meet customer demand over time. The company is ramping production in RFAB2 in Richardson, Texas, and LFAB1 in Lehi, Utah; equipping SM1 in Sherman, Texas; and continuing construction on SM2 in Sherman, Texas, and LFAB2 in Lehi, Utah.</w:t>
      </w:r>
    </w:p>
    <w:p>
      <w:pPr>
        <w:spacing w:after="0" w:line="2" w:lineRule="exact"/>
        <w:rPr>
          <w:rFonts w:ascii="Arial" w:cs="Arial" w:eastAsia="Arial" w:hAnsi="Arial"/>
          <w:sz w:val="17"/>
          <w:szCs w:val="17"/>
          <w:color w:val="auto"/>
        </w:rPr>
      </w:pPr>
    </w:p>
    <w:p>
      <w:pPr>
        <w:ind w:left="660" w:right="80" w:hanging="328"/>
        <w:spacing w:after="0" w:line="25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2024, the company continues to make progress in building closer direct relationships with its customers to further strengthen and extend its reach of market channels. In 2024, about 80% of the company’s revenue was direct. The company continues to invest in new and improved capabilities to directly support our customers, including order fulfillment services, inventory programs, business processes and logistics and website and e-commerce capabilities. TI’s direct customer relationships provide access to more customers and more of their design projects, leading to opportunities to sell more of our products into each design, and also provide better insight and knowledge of customer needs.</w:t>
      </w:r>
    </w:p>
    <w:p>
      <w:pPr>
        <w:spacing w:after="0" w:line="2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light of the above, the committee determined that TI’s strategic position was strengthened by management’s decisions and actions in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operating profit margin</w:t>
      </w:r>
    </w:p>
    <w:p>
      <w:pPr>
        <w:spacing w:after="0" w:line="22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u w:val="single" w:color="auto"/>
          <w:color w:val="auto"/>
        </w:rPr>
        <w:t>Annual performance</w:t>
      </w:r>
    </w:p>
    <w:p>
      <w:pPr>
        <w:spacing w:after="0" w:line="61" w:lineRule="exact"/>
        <w:rPr>
          <w:rFonts w:ascii="Arial" w:cs="Arial" w:eastAsia="Arial" w:hAnsi="Arial"/>
          <w:sz w:val="18"/>
          <w:szCs w:val="18"/>
          <w:color w:val="auto"/>
        </w:rPr>
      </w:pPr>
    </w:p>
    <w:p>
      <w:pPr>
        <w:ind w:left="980" w:right="380" w:hanging="324"/>
        <w:spacing w:after="0" w:line="298" w:lineRule="auto"/>
        <w:tabs>
          <w:tab w:leader="none" w:pos="976" w:val="left"/>
        </w:tabs>
        <w:numPr>
          <w:ilvl w:val="1"/>
          <w:numId w:val="57"/>
        </w:numPr>
        <w:rPr>
          <w:rFonts w:ascii="Arial" w:cs="Arial" w:eastAsia="Arial" w:hAnsi="Arial"/>
          <w:sz w:val="17"/>
          <w:szCs w:val="17"/>
          <w:color w:val="auto"/>
        </w:rPr>
      </w:pPr>
      <w:r>
        <w:rPr>
          <w:rFonts w:ascii="Arial" w:cs="Arial" w:eastAsia="Arial" w:hAnsi="Arial"/>
          <w:sz w:val="17"/>
          <w:szCs w:val="17"/>
          <w:color w:val="auto"/>
        </w:rPr>
        <w:t>TI’s revenue declined in 2024 by 10.7%, and relative performance was below median. It is important to note that the median growth rate of Semiconductor Peers includes the benefit of acquisitions, whereas TI’s growth rate is entirely organic.</w:t>
      </w:r>
    </w:p>
    <w:p>
      <w:pPr>
        <w:ind w:left="980" w:right="440" w:hanging="324"/>
        <w:spacing w:after="0" w:line="281" w:lineRule="auto"/>
        <w:tabs>
          <w:tab w:leader="none" w:pos="976"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Revenues for the company’s core businesses of analog and embedded processing decreased 6.7% and decreased 24.8%, respectively.</w:t>
      </w:r>
    </w:p>
    <w:p>
      <w:pPr>
        <w:spacing w:after="0" w:line="1" w:lineRule="exact"/>
        <w:rPr>
          <w:rFonts w:ascii="Arial" w:cs="Arial" w:eastAsia="Arial" w:hAnsi="Arial"/>
          <w:sz w:val="18"/>
          <w:szCs w:val="18"/>
          <w:color w:val="auto"/>
        </w:rPr>
      </w:pPr>
    </w:p>
    <w:p>
      <w:pPr>
        <w:ind w:left="980" w:right="20" w:hanging="324"/>
        <w:spacing w:after="0" w:line="281" w:lineRule="auto"/>
        <w:tabs>
          <w:tab w:leader="none" w:pos="976" w:val="left"/>
        </w:tabs>
        <w:numPr>
          <w:ilvl w:val="1"/>
          <w:numId w:val="57"/>
        </w:numPr>
        <w:rPr>
          <w:rFonts w:ascii="Arial" w:cs="Arial" w:eastAsia="Arial" w:hAnsi="Arial"/>
          <w:sz w:val="18"/>
          <w:szCs w:val="18"/>
          <w:color w:val="auto"/>
        </w:rPr>
      </w:pPr>
      <w:r>
        <w:rPr>
          <w:rFonts w:ascii="Arial" w:cs="Arial" w:eastAsia="Arial" w:hAnsi="Arial"/>
          <w:sz w:val="18"/>
          <w:szCs w:val="18"/>
          <w:color w:val="auto"/>
        </w:rPr>
        <w:t>Operating profit margin was 34.9%, which was below the prior year’s margin while remaining above the median comparison with Semiconductor Peers.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u w:val="single" w:color="auto"/>
          <w:color w:val="auto"/>
        </w:rPr>
        <w:t>Three-year performance</w:t>
      </w:r>
    </w:p>
    <w:p>
      <w:pPr>
        <w:spacing w:after="0" w:line="61" w:lineRule="exact"/>
        <w:rPr>
          <w:rFonts w:ascii="Arial" w:cs="Arial" w:eastAsia="Arial" w:hAnsi="Arial"/>
          <w:sz w:val="18"/>
          <w:szCs w:val="18"/>
          <w:color w:val="auto"/>
        </w:rPr>
      </w:pPr>
    </w:p>
    <w:p>
      <w:pPr>
        <w:ind w:left="980" w:right="160" w:hanging="324"/>
        <w:spacing w:after="0" w:line="268" w:lineRule="auto"/>
        <w:tabs>
          <w:tab w:leader="none" w:pos="976"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Compound annual revenue growth for 2022-2024 was -5.2%, which was below the median for Semiconductor Peers. It is important to note that the median growth rate of Semiconductor Peers includes the benefit of acquisitions, whereas TI’s growth rate is entirely organic.</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Average operating profit margin for 2022-2024 was 43.1%, which was above the median for Semiconductor Peers.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shareholder return (TSR)</w:t>
      </w:r>
    </w:p>
    <w:p>
      <w:pPr>
        <w:spacing w:after="0" w:line="223"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One-year TSR was 13.1%, above the median for Semiconductor Peers.</w:t>
      </w:r>
    </w:p>
    <w:p>
      <w:pPr>
        <w:spacing w:after="0" w:line="63"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returned $5.72 billion to shareholders in 2024 through dividends and share repurchases. The quarterly dividend rate increased 5%, marking 21 consecutive years of dividend increases. The company used $929 million to repurchase 4.7 million shares of stock. Dividend increases and share repurchases are important elements of TI’s capital management.</w:t>
      </w:r>
    </w:p>
    <w:p>
      <w:pPr>
        <w:spacing w:after="0" w:line="8" w:lineRule="exact"/>
        <w:rPr>
          <w:rFonts w:ascii="Arial" w:cs="Arial" w:eastAsia="Arial" w:hAnsi="Arial"/>
          <w:sz w:val="18"/>
          <w:szCs w:val="18"/>
          <w:color w:val="auto"/>
        </w:rPr>
      </w:pPr>
    </w:p>
    <w:p>
      <w:pPr>
        <w:ind w:left="660" w:right="440" w:hanging="328"/>
        <w:spacing w:after="0" w:line="281"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balance sheet remained robust, ending the year with total cash (cash and cash equivalents plus short-term investments) of $7.58 billion.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three-year compound annual growth rate for TSR was 2.7%, above the median for Semiconductor Peers.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2025 PROXY STATEMENT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23" w:right="37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i w:val="1"/>
          <w:iCs w:val="1"/>
          <w:u w:val="single" w:color="auto"/>
          <w:color w:val="auto"/>
        </w:rPr>
        <w:t>Performance summary</w:t>
      </w:r>
    </w:p>
    <w:p>
      <w:pPr>
        <w:spacing w:after="0" w:line="287" w:lineRule="exact"/>
        <w:rPr>
          <w:sz w:val="20"/>
          <w:szCs w:val="20"/>
          <w:color w:val="auto"/>
        </w:rPr>
      </w:pPr>
    </w:p>
    <w:tbl>
      <w:tblPr>
        <w:tblLayout w:type="fixed"/>
        <w:tblInd w:w="900" w:type="dxa"/>
        <w:tblCellMar>
          <w:top w:w="0" w:type="dxa"/>
          <w:left w:w="0" w:type="dxa"/>
          <w:bottom w:w="0" w:type="dxa"/>
          <w:right w:w="0" w:type="dxa"/>
        </w:tblCellMar>
      </w:tblPr>
      <w:tr>
        <w:trPr>
          <w:trHeight w:val="205"/>
        </w:trPr>
        <w:tc>
          <w:tcPr>
            <w:tcW w:w="37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One-Year</w:t>
            </w:r>
          </w:p>
        </w:tc>
        <w:tc>
          <w:tcPr>
            <w:tcW w:w="21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Three-Year</w:t>
            </w:r>
          </w:p>
        </w:tc>
      </w:tr>
      <w:tr>
        <w:trPr>
          <w:trHeight w:val="250"/>
        </w:trPr>
        <w:tc>
          <w:tcPr>
            <w:tcW w:w="3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 growth: total TI</w:t>
            </w:r>
          </w:p>
        </w:tc>
        <w:tc>
          <w:tcPr>
            <w:tcW w:w="2320" w:type="dxa"/>
            <w:vAlign w:val="bottom"/>
            <w:tcBorders>
              <w:bottom w:val="single" w:sz="8" w:color="DBDBDB"/>
            </w:tcBorders>
            <w:shd w:val="clear" w:color="auto" w:fill="DBDBDB"/>
          </w:tcPr>
          <w:p>
            <w:pPr>
              <w:jc w:val="right"/>
              <w:ind w:right="395"/>
              <w:spacing w:after="0"/>
              <w:rPr>
                <w:sz w:val="20"/>
                <w:szCs w:val="20"/>
                <w:color w:val="auto"/>
              </w:rPr>
            </w:pPr>
            <w:r>
              <w:rPr>
                <w:rFonts w:ascii="Arial" w:cs="Arial" w:eastAsia="Arial" w:hAnsi="Arial"/>
                <w:sz w:val="18"/>
                <w:szCs w:val="18"/>
                <w:color w:val="auto"/>
              </w:rPr>
              <w:t>-10.7%</w:t>
            </w:r>
          </w:p>
        </w:tc>
        <w:tc>
          <w:tcPr>
            <w:tcW w:w="210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8"/>
                <w:szCs w:val="18"/>
                <w:color w:val="auto"/>
              </w:rPr>
              <w:t>-5.2 %CAGR *</w:t>
            </w:r>
          </w:p>
        </w:tc>
      </w:tr>
      <w:tr>
        <w:trPr>
          <w:trHeight w:val="247"/>
        </w:trPr>
        <w:tc>
          <w:tcPr>
            <w:tcW w:w="3720" w:type="dxa"/>
            <w:vAlign w:val="bottom"/>
          </w:tcPr>
          <w:p>
            <w:pPr>
              <w:ind w:left="20"/>
              <w:spacing w:after="0"/>
              <w:rPr>
                <w:sz w:val="20"/>
                <w:szCs w:val="20"/>
                <w:color w:val="auto"/>
              </w:rPr>
            </w:pPr>
            <w:r>
              <w:rPr>
                <w:rFonts w:ascii="Arial" w:cs="Arial" w:eastAsia="Arial" w:hAnsi="Arial"/>
                <w:sz w:val="18"/>
                <w:szCs w:val="18"/>
                <w:color w:val="auto"/>
              </w:rPr>
              <w:t>Operating profit margin</w:t>
            </w:r>
          </w:p>
        </w:tc>
        <w:tc>
          <w:tcPr>
            <w:tcW w:w="2320" w:type="dxa"/>
            <w:vAlign w:val="bottom"/>
          </w:tcPr>
          <w:p>
            <w:pPr>
              <w:jc w:val="right"/>
              <w:ind w:right="395"/>
              <w:spacing w:after="0"/>
              <w:rPr>
                <w:sz w:val="20"/>
                <w:szCs w:val="20"/>
                <w:color w:val="auto"/>
              </w:rPr>
            </w:pPr>
            <w:r>
              <w:rPr>
                <w:rFonts w:ascii="Arial" w:cs="Arial" w:eastAsia="Arial" w:hAnsi="Arial"/>
                <w:sz w:val="18"/>
                <w:szCs w:val="18"/>
                <w:color w:val="auto"/>
              </w:rPr>
              <w:t>34.9%</w:t>
            </w:r>
          </w:p>
        </w:tc>
        <w:tc>
          <w:tcPr>
            <w:tcW w:w="2100" w:type="dxa"/>
            <w:vAlign w:val="bottom"/>
          </w:tcPr>
          <w:p>
            <w:pPr>
              <w:ind w:left="500"/>
              <w:spacing w:after="0"/>
              <w:rPr>
                <w:sz w:val="20"/>
                <w:szCs w:val="20"/>
                <w:color w:val="auto"/>
              </w:rPr>
            </w:pPr>
            <w:r>
              <w:rPr>
                <w:rFonts w:ascii="Arial" w:cs="Arial" w:eastAsia="Arial" w:hAnsi="Arial"/>
                <w:sz w:val="18"/>
                <w:szCs w:val="18"/>
                <w:color w:val="auto"/>
              </w:rPr>
              <w:t>43.1%average</w:t>
            </w:r>
          </w:p>
        </w:tc>
      </w:tr>
      <w:tr>
        <w:trPr>
          <w:trHeight w:val="23"/>
        </w:trPr>
        <w:tc>
          <w:tcPr>
            <w:tcW w:w="37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7"/>
        </w:trPr>
        <w:tc>
          <w:tcPr>
            <w:tcW w:w="3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shareholder return (TSR) **</w:t>
            </w:r>
          </w:p>
        </w:tc>
        <w:tc>
          <w:tcPr>
            <w:tcW w:w="2320" w:type="dxa"/>
            <w:vAlign w:val="bottom"/>
            <w:shd w:val="clear" w:color="auto" w:fill="DBDBDB"/>
          </w:tcPr>
          <w:p>
            <w:pPr>
              <w:jc w:val="right"/>
              <w:ind w:right="415"/>
              <w:spacing w:after="0"/>
              <w:rPr>
                <w:sz w:val="20"/>
                <w:szCs w:val="20"/>
                <w:color w:val="auto"/>
              </w:rPr>
            </w:pPr>
            <w:r>
              <w:rPr>
                <w:rFonts w:ascii="Arial" w:cs="Arial" w:eastAsia="Arial" w:hAnsi="Arial"/>
                <w:sz w:val="18"/>
                <w:szCs w:val="18"/>
                <w:color w:val="auto"/>
              </w:rPr>
              <w:t>13.1 %</w:t>
            </w:r>
          </w:p>
        </w:tc>
        <w:tc>
          <w:tcPr>
            <w:tcW w:w="2100" w:type="dxa"/>
            <w:vAlign w:val="bottom"/>
            <w:shd w:val="clear" w:color="auto" w:fill="DBDBDB"/>
          </w:tcPr>
          <w:p>
            <w:pPr>
              <w:jc w:val="right"/>
              <w:ind w:right="1015"/>
              <w:spacing w:after="0"/>
              <w:rPr>
                <w:sz w:val="20"/>
                <w:szCs w:val="20"/>
                <w:color w:val="auto"/>
              </w:rPr>
            </w:pPr>
            <w:r>
              <w:rPr>
                <w:rFonts w:ascii="Arial" w:cs="Arial" w:eastAsia="Arial" w:hAnsi="Arial"/>
                <w:sz w:val="18"/>
                <w:szCs w:val="18"/>
                <w:color w:val="auto"/>
              </w:rPr>
              <w:t>2.7 %</w:t>
            </w:r>
          </w:p>
        </w:tc>
      </w:tr>
      <w:tr>
        <w:trPr>
          <w:trHeight w:val="23"/>
        </w:trPr>
        <w:tc>
          <w:tcPr>
            <w:tcW w:w="3720" w:type="dxa"/>
            <w:vAlign w:val="bottom"/>
            <w:shd w:val="clear" w:color="auto" w:fill="DBDBDB"/>
          </w:tcPr>
          <w:p>
            <w:pPr>
              <w:spacing w:after="0"/>
              <w:rPr>
                <w:sz w:val="2"/>
                <w:szCs w:val="2"/>
                <w:color w:val="auto"/>
              </w:rPr>
            </w:pPr>
          </w:p>
        </w:tc>
        <w:tc>
          <w:tcPr>
            <w:tcW w:w="2320" w:type="dxa"/>
            <w:vAlign w:val="bottom"/>
            <w:shd w:val="clear" w:color="auto" w:fill="DBDBDB"/>
          </w:tcPr>
          <w:p>
            <w:pPr>
              <w:spacing w:after="0"/>
              <w:rPr>
                <w:sz w:val="2"/>
                <w:szCs w:val="2"/>
                <w:color w:val="auto"/>
              </w:rPr>
            </w:pPr>
          </w:p>
        </w:tc>
        <w:tc>
          <w:tcPr>
            <w:tcW w:w="2100" w:type="dxa"/>
            <w:vAlign w:val="bottom"/>
            <w:shd w:val="clear" w:color="auto" w:fill="DBDBDB"/>
          </w:tcPr>
          <w:p>
            <w:pPr>
              <w:spacing w:after="0"/>
              <w:rPr>
                <w:sz w:val="2"/>
                <w:szCs w:val="2"/>
                <w:color w:val="auto"/>
              </w:rPr>
            </w:pPr>
          </w:p>
        </w:tc>
      </w:tr>
    </w:tbl>
    <w:p>
      <w:pPr>
        <w:spacing w:after="0" w:line="184" w:lineRule="exact"/>
        <w:rPr>
          <w:sz w:val="20"/>
          <w:szCs w:val="20"/>
          <w:color w:val="auto"/>
        </w:rPr>
      </w:pPr>
    </w:p>
    <w:p>
      <w:pPr>
        <w:ind w:left="1160" w:hanging="261"/>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CAGR (compound annual growth rate) is calculated using the formula (Ending Value/ Beginning</w:t>
      </w:r>
    </w:p>
    <w:p>
      <w:pPr>
        <w:spacing w:after="0" w:line="27" w:lineRule="exact"/>
        <w:rPr>
          <w:rFonts w:ascii="Arial" w:cs="Arial" w:eastAsia="Arial" w:hAnsi="Arial"/>
          <w:sz w:val="18"/>
          <w:szCs w:val="18"/>
          <w:color w:val="auto"/>
        </w:rPr>
      </w:pPr>
    </w:p>
    <w:p>
      <w:pPr>
        <w:ind w:left="1220"/>
        <w:spacing w:after="0" w:line="184" w:lineRule="auto"/>
        <w:rPr>
          <w:rFonts w:ascii="Arial" w:cs="Arial" w:eastAsia="Arial" w:hAnsi="Arial"/>
          <w:sz w:val="18"/>
          <w:szCs w:val="18"/>
          <w:color w:val="auto"/>
        </w:rPr>
      </w:pPr>
      <w:r>
        <w:rPr>
          <w:rFonts w:ascii="Arial" w:cs="Arial" w:eastAsia="Arial" w:hAnsi="Arial"/>
          <w:sz w:val="25"/>
          <w:szCs w:val="25"/>
          <w:color w:val="auto"/>
          <w:vertAlign w:val="subscript"/>
        </w:rPr>
        <w:t>Value)</w:t>
      </w:r>
      <w:r>
        <w:rPr>
          <w:rFonts w:ascii="Arial" w:cs="Arial" w:eastAsia="Arial" w:hAnsi="Arial"/>
          <w:sz w:val="9"/>
          <w:szCs w:val="9"/>
          <w:color w:val="auto"/>
        </w:rPr>
        <w:t xml:space="preserve">1/number of years </w:t>
      </w:r>
      <w:r>
        <w:rPr>
          <w:rFonts w:ascii="Arial" w:cs="Arial" w:eastAsia="Arial" w:hAnsi="Arial"/>
          <w:sz w:val="25"/>
          <w:szCs w:val="25"/>
          <w:color w:val="auto"/>
          <w:vertAlign w:val="subscript"/>
        </w:rPr>
        <w:t>minus 1.</w:t>
      </w:r>
    </w:p>
    <w:p>
      <w:pPr>
        <w:spacing w:after="0" w:line="86" w:lineRule="exact"/>
        <w:rPr>
          <w:sz w:val="20"/>
          <w:szCs w:val="20"/>
          <w:color w:val="auto"/>
        </w:rPr>
      </w:pPr>
    </w:p>
    <w:p>
      <w:pPr>
        <w:ind w:left="1220" w:right="1120" w:hanging="321"/>
        <w:spacing w:after="0" w:line="287" w:lineRule="auto"/>
        <w:tabs>
          <w:tab w:leader="none" w:pos="12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One-year and three-year TSR percentages are obtained from a report generated using a subscription service to Equilar, an executive compensation and corporate governance data firm.</w:t>
      </w:r>
    </w:p>
    <w:p>
      <w:pPr>
        <w:spacing w:after="0" w:line="153"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Before setting the bonuses for the named executive officers, the committee considered the officers’ individual performance. The performance of Mr. Ilan was judged according to the performance of the company. For the other officers, the committee considered the factors described below in assessing individual performance. In making this assessment, the committee did not apply any formula or performance targets.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Mr. Lizardi is the chief financial officer. The committee noted the financial management of the company.</w:t>
      </w:r>
    </w:p>
    <w:p>
      <w:pPr>
        <w:spacing w:after="0" w:line="22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Mr. Templeton is the chairman of the board. The committee noted Mr. Templeton’s contributions to the company’s strategic progress in his role as chairman of the board.</w:t>
      </w:r>
    </w:p>
    <w:p>
      <w:pPr>
        <w:spacing w:after="0" w:line="153"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Mr. Kozanian is responsible for our analog signal chain product line within our analog business. The committee noted the financial performance and strategic position of this product line.</w:t>
      </w:r>
    </w:p>
    <w:p>
      <w:pPr>
        <w:spacing w:after="0" w:line="15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Mr. Ron is responsible for the company’s embedded processing business. The committee noted the financial performance and strategic position of the operations and product lines for which he was responsible.</w:t>
      </w:r>
    </w:p>
    <w:p>
      <w:pPr>
        <w:spacing w:after="0" w:line="15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 bonuses awarded for 2024 performance are shown in the table below. The differences in the amounts awarded to the named executive officers were primarily the result of differences in the officers’ level of responsibility and related performance and the applicable market level of total cash compensation expected to be paid to similarly situated officers at companies within the Comparator Group.</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30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2024 Bonus</w:t>
            </w:r>
          </w:p>
        </w:tc>
        <w:tc>
          <w:tcPr>
            <w:tcW w:w="7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2023 Bonus</w:t>
            </w:r>
          </w:p>
        </w:tc>
      </w:tr>
      <w:tr>
        <w:trPr>
          <w:trHeight w:val="250"/>
        </w:trPr>
        <w:tc>
          <w:tcPr>
            <w:tcW w:w="4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3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DBDBDB"/>
            </w:tcBorders>
            <w:shd w:val="clear" w:color="auto" w:fill="DBDBDB"/>
          </w:tcPr>
          <w:p>
            <w:pPr>
              <w:jc w:val="right"/>
              <w:ind w:right="453"/>
              <w:spacing w:after="0"/>
              <w:rPr>
                <w:sz w:val="20"/>
                <w:szCs w:val="20"/>
                <w:color w:val="auto"/>
              </w:rPr>
            </w:pPr>
            <w:r>
              <w:rPr>
                <w:rFonts w:ascii="Arial" w:cs="Arial" w:eastAsia="Arial" w:hAnsi="Arial"/>
                <w:sz w:val="18"/>
                <w:szCs w:val="18"/>
                <w:color w:val="auto"/>
              </w:rPr>
              <w:t>2,380,000</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DBDBDB"/>
            </w:tcBorders>
            <w:shd w:val="clear" w:color="auto" w:fill="DBDBDB"/>
          </w:tcPr>
          <w:p>
            <w:pPr>
              <w:jc w:val="right"/>
              <w:ind w:right="473"/>
              <w:spacing w:after="0"/>
              <w:rPr>
                <w:sz w:val="20"/>
                <w:szCs w:val="20"/>
                <w:color w:val="auto"/>
              </w:rPr>
            </w:pPr>
            <w:r>
              <w:rPr>
                <w:rFonts w:ascii="Arial" w:cs="Arial" w:eastAsia="Arial" w:hAnsi="Arial"/>
                <w:sz w:val="18"/>
                <w:szCs w:val="18"/>
                <w:color w:val="auto"/>
              </w:rPr>
              <w:t>2,500,000</w:t>
            </w:r>
          </w:p>
        </w:tc>
      </w:tr>
      <w:tr>
        <w:trPr>
          <w:trHeight w:val="247"/>
        </w:trPr>
        <w:tc>
          <w:tcPr>
            <w:tcW w:w="4340" w:type="dxa"/>
            <w:vAlign w:val="bottom"/>
          </w:tcPr>
          <w:p>
            <w:pPr>
              <w:ind w:left="20"/>
              <w:spacing w:after="0"/>
              <w:rPr>
                <w:sz w:val="20"/>
                <w:szCs w:val="20"/>
                <w:color w:val="auto"/>
              </w:rPr>
            </w:pPr>
            <w:r>
              <w:rPr>
                <w:rFonts w:ascii="Arial" w:cs="Arial" w:eastAsia="Arial" w:hAnsi="Arial"/>
                <w:sz w:val="18"/>
                <w:szCs w:val="18"/>
                <w:color w:val="auto"/>
              </w:rPr>
              <w:t>Rafael Lizardi</w:t>
            </w:r>
          </w:p>
        </w:tc>
        <w:tc>
          <w:tcPr>
            <w:tcW w:w="30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53"/>
              <w:spacing w:after="0"/>
              <w:rPr>
                <w:sz w:val="20"/>
                <w:szCs w:val="20"/>
                <w:color w:val="auto"/>
              </w:rPr>
            </w:pPr>
            <w:r>
              <w:rPr>
                <w:rFonts w:ascii="Arial" w:cs="Arial" w:eastAsia="Arial" w:hAnsi="Arial"/>
                <w:sz w:val="18"/>
                <w:szCs w:val="18"/>
                <w:color w:val="auto"/>
              </w:rPr>
              <w:t>1,035,000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73"/>
              <w:spacing w:after="0"/>
              <w:rPr>
                <w:sz w:val="20"/>
                <w:szCs w:val="20"/>
                <w:color w:val="auto"/>
              </w:rPr>
            </w:pPr>
            <w:r>
              <w:rPr>
                <w:rFonts w:ascii="Arial" w:cs="Arial" w:eastAsia="Arial" w:hAnsi="Arial"/>
                <w:sz w:val="18"/>
                <w:szCs w:val="18"/>
                <w:color w:val="auto"/>
              </w:rPr>
              <w:t>1,090,000</w:t>
            </w:r>
          </w:p>
        </w:tc>
      </w:tr>
      <w:tr>
        <w:trPr>
          <w:trHeight w:val="23"/>
        </w:trPr>
        <w:tc>
          <w:tcPr>
            <w:tcW w:w="4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3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DBDBDB"/>
            </w:tcBorders>
            <w:shd w:val="clear" w:color="auto" w:fill="DBDBDB"/>
          </w:tcPr>
          <w:p>
            <w:pPr>
              <w:jc w:val="right"/>
              <w:ind w:right="453"/>
              <w:spacing w:after="0"/>
              <w:rPr>
                <w:sz w:val="20"/>
                <w:szCs w:val="20"/>
                <w:color w:val="auto"/>
              </w:rPr>
            </w:pPr>
            <w:r>
              <w:rPr>
                <w:rFonts w:ascii="Arial" w:cs="Arial" w:eastAsia="Arial" w:hAnsi="Arial"/>
                <w:sz w:val="18"/>
                <w:szCs w:val="18"/>
                <w:color w:val="auto"/>
              </w:rPr>
              <w:t>1,000,000</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DBDBDB"/>
            </w:tcBorders>
            <w:shd w:val="clear" w:color="auto" w:fill="DBDBDB"/>
          </w:tcPr>
          <w:p>
            <w:pPr>
              <w:jc w:val="right"/>
              <w:ind w:right="473"/>
              <w:spacing w:after="0"/>
              <w:rPr>
                <w:sz w:val="20"/>
                <w:szCs w:val="20"/>
                <w:color w:val="auto"/>
              </w:rPr>
            </w:pPr>
            <w:r>
              <w:rPr>
                <w:rFonts w:ascii="Arial" w:cs="Arial" w:eastAsia="Arial" w:hAnsi="Arial"/>
                <w:sz w:val="18"/>
                <w:szCs w:val="18"/>
                <w:color w:val="auto"/>
              </w:rPr>
              <w:t>2,000,000</w:t>
            </w:r>
          </w:p>
        </w:tc>
      </w:tr>
      <w:tr>
        <w:trPr>
          <w:trHeight w:val="247"/>
        </w:trPr>
        <w:tc>
          <w:tcPr>
            <w:tcW w:w="4340" w:type="dxa"/>
            <w:vAlign w:val="bottom"/>
          </w:tcPr>
          <w:p>
            <w:pPr>
              <w:ind w:left="20"/>
              <w:spacing w:after="0"/>
              <w:rPr>
                <w:sz w:val="20"/>
                <w:szCs w:val="20"/>
                <w:color w:val="auto"/>
              </w:rPr>
            </w:pPr>
            <w:r>
              <w:rPr>
                <w:rFonts w:ascii="Arial" w:cs="Arial" w:eastAsia="Arial" w:hAnsi="Arial"/>
                <w:sz w:val="18"/>
                <w:szCs w:val="18"/>
                <w:color w:val="auto"/>
              </w:rPr>
              <w:t>Hagop Kozanian</w:t>
            </w:r>
          </w:p>
        </w:tc>
        <w:tc>
          <w:tcPr>
            <w:tcW w:w="30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53"/>
              <w:spacing w:after="0"/>
              <w:rPr>
                <w:sz w:val="20"/>
                <w:szCs w:val="20"/>
                <w:color w:val="auto"/>
              </w:rPr>
            </w:pPr>
            <w:r>
              <w:rPr>
                <w:rFonts w:ascii="Arial" w:cs="Arial" w:eastAsia="Arial" w:hAnsi="Arial"/>
                <w:sz w:val="18"/>
                <w:szCs w:val="18"/>
                <w:color w:val="auto"/>
              </w:rPr>
              <w:t>1,250,000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73"/>
              <w:spacing w:after="0"/>
              <w:rPr>
                <w:sz w:val="20"/>
                <w:szCs w:val="20"/>
                <w:color w:val="auto"/>
              </w:rPr>
            </w:pPr>
            <w:r>
              <w:rPr>
                <w:rFonts w:ascii="Arial" w:cs="Arial" w:eastAsia="Arial" w:hAnsi="Arial"/>
                <w:sz w:val="18"/>
                <w:szCs w:val="18"/>
                <w:color w:val="auto"/>
              </w:rPr>
              <w:t>1,315,000</w:t>
            </w:r>
          </w:p>
        </w:tc>
      </w:tr>
      <w:tr>
        <w:trPr>
          <w:trHeight w:val="23"/>
        </w:trPr>
        <w:tc>
          <w:tcPr>
            <w:tcW w:w="4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7"/>
        </w:trPr>
        <w:tc>
          <w:tcPr>
            <w:tcW w:w="4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3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DBDBDB"/>
          </w:tcPr>
          <w:p>
            <w:pPr>
              <w:jc w:val="right"/>
              <w:ind w:right="453"/>
              <w:spacing w:after="0"/>
              <w:rPr>
                <w:sz w:val="20"/>
                <w:szCs w:val="20"/>
                <w:color w:val="auto"/>
              </w:rPr>
            </w:pPr>
            <w:r>
              <w:rPr>
                <w:rFonts w:ascii="Arial" w:cs="Arial" w:eastAsia="Arial" w:hAnsi="Arial"/>
                <w:sz w:val="18"/>
                <w:szCs w:val="18"/>
                <w:color w:val="auto"/>
              </w:rPr>
              <w:t>1,150,000</w:t>
            </w: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DBDBDB"/>
          </w:tcPr>
          <w:p>
            <w:pPr>
              <w:jc w:val="right"/>
              <w:ind w:right="473"/>
              <w:spacing w:after="0"/>
              <w:rPr>
                <w:sz w:val="20"/>
                <w:szCs w:val="20"/>
                <w:color w:val="auto"/>
              </w:rPr>
            </w:pPr>
            <w:r>
              <w:rPr>
                <w:rFonts w:ascii="Arial" w:cs="Arial" w:eastAsia="Arial" w:hAnsi="Arial"/>
                <w:sz w:val="18"/>
                <w:szCs w:val="18"/>
                <w:color w:val="auto"/>
              </w:rPr>
              <w:t>1,210,000</w:t>
            </w:r>
          </w:p>
        </w:tc>
      </w:tr>
      <w:tr>
        <w:trPr>
          <w:trHeight w:val="23"/>
        </w:trPr>
        <w:tc>
          <w:tcPr>
            <w:tcW w:w="4340" w:type="dxa"/>
            <w:vAlign w:val="bottom"/>
            <w:shd w:val="clear" w:color="auto" w:fill="DBDBDB"/>
          </w:tcPr>
          <w:p>
            <w:pPr>
              <w:spacing w:after="0"/>
              <w:rPr>
                <w:sz w:val="2"/>
                <w:szCs w:val="2"/>
                <w:color w:val="auto"/>
              </w:rPr>
            </w:pPr>
          </w:p>
        </w:tc>
        <w:tc>
          <w:tcPr>
            <w:tcW w:w="3000" w:type="dxa"/>
            <w:vAlign w:val="bottom"/>
            <w:shd w:val="clear" w:color="auto" w:fill="DBDBDB"/>
          </w:tcPr>
          <w:p>
            <w:pPr>
              <w:spacing w:after="0"/>
              <w:rPr>
                <w:sz w:val="2"/>
                <w:szCs w:val="2"/>
                <w:color w:val="auto"/>
              </w:rPr>
            </w:pPr>
          </w:p>
        </w:tc>
        <w:tc>
          <w:tcPr>
            <w:tcW w:w="1580" w:type="dxa"/>
            <w:vAlign w:val="bottom"/>
            <w:shd w:val="clear" w:color="auto" w:fill="DBDBDB"/>
          </w:tcPr>
          <w:p>
            <w:pPr>
              <w:spacing w:after="0"/>
              <w:rPr>
                <w:sz w:val="2"/>
                <w:szCs w:val="2"/>
                <w:color w:val="auto"/>
              </w:rPr>
            </w:pPr>
          </w:p>
        </w:tc>
        <w:tc>
          <w:tcPr>
            <w:tcW w:w="70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the compensation decisions</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Results of the compensation decisions made by the committee relating to the named executive officers are summarized in the following table. This table is provided as a supplement to the summary compensation table for investors who may find it useful to see the data presented in this form. Although the committee does not target a specific level of total compensation, it considers information similar to that in the table to ensure that the sum of these elements is, in its judgment, in a reasonable range based on market level of pay and consistent with the objectives of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5"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6"/>
        </w:trPr>
        <w:tc>
          <w:tcPr>
            <w:tcW w:w="2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center"/>
              <w:ind w:right="154"/>
              <w:spacing w:after="0"/>
              <w:rPr>
                <w:sz w:val="20"/>
                <w:szCs w:val="20"/>
                <w:color w:val="auto"/>
              </w:rPr>
            </w:pPr>
            <w:r>
              <w:rPr>
                <w:rFonts w:ascii="Arial" w:cs="Arial" w:eastAsia="Arial" w:hAnsi="Arial"/>
                <w:sz w:val="14"/>
                <w:szCs w:val="14"/>
                <w:b w:val="1"/>
                <w:bCs w:val="1"/>
                <w:color w:val="auto"/>
              </w:rPr>
              <w:t>Equity</w:t>
            </w: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Salary</w:t>
            </w:r>
          </w:p>
        </w:tc>
        <w:tc>
          <w:tcPr>
            <w:tcW w:w="340" w:type="dxa"/>
            <w:vAlign w:val="bottom"/>
          </w:tcPr>
          <w:p>
            <w:pPr>
              <w:spacing w:after="0"/>
              <w:rPr>
                <w:sz w:val="15"/>
                <w:szCs w:val="15"/>
                <w:color w:val="auto"/>
              </w:rPr>
            </w:pPr>
          </w:p>
        </w:tc>
        <w:tc>
          <w:tcPr>
            <w:tcW w:w="10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Profit</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center"/>
              <w:ind w:right="154"/>
              <w:spacing w:after="0"/>
              <w:rPr>
                <w:sz w:val="20"/>
                <w:szCs w:val="20"/>
                <w:color w:val="auto"/>
              </w:rPr>
            </w:pPr>
            <w:r>
              <w:rPr>
                <w:rFonts w:ascii="Arial" w:cs="Arial" w:eastAsia="Arial" w:hAnsi="Arial"/>
                <w:sz w:val="14"/>
                <w:szCs w:val="14"/>
                <w:b w:val="1"/>
                <w:bCs w:val="1"/>
                <w:color w:val="auto"/>
              </w:rPr>
              <w:t>Compensation</w:t>
            </w: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center"/>
              <w:ind w:right="174"/>
              <w:spacing w:after="0"/>
              <w:rPr>
                <w:sz w:val="20"/>
                <w:szCs w:val="20"/>
                <w:color w:val="auto"/>
              </w:rPr>
            </w:pPr>
            <w:r>
              <w:rPr>
                <w:rFonts w:ascii="Arial" w:cs="Arial" w:eastAsia="Arial" w:hAnsi="Arial"/>
                <w:sz w:val="14"/>
                <w:szCs w:val="14"/>
                <w:b w:val="1"/>
                <w:bCs w:val="1"/>
                <w:color w:val="auto"/>
              </w:rPr>
              <w:t>(Grant Date</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1320" w:type="dxa"/>
            <w:vAlign w:val="bottom"/>
            <w:tcBorders>
              <w:bottom w:val="single" w:sz="8" w:color="auto"/>
            </w:tcBorders>
          </w:tcPr>
          <w:p>
            <w:pPr>
              <w:jc w:val="center"/>
              <w:ind w:left="371"/>
              <w:spacing w:after="0"/>
              <w:rPr>
                <w:sz w:val="20"/>
                <w:szCs w:val="20"/>
                <w:color w:val="auto"/>
              </w:rPr>
            </w:pPr>
            <w:r>
              <w:rPr>
                <w:rFonts w:ascii="Arial" w:cs="Arial" w:eastAsia="Arial" w:hAnsi="Arial"/>
                <w:sz w:val="14"/>
                <w:szCs w:val="14"/>
                <w:b w:val="1"/>
                <w:bCs w:val="1"/>
                <w:color w:val="auto"/>
                <w:w w:val="98"/>
              </w:rPr>
              <w:t>Year</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(Annual Rate)</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Sharing</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Bonus</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132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8"/>
                <w:szCs w:val="18"/>
                <w:color w:val="auto"/>
                <w:w w:val="99"/>
              </w:rPr>
              <w:t>2024</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1,250,000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247,588</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2,380,000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15,000,084</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18,877,672</w:t>
            </w:r>
          </w:p>
        </w:tc>
        <w:tc>
          <w:tcPr>
            <w:tcW w:w="0" w:type="dxa"/>
            <w:vAlign w:val="bottom"/>
          </w:tcPr>
          <w:p>
            <w:pPr>
              <w:spacing w:after="0"/>
              <w:rPr>
                <w:sz w:val="1"/>
                <w:szCs w:val="1"/>
                <w:color w:val="auto"/>
              </w:rPr>
            </w:pPr>
          </w:p>
        </w:tc>
      </w:tr>
      <w:tr>
        <w:trPr>
          <w:trHeight w:val="247"/>
        </w:trPr>
        <w:tc>
          <w:tcPr>
            <w:tcW w:w="2220" w:type="dxa"/>
            <w:vAlign w:val="bottom"/>
          </w:tcPr>
          <w:p>
            <w:pPr>
              <w:spacing w:after="0"/>
              <w:rPr>
                <w:sz w:val="21"/>
                <w:szCs w:val="21"/>
                <w:color w:val="auto"/>
              </w:rPr>
            </w:pPr>
          </w:p>
        </w:tc>
        <w:tc>
          <w:tcPr>
            <w:tcW w:w="1320" w:type="dxa"/>
            <w:vAlign w:val="bottom"/>
          </w:tcPr>
          <w:p>
            <w:pPr>
              <w:jc w:val="center"/>
              <w:ind w:left="391"/>
              <w:spacing w:after="0"/>
              <w:rPr>
                <w:sz w:val="20"/>
                <w:szCs w:val="20"/>
                <w:color w:val="auto"/>
              </w:rPr>
            </w:pPr>
            <w:r>
              <w:rPr>
                <w:rFonts w:ascii="Arial" w:cs="Arial" w:eastAsia="Arial" w:hAnsi="Arial"/>
                <w:sz w:val="18"/>
                <w:szCs w:val="18"/>
                <w:color w:val="auto"/>
                <w:w w:val="99"/>
              </w:rPr>
              <w:t>2023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1,150,000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219,917</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rPr>
              <w:t>2,500,000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12,000,009</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15,869,926</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8"/>
                <w:szCs w:val="18"/>
                <w:color w:val="auto"/>
                <w:w w:val="99"/>
              </w:rPr>
              <w:t>2022</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915,000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182,417</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2,070,000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9,000,162</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12,167,579</w:t>
            </w: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Lizardi</w:t>
            </w:r>
          </w:p>
        </w:tc>
        <w:tc>
          <w:tcPr>
            <w:tcW w:w="132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8"/>
                <w:szCs w:val="18"/>
                <w:color w:val="auto"/>
                <w:w w:val="99"/>
              </w:rPr>
              <w:t>2024</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845,000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167,911</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1,035,000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4,800,154</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6,848,065</w:t>
            </w:r>
          </w:p>
        </w:tc>
        <w:tc>
          <w:tcPr>
            <w:tcW w:w="0" w:type="dxa"/>
            <w:vAlign w:val="bottom"/>
          </w:tcPr>
          <w:p>
            <w:pPr>
              <w:spacing w:after="0"/>
              <w:rPr>
                <w:sz w:val="1"/>
                <w:szCs w:val="1"/>
                <w:color w:val="auto"/>
              </w:rPr>
            </w:pPr>
          </w:p>
        </w:tc>
      </w:tr>
      <w:tr>
        <w:trPr>
          <w:trHeight w:val="247"/>
        </w:trPr>
        <w:tc>
          <w:tcPr>
            <w:tcW w:w="2220" w:type="dxa"/>
            <w:vAlign w:val="bottom"/>
          </w:tcPr>
          <w:p>
            <w:pPr>
              <w:spacing w:after="0"/>
              <w:rPr>
                <w:sz w:val="21"/>
                <w:szCs w:val="21"/>
                <w:color w:val="auto"/>
              </w:rPr>
            </w:pPr>
          </w:p>
        </w:tc>
        <w:tc>
          <w:tcPr>
            <w:tcW w:w="1320" w:type="dxa"/>
            <w:vAlign w:val="bottom"/>
          </w:tcPr>
          <w:p>
            <w:pPr>
              <w:jc w:val="center"/>
              <w:ind w:left="391"/>
              <w:spacing w:after="0"/>
              <w:rPr>
                <w:sz w:val="20"/>
                <w:szCs w:val="20"/>
                <w:color w:val="auto"/>
              </w:rPr>
            </w:pPr>
            <w:r>
              <w:rPr>
                <w:rFonts w:ascii="Arial" w:cs="Arial" w:eastAsia="Arial" w:hAnsi="Arial"/>
                <w:sz w:val="18"/>
                <w:szCs w:val="18"/>
                <w:color w:val="auto"/>
                <w:w w:val="99"/>
              </w:rPr>
              <w:t>2023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810,000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161,333</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rPr>
              <w:t>1,090,000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4,800,144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6,861,477</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8"/>
                <w:szCs w:val="18"/>
                <w:color w:val="auto"/>
                <w:w w:val="99"/>
              </w:rPr>
              <w:t>2022</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770,000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153,500</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1,210,000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3,800,025</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5,933,525</w:t>
            </w: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132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8"/>
                <w:szCs w:val="18"/>
                <w:color w:val="auto"/>
                <w:w w:val="99"/>
              </w:rPr>
              <w:t>2024</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600,000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119,640</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1,000,000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7,500,061</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9,219,701</w:t>
            </w:r>
          </w:p>
        </w:tc>
        <w:tc>
          <w:tcPr>
            <w:tcW w:w="0" w:type="dxa"/>
            <w:vAlign w:val="bottom"/>
          </w:tcPr>
          <w:p>
            <w:pPr>
              <w:spacing w:after="0"/>
              <w:rPr>
                <w:sz w:val="1"/>
                <w:szCs w:val="1"/>
                <w:color w:val="auto"/>
              </w:rPr>
            </w:pPr>
          </w:p>
        </w:tc>
      </w:tr>
      <w:tr>
        <w:trPr>
          <w:trHeight w:val="247"/>
        </w:trPr>
        <w:tc>
          <w:tcPr>
            <w:tcW w:w="2220" w:type="dxa"/>
            <w:vAlign w:val="bottom"/>
          </w:tcPr>
          <w:p>
            <w:pPr>
              <w:spacing w:after="0"/>
              <w:rPr>
                <w:sz w:val="21"/>
                <w:szCs w:val="21"/>
                <w:color w:val="auto"/>
              </w:rPr>
            </w:pPr>
          </w:p>
        </w:tc>
        <w:tc>
          <w:tcPr>
            <w:tcW w:w="1320" w:type="dxa"/>
            <w:vAlign w:val="bottom"/>
          </w:tcPr>
          <w:p>
            <w:pPr>
              <w:jc w:val="center"/>
              <w:ind w:left="391"/>
              <w:spacing w:after="0"/>
              <w:rPr>
                <w:sz w:val="20"/>
                <w:szCs w:val="20"/>
                <w:color w:val="auto"/>
              </w:rPr>
            </w:pPr>
            <w:r>
              <w:rPr>
                <w:rFonts w:ascii="Arial" w:cs="Arial" w:eastAsia="Arial" w:hAnsi="Arial"/>
                <w:sz w:val="18"/>
                <w:szCs w:val="18"/>
                <w:color w:val="auto"/>
                <w:w w:val="99"/>
              </w:rPr>
              <w:t>2023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600,000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161,750</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rPr>
              <w:t>2,000,000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17,500,109</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20,261,859</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8"/>
                <w:szCs w:val="18"/>
                <w:color w:val="auto"/>
                <w:w w:val="99"/>
              </w:rPr>
              <w:t>2022</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1,435,000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286,083</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4,550,000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15,000,082</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21,271,165</w:t>
            </w:r>
          </w:p>
        </w:tc>
        <w:tc>
          <w:tcPr>
            <w:tcW w:w="0" w:type="dxa"/>
            <w:vAlign w:val="bottom"/>
          </w:tcPr>
          <w:p>
            <w:pPr>
              <w:spacing w:after="0"/>
              <w:rPr>
                <w:sz w:val="1"/>
                <w:szCs w:val="1"/>
                <w:color w:val="auto"/>
              </w:rPr>
            </w:pPr>
          </w:p>
        </w:tc>
      </w:tr>
      <w:tr>
        <w:trPr>
          <w:trHeight w:val="256"/>
        </w:trPr>
        <w:tc>
          <w:tcPr>
            <w:tcW w:w="2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Hagop Kozanian</w:t>
            </w:r>
          </w:p>
        </w:tc>
        <w:tc>
          <w:tcPr>
            <w:tcW w:w="132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8"/>
                <w:szCs w:val="18"/>
                <w:color w:val="auto"/>
                <w:w w:val="99"/>
              </w:rPr>
              <w:t>2024</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800,000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159,021</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1,250,000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5,100,170</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7,309,191</w:t>
            </w:r>
          </w:p>
        </w:tc>
        <w:tc>
          <w:tcPr>
            <w:tcW w:w="0" w:type="dxa"/>
            <w:vAlign w:val="bottom"/>
          </w:tcPr>
          <w:p>
            <w:pPr>
              <w:spacing w:after="0"/>
              <w:rPr>
                <w:sz w:val="1"/>
                <w:szCs w:val="1"/>
                <w:color w:val="auto"/>
              </w:rPr>
            </w:pPr>
          </w:p>
        </w:tc>
      </w:tr>
      <w:tr>
        <w:trPr>
          <w:trHeight w:val="247"/>
        </w:trPr>
        <w:tc>
          <w:tcPr>
            <w:tcW w:w="2220" w:type="dxa"/>
            <w:vAlign w:val="bottom"/>
          </w:tcPr>
          <w:p>
            <w:pPr>
              <w:spacing w:after="0"/>
              <w:rPr>
                <w:sz w:val="21"/>
                <w:szCs w:val="21"/>
                <w:color w:val="auto"/>
              </w:rPr>
            </w:pPr>
          </w:p>
        </w:tc>
        <w:tc>
          <w:tcPr>
            <w:tcW w:w="1320" w:type="dxa"/>
            <w:vAlign w:val="bottom"/>
          </w:tcPr>
          <w:p>
            <w:pPr>
              <w:jc w:val="center"/>
              <w:ind w:left="391"/>
              <w:spacing w:after="0"/>
              <w:rPr>
                <w:sz w:val="20"/>
                <w:szCs w:val="20"/>
                <w:color w:val="auto"/>
              </w:rPr>
            </w:pPr>
            <w:r>
              <w:rPr>
                <w:rFonts w:ascii="Arial" w:cs="Arial" w:eastAsia="Arial" w:hAnsi="Arial"/>
                <w:sz w:val="18"/>
                <w:szCs w:val="18"/>
                <w:color w:val="auto"/>
                <w:w w:val="99"/>
              </w:rPr>
              <w:t>2023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770,000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153,333</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rPr>
              <w:t>1,315,000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5,100,044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7,338,377</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8"/>
                <w:szCs w:val="18"/>
                <w:color w:val="auto"/>
                <w:w w:val="99"/>
              </w:rPr>
              <w:t>2022</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730,000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145,167</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1,460,000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4,400,179</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6,735,346</w:t>
            </w: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132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8"/>
                <w:szCs w:val="18"/>
                <w:color w:val="auto"/>
                <w:w w:val="99"/>
              </w:rPr>
              <w:t>2024</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780,000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154,867</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1,150,000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5,100,170</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7,185,037</w:t>
            </w:r>
          </w:p>
        </w:tc>
        <w:tc>
          <w:tcPr>
            <w:tcW w:w="0" w:type="dxa"/>
            <w:vAlign w:val="bottom"/>
          </w:tcPr>
          <w:p>
            <w:pPr>
              <w:spacing w:after="0"/>
              <w:rPr>
                <w:sz w:val="1"/>
                <w:szCs w:val="1"/>
                <w:color w:val="auto"/>
              </w:rPr>
            </w:pPr>
          </w:p>
        </w:tc>
      </w:tr>
      <w:tr>
        <w:trPr>
          <w:trHeight w:val="247"/>
        </w:trPr>
        <w:tc>
          <w:tcPr>
            <w:tcW w:w="2220" w:type="dxa"/>
            <w:vAlign w:val="bottom"/>
          </w:tcPr>
          <w:p>
            <w:pPr>
              <w:spacing w:after="0"/>
              <w:rPr>
                <w:sz w:val="21"/>
                <w:szCs w:val="21"/>
                <w:color w:val="auto"/>
              </w:rPr>
            </w:pPr>
          </w:p>
        </w:tc>
        <w:tc>
          <w:tcPr>
            <w:tcW w:w="1320" w:type="dxa"/>
            <w:vAlign w:val="bottom"/>
          </w:tcPr>
          <w:p>
            <w:pPr>
              <w:jc w:val="center"/>
              <w:ind w:left="391"/>
              <w:spacing w:after="0"/>
              <w:rPr>
                <w:sz w:val="20"/>
                <w:szCs w:val="20"/>
                <w:color w:val="auto"/>
              </w:rPr>
            </w:pPr>
            <w:r>
              <w:rPr>
                <w:rFonts w:ascii="Arial" w:cs="Arial" w:eastAsia="Arial" w:hAnsi="Arial"/>
                <w:sz w:val="18"/>
                <w:szCs w:val="18"/>
                <w:color w:val="auto"/>
                <w:w w:val="99"/>
              </w:rPr>
              <w:t>2023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740,000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147,333</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rPr>
              <w:t>1,210,000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4,800,144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6,897,477</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table shows the annual rate of base salary for each named executive officer. In the summary compensation table, the “Salary” column shows the actual salary paid in the year. Please see Notes 1 and 2 to the summary compensation table for information about how grant date fair value was calculated.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“Total” for Mr. Ilan for 2024 was higher than 2023 primarily due to higher equity awards in January 2024, while the “Total” for Mr.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Templeton was lower due to lower equity awards in January 2024, commensurate with their respective role changes in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decisions shown above resulted in the following 2024 compensation mix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154940</wp:posOffset>
            </wp:positionV>
            <wp:extent cx="4526280" cy="2211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2628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Average data for the named executive officers other than Mr. Ilan</w:t>
      </w:r>
    </w:p>
    <w:p>
      <w:pPr>
        <w:sectPr>
          <w:pgSz w:w="11900" w:h="16838" w:orient="portrait"/>
          <w:cols w:equalWidth="0" w:num="1">
            <w:col w:w="11220"/>
          </w:cols>
          <w:pgMar w:left="320" w:top="83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20"/>
          <w:szCs w:val="20"/>
          <w:i w:val="1"/>
          <w:iCs w:val="1"/>
          <w:color w:val="auto"/>
        </w:rPr>
        <w:t>Equity dilution</w:t>
      </w:r>
    </w:p>
    <w:p>
      <w:pPr>
        <w:spacing w:after="0" w:line="2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compensation committee’s goal is to keep net annual dilution from equity compensation under 2%. “Net annual dilution” means the number of shares under equity awards granted by the committee each year to all employees (net of award forfeitures) as a percentage of the shares of the company’s outstanding common stock. Equity awards granted in 2024 resulted in 0.6% net annual dilution.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Process for equity grants</w:t>
      </w:r>
    </w:p>
    <w:p>
      <w:pPr>
        <w:spacing w:after="0" w:line="21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compensation committee makes grant decisions for its annual grant of equity compensation at its January meeting each year. The dates on which these meetings occur are generally set three years in advance and as a result, the timing of the corresponding equity grants is generally known three years in advance. The January meetings of the board and the committee generally occur in the week or two before we announce our financial results for the previous quarter and year.</w:t>
      </w:r>
    </w:p>
    <w:p>
      <w:pPr>
        <w:spacing w:after="0" w:line="17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On occasion, the committee may grant stock options or restricted stock units to executives at times other than January. For example, it has done so in connection with job promotions and for purposes of retention.</w:t>
      </w:r>
    </w:p>
    <w:p>
      <w:pPr>
        <w:spacing w:after="0" w:line="15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do not backdate stock options or restricted stock units. We do not accelerate or delay the release of information due to plans for making equity grants.</w:t>
      </w:r>
    </w:p>
    <w:p>
      <w:pPr>
        <w:spacing w:after="0" w:line="15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If the committee meeting falls in the same month as the release of the company’s financial results, in order to avoid any potential impact of such results on the value of an award, the committee’s general practice is to make grants effective on the later to occur of (i) the second trading day after the results have been released or other information has been publicly disclosed or (ii) the meeting day. In other months, its practice is to make them effective on the day of committee action. The exercise price of stock options is the closing price of TI stock on the effective date of the grant.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Recoupment policy</w:t>
      </w:r>
    </w:p>
    <w:p>
      <w:pPr>
        <w:spacing w:after="0" w:line="2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a policy concerning recoupment (“clawback”) of executive compensation in accordance with the regulations mandated under the Dodd-Frank Wall Street Reform and Consumer Protection Act. Under the policy, in the event the company is required to prepare an accounting restatement due to material noncompliance with any financial reporting requirement under securities laws, the committee shall seek to recover incentive-based compensation received by any executive officer during the three fiscal years immediately preceding the date that such a restatement is required in excess of the amount of incentive-based compensation that otherwise would have been received by the executive officer had such compensation been determined based on the restated financial results. In addition, the committee may determine whether and to what extent additional recoupment of any executive compensation is appropriate, including with respect to fraud or willful misconduct.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Most recent stockholder advisory vote on executive compensation</w:t>
      </w:r>
    </w:p>
    <w:p>
      <w:pPr>
        <w:spacing w:after="0" w:line="21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April 2024, our shareholders cast an advisory vote on the company’s executive compensation decisions and policies as disclosed in the proxy statement issued by the company in March 2024. Approximately 85% of the shares voted on the matter were cast in support of the compensation decisions and policies as disclosed. The committee considered this result and determined that it was not necessary at this time to make any material changes to the company’s compensation policies and practices in response to the advisory vote.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Retirement plans</w:t>
      </w:r>
    </w:p>
    <w:p>
      <w:pPr>
        <w:spacing w:after="0" w:line="2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The executive officers participate in our retirement plans under the same rules that apply to other U.S. employees. We maintain these plans to have a competitive benefits program and for retention.</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have a U.S. qualified defined benefit pension plan that was closed to new participants in 1997. Then-current participants were given the choice to continue participating in the plan, or to have their plan benefits frozen (i.e., no benefit increase attributable to years of service or change in eligible earnings) and begin participating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2025 PROXY STATEMENT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5" w:name="page36"/>
    <w:bookmarkEnd w:id="35"/>
    <w:p>
      <w:pPr>
        <w:spacing w:after="0" w:line="287" w:lineRule="auto"/>
        <w:rPr>
          <w:sz w:val="20"/>
          <w:szCs w:val="20"/>
          <w:color w:val="auto"/>
        </w:rPr>
      </w:pPr>
      <w:r>
        <w:rPr>
          <w:rFonts w:ascii="Arial" w:cs="Arial" w:eastAsia="Arial" w:hAnsi="Arial"/>
          <w:sz w:val="18"/>
          <w:szCs w:val="18"/>
          <w:color w:val="auto"/>
        </w:rPr>
        <w:t>enhanced defined contribution plan. Mr. Templeton chose to have his benefits frozen. The other named executive officers joined the company after 1997 and are not eligible to participate in the defined benefit plan.</w:t>
      </w:r>
    </w:p>
    <w:p>
      <w:pPr>
        <w:spacing w:after="0" w:line="15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“2024 pension benefits.”</w:t>
      </w:r>
    </w:p>
    <w:p>
      <w:pPr>
        <w:spacing w:after="0" w:line="17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general, if an employee who participates in the pension plan (including an employee whose benefits are frozen as described above) dies after having met the requirements for normal or early retirement, his or her beneficiary will receive a benefit equal to the lump-sum amount that the participant would have received if he or she had retired before death. Having already reached the age of 55 and at least 20 years of employment, Mr. Templeton is eligible for early retirement under the pension plans.</w:t>
      </w:r>
    </w:p>
    <w:p>
      <w:pPr>
        <w:spacing w:after="0" w:line="17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All employees who are not accruing benefits in the qualified pension plan are eligible to participate in a defined contribution plan that provides employer matching contributions. All named executive officers participate. This plan provides for (i) a fixed employer contribution plus an employer matching contribution for employees hired on or before December 31, 2003, or (ii) an employer matching contribution for employees hired after December 31, 2003.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considers the potential effect on the executives’ retirement benefits when it sets salary and performance bonus levels.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compensation</w:t>
      </w:r>
    </w:p>
    <w:p>
      <w:pPr>
        <w:spacing w:after="0" w:line="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Any U.S. employee whose base salary and management responsibility exceed a certain level may defer the receipt of a portion of his or her salary, bonus and profit sharing. Rules of the U.S. Department of Labor require that this plan be limited to a select group of management or highly compensated employees. The plan allows employees to defer the receipt of their compensation in a tax-efficient manner. Eligible employees include, but are not limited to, the executive officers. We have the plan to be competitive with the benefits packages offered by other companies.</w:t>
      </w:r>
    </w:p>
    <w:p>
      <w:pPr>
        <w:spacing w:after="0" w:line="1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executive officers’ deferred compensation account balances are unsecured, and all amounts remain part of the company’s operating assets. The value of the deferred amounts tracks the performance of investment alternatives selected by the participant. These alternatives are identical to those offered to participants in the defined contribution plans described above. The company does not guarantee any minimum return on the amounts deferred. In accordance with SEC rules, no earnings on deferred compensation are shown in the summary compensation table for 2024 because no “above market” rates were earned on deferred amounts in that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an employee stock purchase plan. Under the plan, which our shareholders approved, all employees in the U.S. and certain other countries may purchase a limited number of shares of the company’s common stock at a 15% discount. The plan is designed to offer the broad-based employee population an opportunity to acquire an equity interest in the company and thereby align their interests with those of shareholders. Consistent with our general approach to benefit programs, executive officers are also eligible to participate.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Health-related benefits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are eligible under the same plans as all other U.S. employees for medical, dental, vision, disability and life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benefits are intended to be competitive with benefits offered in the semiconductor industry.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benefits</w:t>
      </w:r>
    </w:p>
    <w:p>
      <w:pPr>
        <w:spacing w:after="0" w:line="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Executive officers receive only a few benefits that are not available to all other U.S. employees. They are eligible for a company-paid physical and financial counseling. In addition, the board of directors has determined that for security reasons, it is in the company’s interest to allow Mr. Ilan, at his option, to use company aircraft for personal air travel. Please see Note 4 to the summary compensation table for 2024 and “Potential payments upon termination or change in control – Termination – Perquisites” for further details. The company provides no tax gross-ups for perquisites to any of the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i w:val="1"/>
          <w:iCs w:val="1"/>
          <w:color w:val="auto"/>
        </w:rPr>
        <w:t>Compensation following employment termination or change in control</w:t>
      </w:r>
    </w:p>
    <w:p>
      <w:pPr>
        <w:spacing w:after="0" w:line="23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None of the executive officers has an employment contract. Executive officers are eligible for benefits on the same terms as other U.S. employees upon termination of employment or a change in control of the company. The current programs are described under “Potential payments upon termination or change in control.” None of the few additional benefits that the executive officers receive continue after termination of employment, except that financial counseling is provided for a transition period following retirement. The committee reviews the potential impact of these programs before finalizing the annual compensation for the named executive officers. The committee did not raise or lower compensation for 2024 based on this review.</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Texas Instruments 2009 Long-Term Incentive Plan generally establishes double-trigger change in control terms. Under those terms, options become fully exercisable and shares are issued under restricted stock unit awards (to the extent permitted by Section 409A of the IRC) if the grantee is involuntarily terminated within 24 months after a change in control of TI. These terms are intended to encourage employees to remain with the company through a transaction while reducing employee uncertainty and distraction in the period leading up to any such event.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 ownership guidelines and policy against hedging</w:t>
      </w:r>
    </w:p>
    <w:p>
      <w:pPr>
        <w:spacing w:after="0" w:line="2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board of directors has established stock ownership guidelines for executive officers. The guideline for the CEO is six times base salary, and the guideline for other executive officers is three times base salary. Executive officers have five years from their election as executive officers to reach these targets. Directly owned shares and restricted stock units count toward satisfying the guidelines.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Short sales of TI stock by our executive officers are prohibited. It is against TI policy for any employee, including an executive officer, to engage in trading in “puts” (options to sell at a fixed price), “calls” (similar options to buy), or other options or hedging techniques on TI stock</w:t>
      </w:r>
      <w:r>
        <w:rPr>
          <w:rFonts w:ascii="Arial" w:cs="Arial" w:eastAsia="Arial" w:hAnsi="Arial"/>
          <w:sz w:val="18"/>
          <w:szCs w:val="18"/>
          <w:i w:val="1"/>
          <w:iCs w:val="1"/>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Consideration of tax and accounting treatment of compensation</w:t>
      </w:r>
    </w:p>
    <w:p>
      <w:pPr>
        <w:spacing w:after="0" w:line="2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Current tax law limits the tax deductibility of annual compensation paid to any publicly held corporation’s “covered employees,” which includes all of our named executive officers. The compensation committee considers the impact of this deductibility limit as one factor in its determination of compensation.</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When setting equity compensation, the committee considers the cost for financial reporting purposes of equity compensation it intends to grant. Its consideration of the cost of grants made in 2024 is discussed under “Analysis of compensation determinations – Equity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of the board of directors has furnished the following report:</w:t>
      </w:r>
    </w:p>
    <w:p>
      <w:pPr>
        <w:spacing w:after="0" w:line="22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committee has reviewed and discussed the Compensation Discussion and Analysis with the company’s management. Based on that review and discussion, the committee has recommended to the board of directors that the Compensation Discussion and Analysis be included in the company’s annual report on Form 10-K for 2024 and the company’s proxy statement for the 2025 annual meeting of stockholders.</w:t>
      </w:r>
    </w:p>
    <w:p>
      <w:pPr>
        <w:spacing w:after="0" w:line="122" w:lineRule="exact"/>
        <w:rPr>
          <w:sz w:val="20"/>
          <w:szCs w:val="20"/>
          <w:color w:val="auto"/>
        </w:rPr>
      </w:pPr>
    </w:p>
    <w:p>
      <w:pPr>
        <w:ind w:left="840"/>
        <w:spacing w:after="0"/>
        <w:tabs>
          <w:tab w:leader="none" w:pos="4400" w:val="left"/>
          <w:tab w:leader="none" w:pos="6880" w:val="left"/>
          <w:tab w:leader="none" w:pos="9300" w:val="left"/>
        </w:tabs>
        <w:rPr>
          <w:sz w:val="20"/>
          <w:szCs w:val="20"/>
          <w:color w:val="auto"/>
        </w:rPr>
      </w:pPr>
      <w:r>
        <w:rPr>
          <w:rFonts w:ascii="Arial" w:cs="Arial" w:eastAsia="Arial" w:hAnsi="Arial"/>
          <w:sz w:val="18"/>
          <w:szCs w:val="18"/>
          <w:color w:val="auto"/>
        </w:rPr>
        <w:t>Martin Craighead, Chair</w:t>
      </w:r>
      <w:r>
        <w:rPr>
          <w:sz w:val="20"/>
          <w:szCs w:val="20"/>
          <w:color w:val="auto"/>
        </w:rPr>
        <w:tab/>
      </w:r>
      <w:r>
        <w:rPr>
          <w:rFonts w:ascii="Arial" w:cs="Arial" w:eastAsia="Arial" w:hAnsi="Arial"/>
          <w:sz w:val="18"/>
          <w:szCs w:val="18"/>
          <w:color w:val="auto"/>
        </w:rPr>
        <w:t>Mark Blinn</w:t>
      </w:r>
      <w:r>
        <w:rPr>
          <w:sz w:val="20"/>
          <w:szCs w:val="20"/>
          <w:color w:val="auto"/>
        </w:rPr>
        <w:tab/>
      </w:r>
      <w:r>
        <w:rPr>
          <w:rFonts w:ascii="Arial" w:cs="Arial" w:eastAsia="Arial" w:hAnsi="Arial"/>
          <w:sz w:val="18"/>
          <w:szCs w:val="18"/>
          <w:color w:val="auto"/>
        </w:rPr>
        <w:t>Carrie Cox</w:t>
      </w:r>
      <w:r>
        <w:rPr>
          <w:sz w:val="20"/>
          <w:szCs w:val="20"/>
          <w:color w:val="auto"/>
        </w:rPr>
        <w:tab/>
      </w:r>
      <w:r>
        <w:rPr>
          <w:rFonts w:ascii="Arial" w:cs="Arial" w:eastAsia="Arial" w:hAnsi="Arial"/>
          <w:sz w:val="17"/>
          <w:szCs w:val="17"/>
          <w:color w:val="auto"/>
        </w:rPr>
        <w:t>Ronald Kirk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2025 PROXY STATEMENT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2" w:right="399" w:bottom="1440" w:gutter="0" w:footer="0" w:header="0"/>
        </w:sectPr>
      </w:pPr>
    </w:p>
    <w:bookmarkStart w:id="37" w:name="page38"/>
    <w:bookmarkEnd w:id="37"/>
    <w:p>
      <w:pPr>
        <w:spacing w:after="0"/>
        <w:rPr>
          <w:sz w:val="20"/>
          <w:szCs w:val="20"/>
          <w:color w:val="auto"/>
        </w:rPr>
      </w:pPr>
      <w:r>
        <w:rPr>
          <w:rFonts w:ascii="Arial" w:cs="Arial" w:eastAsia="Arial" w:hAnsi="Arial"/>
          <w:sz w:val="20"/>
          <w:szCs w:val="20"/>
          <w:b w:val="1"/>
          <w:bCs w:val="1"/>
          <w:color w:val="auto"/>
        </w:rPr>
        <w:t>2024 compensation tables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2024 summary compensation table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compensation of the named executive officers for services in all capacities to the company in 2024.</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Pension Value and</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b w:val="1"/>
                <w:bCs w:val="1"/>
                <w:color w:val="auto"/>
              </w:rPr>
              <w:t>Non-qualified</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b w:val="1"/>
                <w:bCs w:val="1"/>
                <w:color w:val="auto"/>
              </w:rPr>
              <w:t>Non-Equity</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Name and</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820" w:type="dxa"/>
            <w:vAlign w:val="bottom"/>
          </w:tcPr>
          <w:p>
            <w:pPr>
              <w:ind w:left="140"/>
              <w:spacing w:after="0"/>
              <w:rPr>
                <w:sz w:val="20"/>
                <w:szCs w:val="20"/>
                <w:color w:val="auto"/>
              </w:rPr>
            </w:pPr>
            <w:r>
              <w:rPr>
                <w:rFonts w:ascii="Arial" w:cs="Arial" w:eastAsia="Arial" w:hAnsi="Arial"/>
                <w:sz w:val="14"/>
                <w:szCs w:val="14"/>
                <w:b w:val="1"/>
                <w:bCs w:val="1"/>
                <w:color w:val="auto"/>
              </w:rPr>
              <w:t>Option</w:t>
            </w: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Incentive Plan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5"/>
                <w:szCs w:val="15"/>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1"/>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Position</w:t>
            </w:r>
          </w:p>
        </w:tc>
        <w:tc>
          <w:tcPr>
            <w:tcW w:w="5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Year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Salary</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Bonus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Awards (1)</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Awards (2)</w:t>
            </w: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Compensation (3)</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Earnings (4)</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Compensation (5)</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204"/>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Haviv Ilan</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2024</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1,241,667</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2,380,000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7,500,081</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7,500,003</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247,588</w:t>
            </w:r>
          </w:p>
        </w:tc>
        <w:tc>
          <w:tcPr>
            <w:tcW w:w="1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192,180</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19,061,519</w:t>
            </w:r>
          </w:p>
        </w:tc>
      </w:tr>
      <w:tr>
        <w:trPr>
          <w:trHeight w:val="208"/>
        </w:trPr>
        <w:tc>
          <w:tcPr>
            <w:tcW w:w="1760" w:type="dxa"/>
            <w:vAlign w:val="bottom"/>
          </w:tcPr>
          <w:p>
            <w:pPr>
              <w:ind w:left="20"/>
              <w:spacing w:after="0"/>
              <w:rPr>
                <w:sz w:val="20"/>
                <w:szCs w:val="20"/>
                <w:color w:val="auto"/>
              </w:rPr>
            </w:pPr>
            <w:r>
              <w:rPr>
                <w:rFonts w:ascii="Arial" w:cs="Arial" w:eastAsia="Arial" w:hAnsi="Arial"/>
                <w:sz w:val="14"/>
                <w:szCs w:val="14"/>
                <w:color w:val="auto"/>
              </w:rPr>
              <w:t>Director, President &amp;</w:t>
            </w:r>
          </w:p>
        </w:tc>
        <w:tc>
          <w:tcPr>
            <w:tcW w:w="580" w:type="dxa"/>
            <w:vAlign w:val="bottom"/>
          </w:tcPr>
          <w:p>
            <w:pPr>
              <w:ind w:left="220"/>
              <w:spacing w:after="0"/>
              <w:rPr>
                <w:sz w:val="20"/>
                <w:szCs w:val="20"/>
                <w:color w:val="auto"/>
              </w:rPr>
            </w:pPr>
            <w:r>
              <w:rPr>
                <w:rFonts w:ascii="Arial" w:cs="Arial" w:eastAsia="Arial" w:hAnsi="Arial"/>
                <w:sz w:val="14"/>
                <w:szCs w:val="14"/>
                <w:color w:val="auto"/>
              </w:rPr>
              <w:t>2023</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1,099,583</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ind w:left="100"/>
              <w:spacing w:after="0"/>
              <w:rPr>
                <w:sz w:val="20"/>
                <w:szCs w:val="20"/>
                <w:color w:val="auto"/>
              </w:rPr>
            </w:pPr>
            <w:r>
              <w:rPr>
                <w:rFonts w:ascii="Arial" w:cs="Arial" w:eastAsia="Arial" w:hAnsi="Arial"/>
                <w:sz w:val="14"/>
                <w:szCs w:val="14"/>
                <w:color w:val="auto"/>
              </w:rPr>
              <w:t>2,500,000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6,000,008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140"/>
              <w:spacing w:after="0"/>
              <w:rPr>
                <w:sz w:val="20"/>
                <w:szCs w:val="20"/>
                <w:color w:val="auto"/>
              </w:rPr>
            </w:pPr>
            <w:r>
              <w:rPr>
                <w:rFonts w:ascii="Arial" w:cs="Arial" w:eastAsia="Arial" w:hAnsi="Arial"/>
                <w:sz w:val="14"/>
                <w:szCs w:val="14"/>
                <w:color w:val="auto"/>
              </w:rPr>
              <w:t>6,000,001</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219,917</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379,528</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16,199,037</w:t>
            </w:r>
          </w:p>
        </w:tc>
      </w:tr>
      <w:tr>
        <w:trPr>
          <w:trHeight w:val="22"/>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Chief Executive Officer</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2022</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912,083</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2,070,000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4,500,134</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4,500,028</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182,417</w:t>
            </w:r>
          </w:p>
        </w:tc>
        <w:tc>
          <w:tcPr>
            <w:tcW w:w="1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127,334</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12,291,996</w:t>
            </w:r>
          </w:p>
        </w:tc>
      </w:tr>
      <w:tr>
        <w:trPr>
          <w:trHeight w:val="257"/>
        </w:trPr>
        <w:tc>
          <w:tcPr>
            <w:tcW w:w="1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09"/>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Rafael Lizardi</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2024</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842,083</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1,035,000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2,400,133</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2,400,021</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167,911</w:t>
            </w:r>
          </w:p>
        </w:tc>
        <w:tc>
          <w:tcPr>
            <w:tcW w:w="1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138,311</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6,983,459</w:t>
            </w:r>
          </w:p>
        </w:tc>
      </w:tr>
      <w:tr>
        <w:trPr>
          <w:trHeight w:val="208"/>
        </w:trPr>
        <w:tc>
          <w:tcPr>
            <w:tcW w:w="1760" w:type="dxa"/>
            <w:vAlign w:val="bottom"/>
          </w:tcPr>
          <w:p>
            <w:pPr>
              <w:ind w:left="20"/>
              <w:spacing w:after="0"/>
              <w:rPr>
                <w:sz w:val="20"/>
                <w:szCs w:val="20"/>
                <w:color w:val="auto"/>
              </w:rPr>
            </w:pPr>
            <w:r>
              <w:rPr>
                <w:rFonts w:ascii="Arial" w:cs="Arial" w:eastAsia="Arial" w:hAnsi="Arial"/>
                <w:sz w:val="14"/>
                <w:szCs w:val="14"/>
                <w:color w:val="auto"/>
              </w:rPr>
              <w:t>Senior Vice President &amp;</w:t>
            </w:r>
          </w:p>
        </w:tc>
        <w:tc>
          <w:tcPr>
            <w:tcW w:w="580" w:type="dxa"/>
            <w:vAlign w:val="bottom"/>
          </w:tcPr>
          <w:p>
            <w:pPr>
              <w:ind w:left="220"/>
              <w:spacing w:after="0"/>
              <w:rPr>
                <w:sz w:val="20"/>
                <w:szCs w:val="20"/>
                <w:color w:val="auto"/>
              </w:rPr>
            </w:pPr>
            <w:r>
              <w:rPr>
                <w:rFonts w:ascii="Arial" w:cs="Arial" w:eastAsia="Arial" w:hAnsi="Arial"/>
                <w:sz w:val="14"/>
                <w:szCs w:val="14"/>
                <w:color w:val="auto"/>
              </w:rPr>
              <w:t>2023</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806,667</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ind w:left="100"/>
              <w:spacing w:after="0"/>
              <w:rPr>
                <w:sz w:val="20"/>
                <w:szCs w:val="20"/>
                <w:color w:val="auto"/>
              </w:rPr>
            </w:pPr>
            <w:r>
              <w:rPr>
                <w:rFonts w:ascii="Arial" w:cs="Arial" w:eastAsia="Arial" w:hAnsi="Arial"/>
                <w:sz w:val="14"/>
                <w:szCs w:val="14"/>
                <w:color w:val="auto"/>
              </w:rPr>
              <w:t>1,090,000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2,400,143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140"/>
              <w:spacing w:after="0"/>
              <w:rPr>
                <w:sz w:val="20"/>
                <w:szCs w:val="20"/>
                <w:color w:val="auto"/>
              </w:rPr>
            </w:pPr>
            <w:r>
              <w:rPr>
                <w:rFonts w:ascii="Arial" w:cs="Arial" w:eastAsia="Arial" w:hAnsi="Arial"/>
                <w:sz w:val="14"/>
                <w:szCs w:val="14"/>
                <w:color w:val="auto"/>
              </w:rPr>
              <w:t>2,400,001</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161,333</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136,074</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6,994,218</w:t>
            </w:r>
          </w:p>
        </w:tc>
      </w:tr>
      <w:tr>
        <w:trPr>
          <w:trHeight w:val="22"/>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Chief Financial Officer</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2022</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767,500</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1,210,000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1,900,010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1,900,015</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153,500</w:t>
            </w:r>
          </w:p>
        </w:tc>
        <w:tc>
          <w:tcPr>
            <w:tcW w:w="1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124,280</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6,055,305</w:t>
            </w:r>
          </w:p>
        </w:tc>
      </w:tr>
      <w:tr>
        <w:trPr>
          <w:trHeight w:val="257"/>
        </w:trPr>
        <w:tc>
          <w:tcPr>
            <w:tcW w:w="1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09"/>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Richard Templeton</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2024</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600,000</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1,000,000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3,750,041</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3,750,020</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119,640</w:t>
            </w:r>
          </w:p>
        </w:tc>
        <w:tc>
          <w:tcPr>
            <w:tcW w:w="1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268,156</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9,487,857</w:t>
            </w:r>
          </w:p>
        </w:tc>
      </w:tr>
      <w:tr>
        <w:trPr>
          <w:trHeight w:val="208"/>
        </w:trPr>
        <w:tc>
          <w:tcPr>
            <w:tcW w:w="1760" w:type="dxa"/>
            <w:vAlign w:val="bottom"/>
          </w:tcPr>
          <w:p>
            <w:pPr>
              <w:ind w:left="20"/>
              <w:spacing w:after="0"/>
              <w:rPr>
                <w:sz w:val="20"/>
                <w:szCs w:val="20"/>
                <w:color w:val="auto"/>
              </w:rPr>
            </w:pPr>
            <w:r>
              <w:rPr>
                <w:rFonts w:ascii="Arial" w:cs="Arial" w:eastAsia="Arial" w:hAnsi="Arial"/>
                <w:sz w:val="14"/>
                <w:szCs w:val="14"/>
                <w:color w:val="auto"/>
              </w:rPr>
              <w:t>Chairman of the board</w:t>
            </w:r>
          </w:p>
        </w:tc>
        <w:tc>
          <w:tcPr>
            <w:tcW w:w="580" w:type="dxa"/>
            <w:vAlign w:val="bottom"/>
          </w:tcPr>
          <w:p>
            <w:pPr>
              <w:ind w:left="220"/>
              <w:spacing w:after="0"/>
              <w:rPr>
                <w:sz w:val="20"/>
                <w:szCs w:val="20"/>
                <w:color w:val="auto"/>
              </w:rPr>
            </w:pPr>
            <w:r>
              <w:rPr>
                <w:rFonts w:ascii="Arial" w:cs="Arial" w:eastAsia="Arial" w:hAnsi="Arial"/>
                <w:sz w:val="14"/>
                <w:szCs w:val="14"/>
                <w:color w:val="auto"/>
              </w:rPr>
              <w:t>2023</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808,750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ind w:left="100"/>
              <w:spacing w:after="0"/>
              <w:rPr>
                <w:sz w:val="20"/>
                <w:szCs w:val="20"/>
                <w:color w:val="auto"/>
              </w:rPr>
            </w:pPr>
            <w:r>
              <w:rPr>
                <w:rFonts w:ascii="Arial" w:cs="Arial" w:eastAsia="Arial" w:hAnsi="Arial"/>
                <w:sz w:val="14"/>
                <w:szCs w:val="14"/>
                <w:color w:val="auto"/>
              </w:rPr>
              <w:t>2,000,000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8,750,092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140"/>
              <w:spacing w:after="0"/>
              <w:rPr>
                <w:sz w:val="20"/>
                <w:szCs w:val="20"/>
                <w:color w:val="auto"/>
              </w:rPr>
            </w:pPr>
            <w:r>
              <w:rPr>
                <w:rFonts w:ascii="Arial" w:cs="Arial" w:eastAsia="Arial" w:hAnsi="Arial"/>
                <w:sz w:val="14"/>
                <w:szCs w:val="14"/>
                <w:color w:val="auto"/>
              </w:rPr>
              <w:t>8,750,017</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161,750</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421,709</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20,892,318</w:t>
            </w:r>
          </w:p>
        </w:tc>
      </w:tr>
      <w:tr>
        <w:trPr>
          <w:trHeight w:val="22"/>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17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2022</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1,430,417</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4,550,000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7,500,048</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7,500,034</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286,083</w:t>
            </w:r>
          </w:p>
        </w:tc>
        <w:tc>
          <w:tcPr>
            <w:tcW w:w="1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363,004</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21,629,586</w:t>
            </w:r>
          </w:p>
        </w:tc>
      </w:tr>
      <w:tr>
        <w:trPr>
          <w:trHeight w:val="257"/>
        </w:trPr>
        <w:tc>
          <w:tcPr>
            <w:tcW w:w="1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09"/>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Hagop Kozanian</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2024</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797,500</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1,250,000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2,550,141</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2,550,029</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159,021</w:t>
            </w:r>
          </w:p>
        </w:tc>
        <w:tc>
          <w:tcPr>
            <w:tcW w:w="1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36,825</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7,343,516</w:t>
            </w:r>
          </w:p>
        </w:tc>
      </w:tr>
      <w:tr>
        <w:trPr>
          <w:trHeight w:val="208"/>
        </w:trPr>
        <w:tc>
          <w:tcPr>
            <w:tcW w:w="1760" w:type="dxa"/>
            <w:vAlign w:val="bottom"/>
          </w:tcPr>
          <w:p>
            <w:pPr>
              <w:ind w:left="20"/>
              <w:spacing w:after="0"/>
              <w:rPr>
                <w:sz w:val="20"/>
                <w:szCs w:val="20"/>
                <w:color w:val="auto"/>
              </w:rPr>
            </w:pPr>
            <w:r>
              <w:rPr>
                <w:rFonts w:ascii="Arial" w:cs="Arial" w:eastAsia="Arial" w:hAnsi="Arial"/>
                <w:sz w:val="14"/>
                <w:szCs w:val="14"/>
                <w:color w:val="auto"/>
              </w:rPr>
              <w:t>Senior Vice President</w:t>
            </w:r>
          </w:p>
        </w:tc>
        <w:tc>
          <w:tcPr>
            <w:tcW w:w="580" w:type="dxa"/>
            <w:vAlign w:val="bottom"/>
          </w:tcPr>
          <w:p>
            <w:pPr>
              <w:ind w:left="220"/>
              <w:spacing w:after="0"/>
              <w:rPr>
                <w:sz w:val="20"/>
                <w:szCs w:val="20"/>
                <w:color w:val="auto"/>
              </w:rPr>
            </w:pPr>
            <w:r>
              <w:rPr>
                <w:rFonts w:ascii="Arial" w:cs="Arial" w:eastAsia="Arial" w:hAnsi="Arial"/>
                <w:sz w:val="14"/>
                <w:szCs w:val="14"/>
                <w:color w:val="auto"/>
              </w:rPr>
              <w:t>2023</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766,667</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ind w:left="100"/>
              <w:spacing w:after="0"/>
              <w:rPr>
                <w:sz w:val="20"/>
                <w:szCs w:val="20"/>
                <w:color w:val="auto"/>
              </w:rPr>
            </w:pPr>
            <w:r>
              <w:rPr>
                <w:rFonts w:ascii="Arial" w:cs="Arial" w:eastAsia="Arial" w:hAnsi="Arial"/>
                <w:sz w:val="14"/>
                <w:szCs w:val="14"/>
                <w:color w:val="auto"/>
              </w:rPr>
              <w:t>1,315,000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2,550,043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140"/>
              <w:spacing w:after="0"/>
              <w:rPr>
                <w:sz w:val="20"/>
                <w:szCs w:val="20"/>
                <w:color w:val="auto"/>
              </w:rPr>
            </w:pPr>
            <w:r>
              <w:rPr>
                <w:rFonts w:ascii="Arial" w:cs="Arial" w:eastAsia="Arial" w:hAnsi="Arial"/>
                <w:sz w:val="14"/>
                <w:szCs w:val="14"/>
                <w:color w:val="auto"/>
              </w:rPr>
              <w:t>2,550,001</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153,333</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89,216</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7,424,260</w:t>
            </w:r>
          </w:p>
        </w:tc>
      </w:tr>
      <w:tr>
        <w:trPr>
          <w:trHeight w:val="22"/>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17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2022</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725,833</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1,460,000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2,200,159</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2,200,020</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145,167</w:t>
            </w:r>
          </w:p>
        </w:tc>
        <w:tc>
          <w:tcPr>
            <w:tcW w:w="1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86,047</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6,817,226</w:t>
            </w:r>
          </w:p>
        </w:tc>
      </w:tr>
      <w:tr>
        <w:trPr>
          <w:trHeight w:val="257"/>
        </w:trPr>
        <w:tc>
          <w:tcPr>
            <w:tcW w:w="1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09"/>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Amichai Ron</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2024</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776,667</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1,150,000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2,550,141</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2,550,029</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154,867</w:t>
            </w:r>
          </w:p>
        </w:tc>
        <w:tc>
          <w:tcPr>
            <w:tcW w:w="1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79,893</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7,261,597</w:t>
            </w:r>
          </w:p>
        </w:tc>
      </w:tr>
      <w:tr>
        <w:trPr>
          <w:trHeight w:val="208"/>
        </w:trPr>
        <w:tc>
          <w:tcPr>
            <w:tcW w:w="1760" w:type="dxa"/>
            <w:vAlign w:val="bottom"/>
          </w:tcPr>
          <w:p>
            <w:pPr>
              <w:ind w:left="20"/>
              <w:spacing w:after="0"/>
              <w:rPr>
                <w:sz w:val="20"/>
                <w:szCs w:val="20"/>
                <w:color w:val="auto"/>
              </w:rPr>
            </w:pPr>
            <w:r>
              <w:rPr>
                <w:rFonts w:ascii="Arial" w:cs="Arial" w:eastAsia="Arial" w:hAnsi="Arial"/>
                <w:sz w:val="14"/>
                <w:szCs w:val="14"/>
                <w:color w:val="auto"/>
              </w:rPr>
              <w:t>Senior Vice President</w:t>
            </w:r>
          </w:p>
        </w:tc>
        <w:tc>
          <w:tcPr>
            <w:tcW w:w="580" w:type="dxa"/>
            <w:vAlign w:val="bottom"/>
          </w:tcPr>
          <w:p>
            <w:pPr>
              <w:ind w:left="220"/>
              <w:spacing w:after="0"/>
              <w:rPr>
                <w:sz w:val="20"/>
                <w:szCs w:val="20"/>
                <w:color w:val="auto"/>
              </w:rPr>
            </w:pPr>
            <w:r>
              <w:rPr>
                <w:rFonts w:ascii="Arial" w:cs="Arial" w:eastAsia="Arial" w:hAnsi="Arial"/>
                <w:sz w:val="14"/>
                <w:szCs w:val="14"/>
                <w:color w:val="auto"/>
              </w:rPr>
              <w:t>2023</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736,667</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ind w:left="100"/>
              <w:spacing w:after="0"/>
              <w:rPr>
                <w:sz w:val="20"/>
                <w:szCs w:val="20"/>
                <w:color w:val="auto"/>
              </w:rPr>
            </w:pPr>
            <w:r>
              <w:rPr>
                <w:rFonts w:ascii="Arial" w:cs="Arial" w:eastAsia="Arial" w:hAnsi="Arial"/>
                <w:sz w:val="14"/>
                <w:szCs w:val="14"/>
                <w:color w:val="auto"/>
              </w:rPr>
              <w:t>1,210,000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2,400,143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140"/>
              <w:spacing w:after="0"/>
              <w:rPr>
                <w:sz w:val="20"/>
                <w:szCs w:val="20"/>
                <w:color w:val="auto"/>
              </w:rPr>
            </w:pPr>
            <w:r>
              <w:rPr>
                <w:rFonts w:ascii="Arial" w:cs="Arial" w:eastAsia="Arial" w:hAnsi="Arial"/>
                <w:sz w:val="14"/>
                <w:szCs w:val="14"/>
                <w:color w:val="auto"/>
              </w:rPr>
              <w:t>2,400,001</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147,333</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82,075</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6,976,219</w:t>
            </w:r>
          </w:p>
        </w:tc>
      </w:tr>
    </w:tbl>
    <w:p>
      <w:pPr>
        <w:spacing w:after="0" w:line="313" w:lineRule="exact"/>
        <w:rPr>
          <w:sz w:val="20"/>
          <w:szCs w:val="20"/>
          <w:color w:val="auto"/>
        </w:rPr>
      </w:pPr>
    </w:p>
    <w:p>
      <w:pPr>
        <w:ind w:left="500" w:hanging="492"/>
        <w:spacing w:after="0" w:line="275" w:lineRule="auto"/>
        <w:tabs>
          <w:tab w:leader="none" w:pos="49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Shown is the aggregate grant date fair value of restricted stock unit (RSU) awards calculated in accordance with ASC 718. The discussion of the assumptions used for purposes of the valuation of the awards granted in 2024 appears in Note 3 to the 2024 financial statements. For a description of the grant terms, see the discussion following the outstanding equity awards at fiscal year-end 2024 table. The discussion of the assumptions used for purposes of the valuation of the awards granted in 2023 and 2022 appears in Note 3 to the financial statements in TI’s annual report on Form 10-K for the year ended December 31, 2023 (2023 financial statements), and the financial statements in TI’s annual report on Form 10-K for the year ended December 31, 2022 (2022 financial statements).</w:t>
      </w:r>
    </w:p>
    <w:p>
      <w:pPr>
        <w:spacing w:after="0" w:line="60" w:lineRule="exact"/>
        <w:rPr>
          <w:rFonts w:ascii="Arial" w:cs="Arial" w:eastAsia="Arial" w:hAnsi="Arial"/>
          <w:sz w:val="17"/>
          <w:szCs w:val="17"/>
          <w:color w:val="auto"/>
        </w:rPr>
      </w:pPr>
    </w:p>
    <w:p>
      <w:pPr>
        <w:ind w:left="500" w:right="180" w:hanging="492"/>
        <w:spacing w:after="0" w:line="259" w:lineRule="auto"/>
        <w:tabs>
          <w:tab w:leader="none" w:pos="49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calculated in accordance with ASC 718. The discussion of the assumptions used for purposes of the valuation of options granted in 2024 appears in Note 3 to the 2024 financial statements. For a description of the grant terms, see the discussion following the outstanding equity awards at fiscal year-end 2024 table. The discussion of the assumptions used for purposes of the valuation of the awards granted in 2023 and 2022 appears in Note 3 to the 2023 and 2022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38" w:name="page39"/>
    <w:bookmarkEnd w:id="38"/>
    <w:p>
      <w:pPr>
        <w:ind w:left="472" w:hanging="472"/>
        <w:spacing w:after="0"/>
        <w:tabs>
          <w:tab w:leader="none" w:pos="4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the profit sharing amount paid to each of the named executive officers for 2024.</w:t>
      </w:r>
    </w:p>
    <w:p>
      <w:pPr>
        <w:spacing w:after="0" w:line="117" w:lineRule="exact"/>
        <w:rPr>
          <w:rFonts w:ascii="Arial" w:cs="Arial" w:eastAsia="Arial" w:hAnsi="Arial"/>
          <w:sz w:val="18"/>
          <w:szCs w:val="18"/>
          <w:color w:val="auto"/>
        </w:rPr>
      </w:pPr>
    </w:p>
    <w:p>
      <w:pPr>
        <w:ind w:left="492" w:right="60" w:hanging="492"/>
        <w:spacing w:after="0" w:line="255" w:lineRule="auto"/>
        <w:tabs>
          <w:tab w:leader="none" w:pos="48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2023, through December 31, 2024. This “change in the actuarial value” is the difference between the 2023 and 2024 present value of the pension benefit accumulated as of year-end by the named executive officer, assuming that benefit is not paid until age 65. Mr. Templeton’s benefits under the company’s pension plans were frozen as of December 31, 1997. Messrs. Lizardi, Ilan, Kozanian and Ron do not participate in any of the company’s defined benefit pension plans.</w:t>
      </w:r>
    </w:p>
    <w:p>
      <w:pPr>
        <w:spacing w:after="0" w:line="76" w:lineRule="exact"/>
        <w:rPr>
          <w:rFonts w:ascii="Arial" w:cs="Arial" w:eastAsia="Arial" w:hAnsi="Arial"/>
          <w:sz w:val="18"/>
          <w:szCs w:val="18"/>
          <w:color w:val="auto"/>
        </w:rPr>
      </w:pPr>
    </w:p>
    <w:p>
      <w:pPr>
        <w:ind w:left="492" w:right="20" w:hanging="492"/>
        <w:spacing w:after="0" w:line="287" w:lineRule="auto"/>
        <w:tabs>
          <w:tab w:leader="none" w:pos="48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(i) the amounts in the table below, which result from programs available to all eligible U.S. employees, and (ii) perquisites and personal benefits that meet the disclosure thresholds established by the SEC and are detailed in the paragraph below.</w:t>
      </w:r>
    </w:p>
    <w:p>
      <w:pPr>
        <w:spacing w:after="0" w:line="1" w:lineRule="exact"/>
        <w:rPr>
          <w:sz w:val="20"/>
          <w:szCs w:val="20"/>
          <w:color w:val="auto"/>
        </w:rPr>
      </w:pPr>
    </w:p>
    <w:tbl>
      <w:tblPr>
        <w:tblLayout w:type="fixed"/>
        <w:tblInd w:w="492" w:type="dxa"/>
        <w:tblCellMar>
          <w:top w:w="0" w:type="dxa"/>
          <w:left w:w="0" w:type="dxa"/>
          <w:bottom w:w="0" w:type="dxa"/>
          <w:right w:w="0" w:type="dxa"/>
        </w:tblCellMar>
      </w:tblPr>
      <w:tr>
        <w:trPr>
          <w:trHeight w:val="176"/>
        </w:trPr>
        <w:tc>
          <w:tcPr>
            <w:tcW w:w="38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40" w:type="dxa"/>
            <w:vAlign w:val="bottom"/>
          </w:tcPr>
          <w:p>
            <w:pPr>
              <w:jc w:val="right"/>
              <w:ind w:right="695"/>
              <w:spacing w:after="0"/>
              <w:rPr>
                <w:sz w:val="20"/>
                <w:szCs w:val="20"/>
                <w:color w:val="auto"/>
              </w:rPr>
            </w:pPr>
            <w:r>
              <w:rPr>
                <w:rFonts w:ascii="Arial" w:cs="Arial" w:eastAsia="Arial" w:hAnsi="Arial"/>
                <w:sz w:val="14"/>
                <w:szCs w:val="14"/>
                <w:b w:val="1"/>
                <w:bCs w:val="1"/>
                <w:color w:val="auto"/>
              </w:rPr>
              <w:t>401(k)</w:t>
            </w:r>
          </w:p>
        </w:tc>
        <w:tc>
          <w:tcPr>
            <w:tcW w:w="252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Defined Contribution</w:t>
            </w:r>
          </w:p>
        </w:tc>
      </w:t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Contribution</w:t>
            </w:r>
          </w:p>
        </w:tc>
        <w:tc>
          <w:tcPr>
            <w:tcW w:w="252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4"/>
                <w:szCs w:val="14"/>
                <w:b w:val="1"/>
                <w:bCs w:val="1"/>
                <w:color w:val="auto"/>
              </w:rPr>
              <w:t>Retirement Plan (a)</w:t>
            </w:r>
          </w:p>
        </w:tc>
      </w:tr>
      <w:tr>
        <w:trPr>
          <w:trHeight w:val="250"/>
        </w:trPr>
        <w:tc>
          <w:tcPr>
            <w:tcW w:w="3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2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BDBDB"/>
            </w:tcBorders>
            <w:shd w:val="clear" w:color="auto" w:fill="DBDBDB"/>
          </w:tcPr>
          <w:p>
            <w:pPr>
              <w:jc w:val="right"/>
              <w:ind w:right="415"/>
              <w:spacing w:after="0"/>
              <w:rPr>
                <w:sz w:val="20"/>
                <w:szCs w:val="20"/>
                <w:color w:val="auto"/>
              </w:rPr>
            </w:pPr>
            <w:r>
              <w:rPr>
                <w:rFonts w:ascii="Arial" w:cs="Arial" w:eastAsia="Arial" w:hAnsi="Arial"/>
                <w:sz w:val="18"/>
                <w:szCs w:val="18"/>
                <w:color w:val="auto"/>
              </w:rPr>
              <w:t>13,800</w:t>
            </w:r>
          </w:p>
        </w:tc>
        <w:tc>
          <w:tcPr>
            <w:tcW w:w="940" w:type="dxa"/>
            <w:vAlign w:val="bottom"/>
            <w:tcBorders>
              <w:bottom w:val="single" w:sz="8" w:color="DBDBDB"/>
            </w:tcBorders>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DBDBDB"/>
            </w:tcBorders>
            <w:shd w:val="clear" w:color="auto" w:fill="DBDBDB"/>
          </w:tcPr>
          <w:p>
            <w:pPr>
              <w:jc w:val="right"/>
              <w:ind w:right="690"/>
              <w:spacing w:after="0"/>
              <w:rPr>
                <w:sz w:val="20"/>
                <w:szCs w:val="20"/>
                <w:color w:val="auto"/>
              </w:rPr>
            </w:pPr>
            <w:r>
              <w:rPr>
                <w:rFonts w:ascii="Arial" w:cs="Arial" w:eastAsia="Arial" w:hAnsi="Arial"/>
                <w:sz w:val="18"/>
                <w:szCs w:val="18"/>
                <w:color w:val="auto"/>
              </w:rPr>
              <w:t>113,964</w:t>
            </w:r>
          </w:p>
        </w:tc>
      </w:tr>
      <w:tr>
        <w:trPr>
          <w:trHeight w:val="247"/>
        </w:trPr>
        <w:tc>
          <w:tcPr>
            <w:tcW w:w="3800" w:type="dxa"/>
            <w:vAlign w:val="bottom"/>
          </w:tcPr>
          <w:p>
            <w:pPr>
              <w:ind w:left="20"/>
              <w:spacing w:after="0"/>
              <w:rPr>
                <w:sz w:val="20"/>
                <w:szCs w:val="20"/>
                <w:color w:val="auto"/>
              </w:rPr>
            </w:pPr>
            <w:r>
              <w:rPr>
                <w:rFonts w:ascii="Arial" w:cs="Arial" w:eastAsia="Arial" w:hAnsi="Arial"/>
                <w:sz w:val="18"/>
                <w:szCs w:val="18"/>
                <w:color w:val="auto"/>
              </w:rPr>
              <w:t>Rafael Lizardi</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15"/>
              <w:spacing w:after="0"/>
              <w:rPr>
                <w:sz w:val="20"/>
                <w:szCs w:val="20"/>
                <w:color w:val="auto"/>
              </w:rPr>
            </w:pPr>
            <w:r>
              <w:rPr>
                <w:rFonts w:ascii="Arial" w:cs="Arial" w:eastAsia="Arial" w:hAnsi="Arial"/>
                <w:sz w:val="18"/>
                <w:szCs w:val="18"/>
                <w:color w:val="auto"/>
              </w:rPr>
              <w:t>13,800</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690"/>
              <w:spacing w:after="0"/>
              <w:rPr>
                <w:sz w:val="20"/>
                <w:szCs w:val="20"/>
                <w:color w:val="auto"/>
              </w:rPr>
            </w:pPr>
            <w:r>
              <w:rPr>
                <w:rFonts w:ascii="Arial" w:cs="Arial" w:eastAsia="Arial" w:hAnsi="Arial"/>
                <w:sz w:val="18"/>
                <w:szCs w:val="18"/>
                <w:color w:val="auto"/>
              </w:rPr>
              <w:t>106,222</w:t>
            </w:r>
          </w:p>
        </w:tc>
      </w:tr>
      <w:tr>
        <w:trPr>
          <w:trHeight w:val="23"/>
        </w:trPr>
        <w:tc>
          <w:tcPr>
            <w:tcW w:w="38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2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BDBDB"/>
            </w:tcBorders>
            <w:shd w:val="clear" w:color="auto" w:fill="DBDBDB"/>
          </w:tcPr>
          <w:p>
            <w:pPr>
              <w:jc w:val="right"/>
              <w:ind w:right="415"/>
              <w:spacing w:after="0"/>
              <w:rPr>
                <w:sz w:val="20"/>
                <w:szCs w:val="20"/>
                <w:color w:val="auto"/>
              </w:rPr>
            </w:pPr>
            <w:r>
              <w:rPr>
                <w:rFonts w:ascii="Arial" w:cs="Arial" w:eastAsia="Arial" w:hAnsi="Arial"/>
                <w:sz w:val="18"/>
                <w:szCs w:val="18"/>
                <w:color w:val="auto"/>
              </w:rPr>
              <w:t>13,800</w:t>
            </w:r>
          </w:p>
        </w:tc>
        <w:tc>
          <w:tcPr>
            <w:tcW w:w="940" w:type="dxa"/>
            <w:vAlign w:val="bottom"/>
            <w:tcBorders>
              <w:bottom w:val="single" w:sz="8" w:color="DBDBDB"/>
            </w:tcBorders>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DBDBDB"/>
            </w:tcBorders>
            <w:shd w:val="clear" w:color="auto" w:fill="DBDBDB"/>
          </w:tcPr>
          <w:p>
            <w:pPr>
              <w:jc w:val="right"/>
              <w:ind w:right="690"/>
              <w:spacing w:after="0"/>
              <w:rPr>
                <w:sz w:val="20"/>
                <w:szCs w:val="20"/>
                <w:color w:val="auto"/>
              </w:rPr>
            </w:pPr>
            <w:r>
              <w:rPr>
                <w:rFonts w:ascii="Arial" w:cs="Arial" w:eastAsia="Arial" w:hAnsi="Arial"/>
                <w:sz w:val="18"/>
                <w:szCs w:val="18"/>
                <w:color w:val="auto"/>
              </w:rPr>
              <w:t>236,020</w:t>
            </w:r>
          </w:p>
        </w:tc>
      </w:tr>
      <w:tr>
        <w:trPr>
          <w:trHeight w:val="247"/>
        </w:trPr>
        <w:tc>
          <w:tcPr>
            <w:tcW w:w="3800" w:type="dxa"/>
            <w:vAlign w:val="bottom"/>
          </w:tcPr>
          <w:p>
            <w:pPr>
              <w:ind w:left="20"/>
              <w:spacing w:after="0"/>
              <w:rPr>
                <w:sz w:val="20"/>
                <w:szCs w:val="20"/>
                <w:color w:val="auto"/>
              </w:rPr>
            </w:pPr>
            <w:r>
              <w:rPr>
                <w:rFonts w:ascii="Arial" w:cs="Arial" w:eastAsia="Arial" w:hAnsi="Arial"/>
                <w:sz w:val="18"/>
                <w:szCs w:val="18"/>
                <w:color w:val="auto"/>
              </w:rPr>
              <w:t>Hagop Kozanian</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15"/>
              <w:spacing w:after="0"/>
              <w:rPr>
                <w:sz w:val="20"/>
                <w:szCs w:val="20"/>
                <w:color w:val="auto"/>
              </w:rPr>
            </w:pPr>
            <w:r>
              <w:rPr>
                <w:rFonts w:ascii="Arial" w:cs="Arial" w:eastAsia="Arial" w:hAnsi="Arial"/>
                <w:sz w:val="18"/>
                <w:szCs w:val="18"/>
                <w:color w:val="auto"/>
              </w:rPr>
              <w:t>13,800</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690"/>
              <w:spacing w:after="0"/>
              <w:rPr>
                <w:sz w:val="20"/>
                <w:szCs w:val="20"/>
                <w:color w:val="auto"/>
              </w:rPr>
            </w:pPr>
            <w:r>
              <w:rPr>
                <w:rFonts w:ascii="Arial" w:cs="Arial" w:eastAsia="Arial" w:hAnsi="Arial"/>
                <w:sz w:val="18"/>
                <w:szCs w:val="18"/>
                <w:color w:val="auto"/>
              </w:rPr>
              <w:t>9,300</w:t>
            </w:r>
          </w:p>
        </w:tc>
      </w:tr>
      <w:tr>
        <w:trPr>
          <w:trHeight w:val="23"/>
        </w:trPr>
        <w:tc>
          <w:tcPr>
            <w:tcW w:w="38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7"/>
        </w:trPr>
        <w:tc>
          <w:tcPr>
            <w:tcW w:w="38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2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DBDBDB"/>
          </w:tcPr>
          <w:p>
            <w:pPr>
              <w:jc w:val="right"/>
              <w:ind w:right="415"/>
              <w:spacing w:after="0"/>
              <w:rPr>
                <w:sz w:val="20"/>
                <w:szCs w:val="20"/>
                <w:color w:val="auto"/>
              </w:rPr>
            </w:pPr>
            <w:r>
              <w:rPr>
                <w:rFonts w:ascii="Arial" w:cs="Arial" w:eastAsia="Arial" w:hAnsi="Arial"/>
                <w:sz w:val="18"/>
                <w:szCs w:val="18"/>
                <w:color w:val="auto"/>
              </w:rPr>
              <w:t>13,800</w:t>
            </w:r>
          </w:p>
        </w:tc>
        <w:tc>
          <w:tcPr>
            <w:tcW w:w="94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1580" w:type="dxa"/>
            <w:vAlign w:val="bottom"/>
            <w:shd w:val="clear" w:color="auto" w:fill="DBDBDB"/>
          </w:tcPr>
          <w:p>
            <w:pPr>
              <w:jc w:val="right"/>
              <w:ind w:right="690"/>
              <w:spacing w:after="0"/>
              <w:rPr>
                <w:sz w:val="20"/>
                <w:szCs w:val="20"/>
                <w:color w:val="auto"/>
              </w:rPr>
            </w:pPr>
            <w:r>
              <w:rPr>
                <w:rFonts w:ascii="Arial" w:cs="Arial" w:eastAsia="Arial" w:hAnsi="Arial"/>
                <w:sz w:val="18"/>
                <w:szCs w:val="18"/>
                <w:color w:val="auto"/>
              </w:rPr>
              <w:t>55,673</w:t>
            </w:r>
          </w:p>
        </w:tc>
      </w:tr>
      <w:tr>
        <w:trPr>
          <w:trHeight w:val="23"/>
        </w:trPr>
        <w:tc>
          <w:tcPr>
            <w:tcW w:w="3800" w:type="dxa"/>
            <w:vAlign w:val="bottom"/>
            <w:shd w:val="clear" w:color="auto" w:fill="DBDBDB"/>
          </w:tcPr>
          <w:p>
            <w:pPr>
              <w:spacing w:after="0"/>
              <w:rPr>
                <w:sz w:val="2"/>
                <w:szCs w:val="2"/>
                <w:color w:val="auto"/>
              </w:rPr>
            </w:pPr>
          </w:p>
        </w:tc>
        <w:tc>
          <w:tcPr>
            <w:tcW w:w="2380" w:type="dxa"/>
            <w:vAlign w:val="bottom"/>
            <w:shd w:val="clear" w:color="auto" w:fill="DBDBDB"/>
          </w:tcPr>
          <w:p>
            <w:pPr>
              <w:spacing w:after="0"/>
              <w:rPr>
                <w:sz w:val="2"/>
                <w:szCs w:val="2"/>
                <w:color w:val="auto"/>
              </w:rPr>
            </w:pPr>
          </w:p>
        </w:tc>
        <w:tc>
          <w:tcPr>
            <w:tcW w:w="144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1580" w:type="dxa"/>
            <w:vAlign w:val="bottom"/>
            <w:shd w:val="clear" w:color="auto" w:fill="DBDBDB"/>
          </w:tcPr>
          <w:p>
            <w:pPr>
              <w:spacing w:after="0"/>
              <w:rPr>
                <w:sz w:val="2"/>
                <w:szCs w:val="2"/>
                <w:color w:val="auto"/>
              </w:rPr>
            </w:pPr>
          </w:p>
        </w:tc>
      </w:tr>
    </w:tbl>
    <w:p>
      <w:pPr>
        <w:spacing w:after="0" w:line="238" w:lineRule="exact"/>
        <w:rPr>
          <w:sz w:val="20"/>
          <w:szCs w:val="20"/>
          <w:color w:val="auto"/>
        </w:rPr>
      </w:pPr>
    </w:p>
    <w:p>
      <w:pPr>
        <w:ind w:left="972" w:hanging="486"/>
        <w:spacing w:after="0" w:line="259" w:lineRule="auto"/>
        <w:tabs>
          <w:tab w:leader="none" w:pos="9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Consists of (i) contributions under the company’s enhanced defined contribution retirement plan of $6,900 for Messrs. Templeton and Lizardi and (ii) an additional amount of $229,120 for Mr. Templeton, $99,322 for Mr. Lizardi, $113,964 for Mr. Ilan, $9,300 for Mr. Kozanian and $55,673 for Mr. Ron, applied by TI to offset IRC limitations on amounts that could be contributed to the enhanced defined contribution retirement plan, which amount is also shown in the 2024 non-qualified deferred compensation table.</w:t>
      </w:r>
    </w:p>
    <w:p>
      <w:pPr>
        <w:spacing w:after="0" w:line="179" w:lineRule="exact"/>
        <w:rPr>
          <w:sz w:val="20"/>
          <w:szCs w:val="20"/>
          <w:color w:val="auto"/>
        </w:rPr>
      </w:pPr>
    </w:p>
    <w:p>
      <w:pPr>
        <w:ind w:left="492" w:right="40"/>
        <w:spacing w:after="0" w:line="256" w:lineRule="auto"/>
        <w:rPr>
          <w:sz w:val="20"/>
          <w:szCs w:val="20"/>
          <w:color w:val="auto"/>
        </w:rPr>
      </w:pPr>
      <w:r>
        <w:rPr>
          <w:rFonts w:ascii="Arial" w:cs="Arial" w:eastAsia="Arial" w:hAnsi="Arial"/>
          <w:sz w:val="18"/>
          <w:szCs w:val="18"/>
          <w:color w:val="auto"/>
        </w:rPr>
        <w:t>The perquisites and personal benefits for 2024 are $64,416 for Mr. Ilan, consisting of financial counseling, an executive physical and personal use of company aircraft ($45,855), $18,289 for Mr. Lizardi, consisting of financial counseling and an executive physical, $18,336 for Mr. Templeton, consisting of financial counseling and an executive physical, $13,725 for Mr. Kozanian, consisting of financial counseling and $10,420 for Mr. Ron, consisting of financial counseling and an executive physical. The aggregate incremental cost to the company for personal use of the company aircraft is calculated using a method that takes into account the cost of fuel, trip-related maintenance and crew travel expenses, as well as other variable costs. Because the aircraft is used primarily for business travel, the calculation does not include fixed costs.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1"/>
        <w:spacing w:after="0"/>
        <w:rPr>
          <w:sz w:val="20"/>
          <w:szCs w:val="20"/>
          <w:color w:val="auto"/>
        </w:rPr>
      </w:pPr>
      <w:r>
        <w:rPr>
          <w:rFonts w:ascii="Arial" w:cs="Arial" w:eastAsia="Arial" w:hAnsi="Arial"/>
          <w:sz w:val="14"/>
          <w:szCs w:val="14"/>
          <w:color w:val="242424"/>
        </w:rPr>
        <w:t>2025 PROXY STATEMENT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877" w:right="399" w:bottom="1440" w:gutter="0" w:footer="0" w:header="0"/>
        </w:sectPr>
      </w:pPr>
    </w:p>
    <w:bookmarkStart w:id="39" w:name="page40"/>
    <w:bookmarkEnd w:id="39"/>
    <w:p>
      <w:pPr>
        <w:spacing w:after="0"/>
        <w:rPr>
          <w:sz w:val="20"/>
          <w:szCs w:val="20"/>
          <w:color w:val="auto"/>
        </w:rPr>
      </w:pPr>
      <w:r>
        <w:rPr>
          <w:rFonts w:ascii="Arial" w:cs="Arial" w:eastAsia="Arial" w:hAnsi="Arial"/>
          <w:sz w:val="20"/>
          <w:szCs w:val="20"/>
          <w:u w:val="single" w:color="auto"/>
          <w:color w:val="auto"/>
        </w:rPr>
        <w:t>Grants of plan-based awards in 2024</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grants of plan-based awards to the named executive officers in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340" w:type="dxa"/>
            <w:vAlign w:val="bottom"/>
          </w:tcPr>
          <w:p>
            <w:pPr>
              <w:spacing w:after="0"/>
              <w:rPr>
                <w:sz w:val="14"/>
                <w:szCs w:val="14"/>
                <w:color w:val="auto"/>
              </w:rPr>
            </w:pPr>
          </w:p>
        </w:tc>
        <w:tc>
          <w:tcPr>
            <w:tcW w:w="980" w:type="dxa"/>
            <w:vAlign w:val="bottom"/>
          </w:tcPr>
          <w:p>
            <w:pPr>
              <w:jc w:val="center"/>
              <w:ind w:right="200"/>
              <w:spacing w:after="0"/>
              <w:rPr>
                <w:sz w:val="20"/>
                <w:szCs w:val="20"/>
                <w:color w:val="auto"/>
              </w:rPr>
            </w:pPr>
            <w:r>
              <w:rPr>
                <w:rFonts w:ascii="Arial" w:cs="Arial" w:eastAsia="Arial" w:hAnsi="Arial"/>
                <w:sz w:val="14"/>
                <w:szCs w:val="14"/>
                <w:b w:val="1"/>
                <w:bCs w:val="1"/>
                <w:color w:val="auto"/>
              </w:rPr>
              <w:t>Exercise</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2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Stock Awards: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Option Awards:</w:t>
            </w:r>
          </w:p>
        </w:tc>
        <w:tc>
          <w:tcPr>
            <w:tcW w:w="340" w:type="dxa"/>
            <w:vAlign w:val="bottom"/>
          </w:tcPr>
          <w:p>
            <w:pPr>
              <w:spacing w:after="0"/>
              <w:rPr>
                <w:sz w:val="15"/>
                <w:szCs w:val="15"/>
                <w:color w:val="auto"/>
              </w:rPr>
            </w:pPr>
          </w:p>
        </w:tc>
        <w:tc>
          <w:tcPr>
            <w:tcW w:w="980" w:type="dxa"/>
            <w:vAlign w:val="bottom"/>
          </w:tcPr>
          <w:p>
            <w:pPr>
              <w:jc w:val="center"/>
              <w:ind w:right="200"/>
              <w:spacing w:after="0"/>
              <w:rPr>
                <w:sz w:val="20"/>
                <w:szCs w:val="20"/>
                <w:color w:val="auto"/>
              </w:rPr>
            </w:pPr>
            <w:r>
              <w:rPr>
                <w:rFonts w:ascii="Arial" w:cs="Arial" w:eastAsia="Arial" w:hAnsi="Arial"/>
                <w:sz w:val="14"/>
                <w:szCs w:val="14"/>
                <w:b w:val="1"/>
                <w:bCs w:val="1"/>
                <w:color w:val="auto"/>
              </w:rPr>
              <w:t>or Base</w:t>
            </w:r>
          </w:p>
        </w:tc>
        <w:tc>
          <w:tcPr>
            <w:tcW w:w="360" w:type="dxa"/>
            <w:vAlign w:val="bottom"/>
          </w:tcPr>
          <w:p>
            <w:pPr>
              <w:spacing w:after="0"/>
              <w:rPr>
                <w:sz w:val="15"/>
                <w:szCs w:val="15"/>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rPr>
              <w:t>Grant Date</w:t>
            </w:r>
          </w:p>
        </w:tc>
      </w:tr>
      <w:tr>
        <w:trPr>
          <w:trHeight w:val="176"/>
        </w:trPr>
        <w:tc>
          <w:tcPr>
            <w:tcW w:w="2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5"/>
                <w:szCs w:val="15"/>
                <w:color w:val="auto"/>
              </w:rPr>
            </w:pPr>
          </w:p>
        </w:tc>
        <w:tc>
          <w:tcPr>
            <w:tcW w:w="980" w:type="dxa"/>
            <w:vAlign w:val="bottom"/>
          </w:tcPr>
          <w:p>
            <w:pPr>
              <w:jc w:val="center"/>
              <w:ind w:right="200"/>
              <w:spacing w:after="0"/>
              <w:rPr>
                <w:sz w:val="20"/>
                <w:szCs w:val="20"/>
                <w:color w:val="auto"/>
              </w:rPr>
            </w:pPr>
            <w:r>
              <w:rPr>
                <w:rFonts w:ascii="Arial" w:cs="Arial" w:eastAsia="Arial" w:hAnsi="Arial"/>
                <w:sz w:val="14"/>
                <w:szCs w:val="14"/>
                <w:b w:val="1"/>
                <w:bCs w:val="1"/>
                <w:color w:val="auto"/>
              </w:rPr>
              <w:t>Price of</w:t>
            </w:r>
          </w:p>
        </w:tc>
        <w:tc>
          <w:tcPr>
            <w:tcW w:w="360" w:type="dxa"/>
            <w:vAlign w:val="bottom"/>
          </w:tcPr>
          <w:p>
            <w:pPr>
              <w:spacing w:after="0"/>
              <w:rPr>
                <w:sz w:val="15"/>
                <w:szCs w:val="15"/>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2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340" w:type="dxa"/>
            <w:vAlign w:val="bottom"/>
          </w:tcPr>
          <w:p>
            <w:pPr>
              <w:spacing w:after="0"/>
              <w:rPr>
                <w:sz w:val="15"/>
                <w:szCs w:val="15"/>
                <w:color w:val="auto"/>
              </w:rPr>
            </w:pPr>
          </w:p>
        </w:tc>
        <w:tc>
          <w:tcPr>
            <w:tcW w:w="980" w:type="dxa"/>
            <w:vAlign w:val="bottom"/>
          </w:tcPr>
          <w:p>
            <w:pPr>
              <w:jc w:val="center"/>
              <w:ind w:right="200"/>
              <w:spacing w:after="0"/>
              <w:rPr>
                <w:sz w:val="20"/>
                <w:szCs w:val="20"/>
                <w:color w:val="auto"/>
              </w:rPr>
            </w:pPr>
            <w:r>
              <w:rPr>
                <w:rFonts w:ascii="Arial" w:cs="Arial" w:eastAsia="Arial" w:hAnsi="Arial"/>
                <w:sz w:val="14"/>
                <w:szCs w:val="14"/>
                <w:b w:val="1"/>
                <w:bCs w:val="1"/>
                <w:color w:val="auto"/>
              </w:rPr>
              <w:t>Option</w:t>
            </w:r>
          </w:p>
        </w:tc>
        <w:tc>
          <w:tcPr>
            <w:tcW w:w="360" w:type="dxa"/>
            <w:vAlign w:val="bottom"/>
          </w:tcPr>
          <w:p>
            <w:pPr>
              <w:spacing w:after="0"/>
              <w:rPr>
                <w:sz w:val="15"/>
                <w:szCs w:val="15"/>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rPr>
              <w:t>of Stock</w:t>
            </w:r>
          </w:p>
        </w:tc>
      </w:tr>
      <w:tr>
        <w:trPr>
          <w:trHeight w:val="162"/>
        </w:trPr>
        <w:tc>
          <w:tcPr>
            <w:tcW w:w="2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Date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Stock or</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340" w:type="dxa"/>
            <w:vAlign w:val="bottom"/>
          </w:tcPr>
          <w:p>
            <w:pPr>
              <w:spacing w:after="0"/>
              <w:rPr>
                <w:sz w:val="14"/>
                <w:szCs w:val="14"/>
                <w:color w:val="auto"/>
              </w:rPr>
            </w:pPr>
          </w:p>
        </w:tc>
        <w:tc>
          <w:tcPr>
            <w:tcW w:w="980" w:type="dxa"/>
            <w:vAlign w:val="bottom"/>
          </w:tcPr>
          <w:p>
            <w:pPr>
              <w:jc w:val="center"/>
              <w:ind w:right="220"/>
              <w:spacing w:after="0"/>
              <w:rPr>
                <w:sz w:val="20"/>
                <w:szCs w:val="20"/>
                <w:color w:val="auto"/>
              </w:rPr>
            </w:pPr>
            <w:r>
              <w:rPr>
                <w:rFonts w:ascii="Arial" w:cs="Arial" w:eastAsia="Arial" w:hAnsi="Arial"/>
                <w:sz w:val="14"/>
                <w:szCs w:val="14"/>
                <w:b w:val="1"/>
                <w:bCs w:val="1"/>
                <w:color w:val="auto"/>
              </w:rPr>
              <w:t>Awards</w:t>
            </w:r>
          </w:p>
        </w:tc>
        <w:tc>
          <w:tcPr>
            <w:tcW w:w="36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rPr>
              <w:t>and Option</w:t>
            </w:r>
          </w:p>
        </w:tc>
      </w:tr>
      <w:tr>
        <w:trPr>
          <w:trHeight w:val="219"/>
        </w:trPr>
        <w:tc>
          <w:tcPr>
            <w:tcW w:w="21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Name</w:t>
            </w:r>
          </w:p>
        </w:tc>
        <w:tc>
          <w:tcPr>
            <w:tcW w:w="1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Grant Date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Committee Action</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Units (2)</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 (3)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($/Sh) (4)</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Awards (5)</w:t>
            </w:r>
          </w:p>
        </w:tc>
      </w:tr>
      <w:tr>
        <w:trPr>
          <w:trHeight w:val="250"/>
        </w:trPr>
        <w:tc>
          <w:tcPr>
            <w:tcW w:w="2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190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1/25/2024 (1)</w:t>
            </w:r>
          </w:p>
        </w:tc>
        <w:tc>
          <w:tcPr>
            <w:tcW w:w="15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1/18/2024</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80"/>
              <w:spacing w:after="0"/>
              <w:rPr>
                <w:sz w:val="20"/>
                <w:szCs w:val="20"/>
                <w:color w:val="auto"/>
              </w:rPr>
            </w:pPr>
            <w:r>
              <w:rPr>
                <w:rFonts w:ascii="Arial" w:cs="Arial" w:eastAsia="Arial" w:hAnsi="Arial"/>
                <w:sz w:val="18"/>
                <w:szCs w:val="18"/>
                <w:color w:val="auto"/>
              </w:rPr>
              <w:t>199,989</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8"/>
                <w:szCs w:val="18"/>
                <w:color w:val="auto"/>
              </w:rPr>
              <w:t>167.42</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7,500,003</w:t>
            </w:r>
          </w:p>
        </w:tc>
      </w:tr>
      <w:tr>
        <w:trPr>
          <w:trHeight w:val="247"/>
        </w:trPr>
        <w:tc>
          <w:tcPr>
            <w:tcW w:w="2100" w:type="dxa"/>
            <w:vAlign w:val="bottom"/>
          </w:tcPr>
          <w:p>
            <w:pPr>
              <w:spacing w:after="0"/>
              <w:rPr>
                <w:sz w:val="21"/>
                <w:szCs w:val="21"/>
                <w:color w:val="auto"/>
              </w:rPr>
            </w:pPr>
          </w:p>
        </w:tc>
        <w:tc>
          <w:tcPr>
            <w:tcW w:w="1900" w:type="dxa"/>
            <w:vAlign w:val="bottom"/>
          </w:tcPr>
          <w:p>
            <w:pPr>
              <w:jc w:val="right"/>
              <w:ind w:right="112"/>
              <w:spacing w:after="0"/>
              <w:rPr>
                <w:sz w:val="20"/>
                <w:szCs w:val="20"/>
                <w:color w:val="auto"/>
              </w:rPr>
            </w:pPr>
            <w:r>
              <w:rPr>
                <w:rFonts w:ascii="Arial" w:cs="Arial" w:eastAsia="Arial" w:hAnsi="Arial"/>
                <w:sz w:val="18"/>
                <w:szCs w:val="18"/>
                <w:color w:val="auto"/>
              </w:rPr>
              <w:t>1/25/2024 (1)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1/18/2024</w:t>
            </w:r>
          </w:p>
        </w:tc>
        <w:tc>
          <w:tcPr>
            <w:tcW w:w="1360" w:type="dxa"/>
            <w:vAlign w:val="bottom"/>
          </w:tcPr>
          <w:p>
            <w:pPr>
              <w:jc w:val="right"/>
              <w:ind w:right="240"/>
              <w:spacing w:after="0"/>
              <w:rPr>
                <w:sz w:val="20"/>
                <w:szCs w:val="20"/>
                <w:color w:val="auto"/>
              </w:rPr>
            </w:pPr>
            <w:r>
              <w:rPr>
                <w:rFonts w:ascii="Arial" w:cs="Arial" w:eastAsia="Arial" w:hAnsi="Arial"/>
                <w:sz w:val="18"/>
                <w:szCs w:val="18"/>
                <w:color w:val="auto"/>
              </w:rPr>
              <w:t>44,798</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7,500,081</w:t>
            </w:r>
          </w:p>
        </w:tc>
      </w:tr>
      <w:tr>
        <w:trPr>
          <w:trHeight w:val="23"/>
        </w:trPr>
        <w:tc>
          <w:tcPr>
            <w:tcW w:w="2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Lizardi</w:t>
            </w:r>
          </w:p>
        </w:tc>
        <w:tc>
          <w:tcPr>
            <w:tcW w:w="190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1/25/2024 (1)</w:t>
            </w:r>
          </w:p>
        </w:tc>
        <w:tc>
          <w:tcPr>
            <w:tcW w:w="15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1/18/2024</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80"/>
              <w:spacing w:after="0"/>
              <w:rPr>
                <w:sz w:val="20"/>
                <w:szCs w:val="20"/>
                <w:color w:val="auto"/>
              </w:rPr>
            </w:pPr>
            <w:r>
              <w:rPr>
                <w:rFonts w:ascii="Arial" w:cs="Arial" w:eastAsia="Arial" w:hAnsi="Arial"/>
                <w:sz w:val="18"/>
                <w:szCs w:val="18"/>
                <w:color w:val="auto"/>
              </w:rPr>
              <w:t>63,997</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8"/>
                <w:szCs w:val="18"/>
                <w:color w:val="auto"/>
              </w:rPr>
              <w:t>167.42</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2,400,021</w:t>
            </w:r>
          </w:p>
        </w:tc>
      </w:tr>
      <w:tr>
        <w:trPr>
          <w:trHeight w:val="247"/>
        </w:trPr>
        <w:tc>
          <w:tcPr>
            <w:tcW w:w="2100" w:type="dxa"/>
            <w:vAlign w:val="bottom"/>
          </w:tcPr>
          <w:p>
            <w:pPr>
              <w:spacing w:after="0"/>
              <w:rPr>
                <w:sz w:val="21"/>
                <w:szCs w:val="21"/>
                <w:color w:val="auto"/>
              </w:rPr>
            </w:pPr>
          </w:p>
        </w:tc>
        <w:tc>
          <w:tcPr>
            <w:tcW w:w="1900" w:type="dxa"/>
            <w:vAlign w:val="bottom"/>
          </w:tcPr>
          <w:p>
            <w:pPr>
              <w:jc w:val="right"/>
              <w:ind w:right="112"/>
              <w:spacing w:after="0"/>
              <w:rPr>
                <w:sz w:val="20"/>
                <w:szCs w:val="20"/>
                <w:color w:val="auto"/>
              </w:rPr>
            </w:pPr>
            <w:r>
              <w:rPr>
                <w:rFonts w:ascii="Arial" w:cs="Arial" w:eastAsia="Arial" w:hAnsi="Arial"/>
                <w:sz w:val="18"/>
                <w:szCs w:val="18"/>
                <w:color w:val="auto"/>
              </w:rPr>
              <w:t>1/25/2024 (1)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1/18/2024</w:t>
            </w:r>
          </w:p>
        </w:tc>
        <w:tc>
          <w:tcPr>
            <w:tcW w:w="1360" w:type="dxa"/>
            <w:vAlign w:val="bottom"/>
          </w:tcPr>
          <w:p>
            <w:pPr>
              <w:jc w:val="right"/>
              <w:ind w:right="240"/>
              <w:spacing w:after="0"/>
              <w:rPr>
                <w:sz w:val="20"/>
                <w:szCs w:val="20"/>
                <w:color w:val="auto"/>
              </w:rPr>
            </w:pPr>
            <w:r>
              <w:rPr>
                <w:rFonts w:ascii="Arial" w:cs="Arial" w:eastAsia="Arial" w:hAnsi="Arial"/>
                <w:sz w:val="18"/>
                <w:szCs w:val="18"/>
                <w:color w:val="auto"/>
              </w:rPr>
              <w:t>14,336</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2,400,133</w:t>
            </w:r>
          </w:p>
        </w:tc>
      </w:tr>
      <w:tr>
        <w:trPr>
          <w:trHeight w:val="23"/>
        </w:trPr>
        <w:tc>
          <w:tcPr>
            <w:tcW w:w="2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190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1/25/2024 (1)</w:t>
            </w:r>
          </w:p>
        </w:tc>
        <w:tc>
          <w:tcPr>
            <w:tcW w:w="15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1/18/2024</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80"/>
              <w:spacing w:after="0"/>
              <w:rPr>
                <w:sz w:val="20"/>
                <w:szCs w:val="20"/>
                <w:color w:val="auto"/>
              </w:rPr>
            </w:pPr>
            <w:r>
              <w:rPr>
                <w:rFonts w:ascii="Arial" w:cs="Arial" w:eastAsia="Arial" w:hAnsi="Arial"/>
                <w:sz w:val="18"/>
                <w:szCs w:val="18"/>
                <w:color w:val="auto"/>
              </w:rPr>
              <w:t>99,995</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8"/>
                <w:szCs w:val="18"/>
                <w:color w:val="auto"/>
              </w:rPr>
              <w:t>167.42</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3,750,020</w:t>
            </w:r>
          </w:p>
        </w:tc>
      </w:tr>
      <w:tr>
        <w:trPr>
          <w:trHeight w:val="247"/>
        </w:trPr>
        <w:tc>
          <w:tcPr>
            <w:tcW w:w="2100" w:type="dxa"/>
            <w:vAlign w:val="bottom"/>
          </w:tcPr>
          <w:p>
            <w:pPr>
              <w:spacing w:after="0"/>
              <w:rPr>
                <w:sz w:val="21"/>
                <w:szCs w:val="21"/>
                <w:color w:val="auto"/>
              </w:rPr>
            </w:pPr>
          </w:p>
        </w:tc>
        <w:tc>
          <w:tcPr>
            <w:tcW w:w="1900" w:type="dxa"/>
            <w:vAlign w:val="bottom"/>
          </w:tcPr>
          <w:p>
            <w:pPr>
              <w:jc w:val="right"/>
              <w:ind w:right="112"/>
              <w:spacing w:after="0"/>
              <w:rPr>
                <w:sz w:val="20"/>
                <w:szCs w:val="20"/>
                <w:color w:val="auto"/>
              </w:rPr>
            </w:pPr>
            <w:r>
              <w:rPr>
                <w:rFonts w:ascii="Arial" w:cs="Arial" w:eastAsia="Arial" w:hAnsi="Arial"/>
                <w:sz w:val="18"/>
                <w:szCs w:val="18"/>
                <w:color w:val="auto"/>
              </w:rPr>
              <w:t>1/25/2024 (1)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1/18/2024</w:t>
            </w:r>
          </w:p>
        </w:tc>
        <w:tc>
          <w:tcPr>
            <w:tcW w:w="1360" w:type="dxa"/>
            <w:vAlign w:val="bottom"/>
          </w:tcPr>
          <w:p>
            <w:pPr>
              <w:jc w:val="right"/>
              <w:ind w:right="240"/>
              <w:spacing w:after="0"/>
              <w:rPr>
                <w:sz w:val="20"/>
                <w:szCs w:val="20"/>
                <w:color w:val="auto"/>
              </w:rPr>
            </w:pPr>
            <w:r>
              <w:rPr>
                <w:rFonts w:ascii="Arial" w:cs="Arial" w:eastAsia="Arial" w:hAnsi="Arial"/>
                <w:sz w:val="18"/>
                <w:szCs w:val="18"/>
                <w:color w:val="auto"/>
              </w:rPr>
              <w:t>22,399</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3,750,041</w:t>
            </w:r>
          </w:p>
        </w:tc>
      </w:tr>
      <w:tr>
        <w:trPr>
          <w:trHeight w:val="23"/>
        </w:trPr>
        <w:tc>
          <w:tcPr>
            <w:tcW w:w="2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Hagop Kozanian</w:t>
            </w:r>
          </w:p>
        </w:tc>
        <w:tc>
          <w:tcPr>
            <w:tcW w:w="190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1/25/2024 (1)</w:t>
            </w:r>
          </w:p>
        </w:tc>
        <w:tc>
          <w:tcPr>
            <w:tcW w:w="15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1/18/2024</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80"/>
              <w:spacing w:after="0"/>
              <w:rPr>
                <w:sz w:val="20"/>
                <w:szCs w:val="20"/>
                <w:color w:val="auto"/>
              </w:rPr>
            </w:pPr>
            <w:r>
              <w:rPr>
                <w:rFonts w:ascii="Arial" w:cs="Arial" w:eastAsia="Arial" w:hAnsi="Arial"/>
                <w:sz w:val="18"/>
                <w:szCs w:val="18"/>
                <w:color w:val="auto"/>
              </w:rPr>
              <w:t>67,997</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8"/>
                <w:szCs w:val="18"/>
                <w:color w:val="auto"/>
              </w:rPr>
              <w:t>167.42</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2,550,029</w:t>
            </w:r>
          </w:p>
        </w:tc>
      </w:tr>
      <w:tr>
        <w:trPr>
          <w:trHeight w:val="247"/>
        </w:trPr>
        <w:tc>
          <w:tcPr>
            <w:tcW w:w="2100" w:type="dxa"/>
            <w:vAlign w:val="bottom"/>
          </w:tcPr>
          <w:p>
            <w:pPr>
              <w:spacing w:after="0"/>
              <w:rPr>
                <w:sz w:val="21"/>
                <w:szCs w:val="21"/>
                <w:color w:val="auto"/>
              </w:rPr>
            </w:pPr>
          </w:p>
        </w:tc>
        <w:tc>
          <w:tcPr>
            <w:tcW w:w="1900" w:type="dxa"/>
            <w:vAlign w:val="bottom"/>
          </w:tcPr>
          <w:p>
            <w:pPr>
              <w:jc w:val="right"/>
              <w:ind w:right="112"/>
              <w:spacing w:after="0"/>
              <w:rPr>
                <w:sz w:val="20"/>
                <w:szCs w:val="20"/>
                <w:color w:val="auto"/>
              </w:rPr>
            </w:pPr>
            <w:r>
              <w:rPr>
                <w:rFonts w:ascii="Arial" w:cs="Arial" w:eastAsia="Arial" w:hAnsi="Arial"/>
                <w:sz w:val="18"/>
                <w:szCs w:val="18"/>
                <w:color w:val="auto"/>
              </w:rPr>
              <w:t>1/25/2024 (1)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1/18/2024</w:t>
            </w:r>
          </w:p>
        </w:tc>
        <w:tc>
          <w:tcPr>
            <w:tcW w:w="1360" w:type="dxa"/>
            <w:vAlign w:val="bottom"/>
          </w:tcPr>
          <w:p>
            <w:pPr>
              <w:jc w:val="right"/>
              <w:ind w:right="240"/>
              <w:spacing w:after="0"/>
              <w:rPr>
                <w:sz w:val="20"/>
                <w:szCs w:val="20"/>
                <w:color w:val="auto"/>
              </w:rPr>
            </w:pPr>
            <w:r>
              <w:rPr>
                <w:rFonts w:ascii="Arial" w:cs="Arial" w:eastAsia="Arial" w:hAnsi="Arial"/>
                <w:sz w:val="18"/>
                <w:szCs w:val="18"/>
                <w:color w:val="auto"/>
              </w:rPr>
              <w:t>15,232</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2,550,141</w:t>
            </w:r>
          </w:p>
        </w:tc>
      </w:tr>
      <w:tr>
        <w:trPr>
          <w:trHeight w:val="23"/>
        </w:trPr>
        <w:tc>
          <w:tcPr>
            <w:tcW w:w="2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190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1/25/2024 (1)</w:t>
            </w:r>
          </w:p>
        </w:tc>
        <w:tc>
          <w:tcPr>
            <w:tcW w:w="15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1/18/2024</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80"/>
              <w:spacing w:after="0"/>
              <w:rPr>
                <w:sz w:val="20"/>
                <w:szCs w:val="20"/>
                <w:color w:val="auto"/>
              </w:rPr>
            </w:pPr>
            <w:r>
              <w:rPr>
                <w:rFonts w:ascii="Arial" w:cs="Arial" w:eastAsia="Arial" w:hAnsi="Arial"/>
                <w:sz w:val="18"/>
                <w:szCs w:val="18"/>
                <w:color w:val="auto"/>
              </w:rPr>
              <w:t>67,997</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8"/>
                <w:szCs w:val="18"/>
                <w:color w:val="auto"/>
              </w:rPr>
              <w:t>167.42</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2,550,029</w:t>
            </w:r>
          </w:p>
        </w:tc>
      </w:tr>
      <w:tr>
        <w:trPr>
          <w:trHeight w:val="247"/>
        </w:trPr>
        <w:tc>
          <w:tcPr>
            <w:tcW w:w="2100" w:type="dxa"/>
            <w:vAlign w:val="bottom"/>
          </w:tcPr>
          <w:p>
            <w:pPr>
              <w:spacing w:after="0"/>
              <w:rPr>
                <w:sz w:val="21"/>
                <w:szCs w:val="21"/>
                <w:color w:val="auto"/>
              </w:rPr>
            </w:pPr>
          </w:p>
        </w:tc>
        <w:tc>
          <w:tcPr>
            <w:tcW w:w="1900" w:type="dxa"/>
            <w:vAlign w:val="bottom"/>
          </w:tcPr>
          <w:p>
            <w:pPr>
              <w:jc w:val="right"/>
              <w:ind w:right="112"/>
              <w:spacing w:after="0"/>
              <w:rPr>
                <w:sz w:val="20"/>
                <w:szCs w:val="20"/>
                <w:color w:val="auto"/>
              </w:rPr>
            </w:pPr>
            <w:r>
              <w:rPr>
                <w:rFonts w:ascii="Arial" w:cs="Arial" w:eastAsia="Arial" w:hAnsi="Arial"/>
                <w:sz w:val="18"/>
                <w:szCs w:val="18"/>
                <w:color w:val="auto"/>
              </w:rPr>
              <w:t>1/25/2024 (1)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1/18/2024</w:t>
            </w:r>
          </w:p>
        </w:tc>
        <w:tc>
          <w:tcPr>
            <w:tcW w:w="1360" w:type="dxa"/>
            <w:vAlign w:val="bottom"/>
          </w:tcPr>
          <w:p>
            <w:pPr>
              <w:jc w:val="right"/>
              <w:ind w:right="180"/>
              <w:spacing w:after="0"/>
              <w:rPr>
                <w:sz w:val="20"/>
                <w:szCs w:val="20"/>
                <w:color w:val="auto"/>
              </w:rPr>
            </w:pPr>
            <w:r>
              <w:rPr>
                <w:rFonts w:ascii="Arial" w:cs="Arial" w:eastAsia="Arial" w:hAnsi="Arial"/>
                <w:sz w:val="18"/>
                <w:szCs w:val="18"/>
                <w:color w:val="auto"/>
              </w:rPr>
              <w:t>15,232</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2,550,141</w:t>
            </w:r>
          </w:p>
        </w:tc>
      </w:tr>
    </w:tbl>
    <w:p>
      <w:pPr>
        <w:spacing w:after="0" w:line="301" w:lineRule="exact"/>
        <w:rPr>
          <w:sz w:val="20"/>
          <w:szCs w:val="20"/>
          <w:color w:val="auto"/>
        </w:rPr>
      </w:pPr>
    </w:p>
    <w:p>
      <w:pPr>
        <w:ind w:left="500" w:hanging="492"/>
        <w:spacing w:after="0" w:line="268" w:lineRule="auto"/>
        <w:tabs>
          <w:tab w:leader="none" w:pos="4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accordance with the grant policy of the compensation committee of the board (described under “Process for equity grants”), the grants became effective on the second trading day after the company released its financial results for the fourth quarter and year 2023. The company released these results on January 23, 2024.</w:t>
      </w:r>
    </w:p>
    <w:p>
      <w:pPr>
        <w:spacing w:after="0" w:line="62" w:lineRule="exact"/>
        <w:rPr>
          <w:rFonts w:ascii="Arial" w:cs="Arial" w:eastAsia="Arial" w:hAnsi="Arial"/>
          <w:sz w:val="18"/>
          <w:szCs w:val="18"/>
          <w:color w:val="auto"/>
        </w:rPr>
      </w:pPr>
    </w:p>
    <w:p>
      <w:pPr>
        <w:ind w:left="500" w:right="100" w:hanging="492"/>
        <w:spacing w:after="0" w:line="268" w:lineRule="auto"/>
        <w:tabs>
          <w:tab w:leader="none" w:pos="4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stock awards granted to the named executive officers in 2024 were RSU awards. These awards were made under the company’s 2009 Long-Term Incentive Plan. For information on the terms and conditions of these RSU awards, see the discussion following the outstanding equity awards at fiscal year-end 2024 table.</w:t>
      </w:r>
    </w:p>
    <w:p>
      <w:pPr>
        <w:spacing w:after="0" w:line="62" w:lineRule="exact"/>
        <w:rPr>
          <w:rFonts w:ascii="Arial" w:cs="Arial" w:eastAsia="Arial" w:hAnsi="Arial"/>
          <w:sz w:val="18"/>
          <w:szCs w:val="18"/>
          <w:color w:val="auto"/>
        </w:rPr>
      </w:pPr>
    </w:p>
    <w:p>
      <w:pPr>
        <w:ind w:left="500" w:right="180" w:hanging="492"/>
        <w:spacing w:after="0" w:line="287" w:lineRule="auto"/>
        <w:tabs>
          <w:tab w:leader="none" w:pos="4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options were granted under the company’s 2009 Long-Term Incentive Plan. For information on the terms and conditions of these options, see the discussion following the outstanding equity awards at fiscal year-end 2024 table.</w:t>
      </w:r>
    </w:p>
    <w:p>
      <w:pPr>
        <w:spacing w:after="0" w:line="44" w:lineRule="exact"/>
        <w:rPr>
          <w:rFonts w:ascii="Arial" w:cs="Arial" w:eastAsia="Arial" w:hAnsi="Arial"/>
          <w:sz w:val="18"/>
          <w:szCs w:val="18"/>
          <w:color w:val="auto"/>
        </w:rPr>
      </w:pPr>
    </w:p>
    <w:p>
      <w:pPr>
        <w:ind w:left="480" w:hanging="472"/>
        <w:spacing w:after="0"/>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exercise price of the options is the closing price of TI common stock on January 25, 2024.</w:t>
      </w:r>
    </w:p>
    <w:p>
      <w:pPr>
        <w:spacing w:after="0" w:line="117" w:lineRule="exact"/>
        <w:rPr>
          <w:rFonts w:ascii="Arial" w:cs="Arial" w:eastAsia="Arial" w:hAnsi="Arial"/>
          <w:sz w:val="18"/>
          <w:szCs w:val="18"/>
          <w:color w:val="auto"/>
        </w:rPr>
      </w:pPr>
    </w:p>
    <w:p>
      <w:pPr>
        <w:jc w:val="both"/>
        <w:ind w:left="500" w:right="1100" w:hanging="492"/>
        <w:spacing w:after="0" w:line="318" w:lineRule="auto"/>
        <w:tabs>
          <w:tab w:leader="none" w:pos="49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Shown is the aggregate grant date fair value computed in accordance with ASC 718 for stock and option awards in 2024. The discussion of the assumptions used for purposes of the valuation appears in Note 3 to the 2024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None of the options or other equity awards granted to the named executive officers was repriced or modified by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TI’s equity compensation grant practices, see the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40" w:name="page41"/>
    <w:bookmarkEnd w:id="40"/>
    <w:p>
      <w:pPr>
        <w:spacing w:after="0"/>
        <w:rPr>
          <w:sz w:val="20"/>
          <w:szCs w:val="20"/>
          <w:color w:val="auto"/>
        </w:rPr>
      </w:pPr>
      <w:r>
        <w:rPr>
          <w:rFonts w:ascii="Arial" w:cs="Arial" w:eastAsia="Arial" w:hAnsi="Arial"/>
          <w:sz w:val="20"/>
          <w:szCs w:val="20"/>
          <w:u w:val="single" w:color="auto"/>
          <w:color w:val="auto"/>
        </w:rPr>
        <w:t>Outstanding equity awards at fiscal year-end 2024</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outstanding equity awards for each of the named executive officers as of December 31, 2024.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6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Option Awards</w:t>
            </w: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rPr>
              <w:t>Stock Awards</w:t>
            </w:r>
          </w:p>
        </w:tc>
      </w:tr>
      <w:tr>
        <w:trPr>
          <w:trHeight w:val="193"/>
        </w:trPr>
        <w:tc>
          <w:tcPr>
            <w:tcW w:w="2860" w:type="dxa"/>
            <w:vAlign w:val="bottom"/>
          </w:tcPr>
          <w:p>
            <w:pPr>
              <w:spacing w:after="0"/>
              <w:rPr>
                <w:sz w:val="16"/>
                <w:szCs w:val="16"/>
                <w:color w:val="auto"/>
              </w:rPr>
            </w:pPr>
          </w:p>
        </w:tc>
        <w:tc>
          <w:tcPr>
            <w:tcW w:w="1280" w:type="dxa"/>
            <w:vAlign w:val="bottom"/>
          </w:tcPr>
          <w:p>
            <w:pPr>
              <w:jc w:val="center"/>
              <w:ind w:right="46"/>
              <w:spacing w:after="0"/>
              <w:rPr>
                <w:sz w:val="20"/>
                <w:szCs w:val="20"/>
                <w:color w:val="auto"/>
              </w:rPr>
            </w:pPr>
            <w:r>
              <w:rPr>
                <w:rFonts w:ascii="Arial" w:cs="Arial" w:eastAsia="Arial" w:hAnsi="Arial"/>
                <w:sz w:val="14"/>
                <w:szCs w:val="14"/>
                <w:b w:val="1"/>
                <w:bCs w:val="1"/>
                <w:color w:val="auto"/>
              </w:rPr>
              <w:t>Number of</w:t>
            </w:r>
          </w:p>
        </w:tc>
        <w:tc>
          <w:tcPr>
            <w:tcW w:w="1100" w:type="dxa"/>
            <w:vAlign w:val="bottom"/>
          </w:tcPr>
          <w:p>
            <w:pPr>
              <w:jc w:val="center"/>
              <w:ind w:left="148"/>
              <w:spacing w:after="0"/>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6"/>
                <w:szCs w:val="16"/>
                <w:color w:val="auto"/>
              </w:rPr>
            </w:pP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auto"/>
              </w:rPr>
              <w:t>Market Value</w:t>
            </w:r>
          </w:p>
        </w:tc>
      </w:tr>
      <w:tr>
        <w:trPr>
          <w:trHeight w:val="176"/>
        </w:trPr>
        <w:tc>
          <w:tcPr>
            <w:tcW w:w="2860" w:type="dxa"/>
            <w:vAlign w:val="bottom"/>
          </w:tcPr>
          <w:p>
            <w:pPr>
              <w:spacing w:after="0"/>
              <w:rPr>
                <w:sz w:val="15"/>
                <w:szCs w:val="15"/>
                <w:color w:val="auto"/>
              </w:rPr>
            </w:pPr>
          </w:p>
        </w:tc>
        <w:tc>
          <w:tcPr>
            <w:tcW w:w="1280" w:type="dxa"/>
            <w:vAlign w:val="bottom"/>
          </w:tcPr>
          <w:p>
            <w:pPr>
              <w:jc w:val="center"/>
              <w:ind w:right="46"/>
              <w:spacing w:after="0"/>
              <w:rPr>
                <w:sz w:val="20"/>
                <w:szCs w:val="20"/>
                <w:color w:val="auto"/>
              </w:rPr>
            </w:pPr>
            <w:r>
              <w:rPr>
                <w:rFonts w:ascii="Arial" w:cs="Arial" w:eastAsia="Arial" w:hAnsi="Arial"/>
                <w:sz w:val="14"/>
                <w:szCs w:val="14"/>
                <w:b w:val="1"/>
                <w:bCs w:val="1"/>
                <w:color w:val="auto"/>
              </w:rPr>
              <w:t>Securities</w:t>
            </w:r>
          </w:p>
        </w:tc>
        <w:tc>
          <w:tcPr>
            <w:tcW w:w="1100" w:type="dxa"/>
            <w:vAlign w:val="bottom"/>
          </w:tcPr>
          <w:p>
            <w:pPr>
              <w:jc w:val="center"/>
              <w:ind w:left="168"/>
              <w:spacing w:after="0"/>
              <w:rPr>
                <w:sz w:val="20"/>
                <w:szCs w:val="20"/>
                <w:color w:val="auto"/>
              </w:rPr>
            </w:pPr>
            <w:r>
              <w:rPr>
                <w:rFonts w:ascii="Arial" w:cs="Arial" w:eastAsia="Arial" w:hAnsi="Arial"/>
                <w:sz w:val="14"/>
                <w:szCs w:val="14"/>
                <w:b w:val="1"/>
                <w:bCs w:val="1"/>
                <w:color w:val="auto"/>
              </w:rPr>
              <w:t>Securities</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or</w:t>
            </w:r>
          </w:p>
        </w:tc>
        <w:tc>
          <w:tcPr>
            <w:tcW w:w="320" w:type="dxa"/>
            <w:vAlign w:val="bottom"/>
          </w:tcPr>
          <w:p>
            <w:pPr>
              <w:spacing w:after="0"/>
              <w:rPr>
                <w:sz w:val="15"/>
                <w:szCs w:val="15"/>
                <w:color w:val="auto"/>
              </w:rPr>
            </w:pP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auto"/>
              </w:rPr>
              <w:t>of Shares or</w:t>
            </w:r>
          </w:p>
        </w:tc>
      </w:tr>
      <w:tr>
        <w:trPr>
          <w:trHeight w:val="175"/>
        </w:trPr>
        <w:tc>
          <w:tcPr>
            <w:tcW w:w="2860" w:type="dxa"/>
            <w:vAlign w:val="bottom"/>
          </w:tcPr>
          <w:p>
            <w:pPr>
              <w:spacing w:after="0"/>
              <w:rPr>
                <w:sz w:val="15"/>
                <w:szCs w:val="15"/>
                <w:color w:val="auto"/>
              </w:rPr>
            </w:pPr>
          </w:p>
        </w:tc>
        <w:tc>
          <w:tcPr>
            <w:tcW w:w="1280" w:type="dxa"/>
            <w:vAlign w:val="bottom"/>
          </w:tcPr>
          <w:p>
            <w:pPr>
              <w:jc w:val="center"/>
              <w:ind w:right="46"/>
              <w:spacing w:after="0"/>
              <w:rPr>
                <w:sz w:val="20"/>
                <w:szCs w:val="20"/>
                <w:color w:val="auto"/>
              </w:rPr>
            </w:pPr>
            <w:r>
              <w:rPr>
                <w:rFonts w:ascii="Arial" w:cs="Arial" w:eastAsia="Arial" w:hAnsi="Arial"/>
                <w:sz w:val="14"/>
                <w:szCs w:val="14"/>
                <w:b w:val="1"/>
                <w:bCs w:val="1"/>
                <w:color w:val="auto"/>
              </w:rPr>
              <w:t>Underlying</w:t>
            </w:r>
          </w:p>
        </w:tc>
        <w:tc>
          <w:tcPr>
            <w:tcW w:w="1100" w:type="dxa"/>
            <w:vAlign w:val="bottom"/>
          </w:tcPr>
          <w:p>
            <w:pPr>
              <w:jc w:val="center"/>
              <w:ind w:left="168"/>
              <w:spacing w:after="0"/>
              <w:rPr>
                <w:sz w:val="20"/>
                <w:szCs w:val="20"/>
                <w:color w:val="auto"/>
              </w:rPr>
            </w:pPr>
            <w:r>
              <w:rPr>
                <w:rFonts w:ascii="Arial" w:cs="Arial" w:eastAsia="Arial" w:hAnsi="Arial"/>
                <w:sz w:val="14"/>
                <w:szCs w:val="14"/>
                <w:b w:val="1"/>
                <w:bCs w:val="1"/>
                <w:color w:val="auto"/>
              </w:rPr>
              <w:t>Underlying</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Units of</w:t>
            </w:r>
          </w:p>
        </w:tc>
        <w:tc>
          <w:tcPr>
            <w:tcW w:w="320" w:type="dxa"/>
            <w:vAlign w:val="bottom"/>
          </w:tcPr>
          <w:p>
            <w:pPr>
              <w:spacing w:after="0"/>
              <w:rPr>
                <w:sz w:val="15"/>
                <w:szCs w:val="15"/>
                <w:color w:val="auto"/>
              </w:rPr>
            </w:pPr>
          </w:p>
        </w:tc>
        <w:tc>
          <w:tcPr>
            <w:tcW w:w="1260" w:type="dxa"/>
            <w:vAlign w:val="bottom"/>
          </w:tcPr>
          <w:p>
            <w:pPr>
              <w:jc w:val="right"/>
              <w:ind w:right="388"/>
              <w:spacing w:after="0"/>
              <w:rPr>
                <w:sz w:val="20"/>
                <w:szCs w:val="20"/>
                <w:color w:val="auto"/>
              </w:rPr>
            </w:pPr>
            <w:r>
              <w:rPr>
                <w:rFonts w:ascii="Arial" w:cs="Arial" w:eastAsia="Arial" w:hAnsi="Arial"/>
                <w:sz w:val="14"/>
                <w:szCs w:val="14"/>
                <w:b w:val="1"/>
                <w:bCs w:val="1"/>
                <w:color w:val="auto"/>
              </w:rPr>
              <w:t>Units of</w:t>
            </w:r>
          </w:p>
        </w:tc>
      </w:tr>
      <w:tr>
        <w:trPr>
          <w:trHeight w:val="176"/>
        </w:trPr>
        <w:tc>
          <w:tcPr>
            <w:tcW w:w="2860" w:type="dxa"/>
            <w:vAlign w:val="bottom"/>
          </w:tcPr>
          <w:p>
            <w:pPr>
              <w:spacing w:after="0"/>
              <w:rPr>
                <w:sz w:val="15"/>
                <w:szCs w:val="15"/>
                <w:color w:val="auto"/>
              </w:rPr>
            </w:pPr>
          </w:p>
        </w:tc>
        <w:tc>
          <w:tcPr>
            <w:tcW w:w="1280" w:type="dxa"/>
            <w:vAlign w:val="bottom"/>
          </w:tcPr>
          <w:p>
            <w:pPr>
              <w:jc w:val="center"/>
              <w:ind w:right="66"/>
              <w:spacing w:after="0"/>
              <w:rPr>
                <w:sz w:val="20"/>
                <w:szCs w:val="20"/>
                <w:color w:val="auto"/>
              </w:rPr>
            </w:pPr>
            <w:r>
              <w:rPr>
                <w:rFonts w:ascii="Arial" w:cs="Arial" w:eastAsia="Arial" w:hAnsi="Arial"/>
                <w:sz w:val="14"/>
                <w:szCs w:val="14"/>
                <w:b w:val="1"/>
                <w:bCs w:val="1"/>
                <w:color w:val="auto"/>
              </w:rPr>
              <w:t>Unexercised</w:t>
            </w:r>
          </w:p>
        </w:tc>
        <w:tc>
          <w:tcPr>
            <w:tcW w:w="1100" w:type="dxa"/>
            <w:vAlign w:val="bottom"/>
          </w:tcPr>
          <w:p>
            <w:pPr>
              <w:jc w:val="center"/>
              <w:ind w:left="168"/>
              <w:spacing w:after="0"/>
              <w:rPr>
                <w:sz w:val="20"/>
                <w:szCs w:val="20"/>
                <w:color w:val="auto"/>
              </w:rPr>
            </w:pPr>
            <w:r>
              <w:rPr>
                <w:rFonts w:ascii="Arial" w:cs="Arial" w:eastAsia="Arial" w:hAnsi="Arial"/>
                <w:sz w:val="14"/>
                <w:szCs w:val="14"/>
                <w:b w:val="1"/>
                <w:bCs w:val="1"/>
                <w:color w:val="auto"/>
              </w:rPr>
              <w:t>Unexercised</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center"/>
              <w:ind w:right="288"/>
              <w:spacing w:after="0"/>
              <w:rPr>
                <w:sz w:val="20"/>
                <w:szCs w:val="20"/>
                <w:color w:val="auto"/>
              </w:rPr>
            </w:pPr>
            <w:r>
              <w:rPr>
                <w:rFonts w:ascii="Arial" w:cs="Arial" w:eastAsia="Arial" w:hAnsi="Arial"/>
                <w:sz w:val="14"/>
                <w:szCs w:val="14"/>
                <w:b w:val="1"/>
                <w:bCs w:val="1"/>
                <w:color w:val="auto"/>
              </w:rPr>
              <w:t>Option</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920" w:type="dxa"/>
            <w:vAlign w:val="bottom"/>
          </w:tcPr>
          <w:p>
            <w:pPr>
              <w:jc w:val="center"/>
              <w:ind w:left="408"/>
              <w:spacing w:after="0"/>
              <w:rPr>
                <w:sz w:val="20"/>
                <w:szCs w:val="20"/>
                <w:color w:val="auto"/>
              </w:rPr>
            </w:pPr>
            <w:r>
              <w:rPr>
                <w:rFonts w:ascii="Arial" w:cs="Arial" w:eastAsia="Arial" w:hAnsi="Arial"/>
                <w:sz w:val="14"/>
                <w:szCs w:val="14"/>
                <w:b w:val="1"/>
                <w:bCs w:val="1"/>
                <w:color w:val="auto"/>
              </w:rPr>
              <w:t>Stock</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center"/>
              <w:ind w:right="88"/>
              <w:spacing w:after="0"/>
              <w:rPr>
                <w:sz w:val="20"/>
                <w:szCs w:val="20"/>
                <w:color w:val="auto"/>
              </w:rPr>
            </w:pPr>
            <w:r>
              <w:rPr>
                <w:rFonts w:ascii="Arial" w:cs="Arial" w:eastAsia="Arial" w:hAnsi="Arial"/>
                <w:sz w:val="14"/>
                <w:szCs w:val="14"/>
                <w:b w:val="1"/>
                <w:bCs w:val="1"/>
                <w:color w:val="auto"/>
                <w:w w:val="99"/>
              </w:rPr>
              <w:t>Stock</w:t>
            </w:r>
          </w:p>
        </w:tc>
      </w:tr>
      <w:tr>
        <w:trPr>
          <w:trHeight w:val="175"/>
        </w:trPr>
        <w:tc>
          <w:tcPr>
            <w:tcW w:w="2860" w:type="dxa"/>
            <w:vAlign w:val="bottom"/>
          </w:tcPr>
          <w:p>
            <w:pPr>
              <w:spacing w:after="0"/>
              <w:rPr>
                <w:sz w:val="15"/>
                <w:szCs w:val="15"/>
                <w:color w:val="auto"/>
              </w:rPr>
            </w:pPr>
          </w:p>
        </w:tc>
        <w:tc>
          <w:tcPr>
            <w:tcW w:w="1280" w:type="dxa"/>
            <w:vAlign w:val="bottom"/>
          </w:tcPr>
          <w:p>
            <w:pPr>
              <w:jc w:val="center"/>
              <w:ind w:right="66"/>
              <w:spacing w:after="0"/>
              <w:rPr>
                <w:sz w:val="20"/>
                <w:szCs w:val="20"/>
                <w:color w:val="auto"/>
              </w:rPr>
            </w:pPr>
            <w:r>
              <w:rPr>
                <w:rFonts w:ascii="Arial" w:cs="Arial" w:eastAsia="Arial" w:hAnsi="Arial"/>
                <w:sz w:val="14"/>
                <w:szCs w:val="14"/>
                <w:b w:val="1"/>
                <w:bCs w:val="1"/>
                <w:color w:val="auto"/>
              </w:rPr>
              <w:t>Options</w:t>
            </w:r>
          </w:p>
        </w:tc>
        <w:tc>
          <w:tcPr>
            <w:tcW w:w="1100" w:type="dxa"/>
            <w:vAlign w:val="bottom"/>
          </w:tcPr>
          <w:p>
            <w:pPr>
              <w:jc w:val="center"/>
              <w:ind w:left="168"/>
              <w:spacing w:after="0"/>
              <w:rPr>
                <w:sz w:val="20"/>
                <w:szCs w:val="20"/>
                <w:color w:val="auto"/>
              </w:rPr>
            </w:pPr>
            <w:r>
              <w:rPr>
                <w:rFonts w:ascii="Arial" w:cs="Arial" w:eastAsia="Arial" w:hAnsi="Arial"/>
                <w:sz w:val="14"/>
                <w:szCs w:val="14"/>
                <w:b w:val="1"/>
                <w:bCs w:val="1"/>
                <w:color w:val="auto"/>
              </w:rPr>
              <w:t>Options</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center"/>
              <w:ind w:right="288"/>
              <w:spacing w:after="0"/>
              <w:rPr>
                <w:sz w:val="20"/>
                <w:szCs w:val="20"/>
                <w:color w:val="auto"/>
              </w:rPr>
            </w:pPr>
            <w:r>
              <w:rPr>
                <w:rFonts w:ascii="Arial" w:cs="Arial" w:eastAsia="Arial" w:hAnsi="Arial"/>
                <w:sz w:val="14"/>
                <w:szCs w:val="14"/>
                <w:b w:val="1"/>
                <w:bCs w:val="1"/>
                <w:color w:val="auto"/>
              </w:rPr>
              <w:t>Exercise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36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That Have</w:t>
            </w:r>
          </w:p>
        </w:tc>
        <w:tc>
          <w:tcPr>
            <w:tcW w:w="320" w:type="dxa"/>
            <w:vAlign w:val="bottom"/>
          </w:tcPr>
          <w:p>
            <w:pPr>
              <w:spacing w:after="0"/>
              <w:rPr>
                <w:sz w:val="15"/>
                <w:szCs w:val="15"/>
                <w:color w:val="auto"/>
              </w:rPr>
            </w:pPr>
          </w:p>
        </w:tc>
        <w:tc>
          <w:tcPr>
            <w:tcW w:w="1260" w:type="dxa"/>
            <w:vAlign w:val="bottom"/>
          </w:tcPr>
          <w:p>
            <w:pPr>
              <w:jc w:val="center"/>
              <w:ind w:right="128"/>
              <w:spacing w:after="0"/>
              <w:rPr>
                <w:sz w:val="20"/>
                <w:szCs w:val="20"/>
                <w:color w:val="auto"/>
              </w:rPr>
            </w:pPr>
            <w:r>
              <w:rPr>
                <w:rFonts w:ascii="Arial" w:cs="Arial" w:eastAsia="Arial" w:hAnsi="Arial"/>
                <w:sz w:val="14"/>
                <w:szCs w:val="14"/>
                <w:b w:val="1"/>
                <w:bCs w:val="1"/>
                <w:color w:val="auto"/>
              </w:rPr>
              <w:t>That Have</w:t>
            </w:r>
          </w:p>
        </w:tc>
      </w:tr>
      <w:tr>
        <w:trPr>
          <w:trHeight w:val="205"/>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8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rPr>
              <w:t>Exercisable</w:t>
            </w:r>
          </w:p>
        </w:tc>
        <w:tc>
          <w:tcPr>
            <w:tcW w:w="150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b w:val="1"/>
                <w:bCs w:val="1"/>
                <w:color w:val="auto"/>
              </w:rPr>
              <w:t>Unexercisable</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9"/>
              </w:rPr>
              <w:t>Price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Not Vested</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Not Vested (1)</w:t>
            </w:r>
          </w:p>
        </w:tc>
      </w:tr>
      <w:tr>
        <w:trPr>
          <w:trHeight w:val="250"/>
        </w:trPr>
        <w:tc>
          <w:tcPr>
            <w:tcW w:w="2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Haviv Ilan</w:t>
            </w:r>
          </w:p>
        </w:tc>
        <w:tc>
          <w:tcPr>
            <w:tcW w:w="128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199,989</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167.42</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1/25/2034</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44,798</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8,400,073</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32,390</w:t>
            </w:r>
          </w:p>
        </w:tc>
        <w:tc>
          <w:tcPr>
            <w:tcW w:w="1100" w:type="dxa"/>
            <w:vAlign w:val="bottom"/>
          </w:tcPr>
          <w:p>
            <w:pPr>
              <w:jc w:val="right"/>
              <w:spacing w:after="0"/>
              <w:rPr>
                <w:sz w:val="20"/>
                <w:szCs w:val="20"/>
                <w:color w:val="auto"/>
              </w:rPr>
            </w:pPr>
            <w:r>
              <w:rPr>
                <w:rFonts w:ascii="Arial" w:cs="Arial" w:eastAsia="Arial" w:hAnsi="Arial"/>
                <w:sz w:val="14"/>
                <w:szCs w:val="14"/>
                <w:color w:val="auto"/>
              </w:rPr>
              <w:t>97,170</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174.10</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1/26/2033</w:t>
            </w:r>
          </w:p>
        </w:tc>
        <w:tc>
          <w:tcPr>
            <w:tcW w:w="920" w:type="dxa"/>
            <w:vAlign w:val="bottom"/>
          </w:tcPr>
          <w:p>
            <w:pPr>
              <w:jc w:val="right"/>
              <w:spacing w:after="0"/>
              <w:rPr>
                <w:sz w:val="20"/>
                <w:szCs w:val="20"/>
                <w:color w:val="auto"/>
              </w:rPr>
            </w:pPr>
            <w:r>
              <w:rPr>
                <w:rFonts w:ascii="Arial" w:cs="Arial" w:eastAsia="Arial" w:hAnsi="Arial"/>
                <w:sz w:val="14"/>
                <w:szCs w:val="14"/>
                <w:color w:val="auto"/>
              </w:rPr>
              <w:t>34,463</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6,462,157</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4"/>
                <w:szCs w:val="14"/>
                <w:color w:val="auto"/>
              </w:rPr>
              <w:t>56,527</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56,527</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(4)</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174.81</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1/27/2032</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25,743</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(8)</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4,827,070</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64,497</w:t>
            </w:r>
          </w:p>
        </w:tc>
        <w:tc>
          <w:tcPr>
            <w:tcW w:w="1100" w:type="dxa"/>
            <w:vAlign w:val="bottom"/>
          </w:tcPr>
          <w:p>
            <w:pPr>
              <w:jc w:val="right"/>
              <w:spacing w:after="0"/>
              <w:rPr>
                <w:sz w:val="20"/>
                <w:szCs w:val="20"/>
                <w:color w:val="auto"/>
              </w:rPr>
            </w:pPr>
            <w:r>
              <w:rPr>
                <w:rFonts w:ascii="Arial" w:cs="Arial" w:eastAsia="Arial" w:hAnsi="Arial"/>
                <w:sz w:val="14"/>
                <w:szCs w:val="14"/>
                <w:color w:val="auto"/>
              </w:rPr>
              <w:t>21,499</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169.23</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1/28/2031</w:t>
            </w:r>
          </w:p>
        </w:tc>
        <w:tc>
          <w:tcPr>
            <w:tcW w:w="920" w:type="dxa"/>
            <w:vAlign w:val="bottom"/>
          </w:tcPr>
          <w:p>
            <w:pPr>
              <w:jc w:val="right"/>
              <w:spacing w:after="0"/>
              <w:rPr>
                <w:sz w:val="20"/>
                <w:szCs w:val="20"/>
                <w:color w:val="auto"/>
              </w:rPr>
            </w:pPr>
            <w:r>
              <w:rPr>
                <w:rFonts w:ascii="Arial" w:cs="Arial" w:eastAsia="Arial" w:hAnsi="Arial"/>
                <w:sz w:val="14"/>
                <w:szCs w:val="14"/>
                <w:color w:val="auto"/>
              </w:rPr>
              <w:t>20,682</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3,878,082</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4"/>
                <w:szCs w:val="14"/>
                <w:color w:val="auto"/>
              </w:rPr>
              <w:t>87,998</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130.52</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1/24/2030</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86,122</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104.41</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1/25/2029</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4"/>
                <w:szCs w:val="14"/>
                <w:color w:val="auto"/>
              </w:rPr>
              <w:t>81,828</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110.15</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1/25/2028</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20,000</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79.26</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1/26/2027</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28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r>
      <w:tr>
        <w:trPr>
          <w:trHeight w:val="247"/>
        </w:trPr>
        <w:tc>
          <w:tcPr>
            <w:tcW w:w="2860" w:type="dxa"/>
            <w:vAlign w:val="bottom"/>
          </w:tcPr>
          <w:p>
            <w:pPr>
              <w:ind w:left="20"/>
              <w:spacing w:after="0"/>
              <w:rPr>
                <w:sz w:val="20"/>
                <w:szCs w:val="20"/>
                <w:color w:val="auto"/>
              </w:rPr>
            </w:pPr>
            <w:r>
              <w:rPr>
                <w:rFonts w:ascii="Arial" w:cs="Arial" w:eastAsia="Arial" w:hAnsi="Arial"/>
                <w:sz w:val="14"/>
                <w:szCs w:val="14"/>
                <w:color w:val="auto"/>
              </w:rPr>
              <w:t>Rafael Lizardi</w:t>
            </w:r>
          </w:p>
        </w:tc>
        <w:tc>
          <w:tcPr>
            <w:tcW w:w="1280" w:type="dxa"/>
            <w:vAlign w:val="bottom"/>
          </w:tcPr>
          <w:p>
            <w:pPr>
              <w:jc w:val="right"/>
              <w:ind w:right="126"/>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63,997</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167.42</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1/25/2034</w:t>
            </w:r>
          </w:p>
        </w:tc>
        <w:tc>
          <w:tcPr>
            <w:tcW w:w="920" w:type="dxa"/>
            <w:vAlign w:val="bottom"/>
          </w:tcPr>
          <w:p>
            <w:pPr>
              <w:jc w:val="right"/>
              <w:spacing w:after="0"/>
              <w:rPr>
                <w:sz w:val="20"/>
                <w:szCs w:val="20"/>
                <w:color w:val="auto"/>
              </w:rPr>
            </w:pPr>
            <w:r>
              <w:rPr>
                <w:rFonts w:ascii="Arial" w:cs="Arial" w:eastAsia="Arial" w:hAnsi="Arial"/>
                <w:sz w:val="14"/>
                <w:szCs w:val="14"/>
                <w:color w:val="auto"/>
              </w:rPr>
              <w:t>14,336</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2,688,143</w:t>
            </w:r>
          </w:p>
        </w:tc>
      </w:tr>
      <w:tr>
        <w:trPr>
          <w:trHeight w:val="23"/>
        </w:trPr>
        <w:tc>
          <w:tcPr>
            <w:tcW w:w="2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9"/>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4"/>
                <w:szCs w:val="14"/>
                <w:color w:val="auto"/>
              </w:rPr>
              <w:t>12,956</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38,868</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174.10</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1/26/2033</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13,786</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2,585,013</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23,867</w:t>
            </w:r>
          </w:p>
        </w:tc>
        <w:tc>
          <w:tcPr>
            <w:tcW w:w="1100" w:type="dxa"/>
            <w:vAlign w:val="bottom"/>
          </w:tcPr>
          <w:p>
            <w:pPr>
              <w:jc w:val="right"/>
              <w:spacing w:after="0"/>
              <w:rPr>
                <w:sz w:val="20"/>
                <w:szCs w:val="20"/>
                <w:color w:val="auto"/>
              </w:rPr>
            </w:pPr>
            <w:r>
              <w:rPr>
                <w:rFonts w:ascii="Arial" w:cs="Arial" w:eastAsia="Arial" w:hAnsi="Arial"/>
                <w:sz w:val="14"/>
                <w:szCs w:val="14"/>
                <w:color w:val="auto"/>
              </w:rPr>
              <w:t>23,867</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174.81</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1/27/2032</w:t>
            </w:r>
          </w:p>
        </w:tc>
        <w:tc>
          <w:tcPr>
            <w:tcW w:w="920" w:type="dxa"/>
            <w:vAlign w:val="bottom"/>
          </w:tcPr>
          <w:p>
            <w:pPr>
              <w:jc w:val="right"/>
              <w:spacing w:after="0"/>
              <w:rPr>
                <w:sz w:val="20"/>
                <w:szCs w:val="20"/>
                <w:color w:val="auto"/>
              </w:rPr>
            </w:pPr>
            <w:r>
              <w:rPr>
                <w:rFonts w:ascii="Arial" w:cs="Arial" w:eastAsia="Arial" w:hAnsi="Arial"/>
                <w:sz w:val="14"/>
                <w:szCs w:val="14"/>
                <w:color w:val="auto"/>
              </w:rPr>
              <w:t>10,869</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2,038,046</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4"/>
                <w:szCs w:val="14"/>
                <w:color w:val="auto"/>
              </w:rPr>
              <w:t>30,405</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10,136</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(5)</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169.23</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1/28/2031</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9,751</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(9)</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1,828,410</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64,532</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130.52</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1/24/2030</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28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r>
      <w:tr>
        <w:trPr>
          <w:trHeight w:val="247"/>
        </w:trPr>
        <w:tc>
          <w:tcPr>
            <w:tcW w:w="2860" w:type="dxa"/>
            <w:vAlign w:val="bottom"/>
          </w:tcPr>
          <w:p>
            <w:pPr>
              <w:ind w:left="20"/>
              <w:spacing w:after="0"/>
              <w:rPr>
                <w:sz w:val="20"/>
                <w:szCs w:val="20"/>
                <w:color w:val="auto"/>
              </w:rPr>
            </w:pPr>
            <w:r>
              <w:rPr>
                <w:rFonts w:ascii="Arial" w:cs="Arial" w:eastAsia="Arial" w:hAnsi="Arial"/>
                <w:sz w:val="14"/>
                <w:szCs w:val="14"/>
                <w:color w:val="auto"/>
              </w:rPr>
              <w:t>Richard Templeton</w:t>
            </w:r>
          </w:p>
        </w:tc>
        <w:tc>
          <w:tcPr>
            <w:tcW w:w="1280" w:type="dxa"/>
            <w:vAlign w:val="bottom"/>
          </w:tcPr>
          <w:p>
            <w:pPr>
              <w:jc w:val="right"/>
              <w:ind w:right="126"/>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99,995</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167.42</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1/25/2034</w:t>
            </w:r>
          </w:p>
        </w:tc>
        <w:tc>
          <w:tcPr>
            <w:tcW w:w="920" w:type="dxa"/>
            <w:vAlign w:val="bottom"/>
          </w:tcPr>
          <w:p>
            <w:pPr>
              <w:jc w:val="right"/>
              <w:spacing w:after="0"/>
              <w:rPr>
                <w:sz w:val="20"/>
                <w:szCs w:val="20"/>
                <w:color w:val="auto"/>
              </w:rPr>
            </w:pPr>
            <w:r>
              <w:rPr>
                <w:rFonts w:ascii="Arial" w:cs="Arial" w:eastAsia="Arial" w:hAnsi="Arial"/>
                <w:sz w:val="14"/>
                <w:szCs w:val="14"/>
                <w:color w:val="auto"/>
              </w:rPr>
              <w:t>22,399</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4,200,036</w:t>
            </w:r>
          </w:p>
        </w:tc>
      </w:tr>
      <w:tr>
        <w:trPr>
          <w:trHeight w:val="23"/>
        </w:trPr>
        <w:tc>
          <w:tcPr>
            <w:tcW w:w="2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9"/>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4"/>
                <w:szCs w:val="14"/>
                <w:color w:val="auto"/>
              </w:rPr>
              <w:t>47,235</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141,707</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174.10</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1/26/2033</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50,259</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9,424,065</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94,211</w:t>
            </w:r>
          </w:p>
        </w:tc>
        <w:tc>
          <w:tcPr>
            <w:tcW w:w="1100" w:type="dxa"/>
            <w:vAlign w:val="bottom"/>
          </w:tcPr>
          <w:p>
            <w:pPr>
              <w:jc w:val="right"/>
              <w:spacing w:after="0"/>
              <w:rPr>
                <w:sz w:val="20"/>
                <w:szCs w:val="20"/>
                <w:color w:val="auto"/>
              </w:rPr>
            </w:pPr>
            <w:r>
              <w:rPr>
                <w:rFonts w:ascii="Arial" w:cs="Arial" w:eastAsia="Arial" w:hAnsi="Arial"/>
                <w:sz w:val="14"/>
                <w:szCs w:val="14"/>
                <w:color w:val="auto"/>
              </w:rPr>
              <w:t>94,212</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174.81</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1/27/2032</w:t>
            </w:r>
          </w:p>
        </w:tc>
        <w:tc>
          <w:tcPr>
            <w:tcW w:w="920" w:type="dxa"/>
            <w:vAlign w:val="bottom"/>
          </w:tcPr>
          <w:p>
            <w:pPr>
              <w:jc w:val="right"/>
              <w:spacing w:after="0"/>
              <w:rPr>
                <w:sz w:val="20"/>
                <w:szCs w:val="20"/>
                <w:color w:val="auto"/>
              </w:rPr>
            </w:pPr>
            <w:r>
              <w:rPr>
                <w:rFonts w:ascii="Arial" w:cs="Arial" w:eastAsia="Arial" w:hAnsi="Arial"/>
                <w:sz w:val="14"/>
                <w:szCs w:val="14"/>
                <w:color w:val="auto"/>
              </w:rPr>
              <w:t>42,904</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8,044,929</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4"/>
                <w:szCs w:val="14"/>
                <w:color w:val="auto"/>
              </w:rPr>
              <w:t>119,779</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39,927</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(5)</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169.23</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1/28/2031</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38,410</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(9)</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7,202,259</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254,216</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130.52</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1/24/2030</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4"/>
                <w:szCs w:val="14"/>
                <w:color w:val="auto"/>
              </w:rPr>
              <w:t>294,627</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104.41</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1/25/2029</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258,403</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110.15</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1/25/2028</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4"/>
                <w:szCs w:val="14"/>
                <w:color w:val="auto"/>
              </w:rPr>
              <w:t>333,615</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79.26</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1/26/2027</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489,557</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52.93</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1/29/2026</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28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r>
      <w:tr>
        <w:trPr>
          <w:trHeight w:val="247"/>
        </w:trPr>
        <w:tc>
          <w:tcPr>
            <w:tcW w:w="2860" w:type="dxa"/>
            <w:vAlign w:val="bottom"/>
          </w:tcPr>
          <w:p>
            <w:pPr>
              <w:ind w:left="20"/>
              <w:spacing w:after="0"/>
              <w:rPr>
                <w:sz w:val="20"/>
                <w:szCs w:val="20"/>
                <w:color w:val="auto"/>
              </w:rPr>
            </w:pPr>
            <w:r>
              <w:rPr>
                <w:rFonts w:ascii="Arial" w:cs="Arial" w:eastAsia="Arial" w:hAnsi="Arial"/>
                <w:sz w:val="14"/>
                <w:szCs w:val="14"/>
                <w:color w:val="auto"/>
              </w:rPr>
              <w:t>Hagop Kozanian</w:t>
            </w:r>
          </w:p>
        </w:tc>
        <w:tc>
          <w:tcPr>
            <w:tcW w:w="1280" w:type="dxa"/>
            <w:vAlign w:val="bottom"/>
          </w:tcPr>
          <w:p>
            <w:pPr>
              <w:jc w:val="right"/>
              <w:ind w:right="126"/>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67,997</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167.42</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1/25/2034</w:t>
            </w:r>
          </w:p>
        </w:tc>
        <w:tc>
          <w:tcPr>
            <w:tcW w:w="920" w:type="dxa"/>
            <w:vAlign w:val="bottom"/>
          </w:tcPr>
          <w:p>
            <w:pPr>
              <w:jc w:val="right"/>
              <w:spacing w:after="0"/>
              <w:rPr>
                <w:sz w:val="20"/>
                <w:szCs w:val="20"/>
                <w:color w:val="auto"/>
              </w:rPr>
            </w:pPr>
            <w:r>
              <w:rPr>
                <w:rFonts w:ascii="Arial" w:cs="Arial" w:eastAsia="Arial" w:hAnsi="Arial"/>
                <w:sz w:val="14"/>
                <w:szCs w:val="14"/>
                <w:color w:val="auto"/>
              </w:rPr>
              <w:t>15,232</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2,856,152</w:t>
            </w:r>
          </w:p>
        </w:tc>
      </w:tr>
      <w:tr>
        <w:trPr>
          <w:trHeight w:val="23"/>
        </w:trPr>
        <w:tc>
          <w:tcPr>
            <w:tcW w:w="2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0"/>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4"/>
                <w:szCs w:val="14"/>
                <w:color w:val="auto"/>
              </w:rPr>
              <w:t>13,765</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41,298</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174.10</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1/26/2033</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14,647</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2,746,459</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27,635</w:t>
            </w:r>
          </w:p>
        </w:tc>
        <w:tc>
          <w:tcPr>
            <w:tcW w:w="1100" w:type="dxa"/>
            <w:vAlign w:val="bottom"/>
          </w:tcPr>
          <w:p>
            <w:pPr>
              <w:jc w:val="right"/>
              <w:spacing w:after="0"/>
              <w:rPr>
                <w:sz w:val="20"/>
                <w:szCs w:val="20"/>
                <w:color w:val="auto"/>
              </w:rPr>
            </w:pPr>
            <w:r>
              <w:rPr>
                <w:rFonts w:ascii="Arial" w:cs="Arial" w:eastAsia="Arial" w:hAnsi="Arial"/>
                <w:sz w:val="14"/>
                <w:szCs w:val="14"/>
                <w:color w:val="auto"/>
              </w:rPr>
              <w:t>27,636</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174.81</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1/27/2032</w:t>
            </w:r>
          </w:p>
        </w:tc>
        <w:tc>
          <w:tcPr>
            <w:tcW w:w="920" w:type="dxa"/>
            <w:vAlign w:val="bottom"/>
          </w:tcPr>
          <w:p>
            <w:pPr>
              <w:jc w:val="right"/>
              <w:spacing w:after="0"/>
              <w:rPr>
                <w:sz w:val="20"/>
                <w:szCs w:val="20"/>
                <w:color w:val="auto"/>
              </w:rPr>
            </w:pPr>
            <w:r>
              <w:rPr>
                <w:rFonts w:ascii="Arial" w:cs="Arial" w:eastAsia="Arial" w:hAnsi="Arial"/>
                <w:sz w:val="14"/>
                <w:szCs w:val="14"/>
                <w:color w:val="auto"/>
              </w:rPr>
              <w:t>12,586</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2,360,001</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4"/>
                <w:szCs w:val="14"/>
                <w:color w:val="auto"/>
              </w:rPr>
              <w:t>35,013</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11,671</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(5)</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169.23</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1/28/2031</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11,228</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(9)</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2,105,362</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29,333</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130.52</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1/24/2030</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4"/>
                <w:szCs w:val="14"/>
                <w:color w:val="auto"/>
              </w:rPr>
              <w:t>11,332</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104.41</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1/25/2029</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2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2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Amichai Ron</w:t>
            </w:r>
          </w:p>
        </w:tc>
        <w:tc>
          <w:tcPr>
            <w:tcW w:w="128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67,997</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167.42</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1/25/2034</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15,232</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2,856,152</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12,956</w:t>
            </w:r>
          </w:p>
        </w:tc>
        <w:tc>
          <w:tcPr>
            <w:tcW w:w="1100" w:type="dxa"/>
            <w:vAlign w:val="bottom"/>
          </w:tcPr>
          <w:p>
            <w:pPr>
              <w:jc w:val="right"/>
              <w:spacing w:after="0"/>
              <w:rPr>
                <w:sz w:val="20"/>
                <w:szCs w:val="20"/>
                <w:color w:val="auto"/>
              </w:rPr>
            </w:pPr>
            <w:r>
              <w:rPr>
                <w:rFonts w:ascii="Arial" w:cs="Arial" w:eastAsia="Arial" w:hAnsi="Arial"/>
                <w:sz w:val="14"/>
                <w:szCs w:val="14"/>
                <w:color w:val="auto"/>
              </w:rPr>
              <w:t>38,868</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174.10</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1/26/2033</w:t>
            </w:r>
          </w:p>
        </w:tc>
        <w:tc>
          <w:tcPr>
            <w:tcW w:w="920" w:type="dxa"/>
            <w:vAlign w:val="bottom"/>
          </w:tcPr>
          <w:p>
            <w:pPr>
              <w:jc w:val="right"/>
              <w:spacing w:after="0"/>
              <w:rPr>
                <w:sz w:val="20"/>
                <w:szCs w:val="20"/>
                <w:color w:val="auto"/>
              </w:rPr>
            </w:pPr>
            <w:r>
              <w:rPr>
                <w:rFonts w:ascii="Arial" w:cs="Arial" w:eastAsia="Arial" w:hAnsi="Arial"/>
                <w:sz w:val="14"/>
                <w:szCs w:val="14"/>
                <w:color w:val="auto"/>
              </w:rPr>
              <w:t>13,786</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2,585,013</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4"/>
                <w:szCs w:val="14"/>
                <w:color w:val="auto"/>
              </w:rPr>
              <w:t>25,123</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25,123</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(4)</w:t>
            </w: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174.81</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1/27/2032</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11,441</w:t>
            </w:r>
          </w:p>
        </w:tc>
        <w:tc>
          <w:tcPr>
            <w:tcW w:w="4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(8)</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2,145,302</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27,642</w:t>
            </w:r>
          </w:p>
        </w:tc>
        <w:tc>
          <w:tcPr>
            <w:tcW w:w="1100" w:type="dxa"/>
            <w:vAlign w:val="bottom"/>
          </w:tcPr>
          <w:p>
            <w:pPr>
              <w:jc w:val="right"/>
              <w:spacing w:after="0"/>
              <w:rPr>
                <w:sz w:val="20"/>
                <w:szCs w:val="20"/>
                <w:color w:val="auto"/>
              </w:rPr>
            </w:pPr>
            <w:r>
              <w:rPr>
                <w:rFonts w:ascii="Arial" w:cs="Arial" w:eastAsia="Arial" w:hAnsi="Arial"/>
                <w:sz w:val="14"/>
                <w:szCs w:val="14"/>
                <w:color w:val="auto"/>
              </w:rPr>
              <w:t>9,214</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169.23</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1/28/2031</w:t>
            </w:r>
          </w:p>
        </w:tc>
        <w:tc>
          <w:tcPr>
            <w:tcW w:w="920" w:type="dxa"/>
            <w:vAlign w:val="bottom"/>
          </w:tcPr>
          <w:p>
            <w:pPr>
              <w:jc w:val="right"/>
              <w:spacing w:after="0"/>
              <w:rPr>
                <w:sz w:val="20"/>
                <w:szCs w:val="20"/>
                <w:color w:val="auto"/>
              </w:rPr>
            </w:pPr>
            <w:r>
              <w:rPr>
                <w:rFonts w:ascii="Arial" w:cs="Arial" w:eastAsia="Arial" w:hAnsi="Arial"/>
                <w:sz w:val="14"/>
                <w:szCs w:val="14"/>
                <w:color w:val="auto"/>
              </w:rPr>
              <w:t>8,864</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1,662,089</w:t>
            </w:r>
          </w:p>
        </w:tc>
      </w:tr>
      <w:tr>
        <w:trPr>
          <w:trHeight w:val="22"/>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86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4"/>
                <w:szCs w:val="14"/>
                <w:color w:val="auto"/>
              </w:rPr>
              <w:t>39,111</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130.52</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1/24/2030</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860" w:type="dxa"/>
            <w:vAlign w:val="bottom"/>
          </w:tcPr>
          <w:p>
            <w:pPr>
              <w:spacing w:after="0"/>
              <w:rPr>
                <w:sz w:val="18"/>
                <w:szCs w:val="18"/>
                <w:color w:val="auto"/>
              </w:rPr>
            </w:pP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15,865</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104.41</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1/25/2029</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300" w:lineRule="exact"/>
        <w:rPr>
          <w:sz w:val="20"/>
          <w:szCs w:val="20"/>
          <w:color w:val="auto"/>
        </w:rPr>
      </w:pPr>
    </w:p>
    <w:p>
      <w:pPr>
        <w:ind w:left="480" w:hanging="472"/>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Calculated by multiplying the number of RSUs by the closing price of TI common stock on December 31, 2024 ($187.51).</w:t>
      </w:r>
    </w:p>
    <w:p>
      <w:pPr>
        <w:spacing w:after="0" w:line="117" w:lineRule="exact"/>
        <w:rPr>
          <w:rFonts w:ascii="Arial" w:cs="Arial" w:eastAsia="Arial" w:hAnsi="Arial"/>
          <w:sz w:val="18"/>
          <w:szCs w:val="18"/>
          <w:color w:val="auto"/>
        </w:rPr>
      </w:pPr>
    </w:p>
    <w:p>
      <w:pPr>
        <w:ind w:left="500" w:right="340" w:hanging="492"/>
        <w:spacing w:after="0" w:line="287" w:lineRule="auto"/>
        <w:tabs>
          <w:tab w:leader="none" w:pos="4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One-quarter of the shares became exercisable on January 25, 2025, and one-third of the remaining shares become exercisable on each of January 25, 2026, January 25, 2027, January 25, 2028.</w:t>
      </w:r>
    </w:p>
    <w:p>
      <w:pPr>
        <w:sectPr>
          <w:pgSz w:w="11900" w:h="16838" w:orient="portrait"/>
          <w:cols w:equalWidth="0" w:num="1">
            <w:col w:w="11220"/>
          </w:cols>
          <w:pgMar w:left="320" w:top="98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type w:val="continuous"/>
        </w:sectPr>
      </w:pPr>
    </w:p>
    <w:bookmarkStart w:id="41" w:name="page42"/>
    <w:bookmarkEnd w:id="41"/>
    <w:p>
      <w:pPr>
        <w:ind w:left="500" w:right="180" w:hanging="492"/>
        <w:spacing w:after="0" w:line="287" w:lineRule="auto"/>
        <w:tabs>
          <w:tab w:leader="none" w:pos="4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One-third of the shares became exercisable on January 26, 2025, and one-half of the remaining shares become exercisable on each of January 26, 2026, January 26, 2027.</w:t>
      </w:r>
    </w:p>
    <w:p>
      <w:pPr>
        <w:spacing w:after="0" w:line="44" w:lineRule="exact"/>
        <w:rPr>
          <w:rFonts w:ascii="Arial" w:cs="Arial" w:eastAsia="Arial" w:hAnsi="Arial"/>
          <w:sz w:val="18"/>
          <w:szCs w:val="18"/>
          <w:color w:val="auto"/>
        </w:rPr>
      </w:pPr>
    </w:p>
    <w:p>
      <w:pPr>
        <w:ind w:left="500" w:right="480" w:hanging="492"/>
        <w:spacing w:after="0" w:line="287" w:lineRule="auto"/>
        <w:tabs>
          <w:tab w:leader="none" w:pos="4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One-half of the shares became exercisable on January 27, 2025, and the remaining one-half become exercisable on January 27, 2026.</w:t>
      </w:r>
    </w:p>
    <w:p>
      <w:pPr>
        <w:spacing w:after="0" w:line="44" w:lineRule="exact"/>
        <w:rPr>
          <w:rFonts w:ascii="Arial" w:cs="Arial" w:eastAsia="Arial" w:hAnsi="Arial"/>
          <w:sz w:val="18"/>
          <w:szCs w:val="18"/>
          <w:color w:val="auto"/>
        </w:rPr>
      </w:pPr>
    </w:p>
    <w:p>
      <w:pPr>
        <w:ind w:left="480" w:hanging="472"/>
        <w:spacing w:after="0"/>
        <w:tabs>
          <w:tab w:leader="none" w:pos="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Became fully exercisable on January 28, 2025.</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Vesting date is January 31, 2028.</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Vesting date is January 29, 2027.</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Vesting date is January 30, 2026.</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Vested on January 31, 2025.</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Option awards</w:t>
      </w:r>
    </w:p>
    <w:p>
      <w:pPr>
        <w:spacing w:after="0" w:line="23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“Option Awards” shown in the table above are non-qualified stock options, each of which represents the right to purchase shares of TI common stock at the stated exercise price. The exercise price is the closing price of TI common stock on the grant date. The term of each option is 10 years unless the option is terminated earlier pursuant to provisions summarized in the chart below and in the paragraph following the chart. Options become exercisable in increments of 25% per year beginning on the first anniversary of the date of the grant. The chart below shows the termination provisions relating to stock options outstanding as of December 31, 2024. The compensation committee of the board of directors established these termination provisions to promote employee retention while offering competitive terms.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3960" w:type="dxa"/>
            <w:vAlign w:val="bottom"/>
          </w:tcPr>
          <w:p>
            <w:pPr>
              <w:jc w:val="center"/>
              <w:ind w:left="500"/>
              <w:spacing w:after="0"/>
              <w:rPr>
                <w:sz w:val="20"/>
                <w:szCs w:val="20"/>
                <w:color w:val="auto"/>
              </w:rPr>
            </w:pPr>
            <w:r>
              <w:rPr>
                <w:rFonts w:ascii="Arial" w:cs="Arial" w:eastAsia="Arial" w:hAnsi="Arial"/>
                <w:sz w:val="14"/>
                <w:szCs w:val="14"/>
                <w:b w:val="1"/>
                <w:bCs w:val="1"/>
                <w:color w:val="auto"/>
              </w:rPr>
              <w:t>Employment Termination due to</w:t>
            </w:r>
          </w:p>
        </w:tc>
        <w:tc>
          <w:tcPr>
            <w:tcW w:w="200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75"/>
        </w:trPr>
        <w:tc>
          <w:tcPr>
            <w:tcW w:w="2660" w:type="dxa"/>
            <w:vAlign w:val="bottom"/>
          </w:tcPr>
          <w:p>
            <w:pPr>
              <w:spacing w:after="0"/>
              <w:rPr>
                <w:sz w:val="15"/>
                <w:szCs w:val="15"/>
                <w:color w:val="auto"/>
              </w:rPr>
            </w:pPr>
          </w:p>
        </w:tc>
        <w:tc>
          <w:tcPr>
            <w:tcW w:w="3960" w:type="dxa"/>
            <w:vAlign w:val="bottom"/>
          </w:tcPr>
          <w:p>
            <w:pPr>
              <w:jc w:val="center"/>
              <w:ind w:left="540"/>
              <w:spacing w:after="0"/>
              <w:rPr>
                <w:sz w:val="20"/>
                <w:szCs w:val="20"/>
                <w:color w:val="auto"/>
              </w:rPr>
            </w:pPr>
            <w:r>
              <w:rPr>
                <w:rFonts w:ascii="Arial" w:cs="Arial" w:eastAsia="Arial" w:hAnsi="Arial"/>
                <w:sz w:val="14"/>
                <w:szCs w:val="14"/>
                <w:b w:val="1"/>
                <w:bCs w:val="1"/>
                <w:color w:val="auto"/>
              </w:rPr>
              <w:t>Death or Permanent Disability</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Employment</w:t>
            </w:r>
          </w:p>
        </w:tc>
        <w:tc>
          <w:tcPr>
            <w:tcW w:w="2600" w:type="dxa"/>
            <w:vAlign w:val="bottom"/>
          </w:tcPr>
          <w:p>
            <w:pPr>
              <w:jc w:val="center"/>
              <w:ind w:left="39"/>
              <w:spacing w:after="0"/>
              <w:rPr>
                <w:sz w:val="20"/>
                <w:szCs w:val="20"/>
                <w:color w:val="auto"/>
              </w:rPr>
            </w:pPr>
            <w:r>
              <w:rPr>
                <w:rFonts w:ascii="Arial" w:cs="Arial" w:eastAsia="Arial" w:hAnsi="Arial"/>
                <w:sz w:val="14"/>
                <w:szCs w:val="14"/>
                <w:b w:val="1"/>
                <w:bCs w:val="1"/>
                <w:color w:val="auto"/>
              </w:rPr>
              <w:t>Other Circumstances</w:t>
            </w:r>
          </w:p>
        </w:tc>
      </w:tr>
      <w:tr>
        <w:trPr>
          <w:trHeight w:val="176"/>
        </w:trPr>
        <w:tc>
          <w:tcPr>
            <w:tcW w:w="2660" w:type="dxa"/>
            <w:vAlign w:val="bottom"/>
          </w:tcPr>
          <w:p>
            <w:pPr>
              <w:spacing w:after="0"/>
              <w:rPr>
                <w:sz w:val="15"/>
                <w:szCs w:val="15"/>
                <w:color w:val="auto"/>
              </w:rPr>
            </w:pPr>
          </w:p>
        </w:tc>
        <w:tc>
          <w:tcPr>
            <w:tcW w:w="3960" w:type="dxa"/>
            <w:vAlign w:val="bottom"/>
          </w:tcPr>
          <w:p>
            <w:pPr>
              <w:jc w:val="center"/>
              <w:ind w:left="500"/>
              <w:spacing w:after="0"/>
              <w:rPr>
                <w:sz w:val="20"/>
                <w:szCs w:val="20"/>
                <w:color w:val="auto"/>
              </w:rPr>
            </w:pPr>
            <w:r>
              <w:rPr>
                <w:rFonts w:ascii="Arial" w:cs="Arial" w:eastAsia="Arial" w:hAnsi="Arial"/>
                <w:sz w:val="14"/>
                <w:szCs w:val="14"/>
                <w:b w:val="1"/>
                <w:bCs w:val="1"/>
                <w:color w:val="auto"/>
              </w:rPr>
              <w:t>or at Least 6 Months after Grant</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2600" w:type="dxa"/>
            <w:vAlign w:val="bottom"/>
          </w:tcPr>
          <w:p>
            <w:pPr>
              <w:jc w:val="center"/>
              <w:ind w:left="39"/>
              <w:spacing w:after="0"/>
              <w:rPr>
                <w:sz w:val="20"/>
                <w:szCs w:val="20"/>
                <w:color w:val="auto"/>
              </w:rPr>
            </w:pPr>
            <w:r>
              <w:rPr>
                <w:rFonts w:ascii="Arial" w:cs="Arial" w:eastAsia="Arial" w:hAnsi="Arial"/>
                <w:sz w:val="14"/>
                <w:szCs w:val="14"/>
                <w:b w:val="1"/>
                <w:bCs w:val="1"/>
                <w:color w:val="auto"/>
              </w:rPr>
              <w:t>of Employment</w:t>
            </w:r>
          </w:p>
        </w:tc>
      </w:tr>
      <w:tr>
        <w:trPr>
          <w:trHeight w:val="205"/>
        </w:trPr>
        <w:tc>
          <w:tcPr>
            <w:tcW w:w="266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tcPr>
          <w:p>
            <w:pPr>
              <w:jc w:val="center"/>
              <w:ind w:left="540"/>
              <w:spacing w:after="0"/>
              <w:rPr>
                <w:sz w:val="20"/>
                <w:szCs w:val="20"/>
                <w:color w:val="auto"/>
              </w:rPr>
            </w:pPr>
            <w:r>
              <w:rPr>
                <w:rFonts w:ascii="Arial" w:cs="Arial" w:eastAsia="Arial" w:hAnsi="Arial"/>
                <w:sz w:val="14"/>
                <w:szCs w:val="14"/>
                <w:b w:val="1"/>
                <w:bCs w:val="1"/>
                <w:color w:val="auto"/>
              </w:rPr>
              <w:t>When Retirement Eligible *</w:t>
            </w:r>
          </w:p>
        </w:tc>
        <w:tc>
          <w:tcPr>
            <w:tcW w:w="200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for Cause</w:t>
            </w:r>
          </w:p>
        </w:tc>
        <w:tc>
          <w:tcPr>
            <w:tcW w:w="2600" w:type="dxa"/>
            <w:vAlign w:val="bottom"/>
            <w:tcBorders>
              <w:bottom w:val="single" w:sz="8" w:color="auto"/>
            </w:tcBorders>
          </w:tcPr>
          <w:p>
            <w:pPr>
              <w:jc w:val="center"/>
              <w:ind w:left="79"/>
              <w:spacing w:after="0"/>
              <w:rPr>
                <w:sz w:val="20"/>
                <w:szCs w:val="20"/>
                <w:color w:val="auto"/>
              </w:rPr>
            </w:pPr>
            <w:r>
              <w:rPr>
                <w:rFonts w:ascii="Arial" w:cs="Arial" w:eastAsia="Arial" w:hAnsi="Arial"/>
                <w:sz w:val="14"/>
                <w:szCs w:val="14"/>
                <w:b w:val="1"/>
                <w:bCs w:val="1"/>
                <w:color w:val="auto"/>
                <w:w w:val="99"/>
              </w:rPr>
              <w:t>Termination</w:t>
            </w:r>
          </w:p>
        </w:tc>
      </w:tr>
      <w:tr>
        <w:trPr>
          <w:trHeight w:val="224"/>
        </w:trPr>
        <w:tc>
          <w:tcPr>
            <w:tcW w:w="2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Unexercisable</w:t>
            </w:r>
          </w:p>
        </w:tc>
        <w:tc>
          <w:tcPr>
            <w:tcW w:w="3960" w:type="dxa"/>
            <w:vAlign w:val="bottom"/>
            <w:shd w:val="clear" w:color="auto" w:fill="DBDBDB"/>
          </w:tcPr>
          <w:p>
            <w:pPr>
              <w:jc w:val="center"/>
              <w:ind w:left="540"/>
              <w:spacing w:after="0"/>
              <w:rPr>
                <w:sz w:val="20"/>
                <w:szCs w:val="20"/>
                <w:color w:val="auto"/>
              </w:rPr>
            </w:pPr>
            <w:r>
              <w:rPr>
                <w:rFonts w:ascii="Arial" w:cs="Arial" w:eastAsia="Arial" w:hAnsi="Arial"/>
                <w:sz w:val="18"/>
                <w:szCs w:val="18"/>
                <w:color w:val="auto"/>
              </w:rPr>
              <w:t>Continues</w:t>
            </w:r>
          </w:p>
        </w:tc>
        <w:tc>
          <w:tcPr>
            <w:tcW w:w="2000" w:type="dxa"/>
            <w:vAlign w:val="bottom"/>
            <w:shd w:val="clear" w:color="auto" w:fill="DBDBDB"/>
          </w:tcPr>
          <w:p>
            <w:pPr>
              <w:jc w:val="center"/>
              <w:ind w:left="21"/>
              <w:spacing w:after="0"/>
              <w:rPr>
                <w:sz w:val="20"/>
                <w:szCs w:val="20"/>
                <w:color w:val="auto"/>
              </w:rPr>
            </w:pPr>
            <w:r>
              <w:rPr>
                <w:rFonts w:ascii="Arial" w:cs="Arial" w:eastAsia="Arial" w:hAnsi="Arial"/>
                <w:sz w:val="18"/>
                <w:szCs w:val="18"/>
                <w:color w:val="auto"/>
                <w:w w:val="99"/>
              </w:rPr>
              <w:t>Stops</w:t>
            </w:r>
          </w:p>
        </w:tc>
        <w:tc>
          <w:tcPr>
            <w:tcW w:w="2600" w:type="dxa"/>
            <w:vAlign w:val="bottom"/>
            <w:shd w:val="clear" w:color="auto" w:fill="DBDBDB"/>
          </w:tcPr>
          <w:p>
            <w:pPr>
              <w:jc w:val="center"/>
              <w:ind w:left="59"/>
              <w:spacing w:after="0"/>
              <w:rPr>
                <w:sz w:val="20"/>
                <w:szCs w:val="20"/>
                <w:color w:val="auto"/>
              </w:rPr>
            </w:pPr>
            <w:r>
              <w:rPr>
                <w:rFonts w:ascii="Arial" w:cs="Arial" w:eastAsia="Arial" w:hAnsi="Arial"/>
                <w:sz w:val="18"/>
                <w:szCs w:val="18"/>
                <w:color w:val="auto"/>
                <w:w w:val="99"/>
              </w:rPr>
              <w:t>Stops</w:t>
            </w:r>
          </w:p>
        </w:tc>
      </w:tr>
      <w:tr>
        <w:trPr>
          <w:trHeight w:val="262"/>
        </w:trPr>
        <w:tc>
          <w:tcPr>
            <w:tcW w:w="2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portion of option</w:t>
            </w:r>
          </w:p>
        </w:tc>
        <w:tc>
          <w:tcPr>
            <w:tcW w:w="3960" w:type="dxa"/>
            <w:vAlign w:val="bottom"/>
            <w:shd w:val="clear" w:color="auto" w:fill="DBDBDB"/>
          </w:tcPr>
          <w:p>
            <w:pPr>
              <w:spacing w:after="0"/>
              <w:rPr>
                <w:sz w:val="22"/>
                <w:szCs w:val="22"/>
                <w:color w:val="auto"/>
              </w:rPr>
            </w:pPr>
          </w:p>
        </w:tc>
        <w:tc>
          <w:tcPr>
            <w:tcW w:w="2000" w:type="dxa"/>
            <w:vAlign w:val="bottom"/>
            <w:shd w:val="clear" w:color="auto" w:fill="DBDBDB"/>
          </w:tcPr>
          <w:p>
            <w:pPr>
              <w:spacing w:after="0"/>
              <w:rPr>
                <w:sz w:val="22"/>
                <w:szCs w:val="22"/>
                <w:color w:val="auto"/>
              </w:rPr>
            </w:pPr>
          </w:p>
        </w:tc>
        <w:tc>
          <w:tcPr>
            <w:tcW w:w="2600" w:type="dxa"/>
            <w:vAlign w:val="bottom"/>
            <w:shd w:val="clear" w:color="auto" w:fill="DBDBDB"/>
          </w:tcPr>
          <w:p>
            <w:pPr>
              <w:spacing w:after="0"/>
              <w:rPr>
                <w:sz w:val="22"/>
                <w:szCs w:val="22"/>
                <w:color w:val="auto"/>
              </w:rPr>
            </w:pPr>
          </w:p>
        </w:tc>
      </w:tr>
      <w:tr>
        <w:trPr>
          <w:trHeight w:val="224"/>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Exercisable</w:t>
            </w:r>
          </w:p>
        </w:tc>
        <w:tc>
          <w:tcPr>
            <w:tcW w:w="3960" w:type="dxa"/>
            <w:vAlign w:val="bottom"/>
          </w:tcPr>
          <w:p>
            <w:pPr>
              <w:jc w:val="center"/>
              <w:ind w:left="540"/>
              <w:spacing w:after="0"/>
              <w:rPr>
                <w:sz w:val="20"/>
                <w:szCs w:val="20"/>
                <w:color w:val="auto"/>
              </w:rPr>
            </w:pPr>
            <w:r>
              <w:rPr>
                <w:rFonts w:ascii="Arial" w:cs="Arial" w:eastAsia="Arial" w:hAnsi="Arial"/>
                <w:sz w:val="18"/>
                <w:szCs w:val="18"/>
                <w:color w:val="auto"/>
                <w:w w:val="99"/>
              </w:rPr>
              <w:t>Remains exercisable</w:t>
            </w:r>
          </w:p>
        </w:tc>
        <w:tc>
          <w:tcPr>
            <w:tcW w:w="2000" w:type="dxa"/>
            <w:vAlign w:val="bottom"/>
          </w:tcPr>
          <w:p>
            <w:pPr>
              <w:jc w:val="center"/>
              <w:ind w:left="1"/>
              <w:spacing w:after="0"/>
              <w:rPr>
                <w:sz w:val="20"/>
                <w:szCs w:val="20"/>
                <w:color w:val="auto"/>
              </w:rPr>
            </w:pPr>
            <w:r>
              <w:rPr>
                <w:rFonts w:ascii="Arial" w:cs="Arial" w:eastAsia="Arial" w:hAnsi="Arial"/>
                <w:sz w:val="18"/>
                <w:szCs w:val="18"/>
                <w:color w:val="auto"/>
                <w:w w:val="97"/>
              </w:rPr>
              <w:t>Terminates</w:t>
            </w:r>
          </w:p>
        </w:tc>
        <w:tc>
          <w:tcPr>
            <w:tcW w:w="2600" w:type="dxa"/>
            <w:vAlign w:val="bottom"/>
          </w:tcPr>
          <w:p>
            <w:pPr>
              <w:jc w:val="center"/>
              <w:ind w:left="19"/>
              <w:spacing w:after="0"/>
              <w:rPr>
                <w:sz w:val="20"/>
                <w:szCs w:val="20"/>
                <w:color w:val="auto"/>
              </w:rPr>
            </w:pPr>
            <w:r>
              <w:rPr>
                <w:rFonts w:ascii="Arial" w:cs="Arial" w:eastAsia="Arial" w:hAnsi="Arial"/>
                <w:sz w:val="18"/>
                <w:szCs w:val="18"/>
                <w:color w:val="auto"/>
                <w:w w:val="99"/>
              </w:rPr>
              <w:t>Remains exercisable</w:t>
            </w:r>
          </w:p>
        </w:tc>
      </w:tr>
      <w:tr>
        <w:trPr>
          <w:trHeight w:val="247"/>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portion of option</w:t>
            </w:r>
          </w:p>
        </w:tc>
        <w:tc>
          <w:tcPr>
            <w:tcW w:w="3960" w:type="dxa"/>
            <w:vAlign w:val="bottom"/>
          </w:tcPr>
          <w:p>
            <w:pPr>
              <w:jc w:val="center"/>
              <w:ind w:left="540"/>
              <w:spacing w:after="0"/>
              <w:rPr>
                <w:sz w:val="20"/>
                <w:szCs w:val="20"/>
                <w:color w:val="auto"/>
              </w:rPr>
            </w:pPr>
            <w:r>
              <w:rPr>
                <w:rFonts w:ascii="Arial" w:cs="Arial" w:eastAsia="Arial" w:hAnsi="Arial"/>
                <w:sz w:val="18"/>
                <w:szCs w:val="18"/>
                <w:color w:val="auto"/>
                <w:w w:val="99"/>
              </w:rPr>
              <w:t>to end of term</w:t>
            </w:r>
          </w:p>
        </w:tc>
        <w:tc>
          <w:tcPr>
            <w:tcW w:w="2000" w:type="dxa"/>
            <w:vAlign w:val="bottom"/>
          </w:tcPr>
          <w:p>
            <w:pPr>
              <w:spacing w:after="0"/>
              <w:rPr>
                <w:sz w:val="21"/>
                <w:szCs w:val="21"/>
                <w:color w:val="auto"/>
              </w:rPr>
            </w:pPr>
          </w:p>
        </w:tc>
        <w:tc>
          <w:tcPr>
            <w:tcW w:w="2600" w:type="dxa"/>
            <w:vAlign w:val="bottom"/>
          </w:tcPr>
          <w:p>
            <w:pPr>
              <w:jc w:val="center"/>
              <w:ind w:left="79"/>
              <w:spacing w:after="0"/>
              <w:rPr>
                <w:sz w:val="20"/>
                <w:szCs w:val="20"/>
                <w:color w:val="auto"/>
              </w:rPr>
            </w:pPr>
            <w:r>
              <w:rPr>
                <w:rFonts w:ascii="Arial" w:cs="Arial" w:eastAsia="Arial" w:hAnsi="Arial"/>
                <w:sz w:val="18"/>
                <w:szCs w:val="18"/>
                <w:color w:val="auto"/>
                <w:w w:val="98"/>
              </w:rPr>
              <w:t>for 30 days</w:t>
            </w:r>
          </w:p>
        </w:tc>
      </w:tr>
    </w:tbl>
    <w:p>
      <w:pPr>
        <w:spacing w:after="0" w:line="185" w:lineRule="exact"/>
        <w:rPr>
          <w:sz w:val="20"/>
          <w:szCs w:val="20"/>
          <w:color w:val="auto"/>
        </w:rPr>
      </w:pPr>
    </w:p>
    <w:p>
      <w:pPr>
        <w:ind w:left="280" w:hanging="272"/>
        <w:spacing w:after="0"/>
        <w:tabs>
          <w:tab w:leader="none" w:pos="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Retirement eligibility is defined for purposes of equity awards as at least age 55 with 10 or more years of TI service or at least age 65.</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Options may be canceled if, during the two years after employment termination, the grantee competes with TI or solicits TI employees to work for another company or if the grantee discloses TI trade secrets. In addition, for options received while the grantee was an executive officer, the company may reclaim (or “clawback”) profits earned under grants if the officer engages in such conduct. These provisions are intended to strengthen retention and provide a reasonable remedy to TI in case of competition, solicitation of our employees or disclosure of our confidential information.</w:t>
      </w:r>
    </w:p>
    <w:p>
      <w:pPr>
        <w:spacing w:after="0" w:line="17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Options become fully vested if the grantee is involuntarily terminated from employment with TI (other than for cause) within 24 months after a change in control of TI. “Change in control” is defined as provided in the Texas Instruments 2009 Long-Term Incentive Plan and occurs upon</w:t>
      </w:r>
    </w:p>
    <w:p>
      <w:pPr>
        <w:spacing w:after="0" w:line="2" w:lineRule="exact"/>
        <w:rPr>
          <w:sz w:val="20"/>
          <w:szCs w:val="20"/>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acquisition of more than 50% of the voting stock or at least 80% of the assets of TI or (ii) change of a majority of the board of directors in a</w:t>
      </w:r>
    </w:p>
    <w:p>
      <w:pPr>
        <w:spacing w:after="0" w:line="9" w:lineRule="exact"/>
        <w:rPr>
          <w:rFonts w:ascii="Arial" w:cs="Arial" w:eastAsia="Arial" w:hAnsi="Arial"/>
          <w:sz w:val="18"/>
          <w:szCs w:val="18"/>
          <w:color w:val="auto"/>
        </w:rPr>
      </w:pPr>
    </w:p>
    <w:p>
      <w:pPr>
        <w:ind w:right="80"/>
        <w:spacing w:after="0" w:line="258" w:lineRule="auto"/>
        <w:rPr>
          <w:rFonts w:ascii="Arial" w:cs="Arial" w:eastAsia="Arial" w:hAnsi="Arial"/>
          <w:sz w:val="18"/>
          <w:szCs w:val="18"/>
          <w:color w:val="auto"/>
        </w:rPr>
      </w:pPr>
      <w:r>
        <w:rPr>
          <w:rFonts w:ascii="Arial" w:cs="Arial" w:eastAsia="Arial" w:hAnsi="Arial"/>
          <w:sz w:val="18"/>
          <w:szCs w:val="18"/>
          <w:color w:val="auto"/>
        </w:rPr>
        <w:t>12-month period unless a majority of the directors then in office endorsed the appointment or election of the new directors (“Plan definition”). These terms are intended to reduce employee uncertainty and distraction in the period leading up to a change in control, if such an event were to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2" w:name="page43"/>
    <w:bookmarkEnd w:id="42"/>
    <w:p>
      <w:pPr>
        <w:spacing w:after="0"/>
        <w:rPr>
          <w:sz w:val="20"/>
          <w:szCs w:val="20"/>
          <w:color w:val="auto"/>
        </w:rPr>
      </w:pPr>
      <w:r>
        <w:rPr>
          <w:rFonts w:ascii="Arial" w:cs="Arial" w:eastAsia="Arial" w:hAnsi="Arial"/>
          <w:sz w:val="20"/>
          <w:szCs w:val="20"/>
          <w:i w:val="1"/>
          <w:iCs w:val="1"/>
          <w:color w:val="auto"/>
        </w:rPr>
        <w:t>Stock awards</w:t>
      </w:r>
    </w:p>
    <w:p>
      <w:pPr>
        <w:spacing w:after="0" w:line="23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“Stock Awards” column in the table of outstanding equity awards at fiscal year-end 2024 are RSU awards. Each RSU represents the right to receive one share of TI common stock on a stated date (the “vesting date”) unless the award is terminated earlier under terms summarized below. In general, the vesting date is approximately four years after the grant date. Each RSU includes the right to receive dividend equivalents, which are paid annually in cash at a rate equal to the amount paid to stockholders in dividends.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termination provisions of RSUs outstanding as of December 31, 2024.</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jc w:val="center"/>
              <w:ind w:left="1"/>
              <w:spacing w:after="0"/>
              <w:rPr>
                <w:sz w:val="20"/>
                <w:szCs w:val="20"/>
                <w:color w:val="auto"/>
              </w:rPr>
            </w:pPr>
            <w:r>
              <w:rPr>
                <w:rFonts w:ascii="Arial" w:cs="Arial" w:eastAsia="Arial" w:hAnsi="Arial"/>
                <w:sz w:val="14"/>
                <w:szCs w:val="14"/>
                <w:b w:val="1"/>
                <w:bCs w:val="1"/>
                <w:color w:val="auto"/>
              </w:rPr>
              <w:t>Employment Termination Due to Death or</w:t>
            </w:r>
          </w:p>
        </w:tc>
        <w:tc>
          <w:tcPr>
            <w:tcW w:w="32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62"/>
        </w:trPr>
        <w:tc>
          <w:tcPr>
            <w:tcW w:w="4820" w:type="dxa"/>
            <w:vAlign w:val="bottom"/>
          </w:tcPr>
          <w:p>
            <w:pPr>
              <w:jc w:val="center"/>
              <w:ind w:left="61"/>
              <w:spacing w:after="0"/>
              <w:rPr>
                <w:sz w:val="20"/>
                <w:szCs w:val="20"/>
                <w:color w:val="auto"/>
              </w:rPr>
            </w:pPr>
            <w:r>
              <w:rPr>
                <w:rFonts w:ascii="Arial" w:cs="Arial" w:eastAsia="Arial" w:hAnsi="Arial"/>
                <w:sz w:val="14"/>
                <w:szCs w:val="14"/>
                <w:b w:val="1"/>
                <w:bCs w:val="1"/>
                <w:color w:val="auto"/>
              </w:rPr>
              <w:t>Permanent Disability or at Least Six Months</w:t>
            </w:r>
          </w:p>
        </w:tc>
        <w:tc>
          <w:tcPr>
            <w:tcW w:w="3260" w:type="dxa"/>
            <w:vAlign w:val="bottom"/>
          </w:tcPr>
          <w:p>
            <w:pPr>
              <w:jc w:val="center"/>
              <w:ind w:left="39"/>
              <w:spacing w:after="0"/>
              <w:rPr>
                <w:sz w:val="20"/>
                <w:szCs w:val="20"/>
                <w:color w:val="auto"/>
              </w:rPr>
            </w:pPr>
            <w:r>
              <w:rPr>
                <w:rFonts w:ascii="Arial" w:cs="Arial" w:eastAsia="Arial" w:hAnsi="Arial"/>
                <w:sz w:val="14"/>
                <w:szCs w:val="14"/>
                <w:b w:val="1"/>
                <w:bCs w:val="1"/>
                <w:color w:val="auto"/>
              </w:rPr>
              <w:t>Employment Termination</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Other Circumstances of</w:t>
            </w:r>
          </w:p>
        </w:tc>
      </w:tr>
      <w:tr>
        <w:trPr>
          <w:trHeight w:val="219"/>
        </w:trPr>
        <w:tc>
          <w:tcPr>
            <w:tcW w:w="482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rPr>
              <w:t>after Grant When Retirement Eligible</w:t>
            </w:r>
          </w:p>
        </w:tc>
        <w:tc>
          <w:tcPr>
            <w:tcW w:w="326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rPr>
              <w:t>For Cause</w:t>
            </w: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Employment Termination</w:t>
            </w:r>
          </w:p>
        </w:tc>
      </w:tr>
      <w:tr>
        <w:trPr>
          <w:trHeight w:val="224"/>
        </w:trPr>
        <w:tc>
          <w:tcPr>
            <w:tcW w:w="4820" w:type="dxa"/>
            <w:vAlign w:val="bottom"/>
          </w:tcPr>
          <w:p>
            <w:pPr>
              <w:jc w:val="center"/>
              <w:ind w:left="41"/>
              <w:spacing w:after="0"/>
              <w:rPr>
                <w:sz w:val="20"/>
                <w:szCs w:val="20"/>
                <w:color w:val="auto"/>
              </w:rPr>
            </w:pPr>
            <w:r>
              <w:rPr>
                <w:rFonts w:ascii="Arial" w:cs="Arial" w:eastAsia="Arial" w:hAnsi="Arial"/>
                <w:sz w:val="18"/>
                <w:szCs w:val="18"/>
                <w:color w:val="auto"/>
                <w:w w:val="99"/>
              </w:rPr>
              <w:t>Vesting continues; shares are paid</w:t>
            </w:r>
          </w:p>
        </w:tc>
        <w:tc>
          <w:tcPr>
            <w:tcW w:w="3260" w:type="dxa"/>
            <w:vAlign w:val="bottom"/>
          </w:tcPr>
          <w:p>
            <w:pPr>
              <w:ind w:left="960"/>
              <w:spacing w:after="0"/>
              <w:rPr>
                <w:sz w:val="20"/>
                <w:szCs w:val="20"/>
                <w:color w:val="auto"/>
              </w:rPr>
            </w:pPr>
            <w:r>
              <w:rPr>
                <w:rFonts w:ascii="Arial" w:cs="Arial" w:eastAsia="Arial" w:hAnsi="Arial"/>
                <w:sz w:val="18"/>
                <w:szCs w:val="18"/>
                <w:color w:val="auto"/>
              </w:rPr>
              <w:t>Grant cancels; no</w:t>
            </w:r>
          </w:p>
        </w:tc>
        <w:tc>
          <w:tcPr>
            <w:tcW w:w="3140" w:type="dxa"/>
            <w:vAlign w:val="bottom"/>
          </w:tcPr>
          <w:p>
            <w:pPr>
              <w:ind w:left="840"/>
              <w:spacing w:after="0"/>
              <w:rPr>
                <w:sz w:val="20"/>
                <w:szCs w:val="20"/>
                <w:color w:val="auto"/>
              </w:rPr>
            </w:pPr>
            <w:r>
              <w:rPr>
                <w:rFonts w:ascii="Arial" w:cs="Arial" w:eastAsia="Arial" w:hAnsi="Arial"/>
                <w:sz w:val="18"/>
                <w:szCs w:val="18"/>
                <w:color w:val="auto"/>
              </w:rPr>
              <w:t>Grant cancels; no</w:t>
            </w:r>
          </w:p>
        </w:tc>
      </w:tr>
      <w:tr>
        <w:trPr>
          <w:trHeight w:val="239"/>
        </w:trPr>
        <w:tc>
          <w:tcPr>
            <w:tcW w:w="4820" w:type="dxa"/>
            <w:vAlign w:val="bottom"/>
          </w:tcPr>
          <w:p>
            <w:pPr>
              <w:jc w:val="center"/>
              <w:ind w:left="41"/>
              <w:spacing w:after="0"/>
              <w:rPr>
                <w:sz w:val="20"/>
                <w:szCs w:val="20"/>
                <w:color w:val="auto"/>
              </w:rPr>
            </w:pPr>
            <w:r>
              <w:rPr>
                <w:rFonts w:ascii="Arial" w:cs="Arial" w:eastAsia="Arial" w:hAnsi="Arial"/>
                <w:sz w:val="18"/>
                <w:szCs w:val="18"/>
                <w:color w:val="auto"/>
                <w:w w:val="99"/>
              </w:rPr>
              <w:t>at the scheduled vesting date</w:t>
            </w:r>
          </w:p>
        </w:tc>
        <w:tc>
          <w:tcPr>
            <w:tcW w:w="3260" w:type="dxa"/>
            <w:vAlign w:val="bottom"/>
          </w:tcPr>
          <w:p>
            <w:pPr>
              <w:jc w:val="center"/>
              <w:ind w:left="39"/>
              <w:spacing w:after="0"/>
              <w:rPr>
                <w:sz w:val="20"/>
                <w:szCs w:val="20"/>
                <w:color w:val="auto"/>
              </w:rPr>
            </w:pPr>
            <w:r>
              <w:rPr>
                <w:rFonts w:ascii="Arial" w:cs="Arial" w:eastAsia="Arial" w:hAnsi="Arial"/>
                <w:sz w:val="18"/>
                <w:szCs w:val="18"/>
                <w:color w:val="auto"/>
                <w:w w:val="99"/>
              </w:rPr>
              <w:t>shares are issued</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shares are issued</w:t>
            </w:r>
          </w:p>
        </w:tc>
      </w:tr>
    </w:tbl>
    <w:p>
      <w:pPr>
        <w:spacing w:after="0" w:line="30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These termination provisions are intended to promote retention. All RSU awards contain cancellation and clawback provisions like those described above for stock options. The terms provide that, to the extent permitted by Section 409A of the IRC, the award vests upon involuntary termination of TI employment within 24 months after a change in control. Change in control is the Plan definition. These cancellation, clawback and change in control terms are intended to conform RSU terms with those of stock options (to the extent permitted by the IRC) and to achieve the objectives described above in the discussion of stock options.</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the “Stock Awards” shown in the outstanding equity awards at fiscal year-end 2024 table,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2024 non-qualified deferred compensation table.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2024 option exercises and stock vested</w:t>
      </w:r>
    </w:p>
    <w:p>
      <w:pPr>
        <w:spacing w:after="0" w:line="23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table lists the number of shares acquired and the value realized as a result of option exercises by the named executive officers in 2024 and the value of any RSUs that vested in 2024. For option exercises, the value realized is calculated by multiplying the number of shares acquired by the difference between the exercise price and the market price of TI common stock on the exercise date. For RSUs, the value realized is calculated by multiplying the number of RSUs that vested by the market price of TI common stock on the vesting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00" w:type="dxa"/>
            <w:vAlign w:val="bottom"/>
          </w:tcPr>
          <w:p>
            <w:pPr>
              <w:spacing w:after="0"/>
              <w:rPr>
                <w:sz w:val="17"/>
                <w:szCs w:val="17"/>
                <w:color w:val="auto"/>
              </w:rPr>
            </w:pPr>
          </w:p>
        </w:tc>
        <w:tc>
          <w:tcPr>
            <w:tcW w:w="3120" w:type="dxa"/>
            <w:vAlign w:val="bottom"/>
            <w:tcBorders>
              <w:bottom w:val="single" w:sz="8" w:color="auto"/>
            </w:tcBorders>
            <w:gridSpan w:val="3"/>
          </w:tcPr>
          <w:p>
            <w:pPr>
              <w:jc w:val="right"/>
              <w:ind w:right="955"/>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17"/>
                <w:szCs w:val="17"/>
                <w:color w:val="auto"/>
              </w:rPr>
            </w:pP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Stock Awards</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00" w:type="dxa"/>
            <w:vAlign w:val="bottom"/>
          </w:tcPr>
          <w:p>
            <w:pPr>
              <w:spacing w:after="0"/>
              <w:rPr>
                <w:sz w:val="16"/>
                <w:szCs w:val="16"/>
                <w:color w:val="auto"/>
              </w:rPr>
            </w:pPr>
          </w:p>
        </w:tc>
        <w:tc>
          <w:tcPr>
            <w:tcW w:w="1540" w:type="dxa"/>
            <w:vAlign w:val="bottom"/>
          </w:tcPr>
          <w:p>
            <w:pPr>
              <w:jc w:val="center"/>
              <w:ind w:left="58"/>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Value Realized</w:t>
            </w:r>
          </w:p>
        </w:tc>
        <w:tc>
          <w:tcPr>
            <w:tcW w:w="1560" w:type="dxa"/>
            <w:vAlign w:val="bottom"/>
          </w:tcPr>
          <w:p>
            <w:pPr>
              <w:jc w:val="center"/>
              <w:ind w:left="78"/>
              <w:spacing w:after="0"/>
              <w:rPr>
                <w:sz w:val="20"/>
                <w:szCs w:val="20"/>
                <w:color w:val="auto"/>
              </w:rPr>
            </w:pPr>
            <w:r>
              <w:rPr>
                <w:rFonts w:ascii="Arial" w:cs="Arial" w:eastAsia="Arial" w:hAnsi="Arial"/>
                <w:sz w:val="14"/>
                <w:szCs w:val="14"/>
                <w:b w:val="1"/>
                <w:bCs w:val="1"/>
                <w:color w:val="auto"/>
              </w:rPr>
              <w:t>Number of</w:t>
            </w:r>
          </w:p>
        </w:tc>
        <w:tc>
          <w:tcPr>
            <w:tcW w:w="460" w:type="dxa"/>
            <w:vAlign w:val="bottom"/>
          </w:tcPr>
          <w:p>
            <w:pPr>
              <w:spacing w:after="0"/>
              <w:rPr>
                <w:sz w:val="16"/>
                <w:szCs w:val="16"/>
                <w:color w:val="auto"/>
              </w:rPr>
            </w:pP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540" w:type="dxa"/>
            <w:vAlign w:val="bottom"/>
          </w:tcPr>
          <w:p>
            <w:pPr>
              <w:jc w:val="center"/>
              <w:ind w:left="38"/>
              <w:spacing w:after="0"/>
              <w:rPr>
                <w:sz w:val="20"/>
                <w:szCs w:val="20"/>
                <w:color w:val="auto"/>
              </w:rPr>
            </w:pPr>
            <w:r>
              <w:rPr>
                <w:rFonts w:ascii="Arial" w:cs="Arial" w:eastAsia="Arial" w:hAnsi="Arial"/>
                <w:sz w:val="14"/>
                <w:szCs w:val="14"/>
                <w:b w:val="1"/>
                <w:bCs w:val="1"/>
                <w:color w:val="auto"/>
              </w:rPr>
              <w:t>Shares Acquired</w:t>
            </w:r>
          </w:p>
        </w:tc>
        <w:tc>
          <w:tcPr>
            <w:tcW w:w="3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560" w:type="dxa"/>
            <w:vAlign w:val="bottom"/>
          </w:tcPr>
          <w:p>
            <w:pPr>
              <w:jc w:val="center"/>
              <w:ind w:left="58"/>
              <w:spacing w:after="0"/>
              <w:rPr>
                <w:sz w:val="20"/>
                <w:szCs w:val="20"/>
                <w:color w:val="auto"/>
              </w:rPr>
            </w:pPr>
            <w:r>
              <w:rPr>
                <w:rFonts w:ascii="Arial" w:cs="Arial" w:eastAsia="Arial" w:hAnsi="Arial"/>
                <w:sz w:val="14"/>
                <w:szCs w:val="14"/>
                <w:b w:val="1"/>
                <w:bCs w:val="1"/>
                <w:color w:val="auto"/>
              </w:rPr>
              <w:t>Shares Acquired</w:t>
            </w:r>
          </w:p>
        </w:tc>
        <w:tc>
          <w:tcPr>
            <w:tcW w:w="4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205"/>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540" w:type="dxa"/>
            <w:vAlign w:val="bottom"/>
            <w:tcBorders>
              <w:bottom w:val="single" w:sz="8" w:color="auto"/>
            </w:tcBorders>
          </w:tcPr>
          <w:p>
            <w:pPr>
              <w:jc w:val="center"/>
              <w:ind w:left="58"/>
              <w:spacing w:after="0"/>
              <w:rPr>
                <w:sz w:val="20"/>
                <w:szCs w:val="20"/>
                <w:color w:val="auto"/>
              </w:rPr>
            </w:pPr>
            <w:r>
              <w:rPr>
                <w:rFonts w:ascii="Arial" w:cs="Arial" w:eastAsia="Arial" w:hAnsi="Arial"/>
                <w:sz w:val="14"/>
                <w:szCs w:val="14"/>
                <w:b w:val="1"/>
                <w:bCs w:val="1"/>
                <w:color w:val="auto"/>
              </w:rPr>
              <w:t>on Exercise</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on Exercise</w:t>
            </w:r>
          </w:p>
        </w:tc>
        <w:tc>
          <w:tcPr>
            <w:tcW w:w="1560" w:type="dxa"/>
            <w:vAlign w:val="bottom"/>
            <w:tcBorders>
              <w:bottom w:val="single" w:sz="8" w:color="auto"/>
            </w:tcBorders>
          </w:tcPr>
          <w:p>
            <w:pPr>
              <w:jc w:val="center"/>
              <w:ind w:left="58"/>
              <w:spacing w:after="0"/>
              <w:rPr>
                <w:sz w:val="20"/>
                <w:szCs w:val="20"/>
                <w:color w:val="auto"/>
              </w:rPr>
            </w:pPr>
            <w:r>
              <w:rPr>
                <w:rFonts w:ascii="Arial" w:cs="Arial" w:eastAsia="Arial" w:hAnsi="Arial"/>
                <w:sz w:val="14"/>
                <w:szCs w:val="14"/>
                <w:b w:val="1"/>
                <w:bCs w:val="1"/>
                <w:color w:val="auto"/>
              </w:rPr>
              <w:t>on Vesting</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1540" w:type="dxa"/>
            <w:vAlign w:val="bottom"/>
            <w:tcBorders>
              <w:bottom w:val="single" w:sz="8" w:color="DBDBDB"/>
            </w:tcBorders>
            <w:shd w:val="clear" w:color="auto" w:fill="DBDBDB"/>
          </w:tcPr>
          <w:p>
            <w:pPr>
              <w:jc w:val="right"/>
              <w:ind w:right="138"/>
              <w:spacing w:after="0"/>
              <w:rPr>
                <w:sz w:val="20"/>
                <w:szCs w:val="20"/>
                <w:color w:val="auto"/>
              </w:rPr>
            </w:pPr>
            <w:r>
              <w:rPr>
                <w:rFonts w:ascii="Arial" w:cs="Arial" w:eastAsia="Arial" w:hAnsi="Arial"/>
                <w:sz w:val="18"/>
                <w:szCs w:val="18"/>
                <w:color w:val="auto"/>
              </w:rPr>
              <w:t>38,151</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5,147,773</w:t>
            </w:r>
          </w:p>
        </w:tc>
        <w:tc>
          <w:tcPr>
            <w:tcW w:w="12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jc w:val="right"/>
              <w:ind w:right="118"/>
              <w:spacing w:after="0"/>
              <w:rPr>
                <w:sz w:val="20"/>
                <w:szCs w:val="20"/>
                <w:color w:val="auto"/>
              </w:rPr>
            </w:pPr>
            <w:r>
              <w:rPr>
                <w:rFonts w:ascii="Arial" w:cs="Arial" w:eastAsia="Arial" w:hAnsi="Arial"/>
                <w:sz w:val="18"/>
                <w:szCs w:val="18"/>
                <w:color w:val="auto"/>
              </w:rPr>
              <w:t>17,239</w:t>
            </w:r>
          </w:p>
        </w:tc>
        <w:tc>
          <w:tcPr>
            <w:tcW w:w="46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rPr>
              <w:t>2,793,580</w:t>
            </w:r>
          </w:p>
        </w:tc>
        <w:tc>
          <w:tcPr>
            <w:tcW w:w="0" w:type="dxa"/>
            <w:vAlign w:val="bottom"/>
          </w:tcPr>
          <w:p>
            <w:pPr>
              <w:spacing w:after="0"/>
              <w:rPr>
                <w:sz w:val="1"/>
                <w:szCs w:val="1"/>
                <w:color w:val="auto"/>
              </w:rPr>
            </w:pP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auto"/>
              </w:rPr>
              <w:t>Rafael Lizardi</w:t>
            </w:r>
          </w:p>
        </w:tc>
        <w:tc>
          <w:tcPr>
            <w:tcW w:w="1540" w:type="dxa"/>
            <w:vAlign w:val="bottom"/>
          </w:tcPr>
          <w:p>
            <w:pPr>
              <w:jc w:val="right"/>
              <w:ind w:right="138"/>
              <w:spacing w:after="0"/>
              <w:rPr>
                <w:sz w:val="20"/>
                <w:szCs w:val="20"/>
                <w:color w:val="auto"/>
              </w:rPr>
            </w:pPr>
            <w:r>
              <w:rPr>
                <w:rFonts w:ascii="Arial" w:cs="Arial" w:eastAsia="Arial" w:hAnsi="Arial"/>
                <w:sz w:val="18"/>
                <w:szCs w:val="18"/>
                <w:color w:val="auto"/>
              </w:rPr>
              <w:t>46,917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5,215,523</w:t>
            </w:r>
          </w:p>
        </w:tc>
        <w:tc>
          <w:tcPr>
            <w:tcW w:w="120" w:type="dxa"/>
            <w:vAlign w:val="bottom"/>
          </w:tcPr>
          <w:p>
            <w:pPr>
              <w:spacing w:after="0"/>
              <w:rPr>
                <w:sz w:val="21"/>
                <w:szCs w:val="21"/>
                <w:color w:val="auto"/>
              </w:rPr>
            </w:pPr>
          </w:p>
        </w:tc>
        <w:tc>
          <w:tcPr>
            <w:tcW w:w="1560" w:type="dxa"/>
            <w:vAlign w:val="bottom"/>
          </w:tcPr>
          <w:p>
            <w:pPr>
              <w:jc w:val="right"/>
              <w:ind w:right="118"/>
              <w:spacing w:after="0"/>
              <w:rPr>
                <w:sz w:val="20"/>
                <w:szCs w:val="20"/>
                <w:color w:val="auto"/>
              </w:rPr>
            </w:pPr>
            <w:r>
              <w:rPr>
                <w:rFonts w:ascii="Arial" w:cs="Arial" w:eastAsia="Arial" w:hAnsi="Arial"/>
                <w:sz w:val="18"/>
                <w:szCs w:val="18"/>
                <w:color w:val="auto"/>
              </w:rPr>
              <w:t>12,642</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ind w:left="180"/>
              <w:spacing w:after="0"/>
              <w:rPr>
                <w:sz w:val="20"/>
                <w:szCs w:val="20"/>
                <w:color w:val="auto"/>
              </w:rPr>
            </w:pPr>
            <w:r>
              <w:rPr>
                <w:rFonts w:ascii="Arial" w:cs="Arial" w:eastAsia="Arial" w:hAnsi="Arial"/>
                <w:sz w:val="18"/>
                <w:szCs w:val="18"/>
                <w:color w:val="auto"/>
              </w:rPr>
              <w:t>2,048,636</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1540" w:type="dxa"/>
            <w:vAlign w:val="bottom"/>
            <w:tcBorders>
              <w:bottom w:val="single" w:sz="8" w:color="DBDBDB"/>
            </w:tcBorders>
            <w:shd w:val="clear" w:color="auto" w:fill="DBDBDB"/>
          </w:tcPr>
          <w:p>
            <w:pPr>
              <w:jc w:val="right"/>
              <w:ind w:right="138"/>
              <w:spacing w:after="0"/>
              <w:rPr>
                <w:sz w:val="20"/>
                <w:szCs w:val="20"/>
                <w:color w:val="auto"/>
              </w:rPr>
            </w:pPr>
            <w:r>
              <w:rPr>
                <w:rFonts w:ascii="Arial" w:cs="Arial" w:eastAsia="Arial" w:hAnsi="Arial"/>
                <w:sz w:val="18"/>
                <w:szCs w:val="18"/>
                <w:color w:val="auto"/>
              </w:rPr>
              <w:t>516,440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63,473,138</w:t>
            </w:r>
          </w:p>
        </w:tc>
        <w:tc>
          <w:tcPr>
            <w:tcW w:w="12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jc w:val="right"/>
              <w:ind w:right="118"/>
              <w:spacing w:after="0"/>
              <w:rPr>
                <w:sz w:val="20"/>
                <w:szCs w:val="20"/>
                <w:color w:val="auto"/>
              </w:rPr>
            </w:pPr>
            <w:r>
              <w:rPr>
                <w:rFonts w:ascii="Arial" w:cs="Arial" w:eastAsia="Arial" w:hAnsi="Arial"/>
                <w:sz w:val="18"/>
                <w:szCs w:val="18"/>
                <w:color w:val="auto"/>
              </w:rPr>
              <w:t>49,801</w:t>
            </w:r>
          </w:p>
        </w:tc>
        <w:tc>
          <w:tcPr>
            <w:tcW w:w="46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rPr>
              <w:t>8,070,252</w:t>
            </w:r>
          </w:p>
        </w:tc>
        <w:tc>
          <w:tcPr>
            <w:tcW w:w="0" w:type="dxa"/>
            <w:vAlign w:val="bottom"/>
          </w:tcPr>
          <w:p>
            <w:pPr>
              <w:spacing w:after="0"/>
              <w:rPr>
                <w:sz w:val="1"/>
                <w:szCs w:val="1"/>
                <w:color w:val="auto"/>
              </w:rPr>
            </w:pP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auto"/>
              </w:rPr>
              <w:t>Hagop Kozanian</w:t>
            </w:r>
          </w:p>
        </w:tc>
        <w:tc>
          <w:tcPr>
            <w:tcW w:w="154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8"/>
              <w:spacing w:after="0"/>
              <w:rPr>
                <w:sz w:val="20"/>
                <w:szCs w:val="20"/>
                <w:color w:val="auto"/>
              </w:rPr>
            </w:pPr>
            <w:r>
              <w:rPr>
                <w:rFonts w:ascii="Arial" w:cs="Arial" w:eastAsia="Arial" w:hAnsi="Arial"/>
                <w:sz w:val="18"/>
                <w:szCs w:val="18"/>
                <w:color w:val="auto"/>
              </w:rPr>
              <w:t>11,493</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ind w:left="180"/>
              <w:spacing w:after="0"/>
              <w:rPr>
                <w:sz w:val="20"/>
                <w:szCs w:val="20"/>
                <w:color w:val="auto"/>
              </w:rPr>
            </w:pPr>
            <w:r>
              <w:rPr>
                <w:rFonts w:ascii="Arial" w:cs="Arial" w:eastAsia="Arial" w:hAnsi="Arial"/>
                <w:sz w:val="18"/>
                <w:szCs w:val="18"/>
                <w:color w:val="auto"/>
              </w:rPr>
              <w:t>1,862,441</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1540" w:type="dxa"/>
            <w:vAlign w:val="bottom"/>
            <w:shd w:val="clear" w:color="auto" w:fill="DBDBDB"/>
          </w:tcPr>
          <w:p>
            <w:pPr>
              <w:jc w:val="right"/>
              <w:ind w:right="138"/>
              <w:spacing w:after="0"/>
              <w:rPr>
                <w:sz w:val="20"/>
                <w:szCs w:val="20"/>
                <w:color w:val="auto"/>
              </w:rPr>
            </w:pPr>
            <w:r>
              <w:rPr>
                <w:rFonts w:ascii="Arial" w:cs="Arial" w:eastAsia="Arial" w:hAnsi="Arial"/>
                <w:sz w:val="18"/>
                <w:szCs w:val="18"/>
                <w:color w:val="auto"/>
              </w:rPr>
              <w:t>12,921</w:t>
            </w: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1,338,224</w:t>
            </w:r>
          </w:p>
        </w:tc>
        <w:tc>
          <w:tcPr>
            <w:tcW w:w="120" w:type="dxa"/>
            <w:vAlign w:val="bottom"/>
            <w:shd w:val="clear" w:color="auto" w:fill="DBDBDB"/>
          </w:tcPr>
          <w:p>
            <w:pPr>
              <w:spacing w:after="0"/>
              <w:rPr>
                <w:sz w:val="21"/>
                <w:szCs w:val="21"/>
                <w:color w:val="auto"/>
              </w:rPr>
            </w:pPr>
          </w:p>
        </w:tc>
        <w:tc>
          <w:tcPr>
            <w:tcW w:w="1560" w:type="dxa"/>
            <w:vAlign w:val="bottom"/>
            <w:shd w:val="clear" w:color="auto" w:fill="DBDBDB"/>
          </w:tcPr>
          <w:p>
            <w:pPr>
              <w:jc w:val="right"/>
              <w:ind w:right="118"/>
              <w:spacing w:after="0"/>
              <w:rPr>
                <w:sz w:val="20"/>
                <w:szCs w:val="20"/>
                <w:color w:val="auto"/>
              </w:rPr>
            </w:pPr>
            <w:r>
              <w:rPr>
                <w:rFonts w:ascii="Arial" w:cs="Arial" w:eastAsia="Arial" w:hAnsi="Arial"/>
                <w:sz w:val="18"/>
                <w:szCs w:val="18"/>
                <w:color w:val="auto"/>
              </w:rPr>
              <w:t>7,662</w:t>
            </w:r>
          </w:p>
        </w:tc>
        <w:tc>
          <w:tcPr>
            <w:tcW w:w="46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1,241,627</w:t>
            </w:r>
          </w:p>
        </w:tc>
        <w:tc>
          <w:tcPr>
            <w:tcW w:w="0" w:type="dxa"/>
            <w:vAlign w:val="bottom"/>
          </w:tcPr>
          <w:p>
            <w:pPr>
              <w:spacing w:after="0"/>
              <w:rPr>
                <w:sz w:val="1"/>
                <w:szCs w:val="1"/>
                <w:color w:val="auto"/>
              </w:rPr>
            </w:pPr>
          </w:p>
        </w:tc>
      </w:tr>
      <w:tr>
        <w:trPr>
          <w:trHeight w:val="23"/>
        </w:trPr>
        <w:tc>
          <w:tcPr>
            <w:tcW w:w="4900" w:type="dxa"/>
            <w:vAlign w:val="bottom"/>
            <w:shd w:val="clear" w:color="auto" w:fill="DBDBDB"/>
          </w:tcPr>
          <w:p>
            <w:pPr>
              <w:spacing w:after="0"/>
              <w:rPr>
                <w:sz w:val="2"/>
                <w:szCs w:val="2"/>
                <w:color w:val="auto"/>
              </w:rPr>
            </w:pPr>
          </w:p>
        </w:tc>
        <w:tc>
          <w:tcPr>
            <w:tcW w:w="154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12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56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10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43" w:name="page44"/>
    <w:bookmarkEnd w:id="43"/>
    <w:p>
      <w:pPr>
        <w:spacing w:after="0"/>
        <w:rPr>
          <w:sz w:val="20"/>
          <w:szCs w:val="20"/>
          <w:color w:val="auto"/>
        </w:rPr>
      </w:pPr>
      <w:r>
        <w:rPr>
          <w:rFonts w:ascii="Arial" w:cs="Arial" w:eastAsia="Arial" w:hAnsi="Arial"/>
          <w:sz w:val="20"/>
          <w:szCs w:val="20"/>
          <w:u w:val="single" w:color="auto"/>
          <w:color w:val="auto"/>
        </w:rPr>
        <w:t>2024 pension benefits</w:t>
      </w:r>
    </w:p>
    <w:p>
      <w:pPr>
        <w:spacing w:after="0" w:line="23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table shows the present value as of December 31, 2024,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 In accordance with SEC requirements, the amounts shown in the table do not reflect any named executive officer’s retirement eligibility or any increase in benefits that may result from the named executive officer’s continued employment after December 31, 2024.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60" w:type="dxa"/>
            <w:vAlign w:val="bottom"/>
          </w:tcPr>
          <w:p>
            <w:pPr>
              <w:jc w:val="center"/>
              <w:ind w:left="279"/>
              <w:spacing w:after="0"/>
              <w:rPr>
                <w:sz w:val="20"/>
                <w:szCs w:val="20"/>
                <w:color w:val="auto"/>
              </w:rPr>
            </w:pPr>
            <w:r>
              <w:rPr>
                <w:rFonts w:ascii="Arial" w:cs="Arial" w:eastAsia="Arial" w:hAnsi="Arial"/>
                <w:sz w:val="14"/>
                <w:szCs w:val="14"/>
                <w:b w:val="1"/>
                <w:bCs w:val="1"/>
                <w:color w:val="auto"/>
              </w:rPr>
              <w:t>Number of</w:t>
            </w: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Present Value of</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Payments</w:t>
            </w:r>
          </w:p>
        </w:tc>
      </w:tr>
      <w:tr>
        <w:trPr>
          <w:trHeight w:val="175"/>
        </w:trPr>
        <w:tc>
          <w:tcPr>
            <w:tcW w:w="22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760" w:type="dxa"/>
            <w:vAlign w:val="bottom"/>
          </w:tcPr>
          <w:p>
            <w:pPr>
              <w:jc w:val="center"/>
              <w:ind w:left="279"/>
              <w:spacing w:after="0"/>
              <w:rPr>
                <w:sz w:val="20"/>
                <w:szCs w:val="20"/>
                <w:color w:val="auto"/>
              </w:rPr>
            </w:pPr>
            <w:r>
              <w:rPr>
                <w:rFonts w:ascii="Arial" w:cs="Arial" w:eastAsia="Arial" w:hAnsi="Arial"/>
                <w:sz w:val="14"/>
                <w:szCs w:val="14"/>
                <w:b w:val="1"/>
                <w:bCs w:val="1"/>
                <w:color w:val="auto"/>
              </w:rPr>
              <w:t>Years Credited</w:t>
            </w:r>
          </w:p>
        </w:tc>
        <w:tc>
          <w:tcPr>
            <w:tcW w:w="300" w:type="dxa"/>
            <w:vAlign w:val="bottom"/>
          </w:tcPr>
          <w:p>
            <w:pPr>
              <w:spacing w:after="0"/>
              <w:rPr>
                <w:sz w:val="15"/>
                <w:szCs w:val="15"/>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rPr>
              <w:t>Accumulated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During Last</w:t>
            </w:r>
          </w:p>
        </w:tc>
      </w:tr>
      <w:tr>
        <w:trPr>
          <w:trHeight w:val="205"/>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(1)</w:t>
            </w:r>
          </w:p>
        </w:tc>
        <w:tc>
          <w:tcPr>
            <w:tcW w:w="438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Plan Name</w:t>
            </w:r>
          </w:p>
        </w:tc>
        <w:tc>
          <w:tcPr>
            <w:tcW w:w="1760" w:type="dxa"/>
            <w:vAlign w:val="bottom"/>
            <w:tcBorders>
              <w:bottom w:val="single" w:sz="8" w:color="auto"/>
            </w:tcBorders>
          </w:tcPr>
          <w:p>
            <w:pPr>
              <w:jc w:val="center"/>
              <w:ind w:left="279"/>
              <w:spacing w:after="0"/>
              <w:rPr>
                <w:sz w:val="20"/>
                <w:szCs w:val="20"/>
                <w:color w:val="auto"/>
              </w:rPr>
            </w:pPr>
            <w:r>
              <w:rPr>
                <w:rFonts w:ascii="Arial" w:cs="Arial" w:eastAsia="Arial" w:hAnsi="Arial"/>
                <w:sz w:val="14"/>
                <w:szCs w:val="14"/>
                <w:b w:val="1"/>
                <w:bCs w:val="1"/>
                <w:color w:val="auto"/>
              </w:rPr>
              <w:t>Service</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Benefit (5)</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Fiscal Year</w:t>
            </w:r>
          </w:p>
        </w:tc>
      </w:tr>
      <w:tr>
        <w:trPr>
          <w:trHeight w:val="250"/>
        </w:trPr>
        <w:tc>
          <w:tcPr>
            <w:tcW w:w="22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8"/>
                <w:szCs w:val="18"/>
                <w:color w:val="auto"/>
              </w:rPr>
              <w:t>Richard Templeton (2)</w:t>
            </w:r>
          </w:p>
        </w:tc>
        <w:tc>
          <w:tcPr>
            <w:tcW w:w="438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8"/>
                <w:szCs w:val="18"/>
                <w:color w:val="auto"/>
              </w:rPr>
              <w:t>TI Employees Pension Plan</w:t>
            </w:r>
          </w:p>
        </w:tc>
        <w:tc>
          <w:tcPr>
            <w:tcW w:w="1760" w:type="dxa"/>
            <w:vAlign w:val="bottom"/>
            <w:tcBorders>
              <w:bottom w:val="single" w:sz="8" w:color="DBDBDB"/>
            </w:tcBorders>
            <w:shd w:val="clear" w:color="auto" w:fill="DBDBDB"/>
          </w:tcPr>
          <w:p>
            <w:pPr>
              <w:jc w:val="right"/>
              <w:ind w:right="299"/>
              <w:spacing w:after="0"/>
              <w:rPr>
                <w:sz w:val="20"/>
                <w:szCs w:val="20"/>
                <w:color w:val="auto"/>
              </w:rPr>
            </w:pPr>
            <w:r>
              <w:rPr>
                <w:rFonts w:ascii="Arial" w:cs="Arial" w:eastAsia="Arial" w:hAnsi="Arial"/>
                <w:sz w:val="18"/>
                <w:szCs w:val="18"/>
                <w:color w:val="auto"/>
              </w:rPr>
              <w:t>16 (3)</w:t>
            </w:r>
          </w:p>
        </w:tc>
        <w:tc>
          <w:tcPr>
            <w:tcW w:w="30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DBDBDB"/>
            </w:tcBorders>
            <w:shd w:val="clear" w:color="auto" w:fill="DBDBDB"/>
          </w:tcPr>
          <w:p>
            <w:pPr>
              <w:jc w:val="right"/>
              <w:ind w:right="197"/>
              <w:spacing w:after="0"/>
              <w:rPr>
                <w:sz w:val="20"/>
                <w:szCs w:val="20"/>
                <w:color w:val="auto"/>
              </w:rPr>
            </w:pPr>
            <w:r>
              <w:rPr>
                <w:rFonts w:ascii="Arial" w:cs="Arial" w:eastAsia="Arial" w:hAnsi="Arial"/>
                <w:sz w:val="18"/>
                <w:szCs w:val="18"/>
                <w:color w:val="auto"/>
              </w:rPr>
              <w:t>853,760</w:t>
            </w:r>
          </w:p>
        </w:tc>
        <w:tc>
          <w:tcPr>
            <w:tcW w:w="1300" w:type="dxa"/>
            <w:vAlign w:val="bottom"/>
            <w:tcBorders>
              <w:bottom w:val="single" w:sz="8" w:color="DBDBDB"/>
            </w:tcBorders>
            <w:shd w:val="clear" w:color="auto" w:fill="DBDBDB"/>
          </w:tcPr>
          <w:p>
            <w:pPr>
              <w:ind w:left="840"/>
              <w:spacing w:after="0"/>
              <w:rPr>
                <w:sz w:val="20"/>
                <w:szCs w:val="20"/>
                <w:color w:val="auto"/>
              </w:rPr>
            </w:pPr>
            <w:r>
              <w:rPr>
                <w:rFonts w:ascii="Arial" w:cs="Arial" w:eastAsia="Arial" w:hAnsi="Arial"/>
                <w:sz w:val="18"/>
                <w:szCs w:val="18"/>
                <w:color w:val="auto"/>
              </w:rPr>
              <w:t>—</w:t>
            </w:r>
          </w:p>
        </w:tc>
      </w:tr>
      <w:tr>
        <w:trPr>
          <w:trHeight w:val="247"/>
        </w:trPr>
        <w:tc>
          <w:tcPr>
            <w:tcW w:w="2220" w:type="dxa"/>
            <w:vAlign w:val="bottom"/>
          </w:tcPr>
          <w:p>
            <w:pPr>
              <w:spacing w:after="0"/>
              <w:rPr>
                <w:sz w:val="21"/>
                <w:szCs w:val="21"/>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TI Employees Non-Qualified Pension Plan</w:t>
            </w:r>
          </w:p>
        </w:tc>
        <w:tc>
          <w:tcPr>
            <w:tcW w:w="1760" w:type="dxa"/>
            <w:vAlign w:val="bottom"/>
          </w:tcPr>
          <w:p>
            <w:pPr>
              <w:jc w:val="right"/>
              <w:ind w:right="299"/>
              <w:spacing w:after="0"/>
              <w:rPr>
                <w:sz w:val="20"/>
                <w:szCs w:val="20"/>
                <w:color w:val="auto"/>
              </w:rPr>
            </w:pPr>
            <w:r>
              <w:rPr>
                <w:rFonts w:ascii="Arial" w:cs="Arial" w:eastAsia="Arial" w:hAnsi="Arial"/>
                <w:sz w:val="18"/>
                <w:szCs w:val="18"/>
                <w:color w:val="auto"/>
              </w:rPr>
              <w:t>16 (3)</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97"/>
              <w:spacing w:after="0"/>
              <w:rPr>
                <w:sz w:val="20"/>
                <w:szCs w:val="20"/>
                <w:color w:val="auto"/>
              </w:rPr>
            </w:pPr>
            <w:r>
              <w:rPr>
                <w:rFonts w:ascii="Arial" w:cs="Arial" w:eastAsia="Arial" w:hAnsi="Arial"/>
                <w:sz w:val="18"/>
                <w:szCs w:val="18"/>
                <w:color w:val="auto"/>
              </w:rPr>
              <w:t>630,865</w:t>
            </w:r>
          </w:p>
        </w:tc>
        <w:tc>
          <w:tcPr>
            <w:tcW w:w="13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
        </w:trPr>
        <w:tc>
          <w:tcPr>
            <w:tcW w:w="2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7"/>
        </w:trPr>
        <w:tc>
          <w:tcPr>
            <w:tcW w:w="2220" w:type="dxa"/>
            <w:vAlign w:val="bottom"/>
            <w:shd w:val="clear" w:color="auto" w:fill="DBDBDB"/>
          </w:tcPr>
          <w:p>
            <w:pPr>
              <w:spacing w:after="0"/>
              <w:rPr>
                <w:sz w:val="21"/>
                <w:szCs w:val="21"/>
                <w:color w:val="auto"/>
              </w:rPr>
            </w:pPr>
          </w:p>
        </w:tc>
        <w:tc>
          <w:tcPr>
            <w:tcW w:w="4380" w:type="dxa"/>
            <w:vAlign w:val="bottom"/>
            <w:shd w:val="clear" w:color="auto" w:fill="DBDBDB"/>
          </w:tcPr>
          <w:p>
            <w:pPr>
              <w:ind w:left="340"/>
              <w:spacing w:after="0"/>
              <w:rPr>
                <w:sz w:val="20"/>
                <w:szCs w:val="20"/>
                <w:color w:val="auto"/>
              </w:rPr>
            </w:pPr>
            <w:r>
              <w:rPr>
                <w:rFonts w:ascii="Arial" w:cs="Arial" w:eastAsia="Arial" w:hAnsi="Arial"/>
                <w:sz w:val="18"/>
                <w:szCs w:val="18"/>
                <w:color w:val="auto"/>
              </w:rPr>
              <w:t>TI Employees Non-Qualified Pension Plan II</w:t>
            </w:r>
          </w:p>
        </w:tc>
        <w:tc>
          <w:tcPr>
            <w:tcW w:w="1760" w:type="dxa"/>
            <w:vAlign w:val="bottom"/>
            <w:shd w:val="clear" w:color="auto" w:fill="DBDBDB"/>
          </w:tcPr>
          <w:p>
            <w:pPr>
              <w:jc w:val="right"/>
              <w:ind w:right="299"/>
              <w:spacing w:after="0"/>
              <w:rPr>
                <w:sz w:val="20"/>
                <w:szCs w:val="20"/>
                <w:color w:val="auto"/>
              </w:rPr>
            </w:pPr>
            <w:r>
              <w:rPr>
                <w:rFonts w:ascii="Arial" w:cs="Arial" w:eastAsia="Arial" w:hAnsi="Arial"/>
                <w:sz w:val="18"/>
                <w:szCs w:val="18"/>
                <w:color w:val="auto"/>
              </w:rPr>
              <w:t>16 (4)</w:t>
            </w:r>
          </w:p>
        </w:tc>
        <w:tc>
          <w:tcPr>
            <w:tcW w:w="300" w:type="dxa"/>
            <w:vAlign w:val="bottom"/>
            <w:shd w:val="clear" w:color="auto" w:fill="DBDBDB"/>
          </w:tcPr>
          <w:p>
            <w:pPr>
              <w:spacing w:after="0"/>
              <w:rPr>
                <w:sz w:val="21"/>
                <w:szCs w:val="21"/>
                <w:color w:val="auto"/>
              </w:rPr>
            </w:pPr>
          </w:p>
        </w:tc>
        <w:tc>
          <w:tcPr>
            <w:tcW w:w="1260" w:type="dxa"/>
            <w:vAlign w:val="bottom"/>
            <w:shd w:val="clear" w:color="auto" w:fill="DBDBDB"/>
          </w:tcPr>
          <w:p>
            <w:pPr>
              <w:jc w:val="right"/>
              <w:ind w:right="197"/>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ind w:left="840"/>
              <w:spacing w:after="0"/>
              <w:rPr>
                <w:sz w:val="20"/>
                <w:szCs w:val="20"/>
                <w:color w:val="auto"/>
              </w:rPr>
            </w:pPr>
            <w:r>
              <w:rPr>
                <w:rFonts w:ascii="Arial" w:cs="Arial" w:eastAsia="Arial" w:hAnsi="Arial"/>
                <w:sz w:val="18"/>
                <w:szCs w:val="18"/>
                <w:color w:val="auto"/>
              </w:rPr>
              <w:t>—</w:t>
            </w:r>
          </w:p>
        </w:tc>
      </w:tr>
      <w:tr>
        <w:trPr>
          <w:trHeight w:val="23"/>
        </w:trPr>
        <w:tc>
          <w:tcPr>
            <w:tcW w:w="2220" w:type="dxa"/>
            <w:vAlign w:val="bottom"/>
            <w:shd w:val="clear" w:color="auto" w:fill="DBDBDB"/>
          </w:tcPr>
          <w:p>
            <w:pPr>
              <w:spacing w:after="0"/>
              <w:rPr>
                <w:sz w:val="2"/>
                <w:szCs w:val="2"/>
                <w:color w:val="auto"/>
              </w:rPr>
            </w:pPr>
          </w:p>
        </w:tc>
        <w:tc>
          <w:tcPr>
            <w:tcW w:w="4380" w:type="dxa"/>
            <w:vAlign w:val="bottom"/>
            <w:shd w:val="clear" w:color="auto" w:fill="DBDBDB"/>
          </w:tcPr>
          <w:p>
            <w:pPr>
              <w:spacing w:after="0"/>
              <w:rPr>
                <w:sz w:val="2"/>
                <w:szCs w:val="2"/>
                <w:color w:val="auto"/>
              </w:rPr>
            </w:pPr>
          </w:p>
        </w:tc>
        <w:tc>
          <w:tcPr>
            <w:tcW w:w="17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300" w:type="dxa"/>
            <w:vAlign w:val="bottom"/>
            <w:shd w:val="clear" w:color="auto" w:fill="DBDBDB"/>
          </w:tcPr>
          <w:p>
            <w:pPr>
              <w:spacing w:after="0"/>
              <w:rPr>
                <w:sz w:val="2"/>
                <w:szCs w:val="2"/>
                <w:color w:val="auto"/>
              </w:rPr>
            </w:pPr>
          </w:p>
        </w:tc>
      </w:tr>
    </w:tbl>
    <w:p>
      <w:pPr>
        <w:spacing w:after="0" w:line="278" w:lineRule="exact"/>
        <w:rPr>
          <w:sz w:val="20"/>
          <w:szCs w:val="20"/>
          <w:color w:val="auto"/>
        </w:rPr>
      </w:pPr>
    </w:p>
    <w:p>
      <w:pPr>
        <w:ind w:left="500" w:right="160" w:hanging="492"/>
        <w:spacing w:after="0" w:line="287" w:lineRule="auto"/>
        <w:tabs>
          <w:tab w:leader="none" w:pos="4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Messrs. Lizardi, Ilan, Kozanian and Ron do not participate in any of the company’s defined benefit pension plans because they joined TI after these plans were closed to new participants.</w:t>
      </w:r>
    </w:p>
    <w:p>
      <w:pPr>
        <w:spacing w:after="0" w:line="44" w:lineRule="exact"/>
        <w:rPr>
          <w:rFonts w:ascii="Arial" w:cs="Arial" w:eastAsia="Arial" w:hAnsi="Arial"/>
          <w:sz w:val="18"/>
          <w:szCs w:val="18"/>
          <w:color w:val="auto"/>
        </w:rPr>
      </w:pPr>
    </w:p>
    <w:p>
      <w:pPr>
        <w:ind w:left="500" w:right="300" w:hanging="492"/>
        <w:spacing w:after="0" w:line="259" w:lineRule="auto"/>
        <w:tabs>
          <w:tab w:leader="none" w:pos="4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1997, TI’s U.S. employees were given the choice between continuing to participate in the defined benefit pension plans or participating in a new enhanced defined contribution retirement plan. Mr. Templeton chose to participate in the defined contribution plan. Accordingly, his accrued pension benefits under the qualified and non-qualified plans were frozen (i.e., they will experience no increase attributable to years of service or change in eligible earnings) as of December 31, 1997. Contributions to the defined contribution plan for Mr. Templeton’s benefits are included in the 2024 summary compensation table.</w:t>
      </w:r>
    </w:p>
    <w:p>
      <w:pPr>
        <w:spacing w:after="0" w:line="71" w:lineRule="exact"/>
        <w:rPr>
          <w:rFonts w:ascii="Arial" w:cs="Arial" w:eastAsia="Arial" w:hAnsi="Arial"/>
          <w:sz w:val="18"/>
          <w:szCs w:val="18"/>
          <w:color w:val="auto"/>
        </w:rPr>
      </w:pPr>
    </w:p>
    <w:p>
      <w:pPr>
        <w:ind w:left="500" w:right="120" w:hanging="492"/>
        <w:spacing w:after="0" w:line="268" w:lineRule="auto"/>
        <w:tabs>
          <w:tab w:leader="none" w:pos="4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Credited service began on the date the officer became eligible to participate in the plan. Eligibility to participate began on the earlier of 18 months of employment, or January 1 following the completion of one year of employment. Accordingly, Mr. Templeton has been employed by TI for longer than the years of credited service shown in the preceding table.</w:t>
      </w:r>
    </w:p>
    <w:p>
      <w:pPr>
        <w:spacing w:after="0" w:line="62" w:lineRule="exact"/>
        <w:rPr>
          <w:rFonts w:ascii="Arial" w:cs="Arial" w:eastAsia="Arial" w:hAnsi="Arial"/>
          <w:sz w:val="18"/>
          <w:szCs w:val="18"/>
          <w:color w:val="auto"/>
        </w:rPr>
      </w:pPr>
    </w:p>
    <w:p>
      <w:pPr>
        <w:ind w:left="500" w:right="340" w:hanging="492"/>
        <w:spacing w:after="0" w:line="287" w:lineRule="auto"/>
        <w:tabs>
          <w:tab w:leader="none" w:pos="4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Credited service began on the date the named executive officer became eligible to participate in the TI Employees Pension Plan as described in Note 3.</w:t>
      </w:r>
    </w:p>
    <w:p>
      <w:pPr>
        <w:spacing w:after="0" w:line="44" w:lineRule="exact"/>
        <w:rPr>
          <w:rFonts w:ascii="Arial" w:cs="Arial" w:eastAsia="Arial" w:hAnsi="Arial"/>
          <w:sz w:val="18"/>
          <w:szCs w:val="18"/>
          <w:color w:val="auto"/>
        </w:rPr>
      </w:pPr>
    </w:p>
    <w:p>
      <w:pPr>
        <w:ind w:left="500" w:hanging="492"/>
        <w:spacing w:after="0" w:line="255" w:lineRule="auto"/>
        <w:tabs>
          <w:tab w:leader="none" w:pos="4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assumptions and valuation methods used to calculate the present value of the accumulated pension benefits shown are the same as those used by TI for financial reporting purposes and are described in Note 7 to the 2024 financial statements, except that a named executive officer’s retirement is assumed (in accordance with SEC rules) for purposes of this table to occur at age 65 and no assumption for termination prior to that date is used. The amount of the lump-sum benefit earned as of December 31, 2024, is determined using either (i) the Pension Benefit Guaranty Corporation (PBGC) interest assumption of 2.25% in 2025; 2.80% in 2026+ or (ii) the Pension Protection Act of 2006 (PPA) corporate bond yield interest assumption of 5.25% in 2025; and 5.80% in 2026+, whichever rates produce the higher lump-sum amount. A discount rate assumption of 5.55% for the TI Employees Pension Plan and 5.48% for the non-qualified pension plans was used to determine the present value of each lump sum.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TI Employees Pension Plan</w:t>
      </w:r>
    </w:p>
    <w:p>
      <w:pPr>
        <w:spacing w:after="0" w:line="23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TI Employees Pension Plan is a qualified defined benefit pension plan. See “Benefits – Retirement plans” for a discussion of the origin and purpose of the plan. Employees who joined the U.S. payroll after November 30, 1997, are not eligible to participate in this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Plan participants are eligible for normal retirement under the terms of the plan at 65 years of age with one year of credited service.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eligible for early retirement at 55 years of age with 20 years of employment or 60 years of age with five years of employment.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Mr. Templeton was eligible for normal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4" w:name="page45"/>
    <w:bookmarkEnd w:id="44"/>
    <w:p>
      <w:pPr>
        <w:ind w:right="60"/>
        <w:spacing w:after="0" w:line="259" w:lineRule="auto"/>
        <w:rPr>
          <w:sz w:val="20"/>
          <w:szCs w:val="20"/>
          <w:color w:val="auto"/>
        </w:rPr>
      </w:pPr>
      <w:r>
        <w:rPr>
          <w:rFonts w:ascii="Arial" w:cs="Arial" w:eastAsia="Arial" w:hAnsi="Arial"/>
          <w:sz w:val="18"/>
          <w:szCs w:val="18"/>
          <w:color w:val="auto"/>
        </w:rPr>
        <w:t>Participants may request payment of accrued benefits at termination or any time thereafter. Participants may choose a lump-sum payment or one of six forms of annuity. In order of largest to smallest periodic payment, the forms of annuity are (i) single life annuity, (ii) 5-year certain and life annuity, (iii) 10-year certain and life annuity, (iv) joint and 50% survivor annuity, (v) joint and 75% survivor annuity and (vi) joint and 100% survivor annuity. Participants who do not request payment will begin to receive benefits in April of the year after reaching the age of 73 in the form of annuity required under the IRC.</w:t>
      </w:r>
    </w:p>
    <w:p>
      <w:pPr>
        <w:spacing w:after="0" w:line="17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pension formula for the qualified plan is intended to provide a participant with an annual retirement benefit equal to 1.5% multiplied by the product of (i) years of credited service and (ii) the average of the five highest consecutive years of the participant’s base salary plus bonus up to a limit imposed by the IRS, less a percentage (based on the participant’s year of birth, when the participant elects to retire and the participant’s years of service with TI) of the amount of compensation on which the participant’s Social Security benefit is based.</w:t>
      </w:r>
    </w:p>
    <w:p>
      <w:pPr>
        <w:spacing w:after="0" w:line="17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If an individual takes early retirement and chooses to begin receiving an annual retirement benefit at that time, such benefit is reduced by an early retirement factor. As a result, the annual benefit is lower than the one the participant would have received at age 65.</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Participants whose employment terminates due to disability may choose to receive their accrued benefits at any time prior to age 65. 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the participant not become disabled, and disabled status.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TI employees non-qualified pension plans</w:t>
      </w:r>
    </w:p>
    <w:p>
      <w:pPr>
        <w:spacing w:after="0" w:line="2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TI has two non-qualified pension plans: the TI Employees Non-Qualified Pension Plan (Plan I), which governs amounts earned before 2005; and the TI Employees Non-Qualified Pension Plan II (Plan II), which governs amounts earned after 2004. Each is a non-qualified defined benefit pension plan. See “Benefits – Retirement plans” for a discussion of the purpose of the plans. As with the qualified defined benefit pension plan, employees who joined the U.S. payroll after November 30, 1997, are not eligible to participate in Plan I or Plan II. Eligibility for normal and early retirement under these plans is the same as under the qualified plan (see above). Benefits are paid in a lump sum.</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participant’s benefits under Plan I and Plan II are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these plans. Once this non-qualified benefit amount has been determined using the formula described above, the individual’s qualified benefit is subtracted from it. The resulting difference is multiplied by an age-based factor to obtain the amount of the lump-sum benefit payable to an individual under the non-qualified plans.</w:t>
      </w:r>
    </w:p>
    <w:p>
      <w:pPr>
        <w:spacing w:after="0" w:line="18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Amounts under Plan I will be distributed when payment of the participant’s benefit under the qualified pension plan commences. Amounts under Plan II will be distributed subject to the requirements of Section 409A of the IRC. Because the named executive officers are among the 50 most highly compensated officers of the company, Section 409A of the IRC requires that they not receive any lump-sum distribution payment under Plan II before the first day of the seventh month following termination of employment.</w:t>
      </w:r>
    </w:p>
    <w:p>
      <w:pPr>
        <w:spacing w:after="0" w:line="176"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color w:val="auto"/>
        </w:rPr>
        <w:t>If a participant terminates due to disability, amounts under Plan I will be distributed when payment of the participant’s benefit under the qualified plan commences. For amounts under Plan II, distribution is governed by Section 409A of the IRC, and the disability benefit is reduced to reflect the payment of the benefit prior to age 65.</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 the event of death, payment under both plans is based on salary and bonus, years of credited service and age at the time of death and will be in the form of a lump sum. The earliest date of payment is the first day of the second calendar month following the month of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ind w:right="20"/>
        <w:spacing w:after="0" w:line="256" w:lineRule="auto"/>
        <w:rPr>
          <w:sz w:val="20"/>
          <w:szCs w:val="20"/>
          <w:color w:val="auto"/>
        </w:rPr>
      </w:pPr>
      <w:r>
        <w:rPr>
          <w:rFonts w:ascii="Arial" w:cs="Arial" w:eastAsia="Arial" w:hAnsi="Arial"/>
          <w:sz w:val="18"/>
          <w:szCs w:val="18"/>
          <w:color w:val="auto"/>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“change in control” is defined as (i) acquisition of 20% of TI common stock other than through a transaction approved by the board of directors or (ii) change of a majority of the board of directors in a 24-month period unless a majority of the directors then in office have elected or nominated the new directors.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TI employees survivor benefits</w:t>
      </w:r>
    </w:p>
    <w:p>
      <w:pPr>
        <w:spacing w:after="0" w:line="23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TI’s qualified and non-qualified pension plans provide that upon the death of a retirement-eligible employee, the employee’s beneficiary receives a payment equal to half of the benefit to which the employee would have been entitled under the pension plans had the employee retired instead of died. We also have a survivor benefit plan that pays the beneficiary a lump sum that, when added to the reduced amounts the beneficiary receives under the pension plans, equals the benefit the employee would have been entitled to receive had the employee retired instead of died. Because Mr. Templeton was eligible for retirement as of December 31, 2024, his beneficiaries would be eligible for benefits under the survivor benefit plan if he were to die.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2024 non-qualified deferred compensation</w:t>
      </w:r>
    </w:p>
    <w:p>
      <w:pPr>
        <w:spacing w:after="0" w:line="21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shows contributions to each named executive officer’s deferred compensation account in 2024 and the aggregate amount of his deferred compensation as of December 31, 2024.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tcPr>
          <w:p>
            <w:pPr>
              <w:jc w:val="center"/>
              <w:ind w:right="333"/>
              <w:spacing w:after="0"/>
              <w:rPr>
                <w:sz w:val="20"/>
                <w:szCs w:val="20"/>
                <w:color w:val="auto"/>
              </w:rPr>
            </w:pPr>
            <w:r>
              <w:rPr>
                <w:rFonts w:ascii="Arial" w:cs="Arial" w:eastAsia="Arial" w:hAnsi="Arial"/>
                <w:sz w:val="14"/>
                <w:szCs w:val="14"/>
                <w:b w:val="1"/>
                <w:bCs w:val="1"/>
                <w:color w:val="auto"/>
              </w:rPr>
              <w:t>Executive</w:t>
            </w:r>
          </w:p>
        </w:tc>
        <w:tc>
          <w:tcPr>
            <w:tcW w:w="460" w:type="dxa"/>
            <w:vAlign w:val="bottom"/>
          </w:tcPr>
          <w:p>
            <w:pPr>
              <w:spacing w:after="0"/>
              <w:rPr>
                <w:sz w:val="15"/>
                <w:szCs w:val="15"/>
                <w:color w:val="auto"/>
              </w:rPr>
            </w:pPr>
          </w:p>
        </w:tc>
        <w:tc>
          <w:tcPr>
            <w:tcW w:w="1180" w:type="dxa"/>
            <w:vAlign w:val="bottom"/>
          </w:tcPr>
          <w:p>
            <w:pPr>
              <w:jc w:val="center"/>
              <w:ind w:right="293"/>
              <w:spacing w:after="0"/>
              <w:rPr>
                <w:sz w:val="20"/>
                <w:szCs w:val="20"/>
                <w:color w:val="auto"/>
              </w:rPr>
            </w:pPr>
            <w:r>
              <w:rPr>
                <w:rFonts w:ascii="Arial" w:cs="Arial" w:eastAsia="Arial" w:hAnsi="Arial"/>
                <w:sz w:val="14"/>
                <w:szCs w:val="14"/>
                <w:b w:val="1"/>
                <w:bCs w:val="1"/>
                <w:color w:val="auto"/>
              </w:rPr>
              <w:t>Registrant</w:t>
            </w:r>
          </w:p>
        </w:tc>
        <w:tc>
          <w:tcPr>
            <w:tcW w:w="500" w:type="dxa"/>
            <w:vAlign w:val="bottom"/>
          </w:tcPr>
          <w:p>
            <w:pPr>
              <w:spacing w:after="0"/>
              <w:rPr>
                <w:sz w:val="15"/>
                <w:szCs w:val="15"/>
                <w:color w:val="auto"/>
              </w:rPr>
            </w:pPr>
          </w:p>
        </w:tc>
        <w:tc>
          <w:tcPr>
            <w:tcW w:w="1000" w:type="dxa"/>
            <w:vAlign w:val="bottom"/>
          </w:tcPr>
          <w:p>
            <w:pPr>
              <w:jc w:val="center"/>
              <w:ind w:right="17"/>
              <w:spacing w:after="0"/>
              <w:rPr>
                <w:sz w:val="20"/>
                <w:szCs w:val="20"/>
                <w:color w:val="auto"/>
              </w:rPr>
            </w:pPr>
            <w:r>
              <w:rPr>
                <w:rFonts w:ascii="Arial" w:cs="Arial" w:eastAsia="Arial" w:hAnsi="Arial"/>
                <w:sz w:val="14"/>
                <w:szCs w:val="14"/>
                <w:b w:val="1"/>
                <w:bCs w:val="1"/>
                <w:color w:val="auto"/>
              </w:rPr>
              <w:t>Aggregate</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rPr>
              <w:t>Aggregate</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rPr>
              <w:t>Contributions</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Contributions</w:t>
            </w:r>
          </w:p>
        </w:tc>
        <w:tc>
          <w:tcPr>
            <w:tcW w:w="500" w:type="dxa"/>
            <w:vAlign w:val="bottom"/>
          </w:tcPr>
          <w:p>
            <w:pPr>
              <w:spacing w:after="0"/>
              <w:rPr>
                <w:sz w:val="15"/>
                <w:szCs w:val="15"/>
                <w:color w:val="auto"/>
              </w:rPr>
            </w:pPr>
          </w:p>
        </w:tc>
        <w:tc>
          <w:tcPr>
            <w:tcW w:w="1000" w:type="dxa"/>
            <w:vAlign w:val="bottom"/>
          </w:tcPr>
          <w:p>
            <w:pPr>
              <w:jc w:val="center"/>
              <w:ind w:right="17"/>
              <w:spacing w:after="0"/>
              <w:rPr>
                <w:sz w:val="20"/>
                <w:szCs w:val="20"/>
                <w:color w:val="auto"/>
              </w:rPr>
            </w:pPr>
            <w:r>
              <w:rPr>
                <w:rFonts w:ascii="Arial" w:cs="Arial" w:eastAsia="Arial" w:hAnsi="Arial"/>
                <w:sz w:val="14"/>
                <w:szCs w:val="14"/>
                <w:b w:val="1"/>
                <w:bCs w:val="1"/>
                <w:color w:val="auto"/>
              </w:rPr>
              <w:t>Earnings</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Withdrawals/</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Balance at Last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gridSpan w:val="2"/>
          </w:tcPr>
          <w:p>
            <w:pPr>
              <w:jc w:val="center"/>
              <w:ind w:left="77"/>
              <w:spacing w:after="0"/>
              <w:rPr>
                <w:sz w:val="20"/>
                <w:szCs w:val="20"/>
                <w:color w:val="auto"/>
              </w:rPr>
            </w:pPr>
            <w:r>
              <w:rPr>
                <w:rFonts w:ascii="Arial" w:cs="Arial" w:eastAsia="Arial" w:hAnsi="Arial"/>
                <w:sz w:val="14"/>
                <w:szCs w:val="14"/>
                <w:b w:val="1"/>
                <w:bCs w:val="1"/>
                <w:color w:val="auto"/>
              </w:rPr>
              <w:t>in Last FY (1)</w:t>
            </w: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Last FY (2)</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in Last FY</w:t>
            </w: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FYE (5)</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ind w:right="253"/>
              <w:spacing w:after="0"/>
              <w:rPr>
                <w:sz w:val="20"/>
                <w:szCs w:val="20"/>
                <w:color w:val="auto"/>
              </w:rPr>
            </w:pPr>
            <w:r>
              <w:rPr>
                <w:rFonts w:ascii="Arial" w:cs="Arial" w:eastAsia="Arial" w:hAnsi="Arial"/>
                <w:sz w:val="18"/>
                <w:szCs w:val="18"/>
                <w:color w:val="auto"/>
              </w:rPr>
              <w:t>375,000</w:t>
            </w: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ind w:right="233"/>
              <w:spacing w:after="0"/>
              <w:rPr>
                <w:sz w:val="20"/>
                <w:szCs w:val="20"/>
                <w:color w:val="auto"/>
              </w:rPr>
            </w:pPr>
            <w:r>
              <w:rPr>
                <w:rFonts w:ascii="Arial" w:cs="Arial" w:eastAsia="Arial" w:hAnsi="Arial"/>
                <w:sz w:val="18"/>
                <w:szCs w:val="18"/>
                <w:color w:val="auto"/>
              </w:rPr>
              <w:t>113,964</w:t>
            </w:r>
          </w:p>
        </w:tc>
        <w:tc>
          <w:tcPr>
            <w:tcW w:w="50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239,793</w:t>
            </w:r>
          </w:p>
        </w:tc>
        <w:tc>
          <w:tcPr>
            <w:tcW w:w="46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278,639</w:t>
            </w:r>
          </w:p>
        </w:tc>
        <w:tc>
          <w:tcPr>
            <w:tcW w:w="48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2,971,884</w:t>
            </w:r>
          </w:p>
        </w:tc>
        <w:tc>
          <w:tcPr>
            <w:tcW w:w="54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980" w:type="dxa"/>
            <w:vAlign w:val="bottom"/>
          </w:tcPr>
          <w:p>
            <w:pPr>
              <w:ind w:left="20"/>
              <w:spacing w:after="0"/>
              <w:rPr>
                <w:sz w:val="20"/>
                <w:szCs w:val="20"/>
                <w:color w:val="auto"/>
              </w:rPr>
            </w:pPr>
            <w:r>
              <w:rPr>
                <w:rFonts w:ascii="Arial" w:cs="Arial" w:eastAsia="Arial" w:hAnsi="Arial"/>
                <w:sz w:val="18"/>
                <w:szCs w:val="18"/>
                <w:color w:val="auto"/>
              </w:rPr>
              <w:t>Rafael Lizardi</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67,367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99,322</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17,002</w:t>
            </w:r>
          </w:p>
        </w:tc>
        <w:tc>
          <w:tcPr>
            <w:tcW w:w="4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263,837</w:t>
            </w:r>
          </w:p>
        </w:tc>
        <w:tc>
          <w:tcPr>
            <w:tcW w:w="4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585,181</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60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ind w:right="25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ind w:right="233"/>
              <w:spacing w:after="0"/>
              <w:rPr>
                <w:sz w:val="20"/>
                <w:szCs w:val="20"/>
                <w:color w:val="auto"/>
              </w:rPr>
            </w:pPr>
            <w:r>
              <w:rPr>
                <w:rFonts w:ascii="Arial" w:cs="Arial" w:eastAsia="Arial" w:hAnsi="Arial"/>
                <w:sz w:val="18"/>
                <w:szCs w:val="18"/>
                <w:color w:val="auto"/>
              </w:rPr>
              <w:t>229,120</w:t>
            </w:r>
          </w:p>
        </w:tc>
        <w:tc>
          <w:tcPr>
            <w:tcW w:w="50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2,736,751</w:t>
            </w:r>
          </w:p>
        </w:tc>
        <w:tc>
          <w:tcPr>
            <w:tcW w:w="460" w:type="dxa"/>
            <w:vAlign w:val="bottom"/>
            <w:tcBorders>
              <w:bottom w:val="single" w:sz="8" w:color="DBDBDB"/>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(3)</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1,147,937</w:t>
            </w:r>
          </w:p>
        </w:tc>
        <w:tc>
          <w:tcPr>
            <w:tcW w:w="48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23,647,561</w:t>
            </w:r>
          </w:p>
        </w:tc>
        <w:tc>
          <w:tcPr>
            <w:tcW w:w="540" w:type="dxa"/>
            <w:vAlign w:val="bottom"/>
            <w:tcBorders>
              <w:bottom w:val="single" w:sz="8" w:color="DBDBDB"/>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47"/>
        </w:trPr>
        <w:tc>
          <w:tcPr>
            <w:tcW w:w="1980" w:type="dxa"/>
            <w:vAlign w:val="bottom"/>
          </w:tcPr>
          <w:p>
            <w:pPr>
              <w:ind w:left="20"/>
              <w:spacing w:after="0"/>
              <w:rPr>
                <w:sz w:val="20"/>
                <w:szCs w:val="20"/>
                <w:color w:val="auto"/>
              </w:rPr>
            </w:pPr>
            <w:r>
              <w:rPr>
                <w:rFonts w:ascii="Arial" w:cs="Arial" w:eastAsia="Arial" w:hAnsi="Arial"/>
                <w:sz w:val="18"/>
                <w:szCs w:val="18"/>
                <w:color w:val="auto"/>
              </w:rPr>
              <w:t>Hagop Kozanian</w:t>
            </w:r>
          </w:p>
        </w:tc>
        <w:tc>
          <w:tcPr>
            <w:tcW w:w="600" w:type="dxa"/>
            <w:vAlign w:val="bottom"/>
          </w:tcPr>
          <w:p>
            <w:pPr>
              <w:spacing w:after="0"/>
              <w:rPr>
                <w:sz w:val="21"/>
                <w:szCs w:val="21"/>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9,300</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16,223</w:t>
            </w:r>
          </w:p>
        </w:tc>
        <w:tc>
          <w:tcPr>
            <w:tcW w:w="4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119,595</w:t>
            </w:r>
          </w:p>
        </w:tc>
        <w:tc>
          <w:tcPr>
            <w:tcW w:w="4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149,249</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1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ind w:right="253"/>
              <w:spacing w:after="0"/>
              <w:rPr>
                <w:sz w:val="20"/>
                <w:szCs w:val="20"/>
                <w:color w:val="auto"/>
              </w:rPr>
            </w:pPr>
            <w:r>
              <w:rPr>
                <w:rFonts w:ascii="Arial" w:cs="Arial" w:eastAsia="Arial" w:hAnsi="Arial"/>
                <w:sz w:val="18"/>
                <w:szCs w:val="18"/>
                <w:color w:val="auto"/>
              </w:rPr>
              <w:t>77,667</w:t>
            </w: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ind w:right="233"/>
              <w:spacing w:after="0"/>
              <w:rPr>
                <w:sz w:val="20"/>
                <w:szCs w:val="20"/>
                <w:color w:val="auto"/>
              </w:rPr>
            </w:pPr>
            <w:r>
              <w:rPr>
                <w:rFonts w:ascii="Arial" w:cs="Arial" w:eastAsia="Arial" w:hAnsi="Arial"/>
                <w:sz w:val="18"/>
                <w:szCs w:val="18"/>
                <w:color w:val="auto"/>
              </w:rPr>
              <w:t>55,673</w:t>
            </w:r>
          </w:p>
        </w:tc>
        <w:tc>
          <w:tcPr>
            <w:tcW w:w="5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126,275</w:t>
            </w:r>
          </w:p>
        </w:tc>
        <w:tc>
          <w:tcPr>
            <w:tcW w:w="46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DBDBDB"/>
          </w:tcPr>
          <w:p>
            <w:pPr>
              <w:spacing w:after="0"/>
              <w:rPr>
                <w:sz w:val="21"/>
                <w:szCs w:val="21"/>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836,031</w:t>
            </w:r>
          </w:p>
        </w:tc>
        <w:tc>
          <w:tcPr>
            <w:tcW w:w="5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980" w:type="dxa"/>
            <w:vAlign w:val="bottom"/>
            <w:shd w:val="clear" w:color="auto" w:fill="DBDBDB"/>
          </w:tcPr>
          <w:p>
            <w:pPr>
              <w:spacing w:after="0"/>
              <w:rPr>
                <w:sz w:val="2"/>
                <w:szCs w:val="2"/>
                <w:color w:val="auto"/>
              </w:rPr>
            </w:pPr>
          </w:p>
        </w:tc>
        <w:tc>
          <w:tcPr>
            <w:tcW w:w="60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100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5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00" w:right="100" w:hanging="492"/>
        <w:spacing w:after="0" w:line="287" w:lineRule="auto"/>
        <w:tabs>
          <w:tab w:leader="none" w:pos="4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Amounts shown for Mr. Ilan include a portion of his bonus paid in 2024 and for Messrs. Lizardi and Ron a portion of their salary paid in 2024.</w:t>
      </w:r>
    </w:p>
    <w:p>
      <w:pPr>
        <w:spacing w:after="0" w:line="44" w:lineRule="exact"/>
        <w:rPr>
          <w:rFonts w:ascii="Arial" w:cs="Arial" w:eastAsia="Arial" w:hAnsi="Arial"/>
          <w:sz w:val="18"/>
          <w:szCs w:val="18"/>
          <w:color w:val="auto"/>
        </w:rPr>
      </w:pPr>
    </w:p>
    <w:p>
      <w:pPr>
        <w:ind w:left="500" w:right="1200" w:hanging="492"/>
        <w:spacing w:after="0" w:line="287" w:lineRule="auto"/>
        <w:tabs>
          <w:tab w:leader="none" w:pos="4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Company matching contributions pursuant to the defined contribution plan. These amounts are included in the “All Other Compensation” column of the 2024 summary compensation table.</w:t>
      </w:r>
    </w:p>
    <w:p>
      <w:pPr>
        <w:spacing w:after="0" w:line="44" w:lineRule="exact"/>
        <w:rPr>
          <w:rFonts w:ascii="Arial" w:cs="Arial" w:eastAsia="Arial" w:hAnsi="Arial"/>
          <w:sz w:val="18"/>
          <w:szCs w:val="18"/>
          <w:color w:val="auto"/>
        </w:rPr>
      </w:pPr>
    </w:p>
    <w:p>
      <w:pPr>
        <w:ind w:left="500" w:right="80" w:hanging="492"/>
        <w:spacing w:after="0" w:line="278" w:lineRule="auto"/>
        <w:tabs>
          <w:tab w:leader="none" w:pos="49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Consists of (i) $631,200 in dividend equivalents paid under the 120,000-share 1995 RSU award previously discussed, settlement of which has been deferred until after termination of employment; (ii) a $2,046,000 increase in the value of the RSU award (calculated by subtracting the value of the award at year-end 2023 from the value of the award at year-end 2024 (in both cases, the number of RSUs is multiplied by the closing price of TI common stock on the last trading date of the year)); and (iii) a $59,551 gain in Mr. Templeton’s deferred compensation account in 2024. Dividend equivalents are paid at the same rate as dividends on TI common stock.</w:t>
      </w:r>
    </w:p>
    <w:p>
      <w:pPr>
        <w:spacing w:after="0" w:line="55" w:lineRule="exact"/>
        <w:rPr>
          <w:rFonts w:ascii="Arial" w:cs="Arial" w:eastAsia="Arial" w:hAnsi="Arial"/>
          <w:sz w:val="17"/>
          <w:szCs w:val="17"/>
          <w:color w:val="auto"/>
        </w:rPr>
      </w:pPr>
    </w:p>
    <w:p>
      <w:pPr>
        <w:ind w:left="500" w:right="400" w:hanging="492"/>
        <w:spacing w:after="0" w:line="287" w:lineRule="auto"/>
        <w:tabs>
          <w:tab w:leader="none" w:pos="4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Consists of dividend equivalents paid on the RSU award discussed in Note 3 and a $516,737 deferred compensation plan account distribution.</w:t>
      </w:r>
    </w:p>
    <w:p>
      <w:pPr>
        <w:spacing w:after="0" w:line="44" w:lineRule="exact"/>
        <w:rPr>
          <w:rFonts w:ascii="Arial" w:cs="Arial" w:eastAsia="Arial" w:hAnsi="Arial"/>
          <w:sz w:val="18"/>
          <w:szCs w:val="18"/>
          <w:color w:val="auto"/>
        </w:rPr>
      </w:pPr>
    </w:p>
    <w:p>
      <w:pPr>
        <w:ind w:left="500" w:right="20" w:hanging="492"/>
        <w:spacing w:after="0" w:line="268" w:lineRule="auto"/>
        <w:tabs>
          <w:tab w:leader="none" w:pos="4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amounts contributed by a named executive officer and by the company in prior years have been reported in the summary compensation table in previously filed proxy statements in the year earned to the extent he was a named executive officer for purposes of the SEC’s executive compensation disclosure.</w:t>
      </w:r>
    </w:p>
    <w:p>
      <w:pPr>
        <w:spacing w:after="0" w:line="62" w:lineRule="exact"/>
        <w:rPr>
          <w:rFonts w:ascii="Arial" w:cs="Arial" w:eastAsia="Arial" w:hAnsi="Arial"/>
          <w:sz w:val="18"/>
          <w:szCs w:val="18"/>
          <w:color w:val="auto"/>
        </w:rPr>
      </w:pPr>
    </w:p>
    <w:p>
      <w:pPr>
        <w:ind w:left="500" w:right="240" w:hanging="492"/>
        <w:spacing w:after="0" w:line="287" w:lineRule="auto"/>
        <w:tabs>
          <w:tab w:leader="none" w:pos="4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Of this amount, $22,501,200 is attributable to Mr. Templeton’s 1995 RSU award, calculated as described in Note 3. The remainder is the balance of his deferred compensation account.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ind w:right="580"/>
        <w:spacing w:after="0" w:line="276" w:lineRule="auto"/>
        <w:rPr>
          <w:sz w:val="20"/>
          <w:szCs w:val="20"/>
          <w:color w:val="auto"/>
        </w:rPr>
      </w:pPr>
      <w:r>
        <w:rPr>
          <w:rFonts w:ascii="Arial" w:cs="Arial" w:eastAsia="Arial" w:hAnsi="Arial"/>
          <w:sz w:val="17"/>
          <w:szCs w:val="17"/>
          <w:color w:val="auto"/>
        </w:rPr>
        <w:t>See “Benefits – Retirement plans” for a discussion of the purpose of the plan. An employee’s deferred compensation account contains eligible compensation the employee has elected to defer and contributions by the company that are in excess of the IRS limits on</w:t>
      </w:r>
    </w:p>
    <w:p>
      <w:pPr>
        <w:ind w:right="280" w:firstLine="8"/>
        <w:spacing w:after="0" w:line="266" w:lineRule="auto"/>
        <w:tabs>
          <w:tab w:leader="none" w:pos="2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contributions the company may make to the enhanced defined contribution plan and (ii) matching contributions the company may make related to compensation the executive officer deferred into his deferred compensation account.</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Participants in the deferred compensation plan may choose to defer up to (i) 25% of their base salary, (ii) 90% of their performance bonus and (iii) 90% of profit sharing. Elections to defer compensation must be made in the calendar year prior to the year in which the compensation will be earned.</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During 2024, participants could choose to have their deferred compensation mirror the performance of one or more of the following mutual funds, each of which is managed by a third party (these alternatives, which may be changed at any time, are the same as those offered to participants in the defined contribution plans): BlackRock MSCI ACWI ex-U.S. IMI Index Lendable Fund F, Northern Trust Short Term Investment Fund, Northern Trust Aggregate Bond Index Fund-Lending, Northern Trust Russell 1000 Value Index Fund-Lending, Northern Trust Russell 1000 Growth Index Fund-Lending, Northern Trust Russell 2000 Index Fund-Lending, Northern Trust MidCap 400 Index Fund-Lending, BlackRock Equity Index Fund F, BlackRock (EAFE) (Europe, Australia, Far East) Equity Index Fund F, BlackRock Lifepath Index 2030 Fund F, BlackRock Lifepath Index 2035 Fund F, BlackRock Lifepath Index 2040 Fund F, BlackRock Lifepath Index 2045 Fund F, BlackRock Lifepath Index 2050 Fund F, BlackRock Lifepath Index 2055 Fund F, BlackRock Lifepath Index 2060 Fund F, BlackRock Lifepath Index 2065 Fund F and BlackRock Lifepath Index Retirement Fund F.</w:t>
      </w:r>
    </w:p>
    <w:p>
      <w:pPr>
        <w:spacing w:after="0" w:line="181"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From among the available investment alternatives, participants may change their instructions relating to their deferred compensation daily. Earnings on a participant’s balance are determined solely by the performance of the investments that the participant has chosen. The company does not guarantee any minimum return on investments. A third party administers the company’s deferred compensation program.</w:t>
      </w:r>
    </w:p>
    <w:p>
      <w:pPr>
        <w:spacing w:after="0" w:line="15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 participant may request distribution from the plan in the case of an unforeseeable emergency. To obtain an unforeseeable emergency withdrawal, a participant must meet the requirements of Section 409A of the IRC. Otherwise, balances are paid to participants pursuant to their distribution elections and are subject to applicable IRC limitations.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Amounts contributed by the company and amounts earned and deferred by the participant for which there is a valid distribution election on file will be distributed in accordance with the participant’s election. Annually, participants may elect separate distribution dates for deferred compensation attributable to a participant’s (i) bonus and profit sharing and (ii) salary. Participants may elect that these distributions be in the form of a lump sum or annual installments to be paid out over a period of five or 10 consecutive years. Amounts for which no valid distribution election is on file will be distributed three years from the date of deferral.</w:t>
      </w:r>
    </w:p>
    <w:p>
      <w:pPr>
        <w:spacing w:after="0" w:line="179"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In the event of the participant’s death, payment will be in the form of a lump sum, and the earliest date of payment is the first day of the second calendar month following the month of death. For any other circumstance resulting in termination of employment, payments are distributed in accordance with the participant’s valid distribution election.</w:t>
      </w:r>
    </w:p>
    <w:p>
      <w:pPr>
        <w:spacing w:after="0" w:line="17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Like the balances under the non-qualified defined benefit pension plans, deferred compensation balances are unsecured obligations of the 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 Change in control is the Plan definition.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Potential payments upon termination or change in control</w:t>
      </w:r>
    </w:p>
    <w:p>
      <w:pPr>
        <w:spacing w:after="0" w:line="2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 For a discussion of the impact of these programs on the compensation decisions for 2024, see “Analysis of compensation determinations – Total compensation” and “Compensation following employment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2025 PROXY STATEMENT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spacing w:after="0"/>
        <w:rPr>
          <w:sz w:val="20"/>
          <w:szCs w:val="20"/>
          <w:color w:val="auto"/>
        </w:rPr>
      </w:pPr>
      <w:r>
        <w:rPr>
          <w:rFonts w:ascii="Arial" w:cs="Arial" w:eastAsia="Arial" w:hAnsi="Arial"/>
          <w:sz w:val="20"/>
          <w:szCs w:val="20"/>
          <w:i w:val="1"/>
          <w:iCs w:val="1"/>
          <w:color w:val="auto"/>
        </w:rPr>
        <w:t>Termination</w:t>
      </w:r>
    </w:p>
    <w:p>
      <w:pPr>
        <w:spacing w:after="0" w:line="23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following programs may result in payments to a named executive officer whose employment terminates. Most of these programs have been discussed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Bonus</w:t>
      </w:r>
    </w:p>
    <w:p>
      <w:pPr>
        <w:spacing w:after="0" w:line="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Our policies concerning bonus and the timing of payments are described under “Compensation philosophy and elements.” Whether a bonus would be awarded under other circumstances and in what amount would depend on the facts and circumstances of termination and is subject to the compensation committee’s discretion. If awarded, bonuses are paid by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Qualified and non-qualified defined benefit pension plans</w:t>
      </w:r>
    </w:p>
    <w:p>
      <w:pPr>
        <w:spacing w:after="0" w:line="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purposes of these plans are described under “Benefits – Retirement plans.” The formula for determining benefits, the forms of benefit and the timing of payments are described under “2024 pension benefits.” The amounts disbursed under the qualified and non-qualified plans are paid, respectively, by the TI Employees Pension Trust and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Survivor benefit plan</w:t>
      </w:r>
    </w:p>
    <w:p>
      <w:pPr>
        <w:spacing w:after="0" w:line="2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purpose of this plan, along with the formula for determining the amount of benefit, the form of benefit and the timing of payments, are described under “2024 pension benefits – TI employees survivor benefits.” Amounts distributed are paid by the TI Employees Health Benefit Trust.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compensation plan</w:t>
      </w:r>
    </w:p>
    <w:p>
      <w:pPr>
        <w:spacing w:after="0" w:line="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purpose of this plan is described under “Benefits – Deferred Compensation.” The amounts payable under this program depend solely on the performance of investments that the participant has chosen. The timing of payments is discussed under “2024 non-qualified deferred compensation” and except in the case of death, payments are made according to the participant’s distribution election. Amounts distributed are paid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compensation</w:t>
      </w:r>
    </w:p>
    <w:p>
      <w:pPr>
        <w:spacing w:after="0" w:line="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Depending on the circumstances of termination, grantees whose employment terminates may retain the right to exercise previously granted stock options and receive shares under outstanding RSU awards as described in the discussion following the outstanding equity awards at fiscal year-end 2024 table. RSU awards include a right to receive dividend equivalents. The dividend equivalents are paid annually by the company in a single cash payment after the last dividend payment of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Perquisites</w:t>
      </w:r>
    </w:p>
    <w:p>
      <w:pPr>
        <w:spacing w:after="0" w:line="25"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Financial counseling is provided to executive officers for a transition period following retirement. Otherwise, no perquisites continue after termination of employment.</w:t>
      </w:r>
    </w:p>
    <w:p>
      <w:pPr>
        <w:spacing w:after="0" w:line="17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In the case of a resignation pursuant to a separation agreement, employees above a certain job grade level, including executive officers, might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or her RSUs will continue to vest. Amounts paid to an individual during a paid leave of absence are not counted when calculating benefits under the qualified and non-qualified pension plans.</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case of a separation agreement in which the executive officer will be at least 50 years old and have at least 10 years of employment with the company on his or her last day of active employment before beginning the paid leave of absence, the separation agreement will typically include an unpaid leave of absence, to commence at the end of the paid leave and end when the executive officer has reached age 55 (bridge to retirement). During the bridge to retirement, the executive officer will continue to accrue years of service under the qualified and non-qualified pension plans described above. Stock options will continue to become exercisable, and RSUs will remain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Change in control</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only program, plan or arrangement providing benefits triggered by a change in control is the TI Employees Non-Qualified Pension Plan. A change in control at December 31, 2024, would have accelerated payment of the balance under that plan. See “2024 pension benefits – TI employees non-qualified pension plans” for a discussion of the purpose of change in control provisions of that plan as well as the circumstances and the timing of payment.</w:t>
      </w:r>
    </w:p>
    <w:p>
      <w:pPr>
        <w:spacing w:after="0" w:line="17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Upon a change in control, there is no acceleration of vesting of stock options and RSUs granted after 2009. Only upon an involuntary termination (not for cause) within 24 months after a change in control of TI will the vesting of such stock options and RSUs accelerate. See the discussion following the outstanding equity awards at fiscal year-end 2024 table for further information concerning change in control provisions relating to stock options and RSUs.</w:t>
      </w:r>
    </w:p>
    <w:p>
      <w:pPr>
        <w:spacing w:after="0" w:line="176"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following table shows the potential payments upon termination or change in control for each of the named executive officers as of December 31,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rPr>
              <w:t>Resignation;</w:t>
            </w:r>
          </w:p>
        </w:tc>
        <w:tc>
          <w:tcPr>
            <w:tcW w:w="15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80" w:type="dxa"/>
            <w:vAlign w:val="bottom"/>
          </w:tcPr>
          <w:p>
            <w:pPr>
              <w:jc w:val="center"/>
              <w:ind w:left="268"/>
              <w:spacing w:after="0"/>
              <w:rPr>
                <w:sz w:val="20"/>
                <w:szCs w:val="20"/>
                <w:color w:val="auto"/>
              </w:rPr>
            </w:pPr>
            <w:r>
              <w:rPr>
                <w:rFonts w:ascii="Arial" w:cs="Arial" w:eastAsia="Arial" w:hAnsi="Arial"/>
                <w:sz w:val="14"/>
                <w:szCs w:val="14"/>
                <w:b w:val="1"/>
                <w:bCs w:val="1"/>
                <w:color w:val="auto"/>
              </w:rPr>
              <w:t>Involuntary</w:t>
            </w: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rPr>
              <w:t>Involuntary</w:t>
            </w:r>
          </w:p>
        </w:tc>
        <w:tc>
          <w:tcPr>
            <w:tcW w:w="1500" w:type="dxa"/>
            <w:vAlign w:val="bottom"/>
          </w:tcPr>
          <w:p>
            <w:pPr>
              <w:spacing w:after="0"/>
              <w:rPr>
                <w:sz w:val="15"/>
                <w:szCs w:val="15"/>
                <w:color w:val="auto"/>
              </w:rPr>
            </w:pPr>
          </w:p>
        </w:tc>
        <w:tc>
          <w:tcPr>
            <w:tcW w:w="170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Termination</w:t>
            </w: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rPr>
              <w:t>Termination</w:t>
            </w:r>
          </w:p>
        </w:tc>
        <w:tc>
          <w:tcPr>
            <w:tcW w:w="15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Form of Compensation</w:t>
            </w: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Disability</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Death</w:t>
            </w:r>
          </w:p>
        </w:tc>
        <w:tc>
          <w:tcPr>
            <w:tcW w:w="15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for Cause</w:t>
            </w:r>
          </w:p>
        </w:tc>
        <w:tc>
          <w:tcPr>
            <w:tcW w:w="15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(not for Cause)</w:t>
            </w:r>
          </w:p>
        </w:tc>
        <w:tc>
          <w:tcPr>
            <w:tcW w:w="15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Retirement</w:t>
            </w:r>
          </w:p>
        </w:tc>
        <w:tc>
          <w:tcPr>
            <w:tcW w:w="17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in Control</w:t>
            </w:r>
          </w:p>
        </w:tc>
        <w:tc>
          <w:tcPr>
            <w:tcW w:w="0" w:type="dxa"/>
            <w:vAlign w:val="bottom"/>
          </w:tcPr>
          <w:p>
            <w:pPr>
              <w:spacing w:after="0"/>
              <w:rPr>
                <w:sz w:val="1"/>
                <w:szCs w:val="1"/>
                <w:color w:val="auto"/>
              </w:rPr>
            </w:pPr>
          </w:p>
        </w:tc>
      </w:tr>
      <w:tr>
        <w:trPr>
          <w:trHeight w:val="224"/>
        </w:trPr>
        <w:tc>
          <w:tcPr>
            <w:tcW w:w="19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Haviv Ilan</w:t>
            </w:r>
          </w:p>
        </w:tc>
        <w:tc>
          <w:tcPr>
            <w:tcW w:w="148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500" w:type="dxa"/>
            <w:vAlign w:val="bottom"/>
            <w:shd w:val="clear" w:color="auto" w:fill="DBDBDB"/>
          </w:tcPr>
          <w:p>
            <w:pPr>
              <w:spacing w:after="0"/>
              <w:rPr>
                <w:sz w:val="19"/>
                <w:szCs w:val="19"/>
                <w:color w:val="auto"/>
              </w:rPr>
            </w:pPr>
          </w:p>
        </w:tc>
        <w:tc>
          <w:tcPr>
            <w:tcW w:w="17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220"/>
          </w:cols>
          <w:pgMar w:left="320" w:top="987" w:right="359" w:bottom="1440" w:gutter="0" w:footer="0" w:header="0"/>
        </w:sectPr>
      </w:pPr>
    </w:p>
    <w:p>
      <w:pPr>
        <w:ind w:left="20" w:right="140"/>
        <w:spacing w:after="0" w:line="261" w:lineRule="auto"/>
        <w:rPr>
          <w:sz w:val="20"/>
          <w:szCs w:val="20"/>
          <w:color w:val="auto"/>
        </w:rPr>
      </w:pPr>
      <w:r>
        <w:rPr>
          <w:rFonts w:ascii="Arial" w:cs="Arial" w:eastAsia="Arial" w:hAnsi="Arial"/>
          <w:sz w:val="14"/>
          <w:szCs w:val="14"/>
          <w:color w:val="auto"/>
        </w:rPr>
        <w:t>Qualified Defined Benefit Pension Plan</w:t>
      </w:r>
    </w:p>
    <w:p>
      <w:pPr>
        <w:spacing w:after="0" w:line="1" w:lineRule="exact"/>
        <w:rPr>
          <w:sz w:val="20"/>
          <w:szCs w:val="20"/>
          <w:color w:val="auto"/>
        </w:rPr>
      </w:pPr>
    </w:p>
    <w:p>
      <w:pPr>
        <w:ind w:left="20" w:right="60"/>
        <w:spacing w:after="0" w:line="261" w:lineRule="auto"/>
        <w:rPr>
          <w:sz w:val="20"/>
          <w:szCs w:val="20"/>
          <w:color w:val="auto"/>
        </w:rPr>
      </w:pPr>
      <w:r>
        <w:rPr>
          <w:rFonts w:ascii="Arial" w:cs="Arial" w:eastAsia="Arial" w:hAnsi="Arial"/>
          <w:sz w:val="14"/>
          <w:szCs w:val="14"/>
          <w:color w:val="auto"/>
        </w:rPr>
        <w:t>Non-Qual. Defined Benefit Pension Plan</w:t>
      </w:r>
    </w:p>
    <w:p>
      <w:pPr>
        <w:spacing w:after="0" w:line="1" w:lineRule="exact"/>
        <w:rPr>
          <w:sz w:val="20"/>
          <w:szCs w:val="20"/>
          <w:color w:val="auto"/>
        </w:rPr>
      </w:pPr>
    </w:p>
    <w:p>
      <w:pPr>
        <w:ind w:left="20" w:right="60"/>
        <w:spacing w:after="0" w:line="264" w:lineRule="auto"/>
        <w:rPr>
          <w:sz w:val="20"/>
          <w:szCs w:val="20"/>
          <w:color w:val="auto"/>
        </w:rPr>
      </w:pPr>
      <w:r>
        <w:rPr>
          <w:rFonts w:ascii="Arial" w:cs="Arial" w:eastAsia="Arial" w:hAnsi="Arial"/>
          <w:sz w:val="14"/>
          <w:szCs w:val="14"/>
          <w:color w:val="auto"/>
        </w:rPr>
        <w:t>Non-Qual. Defined Benefit Pension Plan II</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Survivor Benefit Plan</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Deferred Compensation (1)</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RSUs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 Options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H. Ilan Total</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Rafael Lizardi</w:t>
      </w:r>
    </w:p>
    <w:p>
      <w:pPr>
        <w:spacing w:after="0" w:line="55" w:lineRule="exact"/>
        <w:rPr>
          <w:sz w:val="20"/>
          <w:szCs w:val="20"/>
          <w:color w:val="auto"/>
        </w:rPr>
      </w:pPr>
    </w:p>
    <w:p>
      <w:pPr>
        <w:ind w:left="20" w:right="140"/>
        <w:spacing w:after="0" w:line="261" w:lineRule="auto"/>
        <w:rPr>
          <w:sz w:val="20"/>
          <w:szCs w:val="20"/>
          <w:color w:val="auto"/>
        </w:rPr>
      </w:pPr>
      <w:r>
        <w:rPr>
          <w:rFonts w:ascii="Arial" w:cs="Arial" w:eastAsia="Arial" w:hAnsi="Arial"/>
          <w:sz w:val="14"/>
          <w:szCs w:val="14"/>
          <w:color w:val="auto"/>
        </w:rPr>
        <w:t>Qualified Defined Benefit Pension Plan</w:t>
      </w:r>
    </w:p>
    <w:p>
      <w:pPr>
        <w:spacing w:after="0" w:line="1" w:lineRule="exact"/>
        <w:rPr>
          <w:sz w:val="20"/>
          <w:szCs w:val="20"/>
          <w:color w:val="auto"/>
        </w:rPr>
      </w:pPr>
    </w:p>
    <w:p>
      <w:pPr>
        <w:ind w:left="20" w:right="60"/>
        <w:spacing w:after="0" w:line="261" w:lineRule="auto"/>
        <w:rPr>
          <w:sz w:val="20"/>
          <w:szCs w:val="20"/>
          <w:color w:val="auto"/>
        </w:rPr>
      </w:pPr>
      <w:r>
        <w:rPr>
          <w:rFonts w:ascii="Arial" w:cs="Arial" w:eastAsia="Arial" w:hAnsi="Arial"/>
          <w:sz w:val="14"/>
          <w:szCs w:val="14"/>
          <w:color w:val="auto"/>
        </w:rPr>
        <w:t>Non-Qual. Defined Benefit Pension Plan</w:t>
      </w:r>
    </w:p>
    <w:p>
      <w:pPr>
        <w:spacing w:after="0" w:line="1" w:lineRule="exact"/>
        <w:rPr>
          <w:sz w:val="20"/>
          <w:szCs w:val="20"/>
          <w:color w:val="auto"/>
        </w:rPr>
      </w:pPr>
    </w:p>
    <w:p>
      <w:pPr>
        <w:ind w:left="20" w:right="60"/>
        <w:spacing w:after="0" w:line="264" w:lineRule="auto"/>
        <w:rPr>
          <w:sz w:val="20"/>
          <w:szCs w:val="20"/>
          <w:color w:val="auto"/>
        </w:rPr>
      </w:pPr>
      <w:r>
        <w:rPr>
          <w:rFonts w:ascii="Arial" w:cs="Arial" w:eastAsia="Arial" w:hAnsi="Arial"/>
          <w:sz w:val="14"/>
          <w:szCs w:val="14"/>
          <w:color w:val="auto"/>
        </w:rPr>
        <w:t>Non-Qual. Defined Benefit Pension Plan II</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Survivor Benefit Plan</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Deferred Compensation (1)</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RSUs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 Options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R. Lizardi Total</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Richard Templeton (6)</w:t>
      </w:r>
    </w:p>
    <w:p>
      <w:pPr>
        <w:spacing w:after="0" w:line="55" w:lineRule="exact"/>
        <w:rPr>
          <w:sz w:val="20"/>
          <w:szCs w:val="20"/>
          <w:color w:val="auto"/>
        </w:rPr>
      </w:pPr>
    </w:p>
    <w:p>
      <w:pPr>
        <w:ind w:left="20" w:right="140"/>
        <w:spacing w:after="0" w:line="261" w:lineRule="auto"/>
        <w:rPr>
          <w:sz w:val="20"/>
          <w:szCs w:val="20"/>
          <w:color w:val="auto"/>
        </w:rPr>
      </w:pPr>
      <w:r>
        <w:rPr>
          <w:rFonts w:ascii="Arial" w:cs="Arial" w:eastAsia="Arial" w:hAnsi="Arial"/>
          <w:sz w:val="14"/>
          <w:szCs w:val="14"/>
          <w:color w:val="auto"/>
        </w:rPr>
        <w:t>Qualified Defined Benefit Pension Plan</w:t>
      </w:r>
    </w:p>
    <w:p>
      <w:pPr>
        <w:spacing w:after="0" w:line="1" w:lineRule="exact"/>
        <w:rPr>
          <w:sz w:val="20"/>
          <w:szCs w:val="20"/>
          <w:color w:val="auto"/>
        </w:rPr>
      </w:pPr>
    </w:p>
    <w:p>
      <w:pPr>
        <w:ind w:left="20" w:right="60"/>
        <w:spacing w:after="0" w:line="261" w:lineRule="auto"/>
        <w:rPr>
          <w:sz w:val="20"/>
          <w:szCs w:val="20"/>
          <w:color w:val="auto"/>
        </w:rPr>
      </w:pPr>
      <w:r>
        <w:rPr>
          <w:rFonts w:ascii="Arial" w:cs="Arial" w:eastAsia="Arial" w:hAnsi="Arial"/>
          <w:sz w:val="14"/>
          <w:szCs w:val="14"/>
          <w:color w:val="auto"/>
        </w:rPr>
        <w:t>Non-Qual. Defined Benefit Pension Plan</w:t>
      </w:r>
    </w:p>
    <w:p>
      <w:pPr>
        <w:spacing w:after="0" w:line="1" w:lineRule="exact"/>
        <w:rPr>
          <w:sz w:val="20"/>
          <w:szCs w:val="20"/>
          <w:color w:val="auto"/>
        </w:rPr>
      </w:pPr>
    </w:p>
    <w:p>
      <w:pPr>
        <w:ind w:left="20" w:right="60"/>
        <w:spacing w:after="0" w:line="264" w:lineRule="auto"/>
        <w:rPr>
          <w:sz w:val="20"/>
          <w:szCs w:val="20"/>
          <w:color w:val="auto"/>
        </w:rPr>
      </w:pPr>
      <w:r>
        <w:rPr>
          <w:rFonts w:ascii="Arial" w:cs="Arial" w:eastAsia="Arial" w:hAnsi="Arial"/>
          <w:sz w:val="14"/>
          <w:szCs w:val="14"/>
          <w:color w:val="auto"/>
        </w:rPr>
        <w:t>Non-Qual. Defined Benefit Pension Plan II</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Survivor Benefit Plan</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Deferred Compensation (1)</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RSUs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 Options</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R. Templeton Total</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r>
      <w:tr>
        <w:trPr>
          <w:trHeight w:val="351"/>
        </w:trPr>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r>
      <w:tr>
        <w:trPr>
          <w:trHeight w:val="351"/>
        </w:trPr>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r>
      <w:tr>
        <w:trPr>
          <w:trHeight w:val="297"/>
        </w:trPr>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r>
      <w:tr>
        <w:trPr>
          <w:trHeight w:val="229"/>
        </w:trPr>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2,971,884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r>
      <w:tr>
        <w:trPr>
          <w:trHeight w:val="230"/>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23,567,382</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23,567,382</w:t>
            </w:r>
          </w:p>
        </w:tc>
        <w:tc>
          <w:tcPr>
            <w:tcW w:w="340" w:type="dxa"/>
            <w:vAlign w:val="bottom"/>
          </w:tcPr>
          <w:p>
            <w:pPr>
              <w:ind w:left="4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23,567,382</w:t>
            </w:r>
          </w:p>
        </w:tc>
        <w:tc>
          <w:tcPr>
            <w:tcW w:w="340" w:type="dxa"/>
            <w:vAlign w:val="bottom"/>
          </w:tcPr>
          <w:p>
            <w:pPr>
              <w:ind w:left="40"/>
              <w:spacing w:after="0"/>
              <w:rPr>
                <w:sz w:val="20"/>
                <w:szCs w:val="20"/>
                <w:color w:val="auto"/>
              </w:rPr>
            </w:pPr>
            <w:r>
              <w:rPr>
                <w:rFonts w:ascii="Arial" w:cs="Arial" w:eastAsia="Arial" w:hAnsi="Arial"/>
                <w:sz w:val="14"/>
                <w:szCs w:val="14"/>
                <w:color w:val="auto"/>
              </w:rPr>
              <w:t>(4)</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23,567,382</w:t>
            </w:r>
          </w:p>
        </w:tc>
        <w:tc>
          <w:tcPr>
            <w:tcW w:w="340" w:type="dxa"/>
            <w:vAlign w:val="bottom"/>
          </w:tcPr>
          <w:p>
            <w:pPr>
              <w:ind w:left="4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r>
      <w:tr>
        <w:trPr>
          <w:trHeight w:val="230"/>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29,429,930</w:t>
            </w: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29,429,930</w:t>
            </w:r>
          </w:p>
        </w:tc>
        <w:tc>
          <w:tcPr>
            <w:tcW w:w="340" w:type="dxa"/>
            <w:vAlign w:val="bottom"/>
          </w:tcPr>
          <w:p>
            <w:pPr>
              <w:ind w:left="4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29,429,930</w:t>
            </w:r>
          </w:p>
        </w:tc>
        <w:tc>
          <w:tcPr>
            <w:tcW w:w="340" w:type="dxa"/>
            <w:vAlign w:val="bottom"/>
          </w:tcPr>
          <w:p>
            <w:pPr>
              <w:ind w:left="40"/>
              <w:spacing w:after="0"/>
              <w:rPr>
                <w:sz w:val="20"/>
                <w:szCs w:val="20"/>
                <w:color w:val="auto"/>
              </w:rPr>
            </w:pPr>
            <w:r>
              <w:rPr>
                <w:rFonts w:ascii="Arial" w:cs="Arial" w:eastAsia="Arial" w:hAnsi="Arial"/>
                <w:sz w:val="14"/>
                <w:szCs w:val="14"/>
                <w:color w:val="auto"/>
              </w:rPr>
              <w:t>(3)</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29,429,930</w:t>
            </w:r>
          </w:p>
        </w:tc>
        <w:tc>
          <w:tcPr>
            <w:tcW w:w="340" w:type="dxa"/>
            <w:vAlign w:val="bottom"/>
          </w:tcPr>
          <w:p>
            <w:pPr>
              <w:ind w:left="4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r>
      <w:tr>
        <w:trPr>
          <w:trHeight w:val="235"/>
        </w:trPr>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52,997,312</w:t>
            </w:r>
          </w:p>
        </w:tc>
        <w:tc>
          <w:tcPr>
            <w:tcW w:w="260" w:type="dxa"/>
            <w:vAlign w:val="bottom"/>
          </w:tcPr>
          <w:p>
            <w:pPr>
              <w:spacing w:after="0"/>
              <w:rPr>
                <w:sz w:val="20"/>
                <w:szCs w:val="20"/>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55,969,196</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0"/>
                <w:szCs w:val="20"/>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52,997,312</w:t>
            </w:r>
          </w:p>
        </w:tc>
        <w:tc>
          <w:tcPr>
            <w:tcW w:w="340" w:type="dxa"/>
            <w:vAlign w:val="bottom"/>
          </w:tcPr>
          <w:p>
            <w:pPr>
              <w:spacing w:after="0"/>
              <w:rPr>
                <w:sz w:val="20"/>
                <w:szCs w:val="20"/>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52,997,312</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0"/>
                <w:szCs w:val="20"/>
                <w:color w:val="auto"/>
              </w:rPr>
            </w:pPr>
          </w:p>
        </w:tc>
      </w:tr>
      <w:tr>
        <w:trPr>
          <w:trHeight w:val="763"/>
        </w:trPr>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r>
      <w:tr>
        <w:trPr>
          <w:trHeight w:val="351"/>
        </w:trPr>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r>
      <w:tr>
        <w:trPr>
          <w:trHeight w:val="351"/>
        </w:trPr>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r>
      <w:tr>
        <w:trPr>
          <w:trHeight w:val="297"/>
        </w:trPr>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r>
      <w:tr>
        <w:trPr>
          <w:trHeight w:val="230"/>
        </w:trPr>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585,181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r>
      <w:tr>
        <w:trPr>
          <w:trHeight w:val="230"/>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9,139,612</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9,139,612</w:t>
            </w:r>
          </w:p>
        </w:tc>
        <w:tc>
          <w:tcPr>
            <w:tcW w:w="340" w:type="dxa"/>
            <w:vAlign w:val="bottom"/>
          </w:tcPr>
          <w:p>
            <w:pPr>
              <w:ind w:left="4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r>
      <w:tr>
        <w:trPr>
          <w:trHeight w:val="230"/>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7,005,650</w:t>
            </w: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7,005,650</w:t>
            </w:r>
          </w:p>
        </w:tc>
        <w:tc>
          <w:tcPr>
            <w:tcW w:w="340" w:type="dxa"/>
            <w:vAlign w:val="bottom"/>
          </w:tcPr>
          <w:p>
            <w:pPr>
              <w:ind w:left="4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4,710,333</w:t>
            </w:r>
          </w:p>
        </w:tc>
        <w:tc>
          <w:tcPr>
            <w:tcW w:w="340" w:type="dxa"/>
            <w:vAlign w:val="bottom"/>
          </w:tcPr>
          <w:p>
            <w:pPr>
              <w:ind w:left="40"/>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r>
      <w:tr>
        <w:trPr>
          <w:trHeight w:val="235"/>
        </w:trPr>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16,145,262</w:t>
            </w:r>
          </w:p>
        </w:tc>
        <w:tc>
          <w:tcPr>
            <w:tcW w:w="260" w:type="dxa"/>
            <w:vAlign w:val="bottom"/>
          </w:tcPr>
          <w:p>
            <w:pPr>
              <w:spacing w:after="0"/>
              <w:rPr>
                <w:sz w:val="20"/>
                <w:szCs w:val="20"/>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16,730,443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0"/>
                <w:szCs w:val="20"/>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4,710,333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0"/>
                <w:szCs w:val="20"/>
                <w:color w:val="auto"/>
              </w:rPr>
            </w:pPr>
          </w:p>
        </w:tc>
      </w:tr>
      <w:tr>
        <w:trPr>
          <w:trHeight w:val="763"/>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867,269</w:t>
            </w:r>
          </w:p>
        </w:tc>
        <w:tc>
          <w:tcPr>
            <w:tcW w:w="26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433,094</w:t>
            </w:r>
          </w:p>
        </w:tc>
        <w:tc>
          <w:tcPr>
            <w:tcW w:w="340" w:type="dxa"/>
            <w:vAlign w:val="bottom"/>
          </w:tcPr>
          <w:p>
            <w:pPr>
              <w:ind w:left="40"/>
              <w:spacing w:after="0"/>
              <w:rPr>
                <w:sz w:val="20"/>
                <w:szCs w:val="20"/>
                <w:color w:val="auto"/>
              </w:rPr>
            </w:pPr>
            <w:r>
              <w:rPr>
                <w:rFonts w:ascii="Arial" w:cs="Arial" w:eastAsia="Arial" w:hAnsi="Arial"/>
                <w:sz w:val="14"/>
                <w:szCs w:val="14"/>
                <w:color w:val="auto"/>
              </w:rPr>
              <w:t>(9)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867,269</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851,874</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867,269</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r>
      <w:tr>
        <w:trPr>
          <w:trHeight w:val="351"/>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645,238</w:t>
            </w:r>
          </w:p>
        </w:tc>
        <w:tc>
          <w:tcPr>
            <w:tcW w:w="260" w:type="dxa"/>
            <w:vAlign w:val="bottom"/>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320,027</w:t>
            </w:r>
          </w:p>
        </w:tc>
        <w:tc>
          <w:tcPr>
            <w:tcW w:w="340" w:type="dxa"/>
            <w:vAlign w:val="bottom"/>
          </w:tcPr>
          <w:p>
            <w:pPr>
              <w:ind w:left="40"/>
              <w:spacing w:after="0"/>
              <w:rPr>
                <w:sz w:val="20"/>
                <w:szCs w:val="20"/>
                <w:color w:val="auto"/>
              </w:rPr>
            </w:pPr>
            <w:r>
              <w:rPr>
                <w:rFonts w:ascii="Arial" w:cs="Arial" w:eastAsia="Arial" w:hAnsi="Arial"/>
                <w:sz w:val="14"/>
                <w:szCs w:val="14"/>
                <w:color w:val="auto"/>
              </w:rPr>
              <w:t>(9)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645,238</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629,474</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645,238</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645,238</w:t>
            </w:r>
          </w:p>
        </w:tc>
        <w:tc>
          <w:tcPr>
            <w:tcW w:w="300" w:type="dxa"/>
            <w:vAlign w:val="bottom"/>
          </w:tcPr>
          <w:p>
            <w:pPr>
              <w:ind w:left="40"/>
              <w:spacing w:after="0"/>
              <w:rPr>
                <w:sz w:val="20"/>
                <w:szCs w:val="20"/>
                <w:color w:val="auto"/>
              </w:rPr>
            </w:pPr>
            <w:r>
              <w:rPr>
                <w:rFonts w:ascii="Arial" w:cs="Arial" w:eastAsia="Arial" w:hAnsi="Arial"/>
                <w:sz w:val="14"/>
                <w:szCs w:val="14"/>
                <w:color w:val="auto"/>
                <w:w w:val="96"/>
              </w:rPr>
              <w:t>(11)</w:t>
            </w:r>
          </w:p>
        </w:tc>
      </w:tr>
      <w:tr>
        <w:trPr>
          <w:trHeight w:val="351"/>
        </w:trPr>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r>
      <w:tr>
        <w:trPr>
          <w:trHeight w:val="297"/>
        </w:trPr>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759,386</w:t>
            </w:r>
          </w:p>
        </w:tc>
        <w:tc>
          <w:tcPr>
            <w:tcW w:w="340" w:type="dxa"/>
            <w:vAlign w:val="bottom"/>
          </w:tcPr>
          <w:p>
            <w:pPr>
              <w:ind w:left="40"/>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r>
      <w:tr>
        <w:trPr>
          <w:trHeight w:val="230"/>
        </w:trPr>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1,146,361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r>
      <w:tr>
        <w:trPr>
          <w:trHeight w:val="229"/>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51,372,490</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51,372,490</w:t>
            </w:r>
          </w:p>
        </w:tc>
        <w:tc>
          <w:tcPr>
            <w:tcW w:w="340" w:type="dxa"/>
            <w:vAlign w:val="bottom"/>
          </w:tcPr>
          <w:p>
            <w:pPr>
              <w:ind w:left="40"/>
              <w:spacing w:after="0"/>
              <w:rPr>
                <w:sz w:val="20"/>
                <w:szCs w:val="20"/>
                <w:color w:val="auto"/>
              </w:rPr>
            </w:pPr>
            <w:r>
              <w:rPr>
                <w:rFonts w:ascii="Arial" w:cs="Arial" w:eastAsia="Arial" w:hAnsi="Arial"/>
                <w:sz w:val="14"/>
                <w:szCs w:val="14"/>
                <w:color w:val="auto"/>
              </w:rPr>
              <w:t>(2)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22,501,200</w:t>
            </w:r>
          </w:p>
        </w:tc>
        <w:tc>
          <w:tcPr>
            <w:tcW w:w="340" w:type="dxa"/>
            <w:vAlign w:val="bottom"/>
          </w:tcPr>
          <w:p>
            <w:pPr>
              <w:ind w:left="40"/>
              <w:spacing w:after="0"/>
              <w:rPr>
                <w:sz w:val="20"/>
                <w:szCs w:val="20"/>
                <w:color w:val="auto"/>
              </w:rPr>
            </w:pPr>
            <w:r>
              <w:rPr>
                <w:rFonts w:ascii="Arial" w:cs="Arial" w:eastAsia="Arial" w:hAnsi="Arial"/>
                <w:sz w:val="14"/>
                <w:szCs w:val="14"/>
                <w:color w:val="auto"/>
              </w:rPr>
              <w:t>(12)</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51,372,490</w:t>
            </w:r>
          </w:p>
        </w:tc>
        <w:tc>
          <w:tcPr>
            <w:tcW w:w="340" w:type="dxa"/>
            <w:vAlign w:val="bottom"/>
          </w:tcPr>
          <w:p>
            <w:pPr>
              <w:ind w:left="40"/>
              <w:spacing w:after="0"/>
              <w:rPr>
                <w:sz w:val="20"/>
                <w:szCs w:val="20"/>
                <w:color w:val="auto"/>
              </w:rPr>
            </w:pPr>
            <w:r>
              <w:rPr>
                <w:rFonts w:ascii="Arial" w:cs="Arial" w:eastAsia="Arial" w:hAnsi="Arial"/>
                <w:sz w:val="14"/>
                <w:szCs w:val="14"/>
                <w:color w:val="auto"/>
              </w:rPr>
              <w:t>(4)</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51,372,490</w:t>
            </w:r>
          </w:p>
        </w:tc>
        <w:tc>
          <w:tcPr>
            <w:tcW w:w="340" w:type="dxa"/>
            <w:vAlign w:val="bottom"/>
          </w:tcPr>
          <w:p>
            <w:pPr>
              <w:ind w:left="40"/>
              <w:spacing w:after="0"/>
              <w:rPr>
                <w:sz w:val="20"/>
                <w:szCs w:val="20"/>
                <w:color w:val="auto"/>
              </w:rPr>
            </w:pPr>
            <w:r>
              <w:rPr>
                <w:rFonts w:ascii="Arial" w:cs="Arial" w:eastAsia="Arial" w:hAnsi="Arial"/>
                <w:sz w:val="14"/>
                <w:szCs w:val="14"/>
                <w:color w:val="auto"/>
              </w:rPr>
              <w:t>(4)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22,501,200</w:t>
            </w:r>
          </w:p>
        </w:tc>
        <w:tc>
          <w:tcPr>
            <w:tcW w:w="300" w:type="dxa"/>
            <w:vAlign w:val="bottom"/>
          </w:tcPr>
          <w:p>
            <w:pPr>
              <w:ind w:left="40"/>
              <w:spacing w:after="0"/>
              <w:rPr>
                <w:sz w:val="20"/>
                <w:szCs w:val="20"/>
                <w:color w:val="auto"/>
              </w:rPr>
            </w:pPr>
            <w:r>
              <w:rPr>
                <w:rFonts w:ascii="Arial" w:cs="Arial" w:eastAsia="Arial" w:hAnsi="Arial"/>
                <w:sz w:val="14"/>
                <w:szCs w:val="14"/>
                <w:color w:val="auto"/>
                <w:w w:val="96"/>
              </w:rPr>
              <w:t>(12)</w:t>
            </w:r>
          </w:p>
        </w:tc>
      </w:tr>
      <w:tr>
        <w:trPr>
          <w:trHeight w:val="230"/>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170,814,744</w:t>
            </w: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170,814,744</w:t>
            </w:r>
          </w:p>
        </w:tc>
        <w:tc>
          <w:tcPr>
            <w:tcW w:w="340" w:type="dxa"/>
            <w:vAlign w:val="bottom"/>
          </w:tcPr>
          <w:p>
            <w:pPr>
              <w:ind w:left="4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170,814,744</w:t>
            </w:r>
          </w:p>
        </w:tc>
        <w:tc>
          <w:tcPr>
            <w:tcW w:w="340" w:type="dxa"/>
            <w:vAlign w:val="bottom"/>
          </w:tcPr>
          <w:p>
            <w:pPr>
              <w:ind w:left="40"/>
              <w:spacing w:after="0"/>
              <w:rPr>
                <w:sz w:val="20"/>
                <w:szCs w:val="20"/>
                <w:color w:val="auto"/>
              </w:rPr>
            </w:pPr>
            <w:r>
              <w:rPr>
                <w:rFonts w:ascii="Arial" w:cs="Arial" w:eastAsia="Arial" w:hAnsi="Arial"/>
                <w:sz w:val="14"/>
                <w:szCs w:val="14"/>
                <w:color w:val="auto"/>
              </w:rPr>
              <w:t>(3)</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170,814,744</w:t>
            </w:r>
          </w:p>
        </w:tc>
        <w:tc>
          <w:tcPr>
            <w:tcW w:w="340" w:type="dxa"/>
            <w:vAlign w:val="bottom"/>
          </w:tcPr>
          <w:p>
            <w:pPr>
              <w:ind w:left="4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r>
      <w:tr>
        <w:trPr>
          <w:trHeight w:val="235"/>
        </w:trPr>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223,699,741</w:t>
            </w:r>
          </w:p>
        </w:tc>
        <w:tc>
          <w:tcPr>
            <w:tcW w:w="260" w:type="dxa"/>
            <w:vAlign w:val="bottom"/>
          </w:tcPr>
          <w:p>
            <w:pPr>
              <w:spacing w:after="0"/>
              <w:rPr>
                <w:sz w:val="20"/>
                <w:szCs w:val="20"/>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224,846,102</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24,013,707</w:t>
            </w:r>
          </w:p>
        </w:tc>
        <w:tc>
          <w:tcPr>
            <w:tcW w:w="340" w:type="dxa"/>
            <w:vAlign w:val="bottom"/>
          </w:tcPr>
          <w:p>
            <w:pPr>
              <w:spacing w:after="0"/>
              <w:rPr>
                <w:sz w:val="20"/>
                <w:szCs w:val="20"/>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223,668,582</w:t>
            </w:r>
          </w:p>
        </w:tc>
        <w:tc>
          <w:tcPr>
            <w:tcW w:w="340" w:type="dxa"/>
            <w:vAlign w:val="bottom"/>
          </w:tcPr>
          <w:p>
            <w:pPr>
              <w:spacing w:after="0"/>
              <w:rPr>
                <w:sz w:val="20"/>
                <w:szCs w:val="20"/>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223,699,741</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23,146,438</w:t>
            </w:r>
          </w:p>
        </w:tc>
        <w:tc>
          <w:tcPr>
            <w:tcW w:w="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-4575810</wp:posOffset>
            </wp:positionV>
            <wp:extent cx="7115175" cy="222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222885"/>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-4130040</wp:posOffset>
            </wp:positionV>
            <wp:extent cx="711517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-3838575</wp:posOffset>
            </wp:positionV>
            <wp:extent cx="711517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-3547110</wp:posOffset>
            </wp:positionV>
            <wp:extent cx="7115175"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-3238500</wp:posOffset>
            </wp:positionV>
            <wp:extent cx="711517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-2869565</wp:posOffset>
            </wp:positionV>
            <wp:extent cx="7115175" cy="222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222885"/>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-2423795</wp:posOffset>
            </wp:positionV>
            <wp:extent cx="7115175"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-2132330</wp:posOffset>
            </wp:positionV>
            <wp:extent cx="711517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-1840865</wp:posOffset>
            </wp:positionV>
            <wp:extent cx="7115175"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-1532255</wp:posOffset>
            </wp:positionV>
            <wp:extent cx="711517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-1163955</wp:posOffset>
            </wp:positionV>
            <wp:extent cx="7115175" cy="222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222885"/>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-718185</wp:posOffset>
            </wp:positionV>
            <wp:extent cx="711517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-426720</wp:posOffset>
            </wp:positionV>
            <wp:extent cx="7115175"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-135255</wp:posOffset>
            </wp:positionV>
            <wp:extent cx="7115175"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300"/>
            <w:col w:w="9160"/>
          </w:cols>
          <w:pgMar w:left="320" w:top="98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76"/>
        </w:trPr>
        <w:tc>
          <w:tcPr>
            <w:tcW w:w="1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rPr>
              <w:t>Resignation;</w:t>
            </w: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center"/>
              <w:ind w:left="8"/>
              <w:spacing w:after="0"/>
              <w:rPr>
                <w:sz w:val="20"/>
                <w:szCs w:val="20"/>
                <w:color w:val="auto"/>
              </w:rPr>
            </w:pPr>
            <w:r>
              <w:rPr>
                <w:rFonts w:ascii="Arial" w:cs="Arial" w:eastAsia="Arial" w:hAnsi="Arial"/>
                <w:sz w:val="14"/>
                <w:szCs w:val="14"/>
                <w:b w:val="1"/>
                <w:bCs w:val="1"/>
                <w:color w:val="auto"/>
              </w:rPr>
              <w:t>Involuntary</w:t>
            </w:r>
          </w:p>
        </w:tc>
        <w:tc>
          <w:tcPr>
            <w:tcW w:w="280" w:type="dxa"/>
            <w:vAlign w:val="bottom"/>
          </w:tcPr>
          <w:p>
            <w:pPr>
              <w:spacing w:after="0"/>
              <w:rPr>
                <w:sz w:val="15"/>
                <w:szCs w:val="15"/>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Involuntary</w:t>
            </w: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center"/>
              <w:ind w:left="8"/>
              <w:spacing w:after="0"/>
              <w:rPr>
                <w:sz w:val="20"/>
                <w:szCs w:val="20"/>
                <w:color w:val="auto"/>
              </w:rPr>
            </w:pPr>
            <w:r>
              <w:rPr>
                <w:rFonts w:ascii="Arial" w:cs="Arial" w:eastAsia="Arial" w:hAnsi="Arial"/>
                <w:sz w:val="14"/>
                <w:szCs w:val="14"/>
                <w:b w:val="1"/>
                <w:bCs w:val="1"/>
                <w:color w:val="auto"/>
                <w:w w:val="99"/>
              </w:rPr>
              <w:t>Termination</w:t>
            </w:r>
          </w:p>
        </w:tc>
        <w:tc>
          <w:tcPr>
            <w:tcW w:w="28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Termination</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Form of Compensation</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Disability</w:t>
            </w: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Death</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for Cause</w:t>
            </w:r>
          </w:p>
        </w:tc>
        <w:tc>
          <w:tcPr>
            <w:tcW w:w="132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b w:val="1"/>
                <w:bCs w:val="1"/>
                <w:color w:val="auto"/>
              </w:rPr>
              <w:t>(not for Cause)</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Retirement</w:t>
            </w:r>
          </w:p>
        </w:tc>
        <w:tc>
          <w:tcPr>
            <w:tcW w:w="15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in Control</w:t>
            </w:r>
          </w:p>
        </w:tc>
        <w:tc>
          <w:tcPr>
            <w:tcW w:w="0" w:type="dxa"/>
            <w:vAlign w:val="bottom"/>
          </w:tcPr>
          <w:p>
            <w:pPr>
              <w:spacing w:after="0"/>
              <w:rPr>
                <w:sz w:val="1"/>
                <w:szCs w:val="1"/>
                <w:color w:val="auto"/>
              </w:rPr>
            </w:pPr>
          </w:p>
        </w:tc>
      </w:tr>
      <w:tr>
        <w:trPr>
          <w:trHeight w:val="224"/>
        </w:trPr>
        <w:tc>
          <w:tcPr>
            <w:tcW w:w="19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Hagop Kozanian</w:t>
            </w:r>
          </w:p>
        </w:tc>
        <w:tc>
          <w:tcPr>
            <w:tcW w:w="3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980" w:type="dxa"/>
            <w:vAlign w:val="bottom"/>
          </w:tcPr>
          <w:p>
            <w:pPr>
              <w:ind w:left="20"/>
              <w:spacing w:after="0" w:line="153" w:lineRule="exact"/>
              <w:rPr>
                <w:sz w:val="20"/>
                <w:szCs w:val="20"/>
                <w:color w:val="auto"/>
              </w:rPr>
            </w:pPr>
            <w:r>
              <w:rPr>
                <w:rFonts w:ascii="Arial" w:cs="Arial" w:eastAsia="Arial" w:hAnsi="Arial"/>
                <w:sz w:val="14"/>
                <w:szCs w:val="14"/>
                <w:color w:val="auto"/>
              </w:rPr>
              <w:t>Qualified Defined Benefit</w:t>
            </w:r>
          </w:p>
        </w:tc>
        <w:tc>
          <w:tcPr>
            <w:tcW w:w="3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200" w:type="dxa"/>
            <w:vAlign w:val="bottom"/>
            <w:vMerge w:val="restart"/>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440" w:type="dxa"/>
            <w:vAlign w:val="bottom"/>
            <w:vMerge w:val="restart"/>
          </w:tcPr>
          <w:p>
            <w:pPr>
              <w:ind w:left="980"/>
              <w:spacing w:after="0"/>
              <w:rPr>
                <w:sz w:val="20"/>
                <w:szCs w:val="20"/>
                <w:color w:val="auto"/>
              </w:rPr>
            </w:pPr>
            <w:r>
              <w:rPr>
                <w:rFonts w:ascii="Arial" w:cs="Arial" w:eastAsia="Arial" w:hAnsi="Arial"/>
                <w:sz w:val="14"/>
                <w:szCs w:val="14"/>
                <w:color w:val="auto"/>
              </w:rPr>
              <w:t>—</w:t>
            </w:r>
          </w:p>
        </w:tc>
        <w:tc>
          <w:tcPr>
            <w:tcW w:w="1560" w:type="dxa"/>
            <w:vAlign w:val="bottom"/>
            <w:vMerge w:val="restart"/>
          </w:tcPr>
          <w:p>
            <w:pPr>
              <w:ind w:left="10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980" w:type="dxa"/>
            <w:vAlign w:val="bottom"/>
            <w:vMerge w:val="restart"/>
          </w:tcPr>
          <w:p>
            <w:pPr>
              <w:ind w:left="20"/>
              <w:spacing w:after="0"/>
              <w:rPr>
                <w:sz w:val="20"/>
                <w:szCs w:val="20"/>
                <w:color w:val="auto"/>
              </w:rPr>
            </w:pPr>
            <w:r>
              <w:rPr>
                <w:rFonts w:ascii="Arial" w:cs="Arial" w:eastAsia="Arial" w:hAnsi="Arial"/>
                <w:sz w:val="14"/>
                <w:szCs w:val="14"/>
                <w:color w:val="auto"/>
              </w:rPr>
              <w:t>Pension Plan</w:t>
            </w:r>
          </w:p>
        </w:tc>
        <w:tc>
          <w:tcPr>
            <w:tcW w:w="3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9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980" w:type="dxa"/>
            <w:vAlign w:val="bottom"/>
            <w:shd w:val="clear" w:color="auto" w:fill="DBDBDB"/>
          </w:tcPr>
          <w:p>
            <w:pPr>
              <w:ind w:left="20"/>
              <w:spacing w:after="0" w:line="157" w:lineRule="exact"/>
              <w:rPr>
                <w:sz w:val="20"/>
                <w:szCs w:val="20"/>
                <w:color w:val="auto"/>
              </w:rPr>
            </w:pPr>
            <w:r>
              <w:rPr>
                <w:rFonts w:ascii="Arial" w:cs="Arial" w:eastAsia="Arial" w:hAnsi="Arial"/>
                <w:sz w:val="14"/>
                <w:szCs w:val="14"/>
                <w:color w:val="auto"/>
              </w:rPr>
              <w:t>Non-Qual. Defined Benefit</w:t>
            </w:r>
          </w:p>
        </w:tc>
        <w:tc>
          <w:tcPr>
            <w:tcW w:w="38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DBDBDB"/>
          </w:tcPr>
          <w:p>
            <w:pPr>
              <w:spacing w:after="0"/>
              <w:rPr>
                <w:sz w:val="13"/>
                <w:szCs w:val="13"/>
                <w:color w:val="auto"/>
              </w:rPr>
            </w:pPr>
          </w:p>
        </w:tc>
        <w:tc>
          <w:tcPr>
            <w:tcW w:w="1200" w:type="dxa"/>
            <w:vAlign w:val="bottom"/>
            <w:vMerge w:val="restart"/>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DBDBDB"/>
          </w:tcPr>
          <w:p>
            <w:pPr>
              <w:spacing w:after="0"/>
              <w:rPr>
                <w:sz w:val="13"/>
                <w:szCs w:val="13"/>
                <w:color w:val="auto"/>
              </w:rPr>
            </w:pPr>
          </w:p>
        </w:tc>
        <w:tc>
          <w:tcPr>
            <w:tcW w:w="1440" w:type="dxa"/>
            <w:vAlign w:val="bottom"/>
            <w:vMerge w:val="restart"/>
            <w:shd w:val="clear" w:color="auto" w:fill="DBDBDB"/>
          </w:tcPr>
          <w:p>
            <w:pPr>
              <w:ind w:left="980"/>
              <w:spacing w:after="0"/>
              <w:rPr>
                <w:sz w:val="20"/>
                <w:szCs w:val="20"/>
                <w:color w:val="auto"/>
              </w:rPr>
            </w:pPr>
            <w:r>
              <w:rPr>
                <w:rFonts w:ascii="Arial" w:cs="Arial" w:eastAsia="Arial" w:hAnsi="Arial"/>
                <w:sz w:val="14"/>
                <w:szCs w:val="14"/>
                <w:color w:val="auto"/>
              </w:rPr>
              <w:t>—</w:t>
            </w:r>
          </w:p>
        </w:tc>
        <w:tc>
          <w:tcPr>
            <w:tcW w:w="1560" w:type="dxa"/>
            <w:vAlign w:val="bottom"/>
            <w:vMerge w:val="restart"/>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98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Pension Plan</w:t>
            </w:r>
          </w:p>
        </w:tc>
        <w:tc>
          <w:tcPr>
            <w:tcW w:w="380" w:type="dxa"/>
            <w:vAlign w:val="bottom"/>
            <w:shd w:val="clear" w:color="auto" w:fill="DBDBDB"/>
          </w:tcPr>
          <w:p>
            <w:pPr>
              <w:spacing w:after="0"/>
              <w:rPr>
                <w:sz w:val="9"/>
                <w:szCs w:val="9"/>
                <w:color w:val="auto"/>
              </w:rPr>
            </w:pPr>
          </w:p>
        </w:tc>
        <w:tc>
          <w:tcPr>
            <w:tcW w:w="1000" w:type="dxa"/>
            <w:vAlign w:val="bottom"/>
            <w:vMerge w:val="continue"/>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940" w:type="dxa"/>
            <w:vAlign w:val="bottom"/>
            <w:vMerge w:val="continue"/>
            <w:shd w:val="clear" w:color="auto" w:fill="DBDBDB"/>
          </w:tcPr>
          <w:p>
            <w:pPr>
              <w:spacing w:after="0"/>
              <w:rPr>
                <w:sz w:val="9"/>
                <w:szCs w:val="9"/>
                <w:color w:val="auto"/>
              </w:rPr>
            </w:pPr>
          </w:p>
        </w:tc>
        <w:tc>
          <w:tcPr>
            <w:tcW w:w="440" w:type="dxa"/>
            <w:vAlign w:val="bottom"/>
            <w:shd w:val="clear" w:color="auto" w:fill="DBDBDB"/>
          </w:tcPr>
          <w:p>
            <w:pPr>
              <w:spacing w:after="0"/>
              <w:rPr>
                <w:sz w:val="9"/>
                <w:szCs w:val="9"/>
                <w:color w:val="auto"/>
              </w:rPr>
            </w:pPr>
          </w:p>
        </w:tc>
        <w:tc>
          <w:tcPr>
            <w:tcW w:w="1200" w:type="dxa"/>
            <w:vAlign w:val="bottom"/>
            <w:vMerge w:val="continue"/>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1040" w:type="dxa"/>
            <w:vAlign w:val="bottom"/>
            <w:vMerge w:val="continue"/>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440" w:type="dxa"/>
            <w:vAlign w:val="bottom"/>
            <w:vMerge w:val="continue"/>
            <w:shd w:val="clear" w:color="auto" w:fill="DBDBDB"/>
          </w:tcPr>
          <w:p>
            <w:pPr>
              <w:spacing w:after="0"/>
              <w:rPr>
                <w:sz w:val="9"/>
                <w:szCs w:val="9"/>
                <w:color w:val="auto"/>
              </w:rPr>
            </w:pPr>
          </w:p>
        </w:tc>
        <w:tc>
          <w:tcPr>
            <w:tcW w:w="156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980" w:type="dxa"/>
            <w:vAlign w:val="bottom"/>
            <w:vMerge w:val="continue"/>
            <w:shd w:val="clear" w:color="auto" w:fill="DBDBDB"/>
          </w:tcPr>
          <w:p>
            <w:pPr>
              <w:spacing w:after="0"/>
              <w:rPr>
                <w:sz w:val="7"/>
                <w:szCs w:val="7"/>
                <w:color w:val="auto"/>
              </w:rPr>
            </w:pPr>
          </w:p>
        </w:tc>
        <w:tc>
          <w:tcPr>
            <w:tcW w:w="38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280" w:type="dxa"/>
            <w:vAlign w:val="bottom"/>
            <w:shd w:val="clear" w:color="auto" w:fill="DBDBDB"/>
          </w:tcPr>
          <w:p>
            <w:pPr>
              <w:spacing w:after="0"/>
              <w:rPr>
                <w:sz w:val="7"/>
                <w:szCs w:val="7"/>
                <w:color w:val="auto"/>
              </w:rPr>
            </w:pPr>
          </w:p>
        </w:tc>
        <w:tc>
          <w:tcPr>
            <w:tcW w:w="280" w:type="dxa"/>
            <w:vAlign w:val="bottom"/>
            <w:shd w:val="clear" w:color="auto" w:fill="DBDBDB"/>
          </w:tcPr>
          <w:p>
            <w:pPr>
              <w:spacing w:after="0"/>
              <w:rPr>
                <w:sz w:val="7"/>
                <w:szCs w:val="7"/>
                <w:color w:val="auto"/>
              </w:rPr>
            </w:pPr>
          </w:p>
        </w:tc>
        <w:tc>
          <w:tcPr>
            <w:tcW w:w="940" w:type="dxa"/>
            <w:vAlign w:val="bottom"/>
            <w:shd w:val="clear" w:color="auto" w:fill="DBDBDB"/>
          </w:tcPr>
          <w:p>
            <w:pPr>
              <w:spacing w:after="0"/>
              <w:rPr>
                <w:sz w:val="7"/>
                <w:szCs w:val="7"/>
                <w:color w:val="auto"/>
              </w:rPr>
            </w:pPr>
          </w:p>
        </w:tc>
        <w:tc>
          <w:tcPr>
            <w:tcW w:w="440" w:type="dxa"/>
            <w:vAlign w:val="bottom"/>
            <w:shd w:val="clear" w:color="auto" w:fill="DBDBDB"/>
          </w:tcPr>
          <w:p>
            <w:pPr>
              <w:spacing w:after="0"/>
              <w:rPr>
                <w:sz w:val="7"/>
                <w:szCs w:val="7"/>
                <w:color w:val="auto"/>
              </w:rPr>
            </w:pPr>
          </w:p>
        </w:tc>
        <w:tc>
          <w:tcPr>
            <w:tcW w:w="1200" w:type="dxa"/>
            <w:vAlign w:val="bottom"/>
            <w:shd w:val="clear" w:color="auto" w:fill="DBDBDB"/>
          </w:tcPr>
          <w:p>
            <w:pPr>
              <w:spacing w:after="0"/>
              <w:rPr>
                <w:sz w:val="7"/>
                <w:szCs w:val="7"/>
                <w:color w:val="auto"/>
              </w:rPr>
            </w:pPr>
          </w:p>
        </w:tc>
        <w:tc>
          <w:tcPr>
            <w:tcW w:w="280" w:type="dxa"/>
            <w:vAlign w:val="bottom"/>
            <w:shd w:val="clear" w:color="auto" w:fill="DBDBDB"/>
          </w:tcPr>
          <w:p>
            <w:pPr>
              <w:spacing w:after="0"/>
              <w:rPr>
                <w:sz w:val="7"/>
                <w:szCs w:val="7"/>
                <w:color w:val="auto"/>
              </w:rPr>
            </w:pPr>
          </w:p>
        </w:tc>
        <w:tc>
          <w:tcPr>
            <w:tcW w:w="1040" w:type="dxa"/>
            <w:vAlign w:val="bottom"/>
            <w:shd w:val="clear" w:color="auto" w:fill="DBDBDB"/>
          </w:tcPr>
          <w:p>
            <w:pPr>
              <w:spacing w:after="0"/>
              <w:rPr>
                <w:sz w:val="7"/>
                <w:szCs w:val="7"/>
                <w:color w:val="auto"/>
              </w:rPr>
            </w:pPr>
          </w:p>
        </w:tc>
        <w:tc>
          <w:tcPr>
            <w:tcW w:w="400" w:type="dxa"/>
            <w:vAlign w:val="bottom"/>
            <w:shd w:val="clear" w:color="auto" w:fill="DBDBDB"/>
          </w:tcPr>
          <w:p>
            <w:pPr>
              <w:spacing w:after="0"/>
              <w:rPr>
                <w:sz w:val="7"/>
                <w:szCs w:val="7"/>
                <w:color w:val="auto"/>
              </w:rPr>
            </w:pPr>
          </w:p>
        </w:tc>
        <w:tc>
          <w:tcPr>
            <w:tcW w:w="1440" w:type="dxa"/>
            <w:vAlign w:val="bottom"/>
            <w:shd w:val="clear" w:color="auto" w:fill="DBDBDB"/>
          </w:tcPr>
          <w:p>
            <w:pPr>
              <w:spacing w:after="0"/>
              <w:rPr>
                <w:sz w:val="7"/>
                <w:szCs w:val="7"/>
                <w:color w:val="auto"/>
              </w:rPr>
            </w:pPr>
          </w:p>
        </w:tc>
        <w:tc>
          <w:tcPr>
            <w:tcW w:w="15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980" w:type="dxa"/>
            <w:vAlign w:val="bottom"/>
          </w:tcPr>
          <w:p>
            <w:pPr>
              <w:ind w:left="20"/>
              <w:spacing w:after="0" w:line="153" w:lineRule="exact"/>
              <w:rPr>
                <w:sz w:val="20"/>
                <w:szCs w:val="20"/>
                <w:color w:val="auto"/>
              </w:rPr>
            </w:pPr>
            <w:r>
              <w:rPr>
                <w:rFonts w:ascii="Arial" w:cs="Arial" w:eastAsia="Arial" w:hAnsi="Arial"/>
                <w:sz w:val="14"/>
                <w:szCs w:val="14"/>
                <w:color w:val="auto"/>
              </w:rPr>
              <w:t>Non-Qual. Defined Benefit</w:t>
            </w:r>
          </w:p>
        </w:tc>
        <w:tc>
          <w:tcPr>
            <w:tcW w:w="3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200" w:type="dxa"/>
            <w:vAlign w:val="bottom"/>
            <w:vMerge w:val="restart"/>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440" w:type="dxa"/>
            <w:vAlign w:val="bottom"/>
            <w:vMerge w:val="restart"/>
          </w:tcPr>
          <w:p>
            <w:pPr>
              <w:ind w:left="980"/>
              <w:spacing w:after="0"/>
              <w:rPr>
                <w:sz w:val="20"/>
                <w:szCs w:val="20"/>
                <w:color w:val="auto"/>
              </w:rPr>
            </w:pPr>
            <w:r>
              <w:rPr>
                <w:rFonts w:ascii="Arial" w:cs="Arial" w:eastAsia="Arial" w:hAnsi="Arial"/>
                <w:sz w:val="14"/>
                <w:szCs w:val="14"/>
                <w:color w:val="auto"/>
              </w:rPr>
              <w:t>—</w:t>
            </w:r>
          </w:p>
        </w:tc>
        <w:tc>
          <w:tcPr>
            <w:tcW w:w="1560" w:type="dxa"/>
            <w:vAlign w:val="bottom"/>
            <w:vMerge w:val="restart"/>
          </w:tcPr>
          <w:p>
            <w:pPr>
              <w:ind w:left="10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980" w:type="dxa"/>
            <w:vAlign w:val="bottom"/>
            <w:vMerge w:val="restart"/>
          </w:tcPr>
          <w:p>
            <w:pPr>
              <w:ind w:left="20"/>
              <w:spacing w:after="0"/>
              <w:rPr>
                <w:sz w:val="20"/>
                <w:szCs w:val="20"/>
                <w:color w:val="auto"/>
              </w:rPr>
            </w:pPr>
            <w:r>
              <w:rPr>
                <w:rFonts w:ascii="Arial" w:cs="Arial" w:eastAsia="Arial" w:hAnsi="Arial"/>
                <w:sz w:val="14"/>
                <w:szCs w:val="14"/>
                <w:color w:val="auto"/>
              </w:rPr>
              <w:t>Pension Plan II</w:t>
            </w:r>
          </w:p>
        </w:tc>
        <w:tc>
          <w:tcPr>
            <w:tcW w:w="3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9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1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Survivor Benefit Plan</w:t>
            </w:r>
          </w:p>
        </w:tc>
        <w:tc>
          <w:tcPr>
            <w:tcW w:w="38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1440" w:type="dxa"/>
            <w:vAlign w:val="bottom"/>
            <w:tcBorders>
              <w:bottom w:val="single" w:sz="8" w:color="DBDBDB"/>
            </w:tcBorders>
            <w:shd w:val="clear" w:color="auto" w:fill="DBDBDB"/>
          </w:tcPr>
          <w:p>
            <w:pPr>
              <w:ind w:left="98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DBDBDB"/>
            </w:tcBorders>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1980" w:type="dxa"/>
            <w:vAlign w:val="bottom"/>
          </w:tcPr>
          <w:p>
            <w:pPr>
              <w:ind w:left="20"/>
              <w:spacing w:after="0"/>
              <w:rPr>
                <w:sz w:val="20"/>
                <w:szCs w:val="20"/>
                <w:color w:val="auto"/>
              </w:rPr>
            </w:pPr>
            <w:r>
              <w:rPr>
                <w:rFonts w:ascii="Arial" w:cs="Arial" w:eastAsia="Arial" w:hAnsi="Arial"/>
                <w:sz w:val="14"/>
                <w:szCs w:val="14"/>
                <w:color w:val="auto"/>
              </w:rPr>
              <w:t>Deferred Compensation (1)</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149,249</w:t>
            </w:r>
          </w:p>
        </w:tc>
        <w:tc>
          <w:tcPr>
            <w:tcW w:w="440" w:type="dxa"/>
            <w:vAlign w:val="bottom"/>
          </w:tcPr>
          <w:p>
            <w:pPr>
              <w:spacing w:after="0"/>
              <w:rPr>
                <w:sz w:val="18"/>
                <w:szCs w:val="18"/>
                <w:color w:val="auto"/>
              </w:rPr>
            </w:pPr>
          </w:p>
        </w:tc>
        <w:tc>
          <w:tcPr>
            <w:tcW w:w="1200" w:type="dxa"/>
            <w:vAlign w:val="bottom"/>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40" w:type="dxa"/>
            <w:vAlign w:val="bottom"/>
          </w:tcPr>
          <w:p>
            <w:pPr>
              <w:ind w:left="980"/>
              <w:spacing w:after="0"/>
              <w:rPr>
                <w:sz w:val="20"/>
                <w:szCs w:val="20"/>
                <w:color w:val="auto"/>
              </w:rPr>
            </w:pPr>
            <w:r>
              <w:rPr>
                <w:rFonts w:ascii="Arial" w:cs="Arial" w:eastAsia="Arial" w:hAnsi="Arial"/>
                <w:sz w:val="14"/>
                <w:szCs w:val="14"/>
                <w:color w:val="auto"/>
              </w:rPr>
              <w:t>—</w:t>
            </w:r>
          </w:p>
        </w:tc>
        <w:tc>
          <w:tcPr>
            <w:tcW w:w="1560" w:type="dxa"/>
            <w:vAlign w:val="bottom"/>
          </w:tcPr>
          <w:p>
            <w:pPr>
              <w:ind w:left="10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38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10,067,974</w:t>
            </w:r>
          </w:p>
        </w:tc>
        <w:tc>
          <w:tcPr>
            <w:tcW w:w="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10,067,974</w:t>
            </w:r>
          </w:p>
        </w:tc>
        <w:tc>
          <w:tcPr>
            <w:tcW w:w="44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(2)</w:t>
            </w:r>
          </w:p>
        </w:tc>
        <w:tc>
          <w:tcPr>
            <w:tcW w:w="1200" w:type="dxa"/>
            <w:vAlign w:val="bottom"/>
            <w:tcBorders>
              <w:bottom w:val="single" w:sz="8" w:color="DBDBDB"/>
            </w:tcBorders>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1440" w:type="dxa"/>
            <w:vAlign w:val="bottom"/>
            <w:tcBorders>
              <w:bottom w:val="single" w:sz="8" w:color="DBDBDB"/>
            </w:tcBorders>
            <w:shd w:val="clear" w:color="auto" w:fill="DBDBDB"/>
          </w:tcPr>
          <w:p>
            <w:pPr>
              <w:ind w:left="98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DBDBDB"/>
            </w:tcBorders>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198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6,273,157</w:t>
            </w: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6,273,157</w:t>
            </w:r>
          </w:p>
        </w:tc>
        <w:tc>
          <w:tcPr>
            <w:tcW w:w="440" w:type="dxa"/>
            <w:vAlign w:val="bottom"/>
          </w:tcPr>
          <w:p>
            <w:pPr>
              <w:jc w:val="right"/>
              <w:ind w:right="148"/>
              <w:spacing w:after="0"/>
              <w:rPr>
                <w:sz w:val="20"/>
                <w:szCs w:val="20"/>
                <w:color w:val="auto"/>
              </w:rPr>
            </w:pPr>
            <w:r>
              <w:rPr>
                <w:rFonts w:ascii="Arial" w:cs="Arial" w:eastAsia="Arial" w:hAnsi="Arial"/>
                <w:sz w:val="14"/>
                <w:szCs w:val="14"/>
                <w:color w:val="auto"/>
              </w:rPr>
              <w:t>(3)</w:t>
            </w:r>
          </w:p>
        </w:tc>
        <w:tc>
          <w:tcPr>
            <w:tcW w:w="1200" w:type="dxa"/>
            <w:vAlign w:val="bottom"/>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3,788,968</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1440" w:type="dxa"/>
            <w:vAlign w:val="bottom"/>
          </w:tcPr>
          <w:p>
            <w:pPr>
              <w:ind w:left="980"/>
              <w:spacing w:after="0"/>
              <w:rPr>
                <w:sz w:val="20"/>
                <w:szCs w:val="20"/>
                <w:color w:val="auto"/>
              </w:rPr>
            </w:pPr>
            <w:r>
              <w:rPr>
                <w:rFonts w:ascii="Arial" w:cs="Arial" w:eastAsia="Arial" w:hAnsi="Arial"/>
                <w:sz w:val="14"/>
                <w:szCs w:val="14"/>
                <w:color w:val="auto"/>
              </w:rPr>
              <w:t>—</w:t>
            </w:r>
          </w:p>
        </w:tc>
        <w:tc>
          <w:tcPr>
            <w:tcW w:w="1560" w:type="dxa"/>
            <w:vAlign w:val="bottom"/>
          </w:tcPr>
          <w:p>
            <w:pPr>
              <w:ind w:left="10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shd w:val="clear" w:color="auto" w:fill="DBDBDB"/>
          </w:tcPr>
          <w:p>
            <w:pPr>
              <w:ind w:left="140"/>
              <w:spacing w:after="0"/>
              <w:rPr>
                <w:sz w:val="20"/>
                <w:szCs w:val="20"/>
                <w:color w:val="auto"/>
              </w:rPr>
            </w:pPr>
            <w:r>
              <w:rPr>
                <w:rFonts w:ascii="Arial" w:cs="Arial" w:eastAsia="Arial" w:hAnsi="Arial"/>
                <w:sz w:val="14"/>
                <w:szCs w:val="14"/>
                <w:b w:val="1"/>
                <w:bCs w:val="1"/>
                <w:color w:val="auto"/>
              </w:rPr>
              <w:t>H. Kozanian Total</w:t>
            </w:r>
          </w:p>
        </w:tc>
        <w:tc>
          <w:tcPr>
            <w:tcW w:w="380" w:type="dxa"/>
            <w:vAlign w:val="bottom"/>
            <w:shd w:val="clear" w:color="auto" w:fill="DBDBDB"/>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16,341,131</w:t>
            </w: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16,490,380</w:t>
            </w:r>
          </w:p>
        </w:tc>
        <w:tc>
          <w:tcPr>
            <w:tcW w:w="440" w:type="dxa"/>
            <w:vAlign w:val="bottom"/>
            <w:shd w:val="clear" w:color="auto" w:fill="DBDBDB"/>
          </w:tcPr>
          <w:p>
            <w:pPr>
              <w:spacing w:after="0"/>
              <w:rPr>
                <w:sz w:val="19"/>
                <w:szCs w:val="19"/>
                <w:color w:val="auto"/>
              </w:rPr>
            </w:pPr>
          </w:p>
        </w:tc>
        <w:tc>
          <w:tcPr>
            <w:tcW w:w="1200" w:type="dxa"/>
            <w:vAlign w:val="bottom"/>
            <w:shd w:val="clear" w:color="auto" w:fill="DBDBDB"/>
          </w:tcPr>
          <w:p>
            <w:pPr>
              <w:ind w:left="7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3,788,968</w:t>
            </w:r>
          </w:p>
        </w:tc>
        <w:tc>
          <w:tcPr>
            <w:tcW w:w="400" w:type="dxa"/>
            <w:vAlign w:val="bottom"/>
            <w:shd w:val="clear" w:color="auto" w:fill="DBDBDB"/>
          </w:tcPr>
          <w:p>
            <w:pPr>
              <w:spacing w:after="0"/>
              <w:rPr>
                <w:sz w:val="19"/>
                <w:szCs w:val="19"/>
                <w:color w:val="auto"/>
              </w:rPr>
            </w:pPr>
          </w:p>
        </w:tc>
        <w:tc>
          <w:tcPr>
            <w:tcW w:w="1440" w:type="dxa"/>
            <w:vAlign w:val="bottom"/>
            <w:shd w:val="clear" w:color="auto" w:fill="DBDBDB"/>
          </w:tcPr>
          <w:p>
            <w:pPr>
              <w:ind w:left="980"/>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DBDBDB"/>
          </w:tcPr>
          <w:p>
            <w:pPr>
              <w:ind w:left="10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Amichai Ron</w:t>
            </w:r>
          </w:p>
        </w:tc>
        <w:tc>
          <w:tcPr>
            <w:tcW w:w="3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980" w:type="dxa"/>
            <w:vAlign w:val="bottom"/>
          </w:tcPr>
          <w:p>
            <w:pPr>
              <w:ind w:left="20"/>
              <w:spacing w:after="0" w:line="153" w:lineRule="exact"/>
              <w:rPr>
                <w:sz w:val="20"/>
                <w:szCs w:val="20"/>
                <w:color w:val="auto"/>
              </w:rPr>
            </w:pPr>
            <w:r>
              <w:rPr>
                <w:rFonts w:ascii="Arial" w:cs="Arial" w:eastAsia="Arial" w:hAnsi="Arial"/>
                <w:sz w:val="14"/>
                <w:szCs w:val="14"/>
                <w:color w:val="auto"/>
              </w:rPr>
              <w:t>Qualified Defined Benefit</w:t>
            </w:r>
          </w:p>
        </w:tc>
        <w:tc>
          <w:tcPr>
            <w:tcW w:w="3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200" w:type="dxa"/>
            <w:vAlign w:val="bottom"/>
            <w:vMerge w:val="restart"/>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440" w:type="dxa"/>
            <w:vAlign w:val="bottom"/>
            <w:vMerge w:val="restart"/>
          </w:tcPr>
          <w:p>
            <w:pPr>
              <w:ind w:left="980"/>
              <w:spacing w:after="0"/>
              <w:rPr>
                <w:sz w:val="20"/>
                <w:szCs w:val="20"/>
                <w:color w:val="auto"/>
              </w:rPr>
            </w:pPr>
            <w:r>
              <w:rPr>
                <w:rFonts w:ascii="Arial" w:cs="Arial" w:eastAsia="Arial" w:hAnsi="Arial"/>
                <w:sz w:val="14"/>
                <w:szCs w:val="14"/>
                <w:color w:val="auto"/>
              </w:rPr>
              <w:t>—</w:t>
            </w:r>
          </w:p>
        </w:tc>
        <w:tc>
          <w:tcPr>
            <w:tcW w:w="1560" w:type="dxa"/>
            <w:vAlign w:val="bottom"/>
            <w:vMerge w:val="restart"/>
          </w:tcPr>
          <w:p>
            <w:pPr>
              <w:ind w:left="10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980" w:type="dxa"/>
            <w:vAlign w:val="bottom"/>
            <w:vMerge w:val="restart"/>
          </w:tcPr>
          <w:p>
            <w:pPr>
              <w:ind w:left="20"/>
              <w:spacing w:after="0"/>
              <w:rPr>
                <w:sz w:val="20"/>
                <w:szCs w:val="20"/>
                <w:color w:val="auto"/>
              </w:rPr>
            </w:pPr>
            <w:r>
              <w:rPr>
                <w:rFonts w:ascii="Arial" w:cs="Arial" w:eastAsia="Arial" w:hAnsi="Arial"/>
                <w:sz w:val="14"/>
                <w:szCs w:val="14"/>
                <w:color w:val="auto"/>
              </w:rPr>
              <w:t>Pension Plan</w:t>
            </w:r>
          </w:p>
        </w:tc>
        <w:tc>
          <w:tcPr>
            <w:tcW w:w="3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9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980" w:type="dxa"/>
            <w:vAlign w:val="bottom"/>
            <w:shd w:val="clear" w:color="auto" w:fill="DBDBDB"/>
          </w:tcPr>
          <w:p>
            <w:pPr>
              <w:ind w:left="20"/>
              <w:spacing w:after="0" w:line="157" w:lineRule="exact"/>
              <w:rPr>
                <w:sz w:val="20"/>
                <w:szCs w:val="20"/>
                <w:color w:val="auto"/>
              </w:rPr>
            </w:pPr>
            <w:r>
              <w:rPr>
                <w:rFonts w:ascii="Arial" w:cs="Arial" w:eastAsia="Arial" w:hAnsi="Arial"/>
                <w:sz w:val="14"/>
                <w:szCs w:val="14"/>
                <w:color w:val="auto"/>
              </w:rPr>
              <w:t>Non-Qual. Defined Benefit</w:t>
            </w:r>
          </w:p>
        </w:tc>
        <w:tc>
          <w:tcPr>
            <w:tcW w:w="38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DBDBDB"/>
          </w:tcPr>
          <w:p>
            <w:pPr>
              <w:spacing w:after="0"/>
              <w:rPr>
                <w:sz w:val="13"/>
                <w:szCs w:val="13"/>
                <w:color w:val="auto"/>
              </w:rPr>
            </w:pPr>
          </w:p>
        </w:tc>
        <w:tc>
          <w:tcPr>
            <w:tcW w:w="1200" w:type="dxa"/>
            <w:vAlign w:val="bottom"/>
            <w:vMerge w:val="restart"/>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DBDBDB"/>
          </w:tcPr>
          <w:p>
            <w:pPr>
              <w:spacing w:after="0"/>
              <w:rPr>
                <w:sz w:val="13"/>
                <w:szCs w:val="13"/>
                <w:color w:val="auto"/>
              </w:rPr>
            </w:pPr>
          </w:p>
        </w:tc>
        <w:tc>
          <w:tcPr>
            <w:tcW w:w="1440" w:type="dxa"/>
            <w:vAlign w:val="bottom"/>
            <w:vMerge w:val="restart"/>
            <w:shd w:val="clear" w:color="auto" w:fill="DBDBDB"/>
          </w:tcPr>
          <w:p>
            <w:pPr>
              <w:ind w:left="980"/>
              <w:spacing w:after="0"/>
              <w:rPr>
                <w:sz w:val="20"/>
                <w:szCs w:val="20"/>
                <w:color w:val="auto"/>
              </w:rPr>
            </w:pPr>
            <w:r>
              <w:rPr>
                <w:rFonts w:ascii="Arial" w:cs="Arial" w:eastAsia="Arial" w:hAnsi="Arial"/>
                <w:sz w:val="14"/>
                <w:szCs w:val="14"/>
                <w:color w:val="auto"/>
              </w:rPr>
              <w:t>—</w:t>
            </w:r>
          </w:p>
        </w:tc>
        <w:tc>
          <w:tcPr>
            <w:tcW w:w="1560" w:type="dxa"/>
            <w:vAlign w:val="bottom"/>
            <w:vMerge w:val="restart"/>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98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Pension Plan</w:t>
            </w:r>
          </w:p>
        </w:tc>
        <w:tc>
          <w:tcPr>
            <w:tcW w:w="380" w:type="dxa"/>
            <w:vAlign w:val="bottom"/>
            <w:shd w:val="clear" w:color="auto" w:fill="DBDBDB"/>
          </w:tcPr>
          <w:p>
            <w:pPr>
              <w:spacing w:after="0"/>
              <w:rPr>
                <w:sz w:val="9"/>
                <w:szCs w:val="9"/>
                <w:color w:val="auto"/>
              </w:rPr>
            </w:pPr>
          </w:p>
        </w:tc>
        <w:tc>
          <w:tcPr>
            <w:tcW w:w="1000" w:type="dxa"/>
            <w:vAlign w:val="bottom"/>
            <w:vMerge w:val="continue"/>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940" w:type="dxa"/>
            <w:vAlign w:val="bottom"/>
            <w:vMerge w:val="continue"/>
            <w:shd w:val="clear" w:color="auto" w:fill="DBDBDB"/>
          </w:tcPr>
          <w:p>
            <w:pPr>
              <w:spacing w:after="0"/>
              <w:rPr>
                <w:sz w:val="9"/>
                <w:szCs w:val="9"/>
                <w:color w:val="auto"/>
              </w:rPr>
            </w:pPr>
          </w:p>
        </w:tc>
        <w:tc>
          <w:tcPr>
            <w:tcW w:w="440" w:type="dxa"/>
            <w:vAlign w:val="bottom"/>
            <w:shd w:val="clear" w:color="auto" w:fill="DBDBDB"/>
          </w:tcPr>
          <w:p>
            <w:pPr>
              <w:spacing w:after="0"/>
              <w:rPr>
                <w:sz w:val="9"/>
                <w:szCs w:val="9"/>
                <w:color w:val="auto"/>
              </w:rPr>
            </w:pPr>
          </w:p>
        </w:tc>
        <w:tc>
          <w:tcPr>
            <w:tcW w:w="1200" w:type="dxa"/>
            <w:vAlign w:val="bottom"/>
            <w:vMerge w:val="continue"/>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1040" w:type="dxa"/>
            <w:vAlign w:val="bottom"/>
            <w:vMerge w:val="continue"/>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440" w:type="dxa"/>
            <w:vAlign w:val="bottom"/>
            <w:vMerge w:val="continue"/>
            <w:shd w:val="clear" w:color="auto" w:fill="DBDBDB"/>
          </w:tcPr>
          <w:p>
            <w:pPr>
              <w:spacing w:after="0"/>
              <w:rPr>
                <w:sz w:val="9"/>
                <w:szCs w:val="9"/>
                <w:color w:val="auto"/>
              </w:rPr>
            </w:pPr>
          </w:p>
        </w:tc>
        <w:tc>
          <w:tcPr>
            <w:tcW w:w="156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980" w:type="dxa"/>
            <w:vAlign w:val="bottom"/>
            <w:vMerge w:val="continue"/>
            <w:shd w:val="clear" w:color="auto" w:fill="DBDBDB"/>
          </w:tcPr>
          <w:p>
            <w:pPr>
              <w:spacing w:after="0"/>
              <w:rPr>
                <w:sz w:val="7"/>
                <w:szCs w:val="7"/>
                <w:color w:val="auto"/>
              </w:rPr>
            </w:pPr>
          </w:p>
        </w:tc>
        <w:tc>
          <w:tcPr>
            <w:tcW w:w="38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280" w:type="dxa"/>
            <w:vAlign w:val="bottom"/>
            <w:shd w:val="clear" w:color="auto" w:fill="DBDBDB"/>
          </w:tcPr>
          <w:p>
            <w:pPr>
              <w:spacing w:after="0"/>
              <w:rPr>
                <w:sz w:val="7"/>
                <w:szCs w:val="7"/>
                <w:color w:val="auto"/>
              </w:rPr>
            </w:pPr>
          </w:p>
        </w:tc>
        <w:tc>
          <w:tcPr>
            <w:tcW w:w="280" w:type="dxa"/>
            <w:vAlign w:val="bottom"/>
            <w:shd w:val="clear" w:color="auto" w:fill="DBDBDB"/>
          </w:tcPr>
          <w:p>
            <w:pPr>
              <w:spacing w:after="0"/>
              <w:rPr>
                <w:sz w:val="7"/>
                <w:szCs w:val="7"/>
                <w:color w:val="auto"/>
              </w:rPr>
            </w:pPr>
          </w:p>
        </w:tc>
        <w:tc>
          <w:tcPr>
            <w:tcW w:w="940" w:type="dxa"/>
            <w:vAlign w:val="bottom"/>
            <w:shd w:val="clear" w:color="auto" w:fill="DBDBDB"/>
          </w:tcPr>
          <w:p>
            <w:pPr>
              <w:spacing w:after="0"/>
              <w:rPr>
                <w:sz w:val="7"/>
                <w:szCs w:val="7"/>
                <w:color w:val="auto"/>
              </w:rPr>
            </w:pPr>
          </w:p>
        </w:tc>
        <w:tc>
          <w:tcPr>
            <w:tcW w:w="440" w:type="dxa"/>
            <w:vAlign w:val="bottom"/>
            <w:shd w:val="clear" w:color="auto" w:fill="DBDBDB"/>
          </w:tcPr>
          <w:p>
            <w:pPr>
              <w:spacing w:after="0"/>
              <w:rPr>
                <w:sz w:val="7"/>
                <w:szCs w:val="7"/>
                <w:color w:val="auto"/>
              </w:rPr>
            </w:pPr>
          </w:p>
        </w:tc>
        <w:tc>
          <w:tcPr>
            <w:tcW w:w="1200" w:type="dxa"/>
            <w:vAlign w:val="bottom"/>
            <w:shd w:val="clear" w:color="auto" w:fill="DBDBDB"/>
          </w:tcPr>
          <w:p>
            <w:pPr>
              <w:spacing w:after="0"/>
              <w:rPr>
                <w:sz w:val="7"/>
                <w:szCs w:val="7"/>
                <w:color w:val="auto"/>
              </w:rPr>
            </w:pPr>
          </w:p>
        </w:tc>
        <w:tc>
          <w:tcPr>
            <w:tcW w:w="280" w:type="dxa"/>
            <w:vAlign w:val="bottom"/>
            <w:shd w:val="clear" w:color="auto" w:fill="DBDBDB"/>
          </w:tcPr>
          <w:p>
            <w:pPr>
              <w:spacing w:after="0"/>
              <w:rPr>
                <w:sz w:val="7"/>
                <w:szCs w:val="7"/>
                <w:color w:val="auto"/>
              </w:rPr>
            </w:pPr>
          </w:p>
        </w:tc>
        <w:tc>
          <w:tcPr>
            <w:tcW w:w="1040" w:type="dxa"/>
            <w:vAlign w:val="bottom"/>
            <w:shd w:val="clear" w:color="auto" w:fill="DBDBDB"/>
          </w:tcPr>
          <w:p>
            <w:pPr>
              <w:spacing w:after="0"/>
              <w:rPr>
                <w:sz w:val="7"/>
                <w:szCs w:val="7"/>
                <w:color w:val="auto"/>
              </w:rPr>
            </w:pPr>
          </w:p>
        </w:tc>
        <w:tc>
          <w:tcPr>
            <w:tcW w:w="400" w:type="dxa"/>
            <w:vAlign w:val="bottom"/>
            <w:shd w:val="clear" w:color="auto" w:fill="DBDBDB"/>
          </w:tcPr>
          <w:p>
            <w:pPr>
              <w:spacing w:after="0"/>
              <w:rPr>
                <w:sz w:val="7"/>
                <w:szCs w:val="7"/>
                <w:color w:val="auto"/>
              </w:rPr>
            </w:pPr>
          </w:p>
        </w:tc>
        <w:tc>
          <w:tcPr>
            <w:tcW w:w="1440" w:type="dxa"/>
            <w:vAlign w:val="bottom"/>
            <w:shd w:val="clear" w:color="auto" w:fill="DBDBDB"/>
          </w:tcPr>
          <w:p>
            <w:pPr>
              <w:spacing w:after="0"/>
              <w:rPr>
                <w:sz w:val="7"/>
                <w:szCs w:val="7"/>
                <w:color w:val="auto"/>
              </w:rPr>
            </w:pPr>
          </w:p>
        </w:tc>
        <w:tc>
          <w:tcPr>
            <w:tcW w:w="15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980" w:type="dxa"/>
            <w:vAlign w:val="bottom"/>
          </w:tcPr>
          <w:p>
            <w:pPr>
              <w:ind w:left="20"/>
              <w:spacing w:after="0" w:line="153" w:lineRule="exact"/>
              <w:rPr>
                <w:sz w:val="20"/>
                <w:szCs w:val="20"/>
                <w:color w:val="auto"/>
              </w:rPr>
            </w:pPr>
            <w:r>
              <w:rPr>
                <w:rFonts w:ascii="Arial" w:cs="Arial" w:eastAsia="Arial" w:hAnsi="Arial"/>
                <w:sz w:val="14"/>
                <w:szCs w:val="14"/>
                <w:color w:val="auto"/>
              </w:rPr>
              <w:t>Non-Qual. Defined Benefit</w:t>
            </w:r>
          </w:p>
        </w:tc>
        <w:tc>
          <w:tcPr>
            <w:tcW w:w="3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200" w:type="dxa"/>
            <w:vAlign w:val="bottom"/>
            <w:vMerge w:val="restart"/>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440" w:type="dxa"/>
            <w:vAlign w:val="bottom"/>
            <w:vMerge w:val="restart"/>
          </w:tcPr>
          <w:p>
            <w:pPr>
              <w:ind w:left="980"/>
              <w:spacing w:after="0"/>
              <w:rPr>
                <w:sz w:val="20"/>
                <w:szCs w:val="20"/>
                <w:color w:val="auto"/>
              </w:rPr>
            </w:pPr>
            <w:r>
              <w:rPr>
                <w:rFonts w:ascii="Arial" w:cs="Arial" w:eastAsia="Arial" w:hAnsi="Arial"/>
                <w:sz w:val="14"/>
                <w:szCs w:val="14"/>
                <w:color w:val="auto"/>
              </w:rPr>
              <w:t>—</w:t>
            </w:r>
          </w:p>
        </w:tc>
        <w:tc>
          <w:tcPr>
            <w:tcW w:w="1560" w:type="dxa"/>
            <w:vAlign w:val="bottom"/>
            <w:vMerge w:val="restart"/>
          </w:tcPr>
          <w:p>
            <w:pPr>
              <w:ind w:left="10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980" w:type="dxa"/>
            <w:vAlign w:val="bottom"/>
            <w:vMerge w:val="restart"/>
          </w:tcPr>
          <w:p>
            <w:pPr>
              <w:ind w:left="20"/>
              <w:spacing w:after="0"/>
              <w:rPr>
                <w:sz w:val="20"/>
                <w:szCs w:val="20"/>
                <w:color w:val="auto"/>
              </w:rPr>
            </w:pPr>
            <w:r>
              <w:rPr>
                <w:rFonts w:ascii="Arial" w:cs="Arial" w:eastAsia="Arial" w:hAnsi="Arial"/>
                <w:sz w:val="14"/>
                <w:szCs w:val="14"/>
                <w:color w:val="auto"/>
              </w:rPr>
              <w:t>Pension Plan II</w:t>
            </w:r>
          </w:p>
        </w:tc>
        <w:tc>
          <w:tcPr>
            <w:tcW w:w="3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9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1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Survivor Benefit Plan</w:t>
            </w:r>
          </w:p>
        </w:tc>
        <w:tc>
          <w:tcPr>
            <w:tcW w:w="38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1440" w:type="dxa"/>
            <w:vAlign w:val="bottom"/>
            <w:tcBorders>
              <w:bottom w:val="single" w:sz="8" w:color="DBDBDB"/>
            </w:tcBorders>
            <w:shd w:val="clear" w:color="auto" w:fill="DBDBDB"/>
          </w:tcPr>
          <w:p>
            <w:pPr>
              <w:ind w:left="98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DBDBDB"/>
            </w:tcBorders>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1980" w:type="dxa"/>
            <w:vAlign w:val="bottom"/>
          </w:tcPr>
          <w:p>
            <w:pPr>
              <w:ind w:left="20"/>
              <w:spacing w:after="0"/>
              <w:rPr>
                <w:sz w:val="20"/>
                <w:szCs w:val="20"/>
                <w:color w:val="auto"/>
              </w:rPr>
            </w:pPr>
            <w:r>
              <w:rPr>
                <w:rFonts w:ascii="Arial" w:cs="Arial" w:eastAsia="Arial" w:hAnsi="Arial"/>
                <w:sz w:val="14"/>
                <w:szCs w:val="14"/>
                <w:color w:val="auto"/>
              </w:rPr>
              <w:t>Deferred Compensation (1)</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836,031</w:t>
            </w:r>
          </w:p>
        </w:tc>
        <w:tc>
          <w:tcPr>
            <w:tcW w:w="440" w:type="dxa"/>
            <w:vAlign w:val="bottom"/>
          </w:tcPr>
          <w:p>
            <w:pPr>
              <w:spacing w:after="0"/>
              <w:rPr>
                <w:sz w:val="18"/>
                <w:szCs w:val="18"/>
                <w:color w:val="auto"/>
              </w:rPr>
            </w:pPr>
          </w:p>
        </w:tc>
        <w:tc>
          <w:tcPr>
            <w:tcW w:w="1200" w:type="dxa"/>
            <w:vAlign w:val="bottom"/>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40" w:type="dxa"/>
            <w:vAlign w:val="bottom"/>
          </w:tcPr>
          <w:p>
            <w:pPr>
              <w:ind w:left="980"/>
              <w:spacing w:after="0"/>
              <w:rPr>
                <w:sz w:val="20"/>
                <w:szCs w:val="20"/>
                <w:color w:val="auto"/>
              </w:rPr>
            </w:pPr>
            <w:r>
              <w:rPr>
                <w:rFonts w:ascii="Arial" w:cs="Arial" w:eastAsia="Arial" w:hAnsi="Arial"/>
                <w:sz w:val="14"/>
                <w:szCs w:val="14"/>
                <w:color w:val="auto"/>
              </w:rPr>
              <w:t>—</w:t>
            </w:r>
          </w:p>
        </w:tc>
        <w:tc>
          <w:tcPr>
            <w:tcW w:w="1560" w:type="dxa"/>
            <w:vAlign w:val="bottom"/>
          </w:tcPr>
          <w:p>
            <w:pPr>
              <w:ind w:left="10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38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9,248,556</w:t>
            </w:r>
          </w:p>
        </w:tc>
        <w:tc>
          <w:tcPr>
            <w:tcW w:w="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9,248,556</w:t>
            </w:r>
          </w:p>
        </w:tc>
        <w:tc>
          <w:tcPr>
            <w:tcW w:w="44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(2)</w:t>
            </w:r>
          </w:p>
        </w:tc>
        <w:tc>
          <w:tcPr>
            <w:tcW w:w="1200" w:type="dxa"/>
            <w:vAlign w:val="bottom"/>
            <w:tcBorders>
              <w:bottom w:val="single" w:sz="8" w:color="DBDBDB"/>
            </w:tcBorders>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1440" w:type="dxa"/>
            <w:vAlign w:val="bottom"/>
            <w:tcBorders>
              <w:bottom w:val="single" w:sz="8" w:color="DBDBDB"/>
            </w:tcBorders>
            <w:shd w:val="clear" w:color="auto" w:fill="DBDBDB"/>
          </w:tcPr>
          <w:p>
            <w:pPr>
              <w:ind w:left="98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DBDBDB"/>
            </w:tcBorders>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198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6,920,189</w:t>
            </w: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6,920,189</w:t>
            </w:r>
          </w:p>
        </w:tc>
        <w:tc>
          <w:tcPr>
            <w:tcW w:w="440" w:type="dxa"/>
            <w:vAlign w:val="bottom"/>
          </w:tcPr>
          <w:p>
            <w:pPr>
              <w:jc w:val="right"/>
              <w:ind w:right="148"/>
              <w:spacing w:after="0"/>
              <w:rPr>
                <w:sz w:val="20"/>
                <w:szCs w:val="20"/>
                <w:color w:val="auto"/>
              </w:rPr>
            </w:pPr>
            <w:r>
              <w:rPr>
                <w:rFonts w:ascii="Arial" w:cs="Arial" w:eastAsia="Arial" w:hAnsi="Arial"/>
                <w:sz w:val="14"/>
                <w:szCs w:val="14"/>
                <w:color w:val="auto"/>
              </w:rPr>
              <w:t>(3)</w:t>
            </w:r>
          </w:p>
        </w:tc>
        <w:tc>
          <w:tcPr>
            <w:tcW w:w="1200" w:type="dxa"/>
            <w:vAlign w:val="bottom"/>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4,545,415</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1440" w:type="dxa"/>
            <w:vAlign w:val="bottom"/>
          </w:tcPr>
          <w:p>
            <w:pPr>
              <w:ind w:left="980"/>
              <w:spacing w:after="0"/>
              <w:rPr>
                <w:sz w:val="20"/>
                <w:szCs w:val="20"/>
                <w:color w:val="auto"/>
              </w:rPr>
            </w:pPr>
            <w:r>
              <w:rPr>
                <w:rFonts w:ascii="Arial" w:cs="Arial" w:eastAsia="Arial" w:hAnsi="Arial"/>
                <w:sz w:val="14"/>
                <w:szCs w:val="14"/>
                <w:color w:val="auto"/>
              </w:rPr>
              <w:t>—</w:t>
            </w:r>
          </w:p>
        </w:tc>
        <w:tc>
          <w:tcPr>
            <w:tcW w:w="1560" w:type="dxa"/>
            <w:vAlign w:val="bottom"/>
          </w:tcPr>
          <w:p>
            <w:pPr>
              <w:ind w:left="10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98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A. Ron Total</w:t>
            </w:r>
          </w:p>
        </w:tc>
        <w:tc>
          <w:tcPr>
            <w:tcW w:w="380" w:type="dxa"/>
            <w:vAlign w:val="bottom"/>
            <w:shd w:val="clear" w:color="auto" w:fill="DBDBDB"/>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16,168,745</w:t>
            </w: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17,004,776</w:t>
            </w:r>
          </w:p>
        </w:tc>
        <w:tc>
          <w:tcPr>
            <w:tcW w:w="440" w:type="dxa"/>
            <w:vAlign w:val="bottom"/>
            <w:shd w:val="clear" w:color="auto" w:fill="DBDBDB"/>
          </w:tcPr>
          <w:p>
            <w:pPr>
              <w:spacing w:after="0"/>
              <w:rPr>
                <w:sz w:val="19"/>
                <w:szCs w:val="19"/>
                <w:color w:val="auto"/>
              </w:rPr>
            </w:pPr>
          </w:p>
        </w:tc>
        <w:tc>
          <w:tcPr>
            <w:tcW w:w="1200" w:type="dxa"/>
            <w:vAlign w:val="bottom"/>
            <w:shd w:val="clear" w:color="auto" w:fill="DBDBDB"/>
          </w:tcPr>
          <w:p>
            <w:pPr>
              <w:ind w:left="7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4,545,415</w:t>
            </w:r>
          </w:p>
        </w:tc>
        <w:tc>
          <w:tcPr>
            <w:tcW w:w="400" w:type="dxa"/>
            <w:vAlign w:val="bottom"/>
            <w:shd w:val="clear" w:color="auto" w:fill="DBDBDB"/>
          </w:tcPr>
          <w:p>
            <w:pPr>
              <w:spacing w:after="0"/>
              <w:rPr>
                <w:sz w:val="19"/>
                <w:szCs w:val="19"/>
                <w:color w:val="auto"/>
              </w:rPr>
            </w:pPr>
          </w:p>
        </w:tc>
        <w:tc>
          <w:tcPr>
            <w:tcW w:w="1440" w:type="dxa"/>
            <w:vAlign w:val="bottom"/>
            <w:shd w:val="clear" w:color="auto" w:fill="DBDBDB"/>
          </w:tcPr>
          <w:p>
            <w:pPr>
              <w:ind w:left="980"/>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DBDBDB"/>
          </w:tcPr>
          <w:p>
            <w:pPr>
              <w:ind w:left="10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00" w:right="120" w:hanging="492"/>
        <w:spacing w:after="0" w:line="262" w:lineRule="auto"/>
        <w:tabs>
          <w:tab w:leader="none" w:pos="4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event of death, a participant’s deferred compensation balance becomes payable immediately. The amount shown in the column titled “Death” is the balance as of December 31, 2024, under the non-qualified deferred compensation plan. For all separation events other than death, balances are distributed in accordance with the participant’s distribution election as discussed in the narrative following the 2024 non-qualified deferred compensation table.</w:t>
      </w:r>
    </w:p>
    <w:p>
      <w:pPr>
        <w:spacing w:after="0" w:line="68" w:lineRule="exact"/>
        <w:rPr>
          <w:rFonts w:ascii="Arial" w:cs="Arial" w:eastAsia="Arial" w:hAnsi="Arial"/>
          <w:sz w:val="18"/>
          <w:szCs w:val="18"/>
          <w:color w:val="auto"/>
        </w:rPr>
      </w:pPr>
    </w:p>
    <w:p>
      <w:pPr>
        <w:ind w:left="480" w:hanging="472"/>
        <w:spacing w:after="0"/>
        <w:tabs>
          <w:tab w:leader="none" w:pos="4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Calculated by multiplying the number of outstanding RSUs by the closing price of TI common stock as of December 31, 2024</w:t>
      </w:r>
    </w:p>
    <w:p>
      <w:pPr>
        <w:spacing w:after="0" w:line="27" w:lineRule="exact"/>
        <w:rPr>
          <w:rFonts w:ascii="Arial" w:cs="Arial" w:eastAsia="Arial" w:hAnsi="Arial"/>
          <w:sz w:val="18"/>
          <w:szCs w:val="18"/>
          <w:color w:val="auto"/>
        </w:rPr>
      </w:pPr>
    </w:p>
    <w:p>
      <w:pPr>
        <w:jc w:val="both"/>
        <w:ind w:left="500" w:right="300"/>
        <w:spacing w:after="0" w:line="280" w:lineRule="auto"/>
        <w:rPr>
          <w:rFonts w:ascii="Arial" w:cs="Arial" w:eastAsia="Arial" w:hAnsi="Arial"/>
          <w:sz w:val="18"/>
          <w:szCs w:val="18"/>
          <w:color w:val="auto"/>
        </w:rPr>
      </w:pPr>
      <w:r>
        <w:rPr>
          <w:rFonts w:ascii="Arial" w:cs="Arial" w:eastAsia="Arial" w:hAnsi="Arial"/>
          <w:sz w:val="17"/>
          <w:szCs w:val="17"/>
          <w:color w:val="auto"/>
        </w:rPr>
        <w:t>($187.51). In the event of termination due to disability or death, all outstanding awards will continue to vest according to their terms. See the first table under “Outstanding equity awards at fiscal year-end 2024” for the number of unvested RSUs as of December 31, 2024, and the related discussion following that table of an additional outstanding RSU award held by Mr. Templeton.</w:t>
      </w:r>
    </w:p>
    <w:p>
      <w:pPr>
        <w:spacing w:after="0" w:line="53" w:lineRule="exact"/>
        <w:rPr>
          <w:rFonts w:ascii="Arial" w:cs="Arial" w:eastAsia="Arial" w:hAnsi="Arial"/>
          <w:sz w:val="18"/>
          <w:szCs w:val="18"/>
          <w:color w:val="auto"/>
        </w:rPr>
      </w:pPr>
    </w:p>
    <w:p>
      <w:pPr>
        <w:ind w:left="500" w:right="120" w:hanging="492"/>
        <w:spacing w:after="0" w:line="287" w:lineRule="auto"/>
        <w:tabs>
          <w:tab w:leader="none" w:pos="4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Calculated as the difference between the grant price of all outstanding in-the-money options and the closing price of TI common stock as of December 31, 2024 ($187.51), multiplied by the number of shares under such options as of December 31, 2024.</w:t>
      </w:r>
    </w:p>
    <w:p>
      <w:pPr>
        <w:spacing w:after="0" w:line="44" w:lineRule="exact"/>
        <w:rPr>
          <w:rFonts w:ascii="Arial" w:cs="Arial" w:eastAsia="Arial" w:hAnsi="Arial"/>
          <w:sz w:val="18"/>
          <w:szCs w:val="18"/>
          <w:color w:val="auto"/>
        </w:rPr>
      </w:pPr>
    </w:p>
    <w:p>
      <w:pPr>
        <w:ind w:left="500" w:right="160" w:hanging="492"/>
        <w:spacing w:after="0" w:line="268" w:lineRule="auto"/>
        <w:tabs>
          <w:tab w:leader="none" w:pos="4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Due to retirement eligibility, calculated by multiplying the number of outstanding RSUs held at such termination by the closing price of TI common stock as of December 31, 2024 ($187.51). RSU awards stay in effect and pay out shares according to the vesting schedule.</w:t>
      </w:r>
    </w:p>
    <w:p>
      <w:pPr>
        <w:spacing w:after="0" w:line="62" w:lineRule="exact"/>
        <w:rPr>
          <w:rFonts w:ascii="Arial" w:cs="Arial" w:eastAsia="Arial" w:hAnsi="Arial"/>
          <w:sz w:val="18"/>
          <w:szCs w:val="18"/>
          <w:color w:val="auto"/>
        </w:rPr>
      </w:pPr>
    </w:p>
    <w:p>
      <w:pPr>
        <w:ind w:left="500" w:right="140" w:hanging="492"/>
        <w:spacing w:after="0" w:line="287" w:lineRule="auto"/>
        <w:tabs>
          <w:tab w:leader="none" w:pos="4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Calculated as the difference between the grant price of all exercisable in-the-money options and the closing price of TI common stock as of December 31, 2024 ($187.51), multiplied by the number of shares under such options as of December 31, 2024.</w:t>
      </w:r>
    </w:p>
    <w:p>
      <w:pPr>
        <w:spacing w:after="0" w:line="44" w:lineRule="exact"/>
        <w:rPr>
          <w:rFonts w:ascii="Arial" w:cs="Arial" w:eastAsia="Arial" w:hAnsi="Arial"/>
          <w:sz w:val="18"/>
          <w:szCs w:val="18"/>
          <w:color w:val="auto"/>
        </w:rPr>
      </w:pPr>
    </w:p>
    <w:p>
      <w:pPr>
        <w:ind w:left="500" w:right="1120" w:hanging="492"/>
        <w:spacing w:after="0" w:line="287" w:lineRule="auto"/>
        <w:tabs>
          <w:tab w:leader="none" w:pos="4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Templeton was retirement eligible for purposes of TI’s defined benefit pension plans and under the terms of his equity compensation awards as of December 31, 2024.</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sectPr>
      </w:pPr>
    </w:p>
    <w:bookmarkStart w:id="50" w:name="page51"/>
    <w:bookmarkEnd w:id="50"/>
    <w:p>
      <w:pPr>
        <w:ind w:left="500" w:right="20" w:hanging="492"/>
        <w:spacing w:after="0" w:line="259" w:lineRule="auto"/>
        <w:tabs>
          <w:tab w:leader="none" w:pos="49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shown is the lump-sum benefit payable at age 65 to the named executive officer in the event of termination as of December 31, 2024,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2024 and are described in Note 5 to the 2024 pension benefits table.</w:t>
      </w:r>
    </w:p>
    <w:p>
      <w:pPr>
        <w:spacing w:after="0" w:line="71" w:lineRule="exact"/>
        <w:rPr>
          <w:rFonts w:ascii="Arial" w:cs="Arial" w:eastAsia="Arial" w:hAnsi="Arial"/>
          <w:sz w:val="18"/>
          <w:szCs w:val="18"/>
          <w:color w:val="auto"/>
        </w:rPr>
      </w:pPr>
    </w:p>
    <w:p>
      <w:pPr>
        <w:jc w:val="both"/>
        <w:ind w:left="500" w:right="520" w:hanging="492"/>
        <w:spacing w:after="0" w:line="268" w:lineRule="auto"/>
        <w:tabs>
          <w:tab w:leader="none" w:pos="49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shown is the lump-sum benefit payable at age 65, in the case of the Non-Qualified Defined Benefit Pension Plan, or separation from service, in the case of Plan II, if any. No Plan II benefits are payable to Mr. Templeton under the plan terms. The assumptions used are the same as those described in Note 7.</w:t>
      </w:r>
    </w:p>
    <w:p>
      <w:pPr>
        <w:spacing w:after="0" w:line="62" w:lineRule="exact"/>
        <w:rPr>
          <w:rFonts w:ascii="Arial" w:cs="Arial" w:eastAsia="Arial" w:hAnsi="Arial"/>
          <w:sz w:val="18"/>
          <w:szCs w:val="18"/>
          <w:color w:val="auto"/>
        </w:rPr>
      </w:pPr>
    </w:p>
    <w:p>
      <w:pPr>
        <w:ind w:left="500" w:hanging="492"/>
        <w:spacing w:after="0" w:line="268" w:lineRule="auto"/>
        <w:tabs>
          <w:tab w:leader="none" w:pos="490" w:val="left"/>
        </w:tabs>
        <w:numPr>
          <w:ilvl w:val="0"/>
          <w:numId w:val="74"/>
        </w:numPr>
        <w:rPr>
          <w:rFonts w:ascii="Arial" w:cs="Arial" w:eastAsia="Arial" w:hAnsi="Arial"/>
          <w:sz w:val="18"/>
          <w:szCs w:val="18"/>
          <w:color w:val="auto"/>
        </w:rPr>
      </w:pPr>
      <w:r>
        <w:rPr>
          <w:rFonts w:ascii="Arial" w:cs="Arial" w:eastAsia="Arial" w:hAnsi="Arial"/>
          <w:sz w:val="18"/>
          <w:szCs w:val="18"/>
          <w:color w:val="auto"/>
        </w:rPr>
        <w:t>Value of any benefit payable in a lump sum to the executive officer’s beneficiary calculated as required by the terms of the plan, assuming the earliest possible payment date. Where an amount is payable, the plan provides that in the event of death, the beneficiary receives 50% of the participant’s accrued benefit, reduced by the age-applicable joint and 50% survivor factor.</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Calculated as required by the terms of the plan, assuming the earliest possible payment date.</w:t>
      </w:r>
    </w:p>
    <w:p>
      <w:pPr>
        <w:spacing w:after="0" w:line="117" w:lineRule="exact"/>
        <w:rPr>
          <w:rFonts w:ascii="Arial" w:cs="Arial" w:eastAsia="Arial" w:hAnsi="Arial"/>
          <w:sz w:val="18"/>
          <w:szCs w:val="18"/>
          <w:color w:val="auto"/>
        </w:rPr>
      </w:pPr>
    </w:p>
    <w:p>
      <w:pPr>
        <w:ind w:left="500" w:right="460" w:hanging="492"/>
        <w:spacing w:after="0" w:line="287" w:lineRule="auto"/>
        <w:tabs>
          <w:tab w:leader="none" w:pos="482" w:val="left"/>
        </w:tabs>
        <w:numPr>
          <w:ilvl w:val="0"/>
          <w:numId w:val="74"/>
        </w:numPr>
        <w:rPr>
          <w:rFonts w:ascii="Arial" w:cs="Arial" w:eastAsia="Arial" w:hAnsi="Arial"/>
          <w:sz w:val="18"/>
          <w:szCs w:val="18"/>
          <w:color w:val="auto"/>
        </w:rPr>
      </w:pPr>
      <w:r>
        <w:rPr>
          <w:rFonts w:ascii="Arial" w:cs="Arial" w:eastAsia="Arial" w:hAnsi="Arial"/>
          <w:sz w:val="18"/>
          <w:szCs w:val="18"/>
          <w:color w:val="auto"/>
        </w:rPr>
        <w:t>Lump-sum value of any accrued benefit as of December 31, 2024, calculated as required by the terms of the plans, assuming the earliest possible payment date.</w:t>
      </w:r>
    </w:p>
    <w:p>
      <w:pPr>
        <w:spacing w:after="0" w:line="44" w:lineRule="exact"/>
        <w:rPr>
          <w:rFonts w:ascii="Arial" w:cs="Arial" w:eastAsia="Arial" w:hAnsi="Arial"/>
          <w:sz w:val="18"/>
          <w:szCs w:val="18"/>
          <w:color w:val="auto"/>
        </w:rPr>
      </w:pPr>
    </w:p>
    <w:p>
      <w:pPr>
        <w:ind w:left="500" w:right="80" w:hanging="492"/>
        <w:spacing w:after="0" w:line="287" w:lineRule="auto"/>
        <w:tabs>
          <w:tab w:leader="none" w:pos="496" w:val="left"/>
        </w:tabs>
        <w:numPr>
          <w:ilvl w:val="0"/>
          <w:numId w:val="74"/>
        </w:numPr>
        <w:rPr>
          <w:rFonts w:ascii="Arial" w:cs="Arial" w:eastAsia="Arial" w:hAnsi="Arial"/>
          <w:sz w:val="18"/>
          <w:szCs w:val="18"/>
          <w:color w:val="auto"/>
        </w:rPr>
      </w:pPr>
      <w:r>
        <w:rPr>
          <w:rFonts w:ascii="Arial" w:cs="Arial" w:eastAsia="Arial" w:hAnsi="Arial"/>
          <w:sz w:val="18"/>
          <w:szCs w:val="18"/>
          <w:color w:val="auto"/>
        </w:rPr>
        <w:t>Calculated by multiplying the previously discussed 120,000 vested RSUs by the closing price of TI common stock as of December 31, 2024 ($187.51).</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 ratio</w:t>
      </w:r>
    </w:p>
    <w:p>
      <w:pPr>
        <w:spacing w:after="0" w:line="23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2024, the median of annual total compensation of all employees of our company (other than our CEO) was $80,568. The annual total compensation of our CEO was $19,092,675. Based on this information, the ratio of the annual total compensation of our CEO to the median of the annual total compensation of all employees was approximately 237:1.</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There has been no change in the company’s employee population or employee compensation arrangements that would result in a significant change in the pay ratio disclosure. Further, there has been no change in the circumstances of the employee identified as the median employee in 2023. Accordingly, the pay ratio calculation has been made using the 2024 compensation for the median employee identified in 2023.</w:t>
      </w:r>
    </w:p>
    <w:p>
      <w:pPr>
        <w:spacing w:after="0" w:line="17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the “median employee,” we used the following methodology and material assumptions, adjustments and estimates to identify the median employee in 2023:</w:t>
      </w:r>
    </w:p>
    <w:p>
      <w:pPr>
        <w:spacing w:after="0" w:line="171"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selected October 1, 2023, as the date upon which we would identify the “median employee.”</w:t>
      </w:r>
    </w:p>
    <w:p>
      <w:pPr>
        <w:spacing w:after="0" w:line="63" w:lineRule="exact"/>
        <w:rPr>
          <w:rFonts w:ascii="Arial" w:cs="Arial" w:eastAsia="Arial" w:hAnsi="Arial"/>
          <w:sz w:val="18"/>
          <w:szCs w:val="18"/>
          <w:color w:val="auto"/>
        </w:rPr>
      </w:pPr>
    </w:p>
    <w:p>
      <w:pPr>
        <w:ind w:left="660" w:right="300" w:hanging="328"/>
        <w:spacing w:after="0" w:line="281"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of this date, our employee population consisted of approximately 34,387 individuals working at the company and consolidated subsidiaries, excluding employees on leaves of absence who are not expected to return to work.</w:t>
      </w:r>
    </w:p>
    <w:p>
      <w:pPr>
        <w:spacing w:after="0" w:line="1" w:lineRule="exact"/>
        <w:rPr>
          <w:rFonts w:ascii="Arial" w:cs="Arial" w:eastAsia="Arial" w:hAnsi="Arial"/>
          <w:sz w:val="18"/>
          <w:szCs w:val="18"/>
          <w:color w:val="auto"/>
        </w:rPr>
      </w:pPr>
    </w:p>
    <w:p>
      <w:pPr>
        <w:ind w:left="660" w:right="480" w:hanging="328"/>
        <w:spacing w:after="0" w:line="268"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identify the “median employee,” we used base salary and profit sharing information, each of which is paid to all employees. Salaries were annualized for all permanent employees who were employees for less than the full fiscal year or who were on an unpaid leave of absence during a portion of the year.</w:t>
      </w:r>
    </w:p>
    <w:p>
      <w:pPr>
        <w:spacing w:after="0" w:line="8" w:lineRule="exact"/>
        <w:rPr>
          <w:rFonts w:ascii="Arial" w:cs="Arial" w:eastAsia="Arial" w:hAnsi="Arial"/>
          <w:sz w:val="18"/>
          <w:szCs w:val="18"/>
          <w:color w:val="auto"/>
        </w:rPr>
      </w:pPr>
    </w:p>
    <w:p>
      <w:pPr>
        <w:ind w:left="660" w:right="100" w:hanging="328"/>
        <w:spacing w:after="0" w:line="268"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identified and calculated the elements of the median employee’s compensation for 2024 in accordance with the requirements of Item 402(c)(2)(x) of Regulation S-K, including the value of the employee’s health and welfare benefits (estimated for the employee and the employee’s eligible dependents) and retirement-related benefits.</w:t>
      </w:r>
    </w:p>
    <w:p>
      <w:pPr>
        <w:spacing w:after="0" w:line="8"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applied the exchange rate that we utilize in our payroll system, as of the identification date, to convert foreign currency to U.S. dollars.</w:t>
      </w:r>
    </w:p>
    <w:p>
      <w:pPr>
        <w:spacing w:after="0" w:line="15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annual total compensation of our CEO is the amount reported in the “Total” column of our 2024 summary compensation table, adding in the value of health and welfare benefits (estimated for our CEO and his eligible dependents) and retirement-related benefits. This resulted in annual total compensation for purposes of determining the ratio in the amount of $19,092,675.</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2025 PROXY STATEMENT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51" w:name="page52"/>
    <w:bookmarkEnd w:id="51"/>
    <w:p>
      <w:pPr>
        <w:spacing w:after="0"/>
        <w:rPr>
          <w:sz w:val="20"/>
          <w:szCs w:val="20"/>
          <w:color w:val="auto"/>
        </w:rPr>
      </w:pPr>
      <w:r>
        <w:rPr>
          <w:rFonts w:ascii="Arial" w:cs="Arial" w:eastAsia="Arial" w:hAnsi="Arial"/>
          <w:sz w:val="20"/>
          <w:szCs w:val="20"/>
          <w:b w:val="1"/>
          <w:bCs w:val="1"/>
          <w:color w:val="auto"/>
        </w:rPr>
        <w:t>Pay versus performance</w:t>
      </w:r>
    </w:p>
    <w:p>
      <w:pPr>
        <w:spacing w:after="0" w:line="2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Set forth below are certain disclosures related to executive compensation and company performance using selected financial performance measures required by the SEC. For a discussion of the company’s executive compensation policies and programs and an explanation of how executive compensation decisions are made at TI, please refer to the Compensation Discussion and Analysis.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includes a new calculation of compensation, “compensation actually paid,” that differs significantly from the way in which the company views annual compensation decisions, as discussed in the Compensation Discussion and Analysis, and from the summary compensation table calculation of compensation.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rPr>
              <w:t>Value of Initial Fixed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rPr>
              <w:t>$100 Investment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gridSpan w:val="3"/>
            <w:vMerge w:val="restart"/>
          </w:tcPr>
          <w:p>
            <w:pPr>
              <w:jc w:val="center"/>
              <w:ind w:right="68"/>
              <w:spacing w:after="0"/>
              <w:rPr>
                <w:sz w:val="20"/>
                <w:szCs w:val="20"/>
                <w:color w:val="auto"/>
              </w:rPr>
            </w:pPr>
            <w:r>
              <w:rPr>
                <w:rFonts w:ascii="Arial" w:cs="Arial" w:eastAsia="Arial" w:hAnsi="Arial"/>
                <w:sz w:val="14"/>
                <w:szCs w:val="14"/>
                <w:b w:val="1"/>
                <w:bCs w:val="1"/>
                <w:color w:val="auto"/>
              </w:rPr>
              <w:t>Based on:</w:t>
            </w: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88"/>
              <w:spacing w:after="0" w:line="138" w:lineRule="exact"/>
              <w:rPr>
                <w:sz w:val="20"/>
                <w:szCs w:val="20"/>
                <w:color w:val="auto"/>
              </w:rPr>
            </w:pPr>
            <w:r>
              <w:rPr>
                <w:rFonts w:ascii="Arial" w:cs="Arial" w:eastAsia="Arial" w:hAnsi="Arial"/>
                <w:sz w:val="14"/>
                <w:szCs w:val="14"/>
                <w:b w:val="1"/>
                <w:bCs w:val="1"/>
                <w:color w:val="auto"/>
              </w:rPr>
              <w:t>Summary</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88"/>
              <w:spacing w:after="0" w:line="138" w:lineRule="exact"/>
              <w:rPr>
                <w:sz w:val="20"/>
                <w:szCs w:val="20"/>
                <w:color w:val="auto"/>
              </w:rPr>
            </w:pPr>
            <w:r>
              <w:rPr>
                <w:rFonts w:ascii="Arial" w:cs="Arial" w:eastAsia="Arial" w:hAnsi="Arial"/>
                <w:sz w:val="14"/>
                <w:szCs w:val="14"/>
                <w:b w:val="1"/>
                <w:bCs w:val="1"/>
                <w:color w:val="auto"/>
              </w:rPr>
              <w:t>Summary</w:t>
            </w:r>
          </w:p>
        </w:tc>
        <w:tc>
          <w:tcPr>
            <w:tcW w:w="100" w:type="dxa"/>
            <w:vAlign w:val="bottom"/>
          </w:tcPr>
          <w:p>
            <w:pPr>
              <w:spacing w:after="0"/>
              <w:rPr>
                <w:sz w:val="13"/>
                <w:szCs w:val="13"/>
                <w:color w:val="auto"/>
              </w:rPr>
            </w:pPr>
          </w:p>
        </w:tc>
        <w:tc>
          <w:tcPr>
            <w:tcW w:w="96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0" w:type="dxa"/>
            <w:vAlign w:val="bottom"/>
          </w:tcPr>
          <w:p>
            <w:pPr>
              <w:spacing w:after="0"/>
              <w:rPr>
                <w:sz w:val="15"/>
                <w:szCs w:val="15"/>
                <w:color w:val="auto"/>
              </w:rPr>
            </w:pPr>
          </w:p>
        </w:tc>
        <w:tc>
          <w:tcPr>
            <w:tcW w:w="11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5"/>
                <w:szCs w:val="15"/>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rPr>
              <w:t>Summary</w:t>
            </w:r>
          </w:p>
        </w:tc>
        <w:tc>
          <w:tcPr>
            <w:tcW w:w="122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Compensation</w:t>
            </w:r>
          </w:p>
        </w:tc>
        <w:tc>
          <w:tcPr>
            <w:tcW w:w="144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ind w:right="48"/>
              <w:spacing w:after="0"/>
              <w:rPr>
                <w:sz w:val="20"/>
                <w:szCs w:val="20"/>
                <w:color w:val="auto"/>
              </w:rPr>
            </w:pPr>
            <w:r>
              <w:rPr>
                <w:rFonts w:ascii="Arial" w:cs="Arial" w:eastAsia="Arial" w:hAnsi="Arial"/>
                <w:sz w:val="14"/>
                <w:szCs w:val="14"/>
                <w:b w:val="1"/>
                <w:bCs w:val="1"/>
                <w:color w:val="auto"/>
              </w:rPr>
              <w:t>S&amp;P IT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Table Total for</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5"/>
                <w:szCs w:val="15"/>
                <w:color w:val="auto"/>
              </w:rPr>
            </w:pPr>
          </w:p>
        </w:tc>
        <w:tc>
          <w:tcPr>
            <w:tcW w:w="1100" w:type="dxa"/>
            <w:vAlign w:val="bottom"/>
          </w:tcPr>
          <w:p>
            <w:pPr>
              <w:jc w:val="center"/>
              <w:ind w:right="128"/>
              <w:spacing w:after="0"/>
              <w:rPr>
                <w:sz w:val="20"/>
                <w:szCs w:val="20"/>
                <w:color w:val="auto"/>
              </w:rPr>
            </w:pPr>
            <w:r>
              <w:rPr>
                <w:rFonts w:ascii="Arial" w:cs="Arial" w:eastAsia="Arial" w:hAnsi="Arial"/>
                <w:sz w:val="14"/>
                <w:szCs w:val="14"/>
                <w:b w:val="1"/>
                <w:bCs w:val="1"/>
                <w:color w:val="auto"/>
              </w:rPr>
              <w:t>Actually Paid</w:t>
            </w:r>
          </w:p>
        </w:tc>
        <w:tc>
          <w:tcPr>
            <w:tcW w:w="220" w:type="dxa"/>
            <w:vAlign w:val="bottom"/>
          </w:tcPr>
          <w:p>
            <w:pPr>
              <w:spacing w:after="0"/>
              <w:rPr>
                <w:sz w:val="15"/>
                <w:szCs w:val="15"/>
                <w:color w:val="auto"/>
              </w:rPr>
            </w:pPr>
          </w:p>
        </w:tc>
        <w:tc>
          <w:tcPr>
            <w:tcW w:w="1220" w:type="dxa"/>
            <w:vAlign w:val="bottom"/>
          </w:tcPr>
          <w:p>
            <w:pPr>
              <w:jc w:val="center"/>
              <w:ind w:right="248"/>
              <w:spacing w:after="0"/>
              <w:rPr>
                <w:sz w:val="20"/>
                <w:szCs w:val="20"/>
                <w:color w:val="auto"/>
              </w:rPr>
            </w:pPr>
            <w:r>
              <w:rPr>
                <w:rFonts w:ascii="Arial" w:cs="Arial" w:eastAsia="Arial" w:hAnsi="Arial"/>
                <w:sz w:val="14"/>
                <w:szCs w:val="14"/>
                <w:b w:val="1"/>
                <w:bCs w:val="1"/>
                <w:color w:val="auto"/>
              </w:rPr>
              <w:t>Actually Paid</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Table Total for</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Actually Paid</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ind w:right="48"/>
              <w:spacing w:after="0"/>
              <w:rPr>
                <w:sz w:val="20"/>
                <w:szCs w:val="20"/>
                <w:color w:val="auto"/>
              </w:rPr>
            </w:pPr>
            <w:r>
              <w:rPr>
                <w:rFonts w:ascii="Arial" w:cs="Arial" w:eastAsia="Arial" w:hAnsi="Arial"/>
                <w:sz w:val="14"/>
                <w:szCs w:val="14"/>
                <w:b w:val="1"/>
                <w:bCs w:val="1"/>
                <w:color w:val="auto"/>
              </w:rPr>
              <w:t>Index</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auto"/>
              </w:rPr>
              <w:t>PEO</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Table Total for</w:t>
            </w:r>
          </w:p>
        </w:tc>
        <w:tc>
          <w:tcPr>
            <w:tcW w:w="120" w:type="dxa"/>
            <w:vAlign w:val="bottom"/>
          </w:tcPr>
          <w:p>
            <w:pPr>
              <w:spacing w:after="0"/>
              <w:rPr>
                <w:sz w:val="14"/>
                <w:szCs w:val="14"/>
                <w:color w:val="auto"/>
              </w:rPr>
            </w:pPr>
          </w:p>
        </w:tc>
        <w:tc>
          <w:tcPr>
            <w:tcW w:w="1100" w:type="dxa"/>
            <w:vAlign w:val="bottom"/>
          </w:tcPr>
          <w:p>
            <w:pPr>
              <w:jc w:val="center"/>
              <w:ind w:right="148"/>
              <w:spacing w:after="0"/>
              <w:rPr>
                <w:sz w:val="20"/>
                <w:szCs w:val="20"/>
                <w:color w:val="auto"/>
              </w:rPr>
            </w:pPr>
            <w:r>
              <w:rPr>
                <w:rFonts w:ascii="Arial" w:cs="Arial" w:eastAsia="Arial" w:hAnsi="Arial"/>
                <w:sz w:val="14"/>
                <w:szCs w:val="14"/>
                <w:b w:val="1"/>
                <w:bCs w:val="1"/>
                <w:color w:val="auto"/>
              </w:rPr>
              <w:t>to PEO</w:t>
            </w:r>
          </w:p>
        </w:tc>
        <w:tc>
          <w:tcPr>
            <w:tcW w:w="220" w:type="dxa"/>
            <w:vAlign w:val="bottom"/>
          </w:tcPr>
          <w:p>
            <w:pPr>
              <w:spacing w:after="0"/>
              <w:rPr>
                <w:sz w:val="14"/>
                <w:szCs w:val="14"/>
                <w:color w:val="auto"/>
              </w:rPr>
            </w:pPr>
          </w:p>
        </w:tc>
        <w:tc>
          <w:tcPr>
            <w:tcW w:w="1220" w:type="dxa"/>
            <w:vAlign w:val="bottom"/>
          </w:tcPr>
          <w:p>
            <w:pPr>
              <w:jc w:val="center"/>
              <w:ind w:right="248"/>
              <w:spacing w:after="0"/>
              <w:rPr>
                <w:sz w:val="20"/>
                <w:szCs w:val="20"/>
                <w:color w:val="auto"/>
              </w:rPr>
            </w:pPr>
            <w:r>
              <w:rPr>
                <w:rFonts w:ascii="Arial" w:cs="Arial" w:eastAsia="Arial" w:hAnsi="Arial"/>
                <w:sz w:val="14"/>
                <w:szCs w:val="14"/>
                <w:b w:val="1"/>
                <w:bCs w:val="1"/>
                <w:color w:val="auto"/>
              </w:rPr>
              <w:t>to PEO (Ilan)</w:t>
            </w: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Non-PEO NEOs</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to Non-PEO</w:t>
            </w:r>
          </w:p>
        </w:tc>
        <w:tc>
          <w:tcPr>
            <w:tcW w:w="32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rPr>
              <w:t>Total TSR Total TSR</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 Income</w:t>
            </w:r>
          </w:p>
        </w:tc>
        <w:tc>
          <w:tcPr>
            <w:tcW w:w="140" w:type="dxa"/>
            <w:vAlign w:val="bottom"/>
          </w:tcPr>
          <w:p>
            <w:pPr>
              <w:spacing w:after="0"/>
              <w:rPr>
                <w:sz w:val="14"/>
                <w:szCs w:val="14"/>
                <w:color w:val="auto"/>
              </w:rPr>
            </w:pPr>
          </w:p>
        </w:tc>
        <w:tc>
          <w:tcPr>
            <w:tcW w:w="840" w:type="dxa"/>
            <w:vAlign w:val="bottom"/>
          </w:tcPr>
          <w:p>
            <w:pPr>
              <w:jc w:val="center"/>
              <w:ind w:right="6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19"/>
        </w:trPr>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(Templeton) (1)</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PEO (Ilan) (1)</w:t>
            </w:r>
          </w:p>
        </w:tc>
        <w:tc>
          <w:tcPr>
            <w:tcW w:w="122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rPr>
              <w:t>(Templeton) (3)</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(3)</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NEOs (3)</w:t>
            </w: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(7)</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9"/>
              </w:rPr>
              <w:t>(millions)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09"/>
        </w:trPr>
        <w:tc>
          <w:tcPr>
            <w:tcW w:w="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2024</w:t>
            </w:r>
          </w:p>
        </w:tc>
        <w:tc>
          <w:tcPr>
            <w:tcW w:w="22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center"/>
              <w:ind w:left="88"/>
              <w:spacing w:after="0"/>
              <w:rPr>
                <w:sz w:val="20"/>
                <w:szCs w:val="20"/>
                <w:color w:val="auto"/>
              </w:rPr>
            </w:pPr>
            <w:r>
              <w:rPr>
                <w:rFonts w:ascii="Arial" w:cs="Arial" w:eastAsia="Arial" w:hAnsi="Arial"/>
                <w:sz w:val="14"/>
                <w:szCs w:val="14"/>
                <w:color w:val="auto"/>
              </w:rPr>
              <w:t>19,061,519</w:t>
            </w:r>
          </w:p>
        </w:tc>
        <w:tc>
          <w:tcPr>
            <w:tcW w:w="1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25,002,997 (4)</w:t>
            </w:r>
          </w:p>
        </w:tc>
        <w:tc>
          <w:tcPr>
            <w:tcW w:w="22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7,769,108</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10,830,173</w:t>
            </w:r>
          </w:p>
        </w:tc>
        <w:tc>
          <w:tcPr>
            <w:tcW w:w="32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167.93</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299.72</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4,799</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5,465</w:t>
            </w:r>
          </w:p>
        </w:tc>
        <w:tc>
          <w:tcPr>
            <w:tcW w:w="0" w:type="dxa"/>
            <w:vAlign w:val="bottom"/>
          </w:tcPr>
          <w:p>
            <w:pPr>
              <w:spacing w:after="0"/>
              <w:rPr>
                <w:sz w:val="1"/>
                <w:szCs w:val="1"/>
                <w:color w:val="auto"/>
              </w:rPr>
            </w:pPr>
          </w:p>
        </w:tc>
      </w:tr>
      <w:tr>
        <w:trPr>
          <w:trHeight w:val="208"/>
        </w:trPr>
        <w:tc>
          <w:tcPr>
            <w:tcW w:w="420" w:type="dxa"/>
            <w:vAlign w:val="bottom"/>
          </w:tcPr>
          <w:p>
            <w:pPr>
              <w:ind w:left="20"/>
              <w:spacing w:after="0"/>
              <w:rPr>
                <w:sz w:val="20"/>
                <w:szCs w:val="20"/>
                <w:color w:val="auto"/>
              </w:rPr>
            </w:pPr>
            <w:r>
              <w:rPr>
                <w:rFonts w:ascii="Arial" w:cs="Arial" w:eastAsia="Arial" w:hAnsi="Arial"/>
                <w:sz w:val="14"/>
                <w:szCs w:val="14"/>
                <w:color w:val="auto"/>
              </w:rPr>
              <w:t>2023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20,892,318</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88"/>
              <w:spacing w:after="0"/>
              <w:rPr>
                <w:sz w:val="20"/>
                <w:szCs w:val="20"/>
                <w:color w:val="auto"/>
              </w:rPr>
            </w:pPr>
            <w:r>
              <w:rPr>
                <w:rFonts w:ascii="Arial" w:cs="Arial" w:eastAsia="Arial" w:hAnsi="Arial"/>
                <w:sz w:val="14"/>
                <w:szCs w:val="14"/>
                <w:color w:val="auto"/>
              </w:rPr>
              <w:t>16,199,037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23,224,692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16,399,282</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7,164,737</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7,393,056</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148.43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219.40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6,510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7,331</w:t>
            </w:r>
          </w:p>
        </w:tc>
        <w:tc>
          <w:tcPr>
            <w:tcW w:w="0" w:type="dxa"/>
            <w:vAlign w:val="bottom"/>
          </w:tcPr>
          <w:p>
            <w:pPr>
              <w:spacing w:after="0"/>
              <w:rPr>
                <w:sz w:val="1"/>
                <w:szCs w:val="1"/>
                <w:color w:val="auto"/>
              </w:rPr>
            </w:pPr>
          </w:p>
        </w:tc>
      </w:tr>
      <w:tr>
        <w:trPr>
          <w:trHeight w:val="22"/>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2022</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21,629,586</w:t>
            </w:r>
          </w:p>
        </w:tc>
        <w:tc>
          <w:tcPr>
            <w:tcW w:w="10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center"/>
              <w:ind w:lef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11,834,806</w:t>
            </w:r>
          </w:p>
        </w:tc>
        <w:tc>
          <w:tcPr>
            <w:tcW w:w="22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7,959,226</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5,118,822</w:t>
            </w:r>
          </w:p>
        </w:tc>
        <w:tc>
          <w:tcPr>
            <w:tcW w:w="32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139.51</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139.00</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8,749</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10,140</w:t>
            </w:r>
          </w:p>
        </w:tc>
        <w:tc>
          <w:tcPr>
            <w:tcW w:w="0" w:type="dxa"/>
            <w:vAlign w:val="bottom"/>
          </w:tcPr>
          <w:p>
            <w:pPr>
              <w:spacing w:after="0"/>
              <w:rPr>
                <w:sz w:val="1"/>
                <w:szCs w:val="1"/>
                <w:color w:val="auto"/>
              </w:rPr>
            </w:pPr>
          </w:p>
        </w:tc>
      </w:tr>
      <w:tr>
        <w:trPr>
          <w:trHeight w:val="208"/>
        </w:trPr>
        <w:tc>
          <w:tcPr>
            <w:tcW w:w="420" w:type="dxa"/>
            <w:vAlign w:val="bottom"/>
          </w:tcPr>
          <w:p>
            <w:pPr>
              <w:ind w:left="20"/>
              <w:spacing w:after="0"/>
              <w:rPr>
                <w:sz w:val="20"/>
                <w:szCs w:val="20"/>
                <w:color w:val="auto"/>
              </w:rPr>
            </w:pPr>
            <w:r>
              <w:rPr>
                <w:rFonts w:ascii="Arial" w:cs="Arial" w:eastAsia="Arial" w:hAnsi="Arial"/>
                <w:sz w:val="14"/>
                <w:szCs w:val="14"/>
                <w:color w:val="auto"/>
              </w:rPr>
              <w:t>2021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19,195,411</w:t>
            </w:r>
          </w:p>
        </w:tc>
        <w:tc>
          <w:tcPr>
            <w:tcW w:w="100" w:type="dxa"/>
            <w:vAlign w:val="bottom"/>
          </w:tcPr>
          <w:p>
            <w:pPr>
              <w:spacing w:after="0"/>
              <w:rPr>
                <w:sz w:val="18"/>
                <w:szCs w:val="18"/>
                <w:color w:val="auto"/>
              </w:rPr>
            </w:pPr>
          </w:p>
        </w:tc>
        <w:tc>
          <w:tcPr>
            <w:tcW w:w="1000" w:type="dxa"/>
            <w:vAlign w:val="bottom"/>
          </w:tcPr>
          <w:p>
            <w:pPr>
              <w:jc w:val="center"/>
              <w:ind w:left="8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37,422,531</w:t>
            </w:r>
          </w:p>
        </w:tc>
        <w:tc>
          <w:tcPr>
            <w:tcW w:w="220" w:type="dxa"/>
            <w:vAlign w:val="bottom"/>
          </w:tcPr>
          <w:p>
            <w:pPr>
              <w:spacing w:after="0"/>
              <w:rPr>
                <w:sz w:val="18"/>
                <w:szCs w:val="18"/>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6,903,311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11,327,790</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154.85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193.58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7,769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8,960</w:t>
            </w:r>
          </w:p>
        </w:tc>
        <w:tc>
          <w:tcPr>
            <w:tcW w:w="0" w:type="dxa"/>
            <w:vAlign w:val="bottom"/>
          </w:tcPr>
          <w:p>
            <w:pPr>
              <w:spacing w:after="0"/>
              <w:rPr>
                <w:sz w:val="1"/>
                <w:szCs w:val="1"/>
                <w:color w:val="auto"/>
              </w:rPr>
            </w:pPr>
          </w:p>
        </w:tc>
      </w:tr>
      <w:tr>
        <w:trPr>
          <w:trHeight w:val="22"/>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2020</w:t>
            </w:r>
          </w:p>
        </w:tc>
        <w:tc>
          <w:tcPr>
            <w:tcW w:w="2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19,056,652</w:t>
            </w: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43,654,015</w:t>
            </w:r>
          </w:p>
        </w:tc>
        <w:tc>
          <w:tcPr>
            <w:tcW w:w="22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ind w:lef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5,827,815</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11,832,752</w:t>
            </w:r>
          </w:p>
        </w:tc>
        <w:tc>
          <w:tcPr>
            <w:tcW w:w="32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131.74</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143.89</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5,595</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5,894</w:t>
            </w:r>
          </w:p>
        </w:tc>
        <w:tc>
          <w:tcPr>
            <w:tcW w:w="0" w:type="dxa"/>
            <w:vAlign w:val="bottom"/>
          </w:tcPr>
          <w:p>
            <w:pPr>
              <w:spacing w:after="0"/>
              <w:rPr>
                <w:sz w:val="1"/>
                <w:szCs w:val="1"/>
                <w:color w:val="auto"/>
              </w:rPr>
            </w:pPr>
          </w:p>
        </w:tc>
      </w:tr>
      <w:tr>
        <w:trPr>
          <w:trHeight w:val="22"/>
        </w:trPr>
        <w:tc>
          <w:tcPr>
            <w:tcW w:w="420" w:type="dxa"/>
            <w:vAlign w:val="bottom"/>
            <w:shd w:val="clear" w:color="auto" w:fill="DBDBDB"/>
          </w:tcPr>
          <w:p>
            <w:pPr>
              <w:spacing w:after="0" w:line="20" w:lineRule="exact"/>
              <w:rPr>
                <w:sz w:val="1"/>
                <w:szCs w:val="1"/>
                <w:color w:val="auto"/>
              </w:rPr>
            </w:pPr>
          </w:p>
        </w:tc>
        <w:tc>
          <w:tcPr>
            <w:tcW w:w="220" w:type="dxa"/>
            <w:vAlign w:val="bottom"/>
            <w:shd w:val="clear" w:color="auto" w:fill="DBDBDB"/>
          </w:tcPr>
          <w:p>
            <w:pPr>
              <w:spacing w:after="0" w:line="20" w:lineRule="exact"/>
              <w:rPr>
                <w:sz w:val="1"/>
                <w:szCs w:val="1"/>
                <w:color w:val="auto"/>
              </w:rPr>
            </w:pPr>
          </w:p>
        </w:tc>
        <w:tc>
          <w:tcPr>
            <w:tcW w:w="94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1000" w:type="dxa"/>
            <w:vAlign w:val="bottom"/>
            <w:shd w:val="clear" w:color="auto" w:fill="DBDBDB"/>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1100" w:type="dxa"/>
            <w:vAlign w:val="bottom"/>
            <w:shd w:val="clear" w:color="auto" w:fill="DBDBDB"/>
          </w:tcPr>
          <w:p>
            <w:pPr>
              <w:spacing w:after="0" w:line="20" w:lineRule="exact"/>
              <w:rPr>
                <w:sz w:val="1"/>
                <w:szCs w:val="1"/>
                <w:color w:val="auto"/>
              </w:rPr>
            </w:pPr>
          </w:p>
        </w:tc>
        <w:tc>
          <w:tcPr>
            <w:tcW w:w="220" w:type="dxa"/>
            <w:vAlign w:val="bottom"/>
            <w:shd w:val="clear" w:color="auto" w:fill="DBDBDB"/>
          </w:tcPr>
          <w:p>
            <w:pPr>
              <w:spacing w:after="0" w:line="20" w:lineRule="exact"/>
              <w:rPr>
                <w:sz w:val="1"/>
                <w:szCs w:val="1"/>
                <w:color w:val="auto"/>
              </w:rPr>
            </w:pPr>
          </w:p>
        </w:tc>
        <w:tc>
          <w:tcPr>
            <w:tcW w:w="1220" w:type="dxa"/>
            <w:vAlign w:val="bottom"/>
            <w:shd w:val="clear" w:color="auto" w:fill="DBDBDB"/>
          </w:tcPr>
          <w:p>
            <w:pPr>
              <w:spacing w:after="0" w:line="20" w:lineRule="exact"/>
              <w:rPr>
                <w:sz w:val="1"/>
                <w:szCs w:val="1"/>
                <w:color w:val="auto"/>
              </w:rPr>
            </w:pPr>
          </w:p>
        </w:tc>
        <w:tc>
          <w:tcPr>
            <w:tcW w:w="220" w:type="dxa"/>
            <w:vAlign w:val="bottom"/>
            <w:shd w:val="clear" w:color="auto" w:fill="DBDBDB"/>
          </w:tcPr>
          <w:p>
            <w:pPr>
              <w:spacing w:after="0" w:line="20" w:lineRule="exact"/>
              <w:rPr>
                <w:sz w:val="1"/>
                <w:szCs w:val="1"/>
                <w:color w:val="auto"/>
              </w:rPr>
            </w:pPr>
          </w:p>
        </w:tc>
        <w:tc>
          <w:tcPr>
            <w:tcW w:w="94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960" w:type="dxa"/>
            <w:vAlign w:val="bottom"/>
            <w:shd w:val="clear" w:color="auto" w:fill="DBDBDB"/>
          </w:tcPr>
          <w:p>
            <w:pPr>
              <w:spacing w:after="0" w:line="20" w:lineRule="exact"/>
              <w:rPr>
                <w:sz w:val="1"/>
                <w:szCs w:val="1"/>
                <w:color w:val="auto"/>
              </w:rPr>
            </w:pPr>
          </w:p>
        </w:tc>
        <w:tc>
          <w:tcPr>
            <w:tcW w:w="320" w:type="dxa"/>
            <w:vAlign w:val="bottom"/>
            <w:shd w:val="clear" w:color="auto" w:fill="DBDBDB"/>
          </w:tcPr>
          <w:p>
            <w:pPr>
              <w:spacing w:after="0" w:line="20" w:lineRule="exact"/>
              <w:rPr>
                <w:sz w:val="1"/>
                <w:szCs w:val="1"/>
                <w:color w:val="auto"/>
              </w:rPr>
            </w:pPr>
          </w:p>
        </w:tc>
        <w:tc>
          <w:tcPr>
            <w:tcW w:w="140" w:type="dxa"/>
            <w:vAlign w:val="bottom"/>
            <w:shd w:val="clear" w:color="auto" w:fill="DBDBDB"/>
          </w:tcPr>
          <w:p>
            <w:pPr>
              <w:spacing w:after="0" w:line="20" w:lineRule="exact"/>
              <w:rPr>
                <w:sz w:val="1"/>
                <w:szCs w:val="1"/>
                <w:color w:val="auto"/>
              </w:rPr>
            </w:pPr>
          </w:p>
        </w:tc>
        <w:tc>
          <w:tcPr>
            <w:tcW w:w="580" w:type="dxa"/>
            <w:vAlign w:val="bottom"/>
            <w:shd w:val="clear" w:color="auto" w:fill="DBDBDB"/>
          </w:tcPr>
          <w:p>
            <w:pPr>
              <w:spacing w:after="0" w:line="20" w:lineRule="exact"/>
              <w:rPr>
                <w:sz w:val="1"/>
                <w:szCs w:val="1"/>
                <w:color w:val="auto"/>
              </w:rPr>
            </w:pPr>
          </w:p>
        </w:tc>
        <w:tc>
          <w:tcPr>
            <w:tcW w:w="140" w:type="dxa"/>
            <w:vAlign w:val="bottom"/>
            <w:shd w:val="clear" w:color="auto" w:fill="DBDBDB"/>
          </w:tcPr>
          <w:p>
            <w:pPr>
              <w:spacing w:after="0" w:line="20" w:lineRule="exact"/>
              <w:rPr>
                <w:sz w:val="1"/>
                <w:szCs w:val="1"/>
                <w:color w:val="auto"/>
              </w:rPr>
            </w:pPr>
          </w:p>
        </w:tc>
        <w:tc>
          <w:tcPr>
            <w:tcW w:w="620" w:type="dxa"/>
            <w:vAlign w:val="bottom"/>
            <w:shd w:val="clear" w:color="auto" w:fill="DBDBDB"/>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760" w:type="dxa"/>
            <w:vAlign w:val="bottom"/>
            <w:shd w:val="clear" w:color="auto" w:fill="DBDBDB"/>
          </w:tcPr>
          <w:p>
            <w:pPr>
              <w:spacing w:after="0" w:line="20" w:lineRule="exact"/>
              <w:rPr>
                <w:sz w:val="1"/>
                <w:szCs w:val="1"/>
                <w:color w:val="auto"/>
              </w:rPr>
            </w:pPr>
          </w:p>
        </w:tc>
        <w:tc>
          <w:tcPr>
            <w:tcW w:w="140" w:type="dxa"/>
            <w:vAlign w:val="bottom"/>
            <w:shd w:val="clear" w:color="auto" w:fill="DBDBDB"/>
          </w:tcPr>
          <w:p>
            <w:pPr>
              <w:spacing w:after="0" w:line="20" w:lineRule="exact"/>
              <w:rPr>
                <w:sz w:val="1"/>
                <w:szCs w:val="1"/>
                <w:color w:val="auto"/>
              </w:rPr>
            </w:pPr>
          </w:p>
        </w:tc>
        <w:tc>
          <w:tcPr>
            <w:tcW w:w="84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500" w:right="120" w:hanging="492"/>
        <w:spacing w:after="0" w:line="262" w:lineRule="auto"/>
        <w:tabs>
          <w:tab w:leader="none" w:pos="49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Mr. Ilan served as the company’s principal executive officer (PEO) for 2024. During 2023, Messrs. Ilan and Templeton each served for a period of time as the company’s PEO, and Mr. Templeton was the company’s PEO for the entirety of 2022, 2021 and 2020. Compensation for the PEO reflects the amounts reported in the summary compensation table for Messrs. Ilan and Templeton for the corresponding years in which each served as the company’s PEO.</w:t>
      </w:r>
    </w:p>
    <w:p>
      <w:pPr>
        <w:spacing w:after="0" w:line="68" w:lineRule="exact"/>
        <w:rPr>
          <w:rFonts w:ascii="Arial" w:cs="Arial" w:eastAsia="Arial" w:hAnsi="Arial"/>
          <w:sz w:val="18"/>
          <w:szCs w:val="18"/>
          <w:color w:val="auto"/>
        </w:rPr>
      </w:pPr>
    </w:p>
    <w:p>
      <w:pPr>
        <w:ind w:left="500" w:hanging="492"/>
        <w:spacing w:after="0" w:line="262" w:lineRule="auto"/>
        <w:tabs>
          <w:tab w:leader="none" w:pos="49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remaining non-PEO named executive officers for the applicable period are Haviv Ilan (2020-2022), Rafael Lizardi (2020-2024), Richard Templeton (2024), Hagop Kozanian (2020-2024), Amichai Ron (2023-2024), Kyle Flessner (2020-2023) and Niels Anderskouv (2020). Compensation for our non-PEO named executive officers reflects the amounts reported in the summary compensation table for the respective years.</w:t>
      </w:r>
    </w:p>
    <w:p>
      <w:pPr>
        <w:spacing w:after="0" w:line="68" w:lineRule="exact"/>
        <w:rPr>
          <w:rFonts w:ascii="Arial" w:cs="Arial" w:eastAsia="Arial" w:hAnsi="Arial"/>
          <w:sz w:val="18"/>
          <w:szCs w:val="18"/>
          <w:color w:val="auto"/>
        </w:rPr>
      </w:pPr>
    </w:p>
    <w:p>
      <w:pPr>
        <w:ind w:left="500" w:right="200" w:hanging="492"/>
        <w:spacing w:after="0" w:line="256" w:lineRule="auto"/>
        <w:tabs>
          <w:tab w:leader="none" w:pos="49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the value of equity calculated in accordance with the SEC methodology for determining compensation actually paid for each year shown. We estimate the fair values for non-qualified stock options using the Black-Scholes-Merton option-pricing model. The assumptions used for purposes of calculating fair values of options as of the vest date or fiscal year-end date are the same as the assumptions used for purposes of calculating the grant date fair value of options, except that we determine expected lives of options based on the “simplified method” using an average of the remaining vest and remaining term, as of the vest date or fiscal year-end date, and the risk-free interest rate is based on the Treasury Constant Maturity rate closest to the remaining expected life, as of the vest date or fiscal year-end date.</w:t>
      </w:r>
    </w:p>
    <w:p>
      <w:pPr>
        <w:spacing w:after="0" w:line="74" w:lineRule="exact"/>
        <w:rPr>
          <w:rFonts w:ascii="Arial" w:cs="Arial" w:eastAsia="Arial" w:hAnsi="Arial"/>
          <w:sz w:val="18"/>
          <w:szCs w:val="18"/>
          <w:color w:val="auto"/>
        </w:rPr>
      </w:pPr>
    </w:p>
    <w:p>
      <w:pPr>
        <w:ind w:left="500" w:right="120" w:hanging="492"/>
        <w:spacing w:after="0" w:line="274" w:lineRule="auto"/>
        <w:tabs>
          <w:tab w:leader="none" w:pos="49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Adjustments to total compensation for 2024 as reported in the summary compensation table consist of (i) $15,000,084 deduction for amounts reported under the “Stock Awards” and “Option Awards” columns in the summary compensation table; (ii) $18,515,612 increase based on the fair value of equity awards granted in 2024 that remained outstanding and unvested as of December 31, 2024; (iii) $2,458,717 increase for equity awards granted in prior fiscal years that remained outstanding and unvested as of December 31, 2024, determined based on the change in fair value of such awards from December 31, 2023, to December 31, 2024; (iv) $701,826 decrease for awards granted in prior fiscal years that vested in 2024, determined based on the change in fair value of such awards from December 31, 2023, to the vest date; and (v) $669,059 increase based on dividend equivalents paid on unvested RSUs in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52" w:name="page53"/>
    <w:bookmarkEnd w:id="52"/>
    <w:p>
      <w:pPr>
        <w:ind w:left="520" w:hanging="492"/>
        <w:spacing w:after="0" w:line="255" w:lineRule="auto"/>
        <w:tabs>
          <w:tab w:leader="none" w:pos="5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Adjustments to the non-PEO named executive officers’ average total compensation for 2024 as reported in the summary compensation table consist of (i) $5,625,139 deduction for the average amount reported under the “Stock Awards” and “Option Awards” columns in the summary compensation table; (ii) $6,943,481 increase based on the average fair value of equity awards granted in 2024 that remained outstanding and unvested as of December 31, 2024; (iii) $1,787,060 increase for equity awards granted in prior fiscal years that remained outstanding and unvested as of December 31, 2024, determined based on the average change in fair value of such awards from December 31, 2023, to December 31, 2024; (iv) $614,076 decrease for awards granted in prior fiscal years that vested in 2024, determined based on the average change in fair value of such awards from December 31, 2023, to the vest date; and (v) $569,739 increase based on the average amount of dividend equivalents paid on unvested RSUs in 2024.</w:t>
      </w:r>
    </w:p>
    <w:p>
      <w:pPr>
        <w:spacing w:after="0" w:line="76" w:lineRule="exact"/>
        <w:rPr>
          <w:rFonts w:ascii="Arial" w:cs="Arial" w:eastAsia="Arial" w:hAnsi="Arial"/>
          <w:sz w:val="18"/>
          <w:szCs w:val="18"/>
          <w:color w:val="auto"/>
        </w:rPr>
      </w:pPr>
    </w:p>
    <w:p>
      <w:pPr>
        <w:ind w:left="520" w:right="180" w:hanging="492"/>
        <w:spacing w:after="0" w:line="268" w:lineRule="auto"/>
        <w:tabs>
          <w:tab w:leader="none" w:pos="5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TSR represents the cumulative TSR for the company and the S&amp;P Information Technology index over a five-year period beginning December 31, 2019, as of the years ended 2024, 2023, 2022, 2021 and 2020. TSR data is obtained from Research Data Group, Inc. (RDG).</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Compensation actually paid compared to TSR, net income and operating profit</w:t>
      </w:r>
    </w:p>
    <w:p>
      <w:pPr>
        <w:spacing w:after="0" w:line="232" w:lineRule="exact"/>
        <w:rPr>
          <w:sz w:val="20"/>
          <w:szCs w:val="20"/>
          <w:color w:val="auto"/>
        </w:rPr>
      </w:pPr>
    </w:p>
    <w:p>
      <w:pPr>
        <w:ind w:left="20" w:right="20"/>
        <w:spacing w:after="0" w:line="272" w:lineRule="auto"/>
        <w:rPr>
          <w:sz w:val="20"/>
          <w:szCs w:val="20"/>
          <w:color w:val="auto"/>
        </w:rPr>
      </w:pPr>
      <w:r>
        <w:rPr>
          <w:rFonts w:ascii="Arial" w:cs="Arial" w:eastAsia="Arial" w:hAnsi="Arial"/>
          <w:sz w:val="17"/>
          <w:szCs w:val="17"/>
          <w:color w:val="auto"/>
        </w:rPr>
        <w:t>Compensation actually paid to the PEO increased year over year by $1,778,305, or 8%, and $ 11,389,886, or 96%, in 2024 and 2023, respectively, and decreased year over year by $25,587,725, or 68%, and $6,231,484, or 14%, in 2022 and 2021, respectively. Compensation actually paid to the remaining non-PEO named executive officers increased year over year by $3,437,117, or 46%, and $ 2,274,234, or 44%, in 2024 and 2023, respectively, and decreased year over year by $ 6,208,968, or 55%, and $504,962, or 4%, in 2022 and 2021, respectively. During this period, the company’s cumulative TSR was 67.9%. Net income decreased year over year by $1.71 billion, or 26%, and $2.24 billion, or 26%, in 2024 and 2023, respectively, and increased year over year by $980 million, or 13%, and $2.17 billion, or 39%, in 2022 and 2021, respectively. Operating profit decreased year over year by $1.87 billion, or 25%, and $2.81 billion, or 28%, in 2024 and 2023, respectively, and increased year over year by $1.18 billion, or 13%, and $3.07 billion, or 52%, in 2022 and 2021, respectively.</w:t>
      </w:r>
    </w:p>
    <w:p>
      <w:pPr>
        <w:spacing w:after="0" w:line="172" w:lineRule="exact"/>
        <w:rPr>
          <w:sz w:val="20"/>
          <w:szCs w:val="20"/>
          <w:color w:val="auto"/>
        </w:rPr>
      </w:pPr>
    </w:p>
    <w:p>
      <w:pPr>
        <w:ind w:left="20"/>
        <w:spacing w:after="0" w:line="268" w:lineRule="auto"/>
        <w:rPr>
          <w:sz w:val="20"/>
          <w:szCs w:val="20"/>
          <w:color w:val="auto"/>
        </w:rPr>
      </w:pPr>
      <w:r>
        <w:rPr>
          <w:rFonts w:ascii="Arial" w:cs="Arial" w:eastAsia="Arial" w:hAnsi="Arial"/>
          <w:sz w:val="18"/>
          <w:szCs w:val="18"/>
          <w:color w:val="auto"/>
        </w:rPr>
        <w:t>TSR, net income and operating profit are some indicators of the company’s overall performance that may impact the value of total compensation; however, other performance measures and factors are considered in setting named executive officers’ compensation. See the Compensation Discussion and Analysis for additional information.</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TI TSR compared to S&amp;P IT Index TSR</w:t>
      </w:r>
    </w:p>
    <w:p>
      <w:pPr>
        <w:spacing w:after="0" w:line="218" w:lineRule="exact"/>
        <w:rPr>
          <w:sz w:val="20"/>
          <w:szCs w:val="20"/>
          <w:color w:val="auto"/>
        </w:rPr>
      </w:pPr>
    </w:p>
    <w:p>
      <w:pPr>
        <w:ind w:left="20" w:right="880"/>
        <w:spacing w:after="0" w:line="287" w:lineRule="auto"/>
        <w:rPr>
          <w:sz w:val="20"/>
          <w:szCs w:val="20"/>
          <w:color w:val="auto"/>
        </w:rPr>
      </w:pPr>
      <w:r>
        <w:rPr>
          <w:rFonts w:ascii="Arial" w:cs="Arial" w:eastAsia="Arial" w:hAnsi="Arial"/>
          <w:sz w:val="18"/>
          <w:szCs w:val="18"/>
          <w:color w:val="auto"/>
        </w:rPr>
        <w:t>The company’s cumulative TSR of 67.9% for the five-year period ending December 31, 2024, was lower than the S&amp;P Information Technology Index return for the same period of 199.7%.</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2024 financial performance measures</w:t>
      </w:r>
    </w:p>
    <w:p>
      <w:pPr>
        <w:spacing w:after="0" w:line="232" w:lineRule="exact"/>
        <w:rPr>
          <w:sz w:val="20"/>
          <w:szCs w:val="20"/>
          <w:color w:val="auto"/>
        </w:rPr>
      </w:pPr>
    </w:p>
    <w:p>
      <w:pPr>
        <w:ind w:left="20" w:right="20"/>
        <w:spacing w:after="0" w:line="259" w:lineRule="auto"/>
        <w:rPr>
          <w:sz w:val="20"/>
          <w:szCs w:val="20"/>
          <w:color w:val="auto"/>
        </w:rPr>
      </w:pPr>
      <w:r>
        <w:rPr>
          <w:rFonts w:ascii="Arial" w:cs="Arial" w:eastAsia="Arial" w:hAnsi="Arial"/>
          <w:sz w:val="18"/>
          <w:szCs w:val="18"/>
          <w:color w:val="auto"/>
        </w:rPr>
        <w:t>The four financial performance measures listed below represent an unranked list of the “most important” financial performance measures linking compensation actually paid to the named executive officers for 2024 and company performance. We do not consider any one of the following financial performance measures to be the most important measure for our company or executive compensation program. Additional financial performance measures, based on an absolute and relative basis, and other measures were used to link executive pay to company performance as further described in the Compensation Discussion and Analysis.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Revenue growth: total TI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margin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shareholder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2025 PROXY STATEMENT •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00" w:top="877" w:right="359" w:bottom="1440"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auto"/>
        </w:rPr>
        <w:t>Audit committee matters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 report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179" w:lineRule="exact"/>
        <w:rPr>
          <w:sz w:val="20"/>
          <w:szCs w:val="20"/>
          <w:color w:val="auto"/>
        </w:rPr>
      </w:pPr>
    </w:p>
    <w:p>
      <w:pPr>
        <w:jc w:val="both"/>
        <w:ind w:right="100"/>
        <w:spacing w:after="0" w:line="287" w:lineRule="auto"/>
        <w:rPr>
          <w:sz w:val="20"/>
          <w:szCs w:val="20"/>
          <w:color w:val="auto"/>
        </w:rPr>
      </w:pPr>
      <w:r>
        <w:rPr>
          <w:rFonts w:ascii="Arial" w:cs="Arial" w:eastAsia="Arial" w:hAnsi="Arial"/>
          <w:sz w:val="18"/>
          <w:szCs w:val="18"/>
          <w:color w:val="auto"/>
        </w:rPr>
        <w:t>The committee has reviewed and discussed with management and the independent accounting firm, as appropriate, (i) the audited financial statements and (ii) management’s report on internal control over financial reporting and the independent accounting firm’s related opinions.</w:t>
      </w:r>
    </w:p>
    <w:p>
      <w:pPr>
        <w:spacing w:after="0" w:line="15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committee has discussed with the independent registered public accounting firm, Ernst &amp; Young, the required communications specified by auditing standards together with guidelines established by the SEC and the Sarbanes-Oxley Act.</w:t>
      </w:r>
    </w:p>
    <w:p>
      <w:pPr>
        <w:spacing w:after="0" w:line="153"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15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Based on the review and discussions referred to above, the committee recommended to the board of directors that the audited financial statements be included in the company’s annual report on Form 10-K for 2024 for filing with the SEC.</w:t>
      </w:r>
    </w:p>
    <w:p>
      <w:pPr>
        <w:spacing w:after="0" w:line="99" w:lineRule="exact"/>
        <w:rPr>
          <w:sz w:val="20"/>
          <w:szCs w:val="20"/>
          <w:color w:val="auto"/>
        </w:rPr>
      </w:pPr>
    </w:p>
    <w:p>
      <w:pPr>
        <w:ind w:left="680"/>
        <w:spacing w:after="0"/>
        <w:tabs>
          <w:tab w:leader="none" w:pos="3320" w:val="left"/>
          <w:tab w:leader="none" w:pos="6420" w:val="left"/>
          <w:tab w:leader="none" w:pos="8960" w:val="left"/>
        </w:tabs>
        <w:rPr>
          <w:sz w:val="20"/>
          <w:szCs w:val="20"/>
          <w:color w:val="auto"/>
        </w:rPr>
      </w:pPr>
      <w:r>
        <w:rPr>
          <w:rFonts w:ascii="Arial" w:cs="Arial" w:eastAsia="Arial" w:hAnsi="Arial"/>
          <w:sz w:val="18"/>
          <w:szCs w:val="18"/>
          <w:color w:val="auto"/>
        </w:rPr>
        <w:t>Janet Clark, Chair</w:t>
      </w:r>
      <w:r>
        <w:rPr>
          <w:sz w:val="20"/>
          <w:szCs w:val="20"/>
          <w:color w:val="auto"/>
        </w:rPr>
        <w:tab/>
      </w:r>
      <w:r>
        <w:rPr>
          <w:rFonts w:ascii="Arial" w:cs="Arial" w:eastAsia="Arial" w:hAnsi="Arial"/>
          <w:sz w:val="18"/>
          <w:szCs w:val="18"/>
          <w:color w:val="auto"/>
        </w:rPr>
        <w:t>Reginald DesRoches</w:t>
      </w:r>
      <w:r>
        <w:rPr>
          <w:sz w:val="20"/>
          <w:szCs w:val="20"/>
          <w:color w:val="auto"/>
        </w:rPr>
        <w:tab/>
      </w:r>
      <w:r>
        <w:rPr>
          <w:rFonts w:ascii="Arial" w:cs="Arial" w:eastAsia="Arial" w:hAnsi="Arial"/>
          <w:sz w:val="18"/>
          <w:szCs w:val="18"/>
          <w:color w:val="auto"/>
        </w:rPr>
        <w:t>Curtis Farmer</w:t>
      </w:r>
      <w:r>
        <w:rPr>
          <w:sz w:val="20"/>
          <w:szCs w:val="20"/>
          <w:color w:val="auto"/>
        </w:rPr>
        <w:tab/>
      </w:r>
      <w:r>
        <w:rPr>
          <w:rFonts w:ascii="Arial" w:cs="Arial" w:eastAsia="Arial" w:hAnsi="Arial"/>
          <w:sz w:val="18"/>
          <w:szCs w:val="18"/>
          <w:color w:val="auto"/>
        </w:rPr>
        <w:t>Robert Sanchez</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to ratify appointment of independent registered public accounting firm</w:t>
      </w:r>
    </w:p>
    <w:p>
      <w:pPr>
        <w:spacing w:after="0" w:line="23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audit committee of the board has the authority and responsibility for the appointment, compensation, retention and oversight of the work of TI’s independent registered public accounting firm. The audit committee has appointed Ernst &amp; Young LLP to be TI’s independent registered public accounting firm for 2025.</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TI has engaged Ernst &amp; Young or a predecessor firm to serve as the company’s independent registered public accounting firm since 1952. In order to assure continuing auditor independence, the audit committee periodically considers whether the annual audit of TI’s financial statements should be conducted by another firm.</w:t>
      </w:r>
    </w:p>
    <w:p>
      <w:pPr>
        <w:spacing w:after="0" w:line="17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lead audit partner on the TI engagement serves no more than five consecutive years in that role, in accordance with SEC rules. The audit committee chair and management have direct input into the selection of the lead audit partner.</w:t>
      </w:r>
    </w:p>
    <w:p>
      <w:pPr>
        <w:spacing w:after="0" w:line="15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members of the audit committee and the board believe that the continued retention of Ernst &amp; Young to serve as the company’s independent registered public accounting firm is in the best interest of the company and its investors. Consequently, the board asks the stockholders to ratify the appointment of Ernst &amp; Young. If the stockholders do not ratify the appointment, the audit committee will consider whether it should appoint another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2025 PROXY STATEMENT •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5" w:right="379" w:bottom="1440" w:gutter="0" w:footer="0" w:header="0"/>
        </w:sectPr>
      </w:pPr>
    </w:p>
    <w:bookmarkStart w:id="54" w:name="page55"/>
    <w:bookmarkEnd w:id="54"/>
    <w:p>
      <w:pPr>
        <w:ind w:right="60"/>
        <w:spacing w:after="0" w:line="287" w:lineRule="auto"/>
        <w:rPr>
          <w:sz w:val="20"/>
          <w:szCs w:val="20"/>
          <w:color w:val="auto"/>
        </w:rPr>
      </w:pPr>
      <w:r>
        <w:rPr>
          <w:rFonts w:ascii="Arial" w:cs="Arial" w:eastAsia="Arial" w:hAnsi="Arial"/>
          <w:sz w:val="18"/>
          <w:szCs w:val="18"/>
          <w:color w:val="auto"/>
        </w:rPr>
        <w:t>Representatives of Ernst &amp; Young are expected to be present and available to respond to appropriate questions at the annual meeting. They have the opportunity to make a statement if they desire to do so; they have indicated that, as of this date, they do not.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fees for services provided by Ernst &amp; Young to the company are described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r>
      <w:tr>
        <w:trPr>
          <w:trHeight w:val="250"/>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Audit</w:t>
            </w:r>
          </w:p>
        </w:tc>
        <w:tc>
          <w:tcPr>
            <w:tcW w:w="382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114"/>
              <w:spacing w:after="0"/>
              <w:rPr>
                <w:sz w:val="20"/>
                <w:szCs w:val="20"/>
                <w:color w:val="auto"/>
              </w:rPr>
            </w:pPr>
            <w:r>
              <w:rPr>
                <w:rFonts w:ascii="Arial" w:cs="Arial" w:eastAsia="Arial" w:hAnsi="Arial"/>
                <w:sz w:val="18"/>
                <w:szCs w:val="18"/>
                <w:color w:val="auto"/>
              </w:rPr>
              <w:t>11,126,460</w:t>
            </w:r>
          </w:p>
        </w:tc>
        <w:tc>
          <w:tcPr>
            <w:tcW w:w="44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10,821,000</w:t>
            </w:r>
          </w:p>
        </w:tc>
      </w:tr>
      <w:tr>
        <w:trPr>
          <w:trHeight w:val="247"/>
        </w:trPr>
        <w:tc>
          <w:tcPr>
            <w:tcW w:w="4600" w:type="dxa"/>
            <w:vAlign w:val="bottom"/>
          </w:tcPr>
          <w:p>
            <w:pPr>
              <w:ind w:left="20"/>
              <w:spacing w:after="0"/>
              <w:rPr>
                <w:sz w:val="20"/>
                <w:szCs w:val="20"/>
                <w:color w:val="auto"/>
              </w:rPr>
            </w:pPr>
            <w:r>
              <w:rPr>
                <w:rFonts w:ascii="Arial" w:cs="Arial" w:eastAsia="Arial" w:hAnsi="Arial"/>
                <w:sz w:val="18"/>
                <w:szCs w:val="18"/>
                <w:color w:val="auto"/>
              </w:rPr>
              <w:t>Audit-related</w:t>
            </w:r>
          </w:p>
        </w:tc>
        <w:tc>
          <w:tcPr>
            <w:tcW w:w="3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776,000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687,000</w:t>
            </w:r>
          </w:p>
        </w:tc>
      </w:tr>
      <w:tr>
        <w:trPr>
          <w:trHeight w:val="23"/>
        </w:trPr>
        <w:tc>
          <w:tcPr>
            <w:tcW w:w="46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Tax</w:t>
            </w:r>
          </w:p>
        </w:tc>
        <w:tc>
          <w:tcPr>
            <w:tcW w:w="382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114"/>
              <w:spacing w:after="0"/>
              <w:rPr>
                <w:sz w:val="20"/>
                <w:szCs w:val="20"/>
                <w:color w:val="auto"/>
              </w:rPr>
            </w:pPr>
            <w:r>
              <w:rPr>
                <w:rFonts w:ascii="Arial" w:cs="Arial" w:eastAsia="Arial" w:hAnsi="Arial"/>
                <w:sz w:val="18"/>
                <w:szCs w:val="18"/>
                <w:color w:val="auto"/>
              </w:rPr>
              <w:t>1,489,000</w:t>
            </w:r>
          </w:p>
        </w:tc>
        <w:tc>
          <w:tcPr>
            <w:tcW w:w="44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2,809,000</w:t>
            </w:r>
          </w:p>
        </w:tc>
      </w:tr>
      <w:tr>
        <w:trPr>
          <w:trHeight w:val="247"/>
        </w:trPr>
        <w:tc>
          <w:tcPr>
            <w:tcW w:w="4600" w:type="dxa"/>
            <w:vAlign w:val="bottom"/>
          </w:tcPr>
          <w:p>
            <w:pPr>
              <w:ind w:left="20"/>
              <w:spacing w:after="0"/>
              <w:rPr>
                <w:sz w:val="20"/>
                <w:szCs w:val="20"/>
                <w:color w:val="auto"/>
              </w:rPr>
            </w:pPr>
            <w:r>
              <w:rPr>
                <w:rFonts w:ascii="Arial" w:cs="Arial" w:eastAsia="Arial" w:hAnsi="Arial"/>
                <w:sz w:val="18"/>
                <w:szCs w:val="18"/>
                <w:color w:val="auto"/>
              </w:rPr>
              <w:t>All other</w:t>
            </w:r>
          </w:p>
        </w:tc>
        <w:tc>
          <w:tcPr>
            <w:tcW w:w="3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32,000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31,000</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services provided were as follows:</w:t>
      </w:r>
    </w:p>
    <w:p>
      <w:pPr>
        <w:spacing w:after="0" w:line="22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Audit: our annual audit, including the audit of internal control over financial reporting, reports on Form 10-Q, assistance with public debt offerings, statutory audits required internationally and accounting consultations.</w:t>
      </w:r>
    </w:p>
    <w:p>
      <w:pPr>
        <w:spacing w:after="0" w:line="15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Audit-related: including employee benefit plan audits and certification procedures relating to compliance with local-government or other regulatory standards for various non-U.S. subsidiaries.</w:t>
      </w:r>
    </w:p>
    <w:p>
      <w:pPr>
        <w:spacing w:after="0" w:line="15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Tax: professional services for tax compliance (preparation and review of income tax returns and other tax-related filings) and tax advice on U.S. and foreign tax matters.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All other: TI Foundation audit and training.</w:t>
      </w:r>
    </w:p>
    <w:p>
      <w:pPr>
        <w:spacing w:after="0" w:line="22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u w:val="single" w:color="auto"/>
          <w:color w:val="auto"/>
        </w:rPr>
        <w:t>Pre-approval policy</w:t>
      </w:r>
      <w:r>
        <w:rPr>
          <w:rFonts w:ascii="Arial" w:cs="Arial" w:eastAsia="Arial" w:hAnsi="Arial"/>
          <w:sz w:val="18"/>
          <w:szCs w:val="18"/>
          <w:color w:val="auto"/>
        </w:rPr>
        <w:t>. The audit committee is required to pre-approve the audit and non-audit services to be performed by the independent registered public accounting firm to assure that the provision of such services does not impair the firm’s independence.</w:t>
      </w:r>
    </w:p>
    <w:p>
      <w:pPr>
        <w:spacing w:after="0" w:line="15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18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or its chair pre-approved all services provided by Ernst &amp; Young during 2024.</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Ernst &amp; Young LLP as the company’s independent registered public accounting firm for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color w:val="auto"/>
        </w:rPr>
        <w:t>Stockholder proposal</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regarding right to call a special meeting</w:t>
      </w:r>
    </w:p>
    <w:p>
      <w:pPr>
        <w:spacing w:after="0" w:line="23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Mr. John Chevedden, 2215 Nelson Avenue #205, Redondo Beach, CA 90278-2453, the beneficial owner of 40 shares of the company’s common stock, has given notice that he or his designee intends to present the following nonbinding, advisory proposal at the annual meeting. The board of directors opposes the stockholder proposal for the reasons set forth below the proposal.</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Proxies solicited by management will be voted against the stockholder proposal below unless stockholders specify a contrary choice in their proxies.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applicable rules of the SEC, we have set forth Mr. Chevedden’s proposal below exactly as submitted to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Support Special Shareholder Meeting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154940</wp:posOffset>
            </wp:positionV>
            <wp:extent cx="1705610" cy="3346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0561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Shareholders ask our board to take the steps necessary to amend the appropriate company governing documents to give the owners of a combined 10% of our outstanding common stock the power to call a special shareholder meeting.</w:t>
      </w:r>
    </w:p>
    <w:p>
      <w:pPr>
        <w:spacing w:after="0" w:line="15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To make up for our complete lack of a right to act by written consent we need the right of 10% of shares to call for a special shareholder meeting. Hundreds of major companies provide shareholders with the right to act by written consent.</w:t>
      </w:r>
    </w:p>
    <w:p>
      <w:pPr>
        <w:spacing w:after="0" w:line="15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Certain companies, that do not provide for a shareholder right to act by written consent, have a more reasonable stock ownership threshold to call for a special shareholder meeting. Southwest Airlines is an example of a company that does not provide for shareholder written consent and yet provides for 10% of shares to call for a special shareholder meeting.</w:t>
      </w:r>
    </w:p>
    <w:p>
      <w:pPr>
        <w:spacing w:after="0" w:line="171"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Calling a special shareholder meeting is hardly ever used by shareholders but the main point of the right to call a special shareholder meeting is that it gives shareholders a Plan B option if management is not interested in good faith shareholder engagement</w:t>
      </w:r>
    </w:p>
    <w:p>
      <w:pPr>
        <w:spacing w:after="0" w:line="15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With the widespread use of online shareholder meetings it is much easier for management to conduct a special shareholder meeting and our bylaws thus need to be updated accordingly.</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Please vote yes: </w:t>
      </w:r>
      <w:r>
        <w:rPr>
          <w:rFonts w:ascii="Arial" w:cs="Arial" w:eastAsia="Arial" w:hAnsi="Arial"/>
          <w:sz w:val="18"/>
          <w:szCs w:val="18"/>
          <w:b w:val="1"/>
          <w:bCs w:val="1"/>
          <w:color w:val="auto"/>
        </w:rPr>
        <w:t>Support Special Shareholder Meeting Improvement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0505"/>
        </w:rPr>
        <w:t>Board of directors’ response</w:t>
      </w:r>
    </w:p>
    <w:p>
      <w:pPr>
        <w:spacing w:after="0" w:line="232" w:lineRule="exact"/>
        <w:rPr>
          <w:sz w:val="20"/>
          <w:szCs w:val="20"/>
          <w:color w:val="auto"/>
        </w:rPr>
      </w:pPr>
    </w:p>
    <w:p>
      <w:pPr>
        <w:spacing w:after="0" w:line="296" w:lineRule="auto"/>
        <w:rPr>
          <w:sz w:val="20"/>
          <w:szCs w:val="20"/>
          <w:color w:val="auto"/>
        </w:rPr>
      </w:pPr>
      <w:r>
        <w:rPr>
          <w:rFonts w:ascii="Arial" w:cs="Arial" w:eastAsia="Arial" w:hAnsi="Arial"/>
          <w:sz w:val="18"/>
          <w:szCs w:val="18"/>
          <w:b w:val="1"/>
          <w:bCs w:val="1"/>
          <w:color w:val="050505"/>
        </w:rPr>
        <w:t xml:space="preserve">The board of directors recommends a vote against this proposal </w:t>
      </w:r>
      <w:r>
        <w:rPr>
          <w:rFonts w:ascii="Arial" w:cs="Arial" w:eastAsia="Arial" w:hAnsi="Arial"/>
          <w:sz w:val="18"/>
          <w:szCs w:val="18"/>
          <w:b w:val="1"/>
          <w:bCs w:val="1"/>
          <w:color w:val="080808"/>
        </w:rPr>
        <w:t>proposal because stockholders already have a meaningful right to</w:t>
      </w:r>
      <w:r>
        <w:rPr>
          <w:rFonts w:ascii="Arial" w:cs="Arial" w:eastAsia="Arial" w:hAnsi="Arial"/>
          <w:sz w:val="18"/>
          <w:szCs w:val="18"/>
          <w:b w:val="1"/>
          <w:bCs w:val="1"/>
          <w:color w:val="050505"/>
        </w:rPr>
        <w:t xml:space="preserve"> </w:t>
      </w:r>
      <w:r>
        <w:rPr>
          <w:rFonts w:ascii="Arial" w:cs="Arial" w:eastAsia="Arial" w:hAnsi="Arial"/>
          <w:sz w:val="18"/>
          <w:szCs w:val="18"/>
          <w:b w:val="1"/>
          <w:bCs w:val="1"/>
          <w:color w:val="080808"/>
        </w:rPr>
        <w:t>call a special meeting.</w:t>
      </w:r>
    </w:p>
    <w:p>
      <w:pPr>
        <w:spacing w:after="0" w:line="13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080808"/>
        </w:rPr>
        <w:t>Earning, building, and maintaining the trust of our stakeholders is critical to the success and sustainability of our business. The board remains committed to strong governance practices and ethical business practices, and understands the importance of stockholders to have the ability to call special stockholder meetings.</w:t>
      </w:r>
    </w:p>
    <w:p>
      <w:pPr>
        <w:spacing w:after="0" w:line="17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080808"/>
        </w:rPr>
        <w:t>The board has carefully considered the stockholder proposal to lower the threshold to 10% and for the reasons below, recommends a vote AGAINST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6" w:name="page57"/>
    <w:bookmarkEnd w:id="56"/>
    <w:p>
      <w:pPr>
        <w:ind w:right="80"/>
        <w:spacing w:after="0" w:line="296" w:lineRule="auto"/>
        <w:rPr>
          <w:sz w:val="20"/>
          <w:szCs w:val="20"/>
          <w:color w:val="auto"/>
        </w:rPr>
      </w:pPr>
      <w:r>
        <w:rPr>
          <w:rFonts w:ascii="Arial" w:cs="Arial" w:eastAsia="Arial" w:hAnsi="Arial"/>
          <w:sz w:val="18"/>
          <w:szCs w:val="18"/>
          <w:b w:val="1"/>
          <w:bCs w:val="1"/>
          <w:color w:val="080808"/>
        </w:rPr>
        <w:t>Stockholders currently have a meaningful right to call a special meeting at an ownership threshold that appropriately balances the interests of all stockholders.</w:t>
      </w:r>
    </w:p>
    <w:p>
      <w:pPr>
        <w:spacing w:after="0" w:line="137"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080808"/>
        </w:rPr>
        <w:t>The company’s by-laws currently permit stockholders who together hold a 25% net long ownership interest to call a special meeting. At present, this threshold can be achieved by as few as four stockholders. The board believes this threshold is appropriate and is aligned with stockholders’ interests. Additionally, the company’s 25% ownership threshold is the most common threshold adopted by S&amp;P 500 companies that provide stockholders with the right to call special meetings – more than half of that group have a 25% or higher ownership threshold.</w:t>
      </w:r>
      <w:r>
        <w:rPr>
          <w:rFonts w:ascii="Arial" w:cs="Arial" w:eastAsia="Arial" w:hAnsi="Arial"/>
          <w:sz w:val="22"/>
          <w:szCs w:val="22"/>
          <w:color w:val="080808"/>
          <w:vertAlign w:val="superscript"/>
        </w:rPr>
        <w:t>1</w:t>
      </w:r>
    </w:p>
    <w:p>
      <w:pPr>
        <w:spacing w:after="0" w:line="9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080808"/>
        </w:rPr>
        <w:t>Through ongoing engagement with stockholders, the company has learned that stockholders have disparate views on the right to call special meetings. Some believe a special meeting right is not necessary or advisable. Others believe that a threshold less than 25%, which would allow meetings to be called by as few as one or two stockholders, could subject the company to disruption from stockholder special interest groups or activists with an agenda not in the best interest of the company or long-term stockholders.</w:t>
      </w:r>
    </w:p>
    <w:p>
      <w:pPr>
        <w:spacing w:after="0" w:line="17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080808"/>
        </w:rPr>
        <w:t>Following outreach to stockholders of approximately two-thirds of the company’s outstanding common stock, and in direct response to stockholder feedback, the board amended the company’s by-laws in January 2022 to permit stockholders with net long ownership of 25% or more of outstanding common stock to call special meetings. Approximately half of the stockholders with whom the company engaged supported the 25% ownership threshold. No other threshold received a comparable level of support.</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company’s 2022 and 2023 annual meetings, stockholders voted on this same proposal and the support for the proposal decreased. In addition, at the company’s 2024 annual meeting, stockholders voted against a proposal requesting to amend the company’s governance documents to give owners of a combined 15% of outstanding common stock the power to call a special shareholder meeting. The board maintains the belief that its special meeting threshold of 25% reflects a balanced approach to enhancing stockholder rights and protecting the interests of all stockholders.</w:t>
      </w:r>
    </w:p>
    <w:p>
      <w:pPr>
        <w:spacing w:after="0" w:line="179" w:lineRule="exact"/>
        <w:rPr>
          <w:sz w:val="20"/>
          <w:szCs w:val="20"/>
          <w:color w:val="auto"/>
        </w:rPr>
      </w:pPr>
    </w:p>
    <w:p>
      <w:pPr>
        <w:ind w:right="380"/>
        <w:spacing w:after="0" w:line="296" w:lineRule="auto"/>
        <w:rPr>
          <w:sz w:val="20"/>
          <w:szCs w:val="20"/>
          <w:color w:val="auto"/>
        </w:rPr>
      </w:pPr>
      <w:r>
        <w:rPr>
          <w:rFonts w:ascii="Arial" w:cs="Arial" w:eastAsia="Arial" w:hAnsi="Arial"/>
          <w:sz w:val="18"/>
          <w:szCs w:val="18"/>
          <w:b w:val="1"/>
          <w:bCs w:val="1"/>
          <w:color w:val="080808"/>
        </w:rPr>
        <w:t>Stockholders have several methods through which they can influence company practices without lowering the special meeting threshold.</w:t>
      </w:r>
    </w:p>
    <w:p>
      <w:pPr>
        <w:spacing w:after="0" w:line="137"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The company regularly solicits stockholder views outside the context of formal stockholder meetings, considers that input, and takes appropriate actions where the long-term interests of all stockholders are best served.</w:t>
      </w:r>
    </w:p>
    <w:p>
      <w:pPr>
        <w:spacing w:after="0" w:line="15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080808"/>
        </w:rPr>
        <w:t>The company has other corporate governance practices in place that protect stockholder rights and provide meaningful avenues for all stockholders, no matter their ownership amount, to effectively voice their opinions, including through the company’s robust stockholder engagement throughout the year. Additionally, the company’s annual stockholder meeting provides an opportunity for stockholders to provide direct feedback by voting on director nominees and other matters that come before the meeting, or to ask questions of management. Stockholders also may bring specific items of business before the company and other stockholders by submitting director nominations or proposals for inclusion in the company’s proxy materials to be voted on at the meeting, or to be voted on at the meeting without being included in company proxy materials.</w:t>
      </w:r>
    </w:p>
    <w:p>
      <w:pPr>
        <w:spacing w:after="0" w:line="183"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The company will continue to foster an open dialogue with stockholders regarding the company’s corporate governance policies and practices.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After careful consideration, the board believes that implementation of this proposal is not in the best interests of the company or stockholders and is unnecessary. The current special meeting right strikes the appropriate balance between protecting the rights of TI stockholders and mitigating the risk of abuse.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80808"/>
        </w:rPr>
        <w:t>For these reasons, the board of directors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714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7" w:lineRule="exact"/>
        <w:rPr>
          <w:sz w:val="20"/>
          <w:szCs w:val="20"/>
          <w:color w:val="auto"/>
        </w:rPr>
      </w:pPr>
    </w:p>
    <w:p>
      <w:pPr>
        <w:ind w:left="120" w:hanging="112"/>
        <w:spacing w:after="0"/>
        <w:tabs>
          <w:tab w:leader="none" w:pos="120" w:val="left"/>
        </w:tabs>
        <w:numPr>
          <w:ilvl w:val="0"/>
          <w:numId w:val="78"/>
        </w:numPr>
        <w:rPr>
          <w:rFonts w:ascii="Arial" w:cs="Arial" w:eastAsia="Arial" w:hAnsi="Arial"/>
          <w:sz w:val="23"/>
          <w:szCs w:val="23"/>
          <w:color w:val="auto"/>
          <w:vertAlign w:val="superscript"/>
        </w:rPr>
      </w:pPr>
      <w:r>
        <w:rPr>
          <w:rFonts w:ascii="Arial" w:cs="Arial" w:eastAsia="Arial" w:hAnsi="Arial"/>
          <w:sz w:val="18"/>
          <w:szCs w:val="18"/>
          <w:color w:val="auto"/>
        </w:rPr>
        <w:t>Based on FactSet’s universal screening data of S&amp;P 500 companies as of February 13, 2025</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color w:val="auto"/>
        </w:rPr>
        <w:t>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securities</w:t>
      </w:r>
    </w:p>
    <w:p>
      <w:pPr>
        <w:spacing w:after="0" w:line="23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As stated in the notice of annual meeting, holders of record of the common stock at the close of business on February 20, 2025, may vote at the meeting or any adjournment of the meeting. As of February 20, 2025, 909,917,820 shares of TI common stock were outstanding. This is the only class of capital stock entitled to vote at the meeting. Each holder of common stock has one vote for each share held.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Security ownership of certain beneficial owners</w:t>
      </w:r>
    </w:p>
    <w:p>
      <w:pPr>
        <w:spacing w:after="0" w:line="2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shows the only persons who have reported beneficial ownership of more than 5% of the common stock of the company by virtue of filing a Schedule 13G with the SEC. Persons generally “beneficially own” shares if they have the right to either vote those shares or dispose of them. More than one person may be considered to beneficially own the same shares.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4960" w:type="dxa"/>
            <w:vAlign w:val="bottom"/>
          </w:tcPr>
          <w:p>
            <w:pPr>
              <w:jc w:val="center"/>
              <w:ind w:left="2519"/>
              <w:spacing w:after="0"/>
              <w:rPr>
                <w:sz w:val="20"/>
                <w:szCs w:val="20"/>
                <w:color w:val="auto"/>
              </w:rPr>
            </w:pPr>
            <w:r>
              <w:rPr>
                <w:rFonts w:ascii="Arial" w:cs="Arial" w:eastAsia="Arial" w:hAnsi="Arial"/>
                <w:sz w:val="14"/>
                <w:szCs w:val="14"/>
                <w:b w:val="1"/>
                <w:bCs w:val="1"/>
                <w:color w:val="auto"/>
              </w:rPr>
              <w:t>Shares Beneficially</w:t>
            </w:r>
          </w:p>
        </w:tc>
        <w:tc>
          <w:tcPr>
            <w:tcW w:w="1400" w:type="dxa"/>
            <w:vAlign w:val="bottom"/>
          </w:tcPr>
          <w:p>
            <w:pPr>
              <w:ind w:left="520"/>
              <w:spacing w:after="0"/>
              <w:rPr>
                <w:sz w:val="20"/>
                <w:szCs w:val="20"/>
                <w:color w:val="auto"/>
              </w:rPr>
            </w:pPr>
            <w:r>
              <w:rPr>
                <w:rFonts w:ascii="Arial" w:cs="Arial" w:eastAsia="Arial" w:hAnsi="Arial"/>
                <w:sz w:val="14"/>
                <w:szCs w:val="14"/>
                <w:b w:val="1"/>
                <w:bCs w:val="1"/>
                <w:color w:val="auto"/>
              </w:rPr>
              <w:t>Percent</w:t>
            </w:r>
          </w:p>
        </w:tc>
      </w:tr>
      <w:tr>
        <w:trPr>
          <w:trHeight w:val="205"/>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Address</w:t>
            </w:r>
          </w:p>
        </w:tc>
        <w:tc>
          <w:tcPr>
            <w:tcW w:w="4960" w:type="dxa"/>
            <w:vAlign w:val="bottom"/>
            <w:tcBorders>
              <w:bottom w:val="single" w:sz="8" w:color="auto"/>
            </w:tcBorders>
          </w:tcPr>
          <w:p>
            <w:pPr>
              <w:jc w:val="center"/>
              <w:ind w:left="2519"/>
              <w:spacing w:after="0"/>
              <w:rPr>
                <w:sz w:val="20"/>
                <w:szCs w:val="20"/>
                <w:color w:val="auto"/>
              </w:rPr>
            </w:pPr>
            <w:r>
              <w:rPr>
                <w:rFonts w:ascii="Arial" w:cs="Arial" w:eastAsia="Arial" w:hAnsi="Arial"/>
                <w:sz w:val="14"/>
                <w:szCs w:val="14"/>
                <w:b w:val="1"/>
                <w:bCs w:val="1"/>
                <w:color w:val="auto"/>
              </w:rPr>
              <w:t>Owned</w:t>
            </w: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of Class</w:t>
            </w:r>
          </w:p>
        </w:tc>
      </w:tr>
      <w:tr>
        <w:trPr>
          <w:trHeight w:val="224"/>
        </w:trPr>
        <w:tc>
          <w:tcPr>
            <w:tcW w:w="4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The Vanguard Group</w:t>
            </w:r>
          </w:p>
        </w:tc>
        <w:tc>
          <w:tcPr>
            <w:tcW w:w="496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r>
      <w:tr>
        <w:trPr>
          <w:trHeight w:val="216"/>
        </w:trPr>
        <w:tc>
          <w:tcPr>
            <w:tcW w:w="4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100 Vanguard Blvd.</w:t>
            </w:r>
          </w:p>
        </w:tc>
        <w:tc>
          <w:tcPr>
            <w:tcW w:w="4960" w:type="dxa"/>
            <w:vAlign w:val="bottom"/>
            <w:shd w:val="clear" w:color="auto" w:fill="DBDBDB"/>
          </w:tcPr>
          <w:p>
            <w:pPr>
              <w:jc w:val="center"/>
              <w:ind w:left="2539"/>
              <w:spacing w:after="0"/>
              <w:rPr>
                <w:sz w:val="20"/>
                <w:szCs w:val="20"/>
                <w:color w:val="auto"/>
              </w:rPr>
            </w:pPr>
            <w:r>
              <w:rPr>
                <w:rFonts w:ascii="Arial" w:cs="Arial" w:eastAsia="Arial" w:hAnsi="Arial"/>
                <w:sz w:val="18"/>
                <w:szCs w:val="18"/>
                <w:color w:val="auto"/>
              </w:rPr>
              <w:t>91,377,364 (1)</w:t>
            </w:r>
          </w:p>
        </w:tc>
        <w:tc>
          <w:tcPr>
            <w:tcW w:w="1400" w:type="dxa"/>
            <w:vAlign w:val="bottom"/>
            <w:shd w:val="clear" w:color="auto" w:fill="DBDBDB"/>
          </w:tcPr>
          <w:p>
            <w:pPr>
              <w:jc w:val="right"/>
              <w:ind w:right="79"/>
              <w:spacing w:after="0"/>
              <w:rPr>
                <w:sz w:val="20"/>
                <w:szCs w:val="20"/>
                <w:color w:val="auto"/>
              </w:rPr>
            </w:pPr>
            <w:r>
              <w:rPr>
                <w:rFonts w:ascii="Arial" w:cs="Arial" w:eastAsia="Arial" w:hAnsi="Arial"/>
                <w:sz w:val="18"/>
                <w:szCs w:val="18"/>
                <w:color w:val="auto"/>
              </w:rPr>
              <w:t>10.04%</w:t>
            </w:r>
          </w:p>
        </w:tc>
      </w:tr>
      <w:tr>
        <w:trPr>
          <w:trHeight w:val="242"/>
        </w:trPr>
        <w:tc>
          <w:tcPr>
            <w:tcW w:w="4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Malvern, PA 19355</w:t>
            </w:r>
          </w:p>
        </w:tc>
        <w:tc>
          <w:tcPr>
            <w:tcW w:w="496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shd w:val="clear" w:color="auto" w:fill="DBDBDB"/>
          </w:tcPr>
          <w:p>
            <w:pPr>
              <w:spacing w:after="0"/>
              <w:rPr>
                <w:sz w:val="21"/>
                <w:szCs w:val="21"/>
                <w:color w:val="auto"/>
              </w:rPr>
            </w:pPr>
          </w:p>
        </w:tc>
      </w:tr>
      <w:tr>
        <w:trPr>
          <w:trHeight w:val="224"/>
        </w:trPr>
        <w:tc>
          <w:tcPr>
            <w:tcW w:w="484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49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color w:val="auto"/>
              </w:rPr>
              <w:t>50 Hudson Yards</w:t>
            </w:r>
          </w:p>
        </w:tc>
        <w:tc>
          <w:tcPr>
            <w:tcW w:w="4960" w:type="dxa"/>
            <w:vAlign w:val="bottom"/>
          </w:tcPr>
          <w:p>
            <w:pPr>
              <w:jc w:val="center"/>
              <w:ind w:left="2539"/>
              <w:spacing w:after="0"/>
              <w:rPr>
                <w:sz w:val="20"/>
                <w:szCs w:val="20"/>
                <w:color w:val="auto"/>
              </w:rPr>
            </w:pPr>
            <w:r>
              <w:rPr>
                <w:rFonts w:ascii="Arial" w:cs="Arial" w:eastAsia="Arial" w:hAnsi="Arial"/>
                <w:sz w:val="18"/>
                <w:szCs w:val="18"/>
                <w:color w:val="auto"/>
              </w:rPr>
              <w:t>76,795,073 (2)</w:t>
            </w:r>
          </w:p>
        </w:tc>
        <w:tc>
          <w:tcPr>
            <w:tcW w:w="1400" w:type="dxa"/>
            <w:vAlign w:val="bottom"/>
          </w:tcPr>
          <w:p>
            <w:pPr>
              <w:jc w:val="right"/>
              <w:ind w:right="79"/>
              <w:spacing w:after="0"/>
              <w:rPr>
                <w:sz w:val="20"/>
                <w:szCs w:val="20"/>
                <w:color w:val="auto"/>
              </w:rPr>
            </w:pPr>
            <w:r>
              <w:rPr>
                <w:rFonts w:ascii="Arial" w:cs="Arial" w:eastAsia="Arial" w:hAnsi="Arial"/>
                <w:sz w:val="18"/>
                <w:szCs w:val="18"/>
                <w:color w:val="auto"/>
              </w:rPr>
              <w:t>8.5%</w:t>
            </w:r>
          </w:p>
        </w:tc>
      </w:tr>
      <w:tr>
        <w:trPr>
          <w:trHeight w:val="239"/>
        </w:trPr>
        <w:tc>
          <w:tcPr>
            <w:tcW w:w="4840" w:type="dxa"/>
            <w:vAlign w:val="bottom"/>
          </w:tcPr>
          <w:p>
            <w:pPr>
              <w:ind w:left="20"/>
              <w:spacing w:after="0"/>
              <w:rPr>
                <w:sz w:val="20"/>
                <w:szCs w:val="20"/>
                <w:color w:val="auto"/>
              </w:rPr>
            </w:pPr>
            <w:r>
              <w:rPr>
                <w:rFonts w:ascii="Arial" w:cs="Arial" w:eastAsia="Arial" w:hAnsi="Arial"/>
                <w:sz w:val="18"/>
                <w:szCs w:val="18"/>
                <w:color w:val="auto"/>
              </w:rPr>
              <w:t>New York, NY 10001</w:t>
            </w:r>
          </w:p>
        </w:tc>
        <w:tc>
          <w:tcPr>
            <w:tcW w:w="496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07" w:lineRule="exact"/>
        <w:rPr>
          <w:sz w:val="20"/>
          <w:szCs w:val="20"/>
          <w:color w:val="auto"/>
        </w:rPr>
      </w:pPr>
    </w:p>
    <w:p>
      <w:pPr>
        <w:ind w:left="500" w:right="80" w:hanging="492"/>
        <w:spacing w:after="0" w:line="268" w:lineRule="auto"/>
        <w:tabs>
          <w:tab w:leader="none" w:pos="4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a Schedule 13G/A filed with the SEC by The Vanguard Group on June 10, 2024, reporting beneficial ownership as of May 31, 2024. According to its Schedule 13G/A filing, The Vanguard Group has shared voting power for 1,154,175 shares, sole dispositive power for 87,244,448 shares and shared dispositive power for 4,132,916 shares.</w:t>
      </w:r>
    </w:p>
    <w:p>
      <w:pPr>
        <w:spacing w:after="0" w:line="62" w:lineRule="exact"/>
        <w:rPr>
          <w:rFonts w:ascii="Arial" w:cs="Arial" w:eastAsia="Arial" w:hAnsi="Arial"/>
          <w:sz w:val="18"/>
          <w:szCs w:val="18"/>
          <w:color w:val="auto"/>
        </w:rPr>
      </w:pPr>
    </w:p>
    <w:p>
      <w:pPr>
        <w:ind w:left="500" w:right="360" w:hanging="492"/>
        <w:spacing w:after="0" w:line="268" w:lineRule="auto"/>
        <w:tabs>
          <w:tab w:leader="none" w:pos="4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a Schedule 13G/A filed with the SEC by BlackRock, Inc. on January 25, 2024, reporting beneficial ownership as of December 31, 2023. According to its Schedule 13G/A filing, BlackRock, Inc. has sole voting power for 69,978,094 shares and sole dispositive power for 76,795,073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2025 PROXY STATEMENT •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5" w:right="37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color w:val="auto"/>
        </w:rPr>
        <w:t>Security ownership of directors and management</w:t>
      </w:r>
    </w:p>
    <w:p>
      <w:pPr>
        <w:spacing w:after="0" w:line="23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table shows the beneficial ownership of TI common stock by directors, the named executive officers and all executive officers and directors as a group as of December 31, 2024. Each director and named executive officer has sole voting and investment power with respect to the shares owned, except as to the interests of spouses or as otherwise indicated. No director or executive officer has pledged shares of TI common stock.</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3800" w:type="dxa"/>
            <w:vAlign w:val="bottom"/>
          </w:tcPr>
          <w:p>
            <w:pPr>
              <w:jc w:val="right"/>
              <w:ind w:right="352"/>
              <w:spacing w:after="0"/>
              <w:rPr>
                <w:sz w:val="20"/>
                <w:szCs w:val="20"/>
                <w:color w:val="auto"/>
              </w:rPr>
            </w:pPr>
            <w:r>
              <w:rPr>
                <w:rFonts w:ascii="Arial" w:cs="Arial" w:eastAsia="Arial" w:hAnsi="Arial"/>
                <w:sz w:val="14"/>
                <w:szCs w:val="14"/>
                <w:b w:val="1"/>
                <w:bCs w:val="1"/>
                <w:color w:val="auto"/>
              </w:rPr>
              <w:t>Shares Beneficially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r>
      <w:tr>
        <w:trPr>
          <w:trHeight w:val="21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80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Owned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 Class</w:t>
            </w:r>
          </w:p>
        </w:tc>
      </w:tr>
      <w:tr>
        <w:trPr>
          <w:trHeight w:val="270"/>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Directors (1)</w:t>
            </w:r>
          </w:p>
        </w:tc>
        <w:tc>
          <w:tcPr>
            <w:tcW w:w="3800" w:type="dxa"/>
            <w:vAlign w:val="bottom"/>
            <w:shd w:val="clear" w:color="auto" w:fill="DBDBDB"/>
          </w:tcPr>
          <w:p>
            <w:pPr>
              <w:spacing w:after="0"/>
              <w:rPr>
                <w:sz w:val="23"/>
                <w:szCs w:val="23"/>
                <w:color w:val="auto"/>
              </w:rPr>
            </w:pPr>
          </w:p>
        </w:tc>
        <w:tc>
          <w:tcPr>
            <w:tcW w:w="1440" w:type="dxa"/>
            <w:vAlign w:val="bottom"/>
            <w:shd w:val="clear" w:color="auto" w:fill="DBDBDB"/>
          </w:tcPr>
          <w:p>
            <w:pPr>
              <w:spacing w:after="0"/>
              <w:rPr>
                <w:sz w:val="23"/>
                <w:szCs w:val="23"/>
                <w:color w:val="auto"/>
              </w:rPr>
            </w:pP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Mark Blinn (2)</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40,362</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Todd Bluedorn</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23,438</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Janet Clark</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40,424</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Carrie Cox</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56,946</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Martin Craighead</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35,300</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Reginald DesRoches</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1,169</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Curtis Farmer</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2,291</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Jean Hobby</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7,125</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Haviv Ilan</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588,038</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Ronald Kirk</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52,086</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Pamela Patsley</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109,079</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Robert Sanchez</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54,236</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Richard Templeton (3)</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3,007,004</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6"/>
        </w:trPr>
        <w:tc>
          <w:tcPr>
            <w:tcW w:w="5980" w:type="dxa"/>
            <w:vAlign w:val="bottom"/>
            <w:shd w:val="clear" w:color="auto" w:fill="DBDBDB"/>
          </w:tcPr>
          <w:p>
            <w:pPr>
              <w:spacing w:after="0"/>
              <w:rPr>
                <w:sz w:val="22"/>
                <w:szCs w:val="22"/>
                <w:color w:val="auto"/>
              </w:rPr>
            </w:pPr>
          </w:p>
        </w:tc>
        <w:tc>
          <w:tcPr>
            <w:tcW w:w="3800" w:type="dxa"/>
            <w:vAlign w:val="bottom"/>
            <w:shd w:val="clear" w:color="auto" w:fill="DBDBDB"/>
          </w:tcPr>
          <w:p>
            <w:pPr>
              <w:spacing w:after="0"/>
              <w:rPr>
                <w:sz w:val="22"/>
                <w:szCs w:val="22"/>
                <w:color w:val="auto"/>
              </w:rPr>
            </w:pPr>
          </w:p>
        </w:tc>
        <w:tc>
          <w:tcPr>
            <w:tcW w:w="1440" w:type="dxa"/>
            <w:vAlign w:val="bottom"/>
            <w:shd w:val="clear" w:color="auto" w:fill="DBDBDB"/>
          </w:tcPr>
          <w:p>
            <w:pPr>
              <w:spacing w:after="0"/>
              <w:rPr>
                <w:sz w:val="22"/>
                <w:szCs w:val="22"/>
                <w:color w:val="auto"/>
              </w:rPr>
            </w:pPr>
          </w:p>
        </w:tc>
      </w:tr>
      <w:tr>
        <w:trPr>
          <w:trHeight w:val="26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Management (4)</w:t>
            </w:r>
          </w:p>
        </w:tc>
        <w:tc>
          <w:tcPr>
            <w:tcW w:w="38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8"/>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Lizardi</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239,845</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Hagop Kozanian</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183,012</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183,998</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All executive officers and directors as a group (5)</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5,207,585</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bl>
    <w:p>
      <w:pPr>
        <w:spacing w:after="0" w:line="247" w:lineRule="exact"/>
        <w:rPr>
          <w:sz w:val="20"/>
          <w:szCs w:val="20"/>
          <w:color w:val="auto"/>
        </w:rPr>
      </w:pPr>
    </w:p>
    <w:p>
      <w:pPr>
        <w:ind w:left="280" w:hanging="272"/>
        <w:spacing w:after="0"/>
        <w:tabs>
          <w:tab w:leader="none" w:pos="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71" w:lineRule="exact"/>
        <w:rPr>
          <w:sz w:val="20"/>
          <w:szCs w:val="20"/>
          <w:color w:val="auto"/>
        </w:rPr>
      </w:pPr>
    </w:p>
    <w:p>
      <w:pPr>
        <w:ind w:left="420" w:hanging="412"/>
        <w:spacing w:after="0"/>
        <w:tabs>
          <w:tab w:leader="none" w:pos="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73"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0" w:type="dxa"/>
            <w:vAlign w:val="bottom"/>
          </w:tcPr>
          <w:p>
            <w:pPr>
              <w:jc w:val="center"/>
              <w:ind w:left="61"/>
              <w:spacing w:after="0"/>
              <w:rPr>
                <w:sz w:val="20"/>
                <w:szCs w:val="20"/>
                <w:color w:val="auto"/>
              </w:rPr>
            </w:pPr>
            <w:r>
              <w:rPr>
                <w:rFonts w:ascii="Arial" w:cs="Arial" w:eastAsia="Arial" w:hAnsi="Arial"/>
                <w:sz w:val="14"/>
                <w:szCs w:val="14"/>
                <w:b w:val="1"/>
                <w:bCs w:val="1"/>
                <w:color w:val="auto"/>
              </w:rPr>
              <w:t>Shares Credited</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34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Shares Obtainable</w:t>
            </w:r>
          </w:p>
        </w:tc>
        <w:tc>
          <w:tcPr>
            <w:tcW w:w="15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RSUs</w:t>
            </w:r>
          </w:p>
        </w:tc>
        <w:tc>
          <w:tcPr>
            <w:tcW w:w="1600" w:type="dxa"/>
            <w:vAlign w:val="bottom"/>
          </w:tcPr>
          <w:p>
            <w:pPr>
              <w:jc w:val="center"/>
              <w:ind w:left="61"/>
              <w:spacing w:after="0"/>
              <w:rPr>
                <w:sz w:val="20"/>
                <w:szCs w:val="20"/>
                <w:color w:val="auto"/>
              </w:rPr>
            </w:pPr>
            <w:r>
              <w:rPr>
                <w:rFonts w:ascii="Arial" w:cs="Arial" w:eastAsia="Arial" w:hAnsi="Arial"/>
                <w:sz w:val="14"/>
                <w:szCs w:val="14"/>
                <w:b w:val="1"/>
                <w:bCs w:val="1"/>
                <w:color w:val="auto"/>
              </w:rPr>
              <w:t>to Deferred</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348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600" w:type="dxa"/>
            <w:vAlign w:val="bottom"/>
          </w:tcPr>
          <w:p>
            <w:pPr>
              <w:jc w:val="center"/>
              <w:ind w:left="81"/>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11"/>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Directors</w:t>
            </w:r>
          </w:p>
        </w:tc>
        <w:tc>
          <w:tcPr>
            <w:tcW w:w="34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within 60 Days</w:t>
            </w:r>
          </w:p>
        </w:tc>
        <w:tc>
          <w:tcPr>
            <w:tcW w:w="15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(Shares) (a)</w:t>
            </w:r>
          </w:p>
        </w:tc>
        <w:tc>
          <w:tcPr>
            <w:tcW w:w="1600" w:type="dxa"/>
            <w:vAlign w:val="bottom"/>
            <w:tcBorders>
              <w:bottom w:val="single" w:sz="8" w:color="auto"/>
            </w:tcBorders>
          </w:tcPr>
          <w:p>
            <w:pPr>
              <w:jc w:val="center"/>
              <w:ind w:left="81"/>
              <w:spacing w:after="0"/>
              <w:rPr>
                <w:sz w:val="20"/>
                <w:szCs w:val="20"/>
                <w:color w:val="auto"/>
              </w:rPr>
            </w:pPr>
            <w:r>
              <w:rPr>
                <w:rFonts w:ascii="Arial" w:cs="Arial" w:eastAsia="Arial" w:hAnsi="Arial"/>
                <w:sz w:val="14"/>
                <w:szCs w:val="14"/>
                <w:b w:val="1"/>
                <w:bCs w:val="1"/>
                <w:color w:val="auto"/>
              </w:rPr>
              <w:t>Accounts (b)</w:t>
            </w:r>
          </w:p>
        </w:tc>
        <w:tc>
          <w:tcPr>
            <w:tcW w:w="0" w:type="dxa"/>
            <w:vAlign w:val="bottom"/>
          </w:tcPr>
          <w:p>
            <w:pPr>
              <w:spacing w:after="0"/>
              <w:rPr>
                <w:sz w:val="1"/>
                <w:szCs w:val="1"/>
                <w:color w:val="auto"/>
              </w:rPr>
            </w:pPr>
          </w:p>
        </w:tc>
      </w:tr>
      <w:tr>
        <w:trPr>
          <w:trHeight w:val="245"/>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Blinn</w:t>
            </w:r>
          </w:p>
        </w:tc>
        <w:tc>
          <w:tcPr>
            <w:tcW w:w="348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3,637</w:t>
            </w:r>
          </w:p>
        </w:tc>
        <w:tc>
          <w:tcPr>
            <w:tcW w:w="1580" w:type="dxa"/>
            <w:vAlign w:val="bottom"/>
            <w:tcBorders>
              <w:bottom w:val="single" w:sz="8" w:color="DBDBDB"/>
            </w:tcBorders>
            <w:shd w:val="clear" w:color="auto" w:fill="DBDBDB"/>
          </w:tcPr>
          <w:p>
            <w:pPr>
              <w:jc w:val="right"/>
              <w:ind w:right="212"/>
              <w:spacing w:after="0"/>
              <w:rPr>
                <w:sz w:val="20"/>
                <w:szCs w:val="20"/>
                <w:color w:val="auto"/>
              </w:rPr>
            </w:pPr>
            <w:r>
              <w:rPr>
                <w:rFonts w:ascii="Arial" w:cs="Arial" w:eastAsia="Arial" w:hAnsi="Arial"/>
                <w:sz w:val="18"/>
                <w:szCs w:val="18"/>
                <w:color w:val="auto"/>
              </w:rPr>
              <w:t>11,693</w:t>
            </w:r>
          </w:p>
        </w:tc>
        <w:tc>
          <w:tcPr>
            <w:tcW w:w="1600" w:type="dxa"/>
            <w:vAlign w:val="bottom"/>
            <w:tcBorders>
              <w:bottom w:val="single" w:sz="8" w:color="DBDBDB"/>
            </w:tcBorders>
            <w:shd w:val="clear" w:color="auto" w:fill="DBDBDB"/>
          </w:tcPr>
          <w:p>
            <w:pPr>
              <w:jc w:val="right"/>
              <w:ind w:right="201"/>
              <w:spacing w:after="0"/>
              <w:rPr>
                <w:sz w:val="20"/>
                <w:szCs w:val="20"/>
                <w:color w:val="auto"/>
              </w:rPr>
            </w:pPr>
            <w:r>
              <w:rPr>
                <w:rFonts w:ascii="Arial" w:cs="Arial" w:eastAsia="Arial" w:hAnsi="Arial"/>
                <w:sz w:val="18"/>
                <w:szCs w:val="18"/>
                <w:color w:val="auto"/>
              </w:rPr>
              <w:t>10,586</w:t>
            </w:r>
          </w:p>
        </w:tc>
        <w:tc>
          <w:tcPr>
            <w:tcW w:w="0" w:type="dxa"/>
            <w:vAlign w:val="bottom"/>
          </w:tcPr>
          <w:p>
            <w:pPr>
              <w:spacing w:after="0"/>
              <w:rPr>
                <w:sz w:val="1"/>
                <w:szCs w:val="1"/>
                <w:color w:val="auto"/>
              </w:rPr>
            </w:pPr>
          </w:p>
        </w:tc>
      </w:tr>
      <w:tr>
        <w:trPr>
          <w:trHeight w:val="247"/>
        </w:trPr>
        <w:tc>
          <w:tcPr>
            <w:tcW w:w="3500" w:type="dxa"/>
            <w:vAlign w:val="bottom"/>
          </w:tcPr>
          <w:p>
            <w:pPr>
              <w:ind w:left="20"/>
              <w:spacing w:after="0"/>
              <w:rPr>
                <w:sz w:val="20"/>
                <w:szCs w:val="20"/>
                <w:color w:val="auto"/>
              </w:rPr>
            </w:pPr>
            <w:r>
              <w:rPr>
                <w:rFonts w:ascii="Arial" w:cs="Arial" w:eastAsia="Arial" w:hAnsi="Arial"/>
                <w:sz w:val="18"/>
                <w:szCs w:val="18"/>
                <w:color w:val="auto"/>
              </w:rPr>
              <w:t>Todd Bluedorn</w:t>
            </w:r>
          </w:p>
        </w:tc>
        <w:tc>
          <w:tcPr>
            <w:tcW w:w="3480" w:type="dxa"/>
            <w:vAlign w:val="bottom"/>
          </w:tcPr>
          <w:p>
            <w:pPr>
              <w:jc w:val="right"/>
              <w:ind w:right="452"/>
              <w:spacing w:after="0"/>
              <w:rPr>
                <w:sz w:val="20"/>
                <w:szCs w:val="20"/>
                <w:color w:val="auto"/>
              </w:rPr>
            </w:pPr>
            <w:r>
              <w:rPr>
                <w:rFonts w:ascii="Arial" w:cs="Arial" w:eastAsia="Arial" w:hAnsi="Arial"/>
                <w:sz w:val="18"/>
                <w:szCs w:val="18"/>
                <w:color w:val="auto"/>
              </w:rPr>
              <w:t>16,386</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2,422</w:t>
            </w:r>
          </w:p>
        </w:tc>
        <w:tc>
          <w:tcPr>
            <w:tcW w:w="1600" w:type="dxa"/>
            <w:vAlign w:val="bottom"/>
          </w:tcPr>
          <w:p>
            <w:pPr>
              <w:jc w:val="right"/>
              <w:ind w:right="24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Clark</w:t>
            </w:r>
          </w:p>
        </w:tc>
        <w:tc>
          <w:tcPr>
            <w:tcW w:w="348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22,451</w:t>
            </w:r>
          </w:p>
        </w:tc>
        <w:tc>
          <w:tcPr>
            <w:tcW w:w="1580" w:type="dxa"/>
            <w:vAlign w:val="bottom"/>
            <w:tcBorders>
              <w:bottom w:val="single" w:sz="8" w:color="DBDBDB"/>
            </w:tcBorders>
            <w:shd w:val="clear" w:color="auto" w:fill="DBDBDB"/>
          </w:tcPr>
          <w:p>
            <w:pPr>
              <w:jc w:val="right"/>
              <w:ind w:right="212"/>
              <w:spacing w:after="0"/>
              <w:rPr>
                <w:sz w:val="20"/>
                <w:szCs w:val="20"/>
                <w:color w:val="auto"/>
              </w:rPr>
            </w:pPr>
            <w:r>
              <w:rPr>
                <w:rFonts w:ascii="Arial" w:cs="Arial" w:eastAsia="Arial" w:hAnsi="Arial"/>
                <w:sz w:val="18"/>
                <w:szCs w:val="18"/>
                <w:color w:val="auto"/>
              </w:rPr>
              <w:t>10,202</w:t>
            </w:r>
          </w:p>
        </w:tc>
        <w:tc>
          <w:tcPr>
            <w:tcW w:w="1600" w:type="dxa"/>
            <w:vAlign w:val="bottom"/>
            <w:tcBorders>
              <w:bottom w:val="single" w:sz="8" w:color="DBDBDB"/>
            </w:tcBorders>
            <w:shd w:val="clear" w:color="auto" w:fill="DBDBDB"/>
          </w:tcPr>
          <w:p>
            <w:pPr>
              <w:jc w:val="right"/>
              <w:ind w:right="201"/>
              <w:spacing w:after="0"/>
              <w:rPr>
                <w:sz w:val="20"/>
                <w:szCs w:val="20"/>
                <w:color w:val="auto"/>
              </w:rPr>
            </w:pPr>
            <w:r>
              <w:rPr>
                <w:rFonts w:ascii="Arial" w:cs="Arial" w:eastAsia="Arial" w:hAnsi="Arial"/>
                <w:sz w:val="18"/>
                <w:szCs w:val="18"/>
                <w:color w:val="auto"/>
              </w:rPr>
              <w:t>7,771</w:t>
            </w:r>
          </w:p>
        </w:tc>
        <w:tc>
          <w:tcPr>
            <w:tcW w:w="0" w:type="dxa"/>
            <w:vAlign w:val="bottom"/>
          </w:tcPr>
          <w:p>
            <w:pPr>
              <w:spacing w:after="0"/>
              <w:rPr>
                <w:sz w:val="1"/>
                <w:szCs w:val="1"/>
                <w:color w:val="auto"/>
              </w:rPr>
            </w:pPr>
          </w:p>
        </w:tc>
      </w:tr>
      <w:tr>
        <w:trPr>
          <w:trHeight w:val="247"/>
        </w:trPr>
        <w:tc>
          <w:tcPr>
            <w:tcW w:w="3500" w:type="dxa"/>
            <w:vAlign w:val="bottom"/>
          </w:tcPr>
          <w:p>
            <w:pPr>
              <w:ind w:left="20"/>
              <w:spacing w:after="0"/>
              <w:rPr>
                <w:sz w:val="20"/>
                <w:szCs w:val="20"/>
                <w:color w:val="auto"/>
              </w:rPr>
            </w:pPr>
            <w:r>
              <w:rPr>
                <w:rFonts w:ascii="Arial" w:cs="Arial" w:eastAsia="Arial" w:hAnsi="Arial"/>
                <w:sz w:val="18"/>
                <w:szCs w:val="18"/>
                <w:color w:val="auto"/>
              </w:rPr>
              <w:t>Carrie Cox</w:t>
            </w:r>
          </w:p>
        </w:tc>
        <w:tc>
          <w:tcPr>
            <w:tcW w:w="3480" w:type="dxa"/>
            <w:vAlign w:val="bottom"/>
          </w:tcPr>
          <w:p>
            <w:pPr>
              <w:jc w:val="right"/>
              <w:ind w:right="452"/>
              <w:spacing w:after="0"/>
              <w:rPr>
                <w:sz w:val="20"/>
                <w:szCs w:val="20"/>
                <w:color w:val="auto"/>
              </w:rPr>
            </w:pPr>
            <w:r>
              <w:rPr>
                <w:rFonts w:ascii="Arial" w:cs="Arial" w:eastAsia="Arial" w:hAnsi="Arial"/>
                <w:sz w:val="18"/>
                <w:szCs w:val="18"/>
                <w:color w:val="auto"/>
              </w:rPr>
              <w:t>16,386</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33,348</w:t>
            </w:r>
          </w:p>
        </w:tc>
        <w:tc>
          <w:tcPr>
            <w:tcW w:w="1600" w:type="dxa"/>
            <w:vAlign w:val="bottom"/>
          </w:tcPr>
          <w:p>
            <w:pPr>
              <w:jc w:val="right"/>
              <w:ind w:right="201"/>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Craighead</w:t>
            </w:r>
          </w:p>
        </w:tc>
        <w:tc>
          <w:tcPr>
            <w:tcW w:w="348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12,080</w:t>
            </w:r>
          </w:p>
        </w:tc>
        <w:tc>
          <w:tcPr>
            <w:tcW w:w="1580" w:type="dxa"/>
            <w:vAlign w:val="bottom"/>
            <w:tcBorders>
              <w:bottom w:val="single" w:sz="8" w:color="DBDBDB"/>
            </w:tcBorders>
            <w:shd w:val="clear" w:color="auto" w:fill="DBDBDB"/>
          </w:tcPr>
          <w:p>
            <w:pPr>
              <w:jc w:val="right"/>
              <w:ind w:right="212"/>
              <w:spacing w:after="0"/>
              <w:rPr>
                <w:sz w:val="20"/>
                <w:szCs w:val="20"/>
                <w:color w:val="auto"/>
              </w:rPr>
            </w:pPr>
            <w:r>
              <w:rPr>
                <w:rFonts w:ascii="Arial" w:cs="Arial" w:eastAsia="Arial" w:hAnsi="Arial"/>
                <w:sz w:val="18"/>
                <w:szCs w:val="18"/>
                <w:color w:val="auto"/>
              </w:rPr>
              <w:t>2,422</w:t>
            </w:r>
          </w:p>
        </w:tc>
        <w:tc>
          <w:tcPr>
            <w:tcW w:w="1600" w:type="dxa"/>
            <w:vAlign w:val="bottom"/>
            <w:tcBorders>
              <w:bottom w:val="single" w:sz="8" w:color="DBDBDB"/>
            </w:tcBorders>
            <w:shd w:val="clear" w:color="auto" w:fill="DBDBDB"/>
          </w:tcPr>
          <w:p>
            <w:pPr>
              <w:jc w:val="right"/>
              <w:ind w:right="24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8"/>
        </w:trPr>
        <w:tc>
          <w:tcPr>
            <w:tcW w:w="3500" w:type="dxa"/>
            <w:vAlign w:val="bottom"/>
          </w:tcPr>
          <w:p>
            <w:pPr>
              <w:ind w:left="20"/>
              <w:spacing w:after="0"/>
              <w:rPr>
                <w:sz w:val="20"/>
                <w:szCs w:val="20"/>
                <w:color w:val="auto"/>
              </w:rPr>
            </w:pPr>
            <w:r>
              <w:rPr>
                <w:rFonts w:ascii="Arial" w:cs="Arial" w:eastAsia="Arial" w:hAnsi="Arial"/>
                <w:sz w:val="18"/>
                <w:szCs w:val="18"/>
                <w:color w:val="auto"/>
              </w:rPr>
              <w:t>Reginald DesRoches</w:t>
            </w:r>
          </w:p>
        </w:tc>
        <w:tc>
          <w:tcPr>
            <w:tcW w:w="348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1,169</w:t>
            </w:r>
          </w:p>
        </w:tc>
        <w:tc>
          <w:tcPr>
            <w:tcW w:w="1600" w:type="dxa"/>
            <w:vAlign w:val="bottom"/>
          </w:tcPr>
          <w:p>
            <w:pPr>
              <w:jc w:val="right"/>
              <w:ind w:right="24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5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Curtis Farmer</w:t>
            </w:r>
          </w:p>
        </w:tc>
        <w:tc>
          <w:tcPr>
            <w:tcW w:w="348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DBDBDB"/>
            </w:tcBorders>
            <w:shd w:val="clear" w:color="auto" w:fill="DBDBDB"/>
          </w:tcPr>
          <w:p>
            <w:pPr>
              <w:jc w:val="right"/>
              <w:ind w:right="212"/>
              <w:spacing w:after="0"/>
              <w:rPr>
                <w:sz w:val="20"/>
                <w:szCs w:val="20"/>
                <w:color w:val="auto"/>
              </w:rPr>
            </w:pPr>
            <w:r>
              <w:rPr>
                <w:rFonts w:ascii="Arial" w:cs="Arial" w:eastAsia="Arial" w:hAnsi="Arial"/>
                <w:sz w:val="18"/>
                <w:szCs w:val="18"/>
                <w:color w:val="auto"/>
              </w:rPr>
              <w:t>1,772</w:t>
            </w:r>
          </w:p>
        </w:tc>
        <w:tc>
          <w:tcPr>
            <w:tcW w:w="1600" w:type="dxa"/>
            <w:vAlign w:val="bottom"/>
            <w:tcBorders>
              <w:bottom w:val="single" w:sz="8" w:color="DBDBDB"/>
            </w:tcBorders>
            <w:shd w:val="clear" w:color="auto" w:fill="DBDBDB"/>
          </w:tcPr>
          <w:p>
            <w:pPr>
              <w:jc w:val="right"/>
              <w:ind w:right="201"/>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47"/>
        </w:trPr>
        <w:tc>
          <w:tcPr>
            <w:tcW w:w="3500" w:type="dxa"/>
            <w:vAlign w:val="bottom"/>
          </w:tcPr>
          <w:p>
            <w:pPr>
              <w:ind w:left="20"/>
              <w:spacing w:after="0"/>
              <w:rPr>
                <w:sz w:val="20"/>
                <w:szCs w:val="20"/>
                <w:color w:val="auto"/>
              </w:rPr>
            </w:pPr>
            <w:r>
              <w:rPr>
                <w:rFonts w:ascii="Arial" w:cs="Arial" w:eastAsia="Arial" w:hAnsi="Arial"/>
                <w:sz w:val="18"/>
                <w:szCs w:val="18"/>
                <w:color w:val="auto"/>
              </w:rPr>
              <w:t>Jean Hobby</w:t>
            </w:r>
          </w:p>
        </w:tc>
        <w:tc>
          <w:tcPr>
            <w:tcW w:w="3480" w:type="dxa"/>
            <w:vAlign w:val="bottom"/>
          </w:tcPr>
          <w:p>
            <w:pPr>
              <w:jc w:val="right"/>
              <w:ind w:right="452"/>
              <w:spacing w:after="0"/>
              <w:rPr>
                <w:sz w:val="20"/>
                <w:szCs w:val="20"/>
                <w:color w:val="auto"/>
              </w:rPr>
            </w:pPr>
            <w:r>
              <w:rPr>
                <w:rFonts w:ascii="Arial" w:cs="Arial" w:eastAsia="Arial" w:hAnsi="Arial"/>
                <w:sz w:val="18"/>
                <w:szCs w:val="18"/>
                <w:color w:val="auto"/>
              </w:rPr>
              <w:t>3,637</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2,422</w:t>
            </w:r>
          </w:p>
        </w:tc>
        <w:tc>
          <w:tcPr>
            <w:tcW w:w="1600" w:type="dxa"/>
            <w:vAlign w:val="bottom"/>
          </w:tcPr>
          <w:p>
            <w:pPr>
              <w:jc w:val="right"/>
              <w:ind w:right="24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348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429,362</w:t>
            </w:r>
          </w:p>
        </w:tc>
        <w:tc>
          <w:tcPr>
            <w:tcW w:w="1580" w:type="dxa"/>
            <w:vAlign w:val="bottom"/>
            <w:tcBorders>
              <w:bottom w:val="single" w:sz="8" w:color="DBDBDB"/>
            </w:tcBorders>
            <w:shd w:val="clear" w:color="auto" w:fill="DBDBDB"/>
          </w:tcPr>
          <w:p>
            <w:pPr>
              <w:jc w:val="right"/>
              <w:ind w:right="212"/>
              <w:spacing w:after="0"/>
              <w:rPr>
                <w:sz w:val="20"/>
                <w:szCs w:val="20"/>
                <w:color w:val="auto"/>
              </w:rPr>
            </w:pPr>
            <w:r>
              <w:rPr>
                <w:rFonts w:ascii="Arial" w:cs="Arial" w:eastAsia="Arial" w:hAnsi="Arial"/>
                <w:sz w:val="18"/>
                <w:szCs w:val="18"/>
                <w:color w:val="auto"/>
              </w:rPr>
              <w:t>125,686</w:t>
            </w:r>
          </w:p>
        </w:tc>
        <w:tc>
          <w:tcPr>
            <w:tcW w:w="1600" w:type="dxa"/>
            <w:vAlign w:val="bottom"/>
            <w:tcBorders>
              <w:bottom w:val="single" w:sz="8" w:color="DBDBDB"/>
            </w:tcBorders>
            <w:shd w:val="clear" w:color="auto" w:fill="DBDBDB"/>
          </w:tcPr>
          <w:p>
            <w:pPr>
              <w:jc w:val="right"/>
              <w:ind w:right="24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7"/>
        </w:trPr>
        <w:tc>
          <w:tcPr>
            <w:tcW w:w="3500" w:type="dxa"/>
            <w:vAlign w:val="bottom"/>
          </w:tcPr>
          <w:p>
            <w:pPr>
              <w:ind w:left="20"/>
              <w:spacing w:after="0"/>
              <w:rPr>
                <w:sz w:val="20"/>
                <w:szCs w:val="20"/>
                <w:color w:val="auto"/>
              </w:rPr>
            </w:pPr>
            <w:r>
              <w:rPr>
                <w:rFonts w:ascii="Arial" w:cs="Arial" w:eastAsia="Arial" w:hAnsi="Arial"/>
                <w:sz w:val="18"/>
                <w:szCs w:val="18"/>
                <w:color w:val="auto"/>
              </w:rPr>
              <w:t>Ronald Kirk</w:t>
            </w:r>
          </w:p>
        </w:tc>
        <w:tc>
          <w:tcPr>
            <w:tcW w:w="3480" w:type="dxa"/>
            <w:vAlign w:val="bottom"/>
          </w:tcPr>
          <w:p>
            <w:pPr>
              <w:jc w:val="right"/>
              <w:ind w:right="452"/>
              <w:spacing w:after="0"/>
              <w:rPr>
                <w:sz w:val="20"/>
                <w:szCs w:val="20"/>
                <w:color w:val="auto"/>
              </w:rPr>
            </w:pPr>
            <w:r>
              <w:rPr>
                <w:rFonts w:ascii="Arial" w:cs="Arial" w:eastAsia="Arial" w:hAnsi="Arial"/>
                <w:sz w:val="18"/>
                <w:szCs w:val="18"/>
                <w:color w:val="auto"/>
              </w:rPr>
              <w:t>32,441</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2,422</w:t>
            </w:r>
          </w:p>
        </w:tc>
        <w:tc>
          <w:tcPr>
            <w:tcW w:w="1600" w:type="dxa"/>
            <w:vAlign w:val="bottom"/>
          </w:tcPr>
          <w:p>
            <w:pPr>
              <w:jc w:val="right"/>
              <w:ind w:right="201"/>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Pamela Patsley</w:t>
            </w:r>
          </w:p>
        </w:tc>
        <w:tc>
          <w:tcPr>
            <w:tcW w:w="348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16,386</w:t>
            </w:r>
          </w:p>
        </w:tc>
        <w:tc>
          <w:tcPr>
            <w:tcW w:w="1580" w:type="dxa"/>
            <w:vAlign w:val="bottom"/>
            <w:tcBorders>
              <w:bottom w:val="single" w:sz="8" w:color="DBDBDB"/>
            </w:tcBorders>
            <w:shd w:val="clear" w:color="auto" w:fill="DBDBDB"/>
          </w:tcPr>
          <w:p>
            <w:pPr>
              <w:jc w:val="right"/>
              <w:ind w:right="212"/>
              <w:spacing w:after="0"/>
              <w:rPr>
                <w:sz w:val="20"/>
                <w:szCs w:val="20"/>
                <w:color w:val="auto"/>
              </w:rPr>
            </w:pPr>
            <w:r>
              <w:rPr>
                <w:rFonts w:ascii="Arial" w:cs="Arial" w:eastAsia="Arial" w:hAnsi="Arial"/>
                <w:sz w:val="18"/>
                <w:szCs w:val="18"/>
                <w:color w:val="auto"/>
              </w:rPr>
              <w:t>4,422</w:t>
            </w:r>
          </w:p>
        </w:tc>
        <w:tc>
          <w:tcPr>
            <w:tcW w:w="1600" w:type="dxa"/>
            <w:vAlign w:val="bottom"/>
            <w:tcBorders>
              <w:bottom w:val="single" w:sz="8" w:color="DBDBDB"/>
            </w:tcBorders>
            <w:shd w:val="clear" w:color="auto" w:fill="DBDBDB"/>
          </w:tcPr>
          <w:p>
            <w:pPr>
              <w:jc w:val="right"/>
              <w:ind w:right="201"/>
              <w:spacing w:after="0"/>
              <w:rPr>
                <w:sz w:val="20"/>
                <w:szCs w:val="20"/>
                <w:color w:val="auto"/>
              </w:rPr>
            </w:pPr>
            <w:r>
              <w:rPr>
                <w:rFonts w:ascii="Arial" w:cs="Arial" w:eastAsia="Arial" w:hAnsi="Arial"/>
                <w:sz w:val="18"/>
                <w:szCs w:val="18"/>
                <w:color w:val="auto"/>
              </w:rPr>
              <w:t>59,345</w:t>
            </w:r>
          </w:p>
        </w:tc>
        <w:tc>
          <w:tcPr>
            <w:tcW w:w="0" w:type="dxa"/>
            <w:vAlign w:val="bottom"/>
          </w:tcPr>
          <w:p>
            <w:pPr>
              <w:spacing w:after="0"/>
              <w:rPr>
                <w:sz w:val="1"/>
                <w:szCs w:val="1"/>
                <w:color w:val="auto"/>
              </w:rPr>
            </w:pPr>
          </w:p>
        </w:tc>
      </w:tr>
      <w:tr>
        <w:trPr>
          <w:trHeight w:val="247"/>
        </w:trPr>
        <w:tc>
          <w:tcPr>
            <w:tcW w:w="3500" w:type="dxa"/>
            <w:vAlign w:val="bottom"/>
          </w:tcPr>
          <w:p>
            <w:pPr>
              <w:ind w:left="20"/>
              <w:spacing w:after="0"/>
              <w:rPr>
                <w:sz w:val="20"/>
                <w:szCs w:val="20"/>
                <w:color w:val="auto"/>
              </w:rPr>
            </w:pPr>
            <w:r>
              <w:rPr>
                <w:rFonts w:ascii="Arial" w:cs="Arial" w:eastAsia="Arial" w:hAnsi="Arial"/>
                <w:sz w:val="18"/>
                <w:szCs w:val="18"/>
                <w:color w:val="auto"/>
              </w:rPr>
              <w:t>Robert Sanchez</w:t>
            </w:r>
          </w:p>
        </w:tc>
        <w:tc>
          <w:tcPr>
            <w:tcW w:w="3480" w:type="dxa"/>
            <w:vAlign w:val="bottom"/>
          </w:tcPr>
          <w:p>
            <w:pPr>
              <w:jc w:val="right"/>
              <w:ind w:right="452"/>
              <w:spacing w:after="0"/>
              <w:rPr>
                <w:sz w:val="20"/>
                <w:szCs w:val="20"/>
                <w:color w:val="auto"/>
              </w:rPr>
            </w:pPr>
            <w:r>
              <w:rPr>
                <w:rFonts w:ascii="Arial" w:cs="Arial" w:eastAsia="Arial" w:hAnsi="Arial"/>
                <w:sz w:val="18"/>
                <w:szCs w:val="18"/>
                <w:color w:val="auto"/>
              </w:rPr>
              <w:t>22,451</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9,289</w:t>
            </w:r>
          </w:p>
        </w:tc>
        <w:tc>
          <w:tcPr>
            <w:tcW w:w="1600" w:type="dxa"/>
            <w:vAlign w:val="bottom"/>
          </w:tcPr>
          <w:p>
            <w:pPr>
              <w:jc w:val="right"/>
              <w:ind w:right="201"/>
              <w:spacing w:after="0"/>
              <w:rPr>
                <w:sz w:val="20"/>
                <w:szCs w:val="20"/>
                <w:color w:val="auto"/>
              </w:rPr>
            </w:pPr>
            <w:r>
              <w:rPr>
                <w:rFonts w:ascii="Arial" w:cs="Arial" w:eastAsia="Arial" w:hAnsi="Arial"/>
                <w:sz w:val="18"/>
                <w:szCs w:val="18"/>
                <w:color w:val="auto"/>
              </w:rPr>
              <w:t>11,324</w:t>
            </w: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Richard Templeton</w:t>
            </w:r>
          </w:p>
        </w:tc>
        <w:tc>
          <w:tcPr>
            <w:tcW w:w="3480" w:type="dxa"/>
            <w:vAlign w:val="bottom"/>
            <w:shd w:val="clear" w:color="auto" w:fill="DBDBDB"/>
          </w:tcPr>
          <w:p>
            <w:pPr>
              <w:jc w:val="right"/>
              <w:ind w:right="452"/>
              <w:spacing w:after="0"/>
              <w:rPr>
                <w:sz w:val="20"/>
                <w:szCs w:val="20"/>
                <w:color w:val="auto"/>
              </w:rPr>
            </w:pPr>
            <w:r>
              <w:rPr>
                <w:rFonts w:ascii="Arial" w:cs="Arial" w:eastAsia="Arial" w:hAnsi="Arial"/>
                <w:sz w:val="18"/>
                <w:szCs w:val="18"/>
                <w:color w:val="auto"/>
              </w:rPr>
              <w:t>1,891,643</w:t>
            </w:r>
          </w:p>
        </w:tc>
        <w:tc>
          <w:tcPr>
            <w:tcW w:w="1580" w:type="dxa"/>
            <w:vAlign w:val="bottom"/>
            <w:shd w:val="clear" w:color="auto" w:fill="DBDBDB"/>
          </w:tcPr>
          <w:p>
            <w:pPr>
              <w:jc w:val="right"/>
              <w:ind w:right="212"/>
              <w:spacing w:after="0"/>
              <w:rPr>
                <w:sz w:val="20"/>
                <w:szCs w:val="20"/>
                <w:color w:val="auto"/>
              </w:rPr>
            </w:pPr>
            <w:r>
              <w:rPr>
                <w:rFonts w:ascii="Arial" w:cs="Arial" w:eastAsia="Arial" w:hAnsi="Arial"/>
                <w:sz w:val="18"/>
                <w:szCs w:val="18"/>
                <w:color w:val="auto"/>
              </w:rPr>
              <w:t>273,972</w:t>
            </w:r>
          </w:p>
        </w:tc>
        <w:tc>
          <w:tcPr>
            <w:tcW w:w="1600" w:type="dxa"/>
            <w:vAlign w:val="bottom"/>
            <w:shd w:val="clear" w:color="auto" w:fill="DBDBDB"/>
          </w:tcPr>
          <w:p>
            <w:pPr>
              <w:jc w:val="right"/>
              <w:ind w:right="24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500" w:type="dxa"/>
            <w:vAlign w:val="bottom"/>
            <w:shd w:val="clear" w:color="auto" w:fill="DBDBDB"/>
          </w:tcPr>
          <w:p>
            <w:pPr>
              <w:spacing w:after="0"/>
              <w:rPr>
                <w:sz w:val="2"/>
                <w:szCs w:val="2"/>
                <w:color w:val="auto"/>
              </w:rPr>
            </w:pPr>
          </w:p>
        </w:tc>
        <w:tc>
          <w:tcPr>
            <w:tcW w:w="3480" w:type="dxa"/>
            <w:vAlign w:val="bottom"/>
            <w:shd w:val="clear" w:color="auto" w:fill="DBDBDB"/>
          </w:tcPr>
          <w:p>
            <w:pPr>
              <w:spacing w:after="0"/>
              <w:rPr>
                <w:sz w:val="2"/>
                <w:szCs w:val="2"/>
                <w:color w:val="auto"/>
              </w:rPr>
            </w:pPr>
          </w:p>
        </w:tc>
        <w:tc>
          <w:tcPr>
            <w:tcW w:w="158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98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type w:val="continuous"/>
        </w:sectPr>
      </w:pPr>
    </w:p>
    <w:bookmarkStart w:id="59" w:name="page60"/>
    <w:bookmarkEnd w:id="59"/>
    <w:p>
      <w:pPr>
        <w:ind w:left="980" w:hanging="486"/>
        <w:spacing w:after="0" w:line="268" w:lineRule="auto"/>
        <w:tabs>
          <w:tab w:leader="none" w:pos="97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non-employee directors’ RSUs granted before 2007 are settled in TI common stock generally upon the director’s termination of service, provided he or she has served at least eight years or has reached the company’s retirement age for directors. RSUs granted after 2006 are settled in TI common stock generally upon the fourth anniversary of the grant date.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shares in deferred compensation accounts are issued following the director’s termination of service.</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13,846 shares held in a trust for which Mr. Blinn shares voting and investment power.</w:t>
      </w:r>
    </w:p>
    <w:p>
      <w:pPr>
        <w:spacing w:after="0" w:line="117" w:lineRule="exact"/>
        <w:rPr>
          <w:rFonts w:ascii="Arial" w:cs="Arial" w:eastAsia="Arial" w:hAnsi="Arial"/>
          <w:sz w:val="18"/>
          <w:szCs w:val="18"/>
          <w:color w:val="auto"/>
        </w:rPr>
      </w:pPr>
    </w:p>
    <w:p>
      <w:pPr>
        <w:ind w:left="500" w:right="80" w:hanging="492"/>
        <w:spacing w:after="0" w:line="268" w:lineRule="auto"/>
        <w:tabs>
          <w:tab w:leader="none" w:pos="434"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12,989 shares credited to Mr. Templeton’s 401(k) and profit sharing accounts. Also includes 48,840 shares held in trusts and 649,681 shares held by the Richard and Mary Templeton Foundation, a charitable foundation, for each of which Mr. Templeton shares voting and investment power. Mr. Templeton has no pecuniary interest in the Foundation’s shares.</w:t>
      </w:r>
    </w:p>
    <w:p>
      <w:pPr>
        <w:spacing w:after="0" w:line="116" w:lineRule="exact"/>
        <w:rPr>
          <w:rFonts w:ascii="Arial" w:cs="Arial" w:eastAsia="Arial" w:hAnsi="Arial"/>
          <w:sz w:val="18"/>
          <w:szCs w:val="18"/>
          <w:color w:val="auto"/>
        </w:rPr>
      </w:pPr>
    </w:p>
    <w:p>
      <w:pPr>
        <w:ind w:left="420" w:hanging="412"/>
        <w:spacing w:after="0"/>
        <w:tabs>
          <w:tab w:leader="none" w:pos="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73" w:lineRule="exact"/>
        <w:rPr>
          <w:sz w:val="20"/>
          <w:szCs w:val="20"/>
          <w:color w:val="auto"/>
        </w:rPr>
      </w:pPr>
    </w:p>
    <w:tbl>
      <w:tblPr>
        <w:tblLayout w:type="fixed"/>
        <w:tblInd w:w="50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356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 Obtainable</w:t>
            </w:r>
          </w:p>
        </w:tc>
        <w:tc>
          <w:tcPr>
            <w:tcW w:w="1920" w:type="dxa"/>
            <w:vAlign w:val="bottom"/>
          </w:tcPr>
          <w:p>
            <w:pPr>
              <w:jc w:val="center"/>
              <w:ind w:right="57"/>
              <w:spacing w:after="0"/>
              <w:rPr>
                <w:sz w:val="20"/>
                <w:szCs w:val="20"/>
                <w:color w:val="auto"/>
              </w:rPr>
            </w:pPr>
            <w:r>
              <w:rPr>
                <w:rFonts w:ascii="Arial" w:cs="Arial" w:eastAsia="Arial" w:hAnsi="Arial"/>
                <w:sz w:val="14"/>
                <w:szCs w:val="14"/>
                <w:b w:val="1"/>
                <w:bCs w:val="1"/>
                <w:color w:val="auto"/>
              </w:rPr>
              <w:t>Shares Credited</w:t>
            </w:r>
          </w:p>
        </w:tc>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RSUs</w:t>
            </w:r>
          </w:p>
        </w:tc>
      </w:tr>
      <w:tr>
        <w:trPr>
          <w:trHeight w:val="20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Executive Officer</w:t>
            </w:r>
          </w:p>
        </w:tc>
        <w:tc>
          <w:tcPr>
            <w:tcW w:w="35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within 60 Days</w:t>
            </w:r>
          </w:p>
        </w:tc>
        <w:tc>
          <w:tcPr>
            <w:tcW w:w="1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to 401(k) Account</w:t>
            </w:r>
          </w:p>
        </w:tc>
        <w:tc>
          <w:tcPr>
            <w:tcW w:w="13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(Shares)</w:t>
            </w:r>
          </w:p>
        </w:tc>
      </w:tr>
      <w:tr>
        <w:trPr>
          <w:trHeight w:val="250"/>
        </w:trPr>
        <w:tc>
          <w:tcPr>
            <w:tcW w:w="3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Lizardi</w:t>
            </w:r>
          </w:p>
        </w:tc>
        <w:tc>
          <w:tcPr>
            <w:tcW w:w="3560" w:type="dxa"/>
            <w:vAlign w:val="bottom"/>
            <w:tcBorders>
              <w:bottom w:val="single" w:sz="8" w:color="DBDBDB"/>
            </w:tcBorders>
            <w:shd w:val="clear" w:color="auto" w:fill="DBDBDB"/>
          </w:tcPr>
          <w:p>
            <w:pPr>
              <w:jc w:val="right"/>
              <w:ind w:right="297"/>
              <w:spacing w:after="0"/>
              <w:rPr>
                <w:sz w:val="20"/>
                <w:szCs w:val="20"/>
                <w:color w:val="auto"/>
              </w:rPr>
            </w:pPr>
            <w:r>
              <w:rPr>
                <w:rFonts w:ascii="Arial" w:cs="Arial" w:eastAsia="Arial" w:hAnsi="Arial"/>
                <w:sz w:val="18"/>
                <w:szCs w:val="18"/>
                <w:color w:val="auto"/>
              </w:rPr>
              <w:t>131,790</w:t>
            </w:r>
          </w:p>
        </w:tc>
        <w:tc>
          <w:tcPr>
            <w:tcW w:w="1920" w:type="dxa"/>
            <w:vAlign w:val="bottom"/>
            <w:tcBorders>
              <w:bottom w:val="single" w:sz="8" w:color="DBDBDB"/>
            </w:tcBorders>
            <w:shd w:val="clear" w:color="auto" w:fill="DBDBDB"/>
          </w:tcPr>
          <w:p>
            <w:pPr>
              <w:ind w:left="1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8"/>
                <w:szCs w:val="18"/>
                <w:color w:val="auto"/>
              </w:rPr>
              <w:t>48,742</w:t>
            </w:r>
          </w:p>
        </w:tc>
      </w:tr>
      <w:tr>
        <w:trPr>
          <w:trHeight w:val="247"/>
        </w:trPr>
        <w:tc>
          <w:tcPr>
            <w:tcW w:w="3340" w:type="dxa"/>
            <w:vAlign w:val="bottom"/>
          </w:tcPr>
          <w:p>
            <w:pPr>
              <w:ind w:left="20"/>
              <w:spacing w:after="0"/>
              <w:rPr>
                <w:sz w:val="20"/>
                <w:szCs w:val="20"/>
                <w:color w:val="auto"/>
              </w:rPr>
            </w:pPr>
            <w:r>
              <w:rPr>
                <w:rFonts w:ascii="Arial" w:cs="Arial" w:eastAsia="Arial" w:hAnsi="Arial"/>
                <w:sz w:val="18"/>
                <w:szCs w:val="18"/>
                <w:color w:val="auto"/>
              </w:rPr>
              <w:t>Hagop Kozanian</w:t>
            </w:r>
          </w:p>
        </w:tc>
        <w:tc>
          <w:tcPr>
            <w:tcW w:w="3560" w:type="dxa"/>
            <w:vAlign w:val="bottom"/>
          </w:tcPr>
          <w:p>
            <w:pPr>
              <w:jc w:val="right"/>
              <w:ind w:right="297"/>
              <w:spacing w:after="0"/>
              <w:rPr>
                <w:sz w:val="20"/>
                <w:szCs w:val="20"/>
                <w:color w:val="auto"/>
              </w:rPr>
            </w:pPr>
            <w:r>
              <w:rPr>
                <w:rFonts w:ascii="Arial" w:cs="Arial" w:eastAsia="Arial" w:hAnsi="Arial"/>
                <w:sz w:val="18"/>
                <w:szCs w:val="18"/>
                <w:color w:val="auto"/>
              </w:rPr>
              <w:t>117,078</w:t>
            </w:r>
          </w:p>
        </w:tc>
        <w:tc>
          <w:tcPr>
            <w:tcW w:w="1920" w:type="dxa"/>
            <w:vAlign w:val="bottom"/>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ind w:left="480"/>
              <w:spacing w:after="0"/>
              <w:rPr>
                <w:sz w:val="20"/>
                <w:szCs w:val="20"/>
                <w:color w:val="auto"/>
              </w:rPr>
            </w:pPr>
            <w:r>
              <w:rPr>
                <w:rFonts w:ascii="Arial" w:cs="Arial" w:eastAsia="Arial" w:hAnsi="Arial"/>
                <w:sz w:val="18"/>
                <w:szCs w:val="18"/>
                <w:color w:val="auto"/>
              </w:rPr>
              <w:t>53,693</w:t>
            </w:r>
          </w:p>
        </w:tc>
      </w:tr>
      <w:tr>
        <w:trPr>
          <w:trHeight w:val="23"/>
        </w:trPr>
        <w:tc>
          <w:tcPr>
            <w:tcW w:w="33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7"/>
        </w:trPr>
        <w:tc>
          <w:tcPr>
            <w:tcW w:w="3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3560" w:type="dxa"/>
            <w:vAlign w:val="bottom"/>
            <w:shd w:val="clear" w:color="auto" w:fill="DBDBDB"/>
          </w:tcPr>
          <w:p>
            <w:pPr>
              <w:jc w:val="right"/>
              <w:ind w:right="297"/>
              <w:spacing w:after="0"/>
              <w:rPr>
                <w:sz w:val="20"/>
                <w:szCs w:val="20"/>
                <w:color w:val="auto"/>
              </w:rPr>
            </w:pPr>
            <w:r>
              <w:rPr>
                <w:rFonts w:ascii="Arial" w:cs="Arial" w:eastAsia="Arial" w:hAnsi="Arial"/>
                <w:sz w:val="18"/>
                <w:szCs w:val="18"/>
                <w:color w:val="auto"/>
              </w:rPr>
              <w:t>120,727</w:t>
            </w:r>
          </w:p>
        </w:tc>
        <w:tc>
          <w:tcPr>
            <w:tcW w:w="192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BDBDB"/>
          </w:tcPr>
          <w:p>
            <w:pPr>
              <w:ind w:left="480"/>
              <w:spacing w:after="0"/>
              <w:rPr>
                <w:sz w:val="20"/>
                <w:szCs w:val="20"/>
                <w:color w:val="auto"/>
              </w:rPr>
            </w:pPr>
            <w:r>
              <w:rPr>
                <w:rFonts w:ascii="Arial" w:cs="Arial" w:eastAsia="Arial" w:hAnsi="Arial"/>
                <w:sz w:val="18"/>
                <w:szCs w:val="18"/>
                <w:color w:val="auto"/>
              </w:rPr>
              <w:t>49,323</w:t>
            </w:r>
          </w:p>
        </w:tc>
      </w:tr>
      <w:tr>
        <w:trPr>
          <w:trHeight w:val="23"/>
        </w:trPr>
        <w:tc>
          <w:tcPr>
            <w:tcW w:w="3340" w:type="dxa"/>
            <w:vAlign w:val="bottom"/>
            <w:shd w:val="clear" w:color="auto" w:fill="DBDBDB"/>
          </w:tcPr>
          <w:p>
            <w:pPr>
              <w:spacing w:after="0"/>
              <w:rPr>
                <w:sz w:val="2"/>
                <w:szCs w:val="2"/>
                <w:color w:val="auto"/>
              </w:rPr>
            </w:pPr>
          </w:p>
        </w:tc>
        <w:tc>
          <w:tcPr>
            <w:tcW w:w="3560" w:type="dxa"/>
            <w:vAlign w:val="bottom"/>
            <w:shd w:val="clear" w:color="auto" w:fill="DBDBDB"/>
          </w:tcPr>
          <w:p>
            <w:pPr>
              <w:spacing w:after="0"/>
              <w:rPr>
                <w:sz w:val="2"/>
                <w:szCs w:val="2"/>
                <w:color w:val="auto"/>
              </w:rPr>
            </w:pPr>
          </w:p>
        </w:tc>
        <w:tc>
          <w:tcPr>
            <w:tcW w:w="1920" w:type="dxa"/>
            <w:vAlign w:val="bottom"/>
            <w:shd w:val="clear" w:color="auto" w:fill="DBDBDB"/>
          </w:tcPr>
          <w:p>
            <w:pPr>
              <w:spacing w:after="0"/>
              <w:rPr>
                <w:sz w:val="2"/>
                <w:szCs w:val="2"/>
                <w:color w:val="auto"/>
              </w:rPr>
            </w:pPr>
          </w:p>
        </w:tc>
        <w:tc>
          <w:tcPr>
            <w:tcW w:w="1340" w:type="dxa"/>
            <w:vAlign w:val="bottom"/>
            <w:shd w:val="clear" w:color="auto" w:fill="DBDBDB"/>
          </w:tcPr>
          <w:p>
            <w:pPr>
              <w:spacing w:after="0"/>
              <w:rPr>
                <w:sz w:val="2"/>
                <w:szCs w:val="2"/>
                <w:color w:val="auto"/>
              </w:rPr>
            </w:pPr>
          </w:p>
        </w:tc>
      </w:tr>
    </w:tbl>
    <w:p>
      <w:pPr>
        <w:spacing w:after="0" w:line="238" w:lineRule="exact"/>
        <w:rPr>
          <w:sz w:val="20"/>
          <w:szCs w:val="20"/>
          <w:color w:val="auto"/>
        </w:rPr>
      </w:pPr>
    </w:p>
    <w:p>
      <w:pPr>
        <w:ind w:left="420" w:hanging="412"/>
        <w:spacing w:after="0"/>
        <w:tabs>
          <w:tab w:leader="none" w:pos="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3,210,967 shares obtainable within 60 days;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12,989 shares credited to 401(k) accounts;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815,061 shares subject to RSU awards; for the terms of these RSUs, see page 42; and</w:t>
      </w:r>
    </w:p>
    <w:p>
      <w:pPr>
        <w:spacing w:after="0" w:line="117" w:lineRule="exact"/>
        <w:rPr>
          <w:rFonts w:ascii="Arial" w:cs="Arial" w:eastAsia="Arial" w:hAnsi="Arial"/>
          <w:sz w:val="18"/>
          <w:szCs w:val="18"/>
          <w:color w:val="auto"/>
        </w:rPr>
      </w:pPr>
    </w:p>
    <w:p>
      <w:pPr>
        <w:ind w:left="980" w:right="260" w:hanging="486"/>
        <w:spacing w:after="0" w:line="287" w:lineRule="auto"/>
        <w:tabs>
          <w:tab w:leader="none" w:pos="970" w:val="left"/>
        </w:tabs>
        <w:numPr>
          <w:ilvl w:val="1"/>
          <w:numId w:val="84"/>
        </w:numPr>
        <w:rPr>
          <w:rFonts w:ascii="Arial" w:cs="Arial" w:eastAsia="Arial" w:hAnsi="Arial"/>
          <w:sz w:val="18"/>
          <w:szCs w:val="18"/>
          <w:color w:val="auto"/>
        </w:rPr>
      </w:pPr>
      <w:r>
        <w:rPr>
          <w:rFonts w:ascii="Arial" w:cs="Arial" w:eastAsia="Arial" w:hAnsi="Arial"/>
          <w:sz w:val="18"/>
          <w:szCs w:val="18"/>
          <w:color w:val="auto"/>
        </w:rPr>
        <w:t>98,940 shares credited to certain non-employee directors’ deferred compensation accounts; shares in deferred compensation accounts are issued following a director’s termination of service.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person transactions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Because we believe that company transactions with directors and executive officers of TI or with persons related to TI directors</w:t>
      </w:r>
    </w:p>
    <w:p>
      <w:pPr>
        <w:spacing w:after="0" w:line="2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or ratifications specified below in connection with any related person transaction. The policy applies to transactions in which:</w:t>
      </w:r>
    </w:p>
    <w:p>
      <w:pPr>
        <w:spacing w:after="0" w:line="178" w:lineRule="exact"/>
        <w:rPr>
          <w:sz w:val="20"/>
          <w:szCs w:val="20"/>
          <w:color w:val="auto"/>
        </w:rPr>
      </w:pPr>
    </w:p>
    <w:p>
      <w:pPr>
        <w:ind w:left="840" w:hanging="346"/>
        <w:spacing w:after="0"/>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TI or any TI subsidiary is or will be a participant;</w:t>
      </w:r>
    </w:p>
    <w:p>
      <w:pPr>
        <w:spacing w:after="0" w:line="63" w:lineRule="exact"/>
        <w:rPr>
          <w:rFonts w:ascii="Arial" w:cs="Arial" w:eastAsia="Arial" w:hAnsi="Arial"/>
          <w:sz w:val="18"/>
          <w:szCs w:val="18"/>
          <w:color w:val="auto"/>
        </w:rPr>
      </w:pPr>
    </w:p>
    <w:p>
      <w:pPr>
        <w:ind w:left="840" w:hanging="346"/>
        <w:spacing w:after="0"/>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 involved exceeds or is expected to exceed $120,000 in a fiscal year; and</w:t>
      </w:r>
    </w:p>
    <w:p>
      <w:pPr>
        <w:spacing w:after="0" w:line="63" w:lineRule="exact"/>
        <w:rPr>
          <w:rFonts w:ascii="Arial" w:cs="Arial" w:eastAsia="Arial" w:hAnsi="Arial"/>
          <w:sz w:val="18"/>
          <w:szCs w:val="18"/>
          <w:color w:val="auto"/>
        </w:rPr>
      </w:pPr>
    </w:p>
    <w:p>
      <w:pPr>
        <w:ind w:left="840" w:hanging="346"/>
        <w:spacing w:after="0"/>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of the following (a “related person”) has or will have a direct or indirect interest:</w:t>
      </w:r>
    </w:p>
    <w:p>
      <w:pPr>
        <w:spacing w:after="0" w:line="63" w:lineRule="exact"/>
        <w:rPr>
          <w:rFonts w:ascii="Arial" w:cs="Arial" w:eastAsia="Arial" w:hAnsi="Arial"/>
          <w:sz w:val="18"/>
          <w:szCs w:val="18"/>
          <w:color w:val="auto"/>
        </w:rPr>
      </w:pPr>
    </w:p>
    <w:p>
      <w:pPr>
        <w:ind w:left="1460" w:hanging="480"/>
        <w:spacing w:after="0"/>
        <w:tabs>
          <w:tab w:leader="none" w:pos="14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TI director or executive officer or an Immediate Family Member of a director or executive officer;</w:t>
      </w:r>
    </w:p>
    <w:p>
      <w:pPr>
        <w:spacing w:after="0" w:line="63" w:lineRule="exact"/>
        <w:rPr>
          <w:rFonts w:ascii="Arial" w:cs="Arial" w:eastAsia="Arial" w:hAnsi="Arial"/>
          <w:sz w:val="18"/>
          <w:szCs w:val="18"/>
          <w:color w:val="auto"/>
        </w:rPr>
      </w:pPr>
    </w:p>
    <w:p>
      <w:pPr>
        <w:ind w:left="1460" w:right="80" w:hanging="480"/>
        <w:spacing w:after="0" w:line="262" w:lineRule="auto"/>
        <w:tabs>
          <w:tab w:leader="none" w:pos="145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stockholder owning more than 5% of the common stock of TI or an Immediate Family Member of such stockholder, or, if the 5% stockholder is not a natural person, any person or entity designated in the Form 13G or 13D filed under the SEC rules and regulations by the 5% stockholder as having an ownership interest in TI stock (individually or collectively, a “5% holder”); or</w:t>
      </w:r>
    </w:p>
    <w:p>
      <w:pPr>
        <w:spacing w:after="0" w:line="14" w:lineRule="exact"/>
        <w:rPr>
          <w:rFonts w:ascii="Arial" w:cs="Arial" w:eastAsia="Arial" w:hAnsi="Arial"/>
          <w:sz w:val="18"/>
          <w:szCs w:val="18"/>
          <w:color w:val="auto"/>
        </w:rPr>
      </w:pPr>
    </w:p>
    <w:p>
      <w:pPr>
        <w:ind w:left="1460" w:right="240" w:hanging="480"/>
        <w:spacing w:after="0" w:line="287" w:lineRule="auto"/>
        <w:tabs>
          <w:tab w:leader="none" w:pos="1454"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 entity in which someone listed in (a) above has a 5% or greater ownership interest, by which someone listed in (a) is employed, or of which someone listed in (a) is a director, principal or partner.</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holder.</w:t>
      </w:r>
    </w:p>
    <w:p>
      <w:pPr>
        <w:spacing w:after="0" w:line="17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2025 PROXY STATEMENT •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The required approvals are as follows:</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05"/>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Arrangement Involving:</w:t>
            </w:r>
          </w:p>
        </w:tc>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Approval Required by:</w:t>
            </w:r>
          </w:p>
        </w:tc>
      </w:tr>
      <w:tr>
        <w:trPr>
          <w:trHeight w:val="197"/>
        </w:trPr>
        <w:tc>
          <w:tcPr>
            <w:tcW w:w="6400" w:type="dxa"/>
            <w:vAlign w:val="bottom"/>
            <w:shd w:val="clear" w:color="auto" w:fill="DBDBDB"/>
          </w:tcPr>
          <w:p>
            <w:pPr>
              <w:ind w:left="20"/>
              <w:spacing w:after="0" w:line="197" w:lineRule="exact"/>
              <w:rPr>
                <w:sz w:val="20"/>
                <w:szCs w:val="20"/>
                <w:color w:val="auto"/>
              </w:rPr>
            </w:pPr>
            <w:r>
              <w:rPr>
                <w:rFonts w:ascii="Arial" w:cs="Arial" w:eastAsia="Arial" w:hAnsi="Arial"/>
                <w:sz w:val="18"/>
                <w:szCs w:val="18"/>
                <w:color w:val="auto"/>
              </w:rPr>
              <w:t>Executive officer who is also a member of the TI board, an Immediate Family</w:t>
            </w:r>
          </w:p>
        </w:tc>
        <w:tc>
          <w:tcPr>
            <w:tcW w:w="3060" w:type="dxa"/>
            <w:vAlign w:val="bottom"/>
            <w:shd w:val="clear" w:color="auto" w:fill="DBDBDB"/>
          </w:tcPr>
          <w:p>
            <w:pPr>
              <w:ind w:left="40"/>
              <w:spacing w:after="0" w:line="197" w:lineRule="exact"/>
              <w:rPr>
                <w:sz w:val="20"/>
                <w:szCs w:val="20"/>
                <w:color w:val="auto"/>
              </w:rPr>
            </w:pPr>
            <w:r>
              <w:rPr>
                <w:rFonts w:ascii="Arial" w:cs="Arial" w:eastAsia="Arial" w:hAnsi="Arial"/>
                <w:sz w:val="18"/>
                <w:szCs w:val="18"/>
                <w:color w:val="auto"/>
              </w:rPr>
              <w:t>GSR committee</w:t>
            </w:r>
          </w:p>
        </w:tc>
      </w:tr>
      <w:tr>
        <w:trPr>
          <w:trHeight w:val="189"/>
        </w:trPr>
        <w:tc>
          <w:tcPr>
            <w:tcW w:w="640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Member of such person, or an entity in which any of the foregoing has a 5% or</w:t>
            </w:r>
          </w:p>
        </w:tc>
        <w:tc>
          <w:tcPr>
            <w:tcW w:w="3060" w:type="dxa"/>
            <w:vAlign w:val="bottom"/>
            <w:shd w:val="clear" w:color="auto" w:fill="DBDBDB"/>
          </w:tcPr>
          <w:p>
            <w:pPr>
              <w:spacing w:after="0"/>
              <w:rPr>
                <w:sz w:val="16"/>
                <w:szCs w:val="16"/>
                <w:color w:val="auto"/>
              </w:rPr>
            </w:pPr>
          </w:p>
        </w:tc>
      </w:tr>
      <w:tr>
        <w:trPr>
          <w:trHeight w:val="242"/>
        </w:trPr>
        <w:tc>
          <w:tcPr>
            <w:tcW w:w="6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greater ownership interest</w:t>
            </w:r>
          </w:p>
        </w:tc>
        <w:tc>
          <w:tcPr>
            <w:tcW w:w="3060" w:type="dxa"/>
            <w:vAlign w:val="bottom"/>
            <w:tcBorders>
              <w:bottom w:val="single" w:sz="8" w:color="DBDBDB"/>
            </w:tcBorders>
            <w:shd w:val="clear" w:color="auto" w:fill="DBDBDB"/>
          </w:tcPr>
          <w:p>
            <w:pPr>
              <w:spacing w:after="0"/>
              <w:rPr>
                <w:sz w:val="21"/>
                <w:szCs w:val="21"/>
                <w:color w:val="auto"/>
              </w:rPr>
            </w:pPr>
          </w:p>
        </w:tc>
      </w:tr>
      <w:tr>
        <w:trPr>
          <w:trHeight w:val="197"/>
        </w:trPr>
        <w:tc>
          <w:tcPr>
            <w:tcW w:w="6400" w:type="dxa"/>
            <w:vAlign w:val="bottom"/>
          </w:tcPr>
          <w:p>
            <w:pPr>
              <w:ind w:left="20"/>
              <w:spacing w:after="0" w:line="197" w:lineRule="exact"/>
              <w:rPr>
                <w:sz w:val="20"/>
                <w:szCs w:val="20"/>
                <w:color w:val="auto"/>
              </w:rPr>
            </w:pPr>
            <w:r>
              <w:rPr>
                <w:rFonts w:ascii="Arial" w:cs="Arial" w:eastAsia="Arial" w:hAnsi="Arial"/>
                <w:sz w:val="18"/>
                <w:szCs w:val="18"/>
                <w:color w:val="auto"/>
              </w:rPr>
              <w:t>Chair of the GSR committee, chief compliance officer, any of his or her</w:t>
            </w:r>
          </w:p>
        </w:tc>
        <w:tc>
          <w:tcPr>
            <w:tcW w:w="3060" w:type="dxa"/>
            <w:vAlign w:val="bottom"/>
          </w:tcPr>
          <w:p>
            <w:pPr>
              <w:ind w:left="40"/>
              <w:spacing w:after="0" w:line="197" w:lineRule="exact"/>
              <w:rPr>
                <w:sz w:val="20"/>
                <w:szCs w:val="20"/>
                <w:color w:val="auto"/>
              </w:rPr>
            </w:pPr>
            <w:r>
              <w:rPr>
                <w:rFonts w:ascii="Arial" w:cs="Arial" w:eastAsia="Arial" w:hAnsi="Arial"/>
                <w:sz w:val="18"/>
                <w:szCs w:val="18"/>
                <w:color w:val="auto"/>
              </w:rPr>
              <w:t>GSR committee</w:t>
            </w:r>
          </w:p>
        </w:tc>
      </w:tr>
      <w:tr>
        <w:trPr>
          <w:trHeight w:val="189"/>
        </w:trPr>
        <w:tc>
          <w:tcPr>
            <w:tcW w:w="6400" w:type="dxa"/>
            <w:vAlign w:val="bottom"/>
          </w:tcPr>
          <w:p>
            <w:pPr>
              <w:ind w:left="20"/>
              <w:spacing w:after="0" w:line="189" w:lineRule="exact"/>
              <w:rPr>
                <w:sz w:val="20"/>
                <w:szCs w:val="20"/>
                <w:color w:val="auto"/>
              </w:rPr>
            </w:pPr>
            <w:r>
              <w:rPr>
                <w:rFonts w:ascii="Arial" w:cs="Arial" w:eastAsia="Arial" w:hAnsi="Arial"/>
                <w:sz w:val="18"/>
                <w:szCs w:val="18"/>
                <w:color w:val="auto"/>
              </w:rPr>
              <w:t>Immediate Family Members, or an entity in which any of the foregoing has a 5%</w:t>
            </w:r>
          </w:p>
        </w:tc>
        <w:tc>
          <w:tcPr>
            <w:tcW w:w="3060" w:type="dxa"/>
            <w:vAlign w:val="bottom"/>
          </w:tcPr>
          <w:p>
            <w:pPr>
              <w:spacing w:after="0"/>
              <w:rPr>
                <w:sz w:val="16"/>
                <w:szCs w:val="16"/>
                <w:color w:val="auto"/>
              </w:rPr>
            </w:pPr>
          </w:p>
        </w:tc>
      </w:tr>
      <w:tr>
        <w:trPr>
          <w:trHeight w:val="239"/>
        </w:trPr>
        <w:tc>
          <w:tcPr>
            <w:tcW w:w="6400" w:type="dxa"/>
            <w:vAlign w:val="bottom"/>
          </w:tcPr>
          <w:p>
            <w:pPr>
              <w:ind w:left="20"/>
              <w:spacing w:after="0"/>
              <w:rPr>
                <w:sz w:val="20"/>
                <w:szCs w:val="20"/>
                <w:color w:val="auto"/>
              </w:rPr>
            </w:pPr>
            <w:r>
              <w:rPr>
                <w:rFonts w:ascii="Arial" w:cs="Arial" w:eastAsia="Arial" w:hAnsi="Arial"/>
                <w:sz w:val="18"/>
                <w:szCs w:val="18"/>
                <w:color w:val="auto"/>
              </w:rPr>
              <w:t>or greater ownership interest</w:t>
            </w:r>
          </w:p>
        </w:tc>
        <w:tc>
          <w:tcPr>
            <w:tcW w:w="3060" w:type="dxa"/>
            <w:vAlign w:val="bottom"/>
          </w:tcPr>
          <w:p>
            <w:pPr>
              <w:spacing w:after="0"/>
              <w:rPr>
                <w:sz w:val="20"/>
                <w:szCs w:val="20"/>
                <w:color w:val="auto"/>
              </w:rPr>
            </w:pPr>
          </w:p>
        </w:tc>
      </w:tr>
      <w:tr>
        <w:trPr>
          <w:trHeight w:val="238"/>
        </w:trPr>
        <w:tc>
          <w:tcPr>
            <w:tcW w:w="6400" w:type="dxa"/>
            <w:vAlign w:val="bottom"/>
          </w:tcPr>
          <w:p>
            <w:pPr>
              <w:ind w:left="20"/>
              <w:spacing w:after="0"/>
              <w:rPr>
                <w:sz w:val="20"/>
                <w:szCs w:val="20"/>
                <w:color w:val="auto"/>
              </w:rPr>
            </w:pPr>
            <w:r>
              <w:rPr>
                <w:rFonts w:ascii="Arial" w:cs="Arial" w:eastAsia="Arial" w:hAnsi="Arial"/>
                <w:sz w:val="18"/>
                <w:szCs w:val="18"/>
                <w:color w:val="auto"/>
              </w:rPr>
              <w:t>Any other director or executive officer, an Immediate Family Member of such</w:t>
            </w:r>
          </w:p>
        </w:tc>
        <w:tc>
          <w:tcPr>
            <w:tcW w:w="3060" w:type="dxa"/>
            <w:vAlign w:val="bottom"/>
          </w:tcPr>
          <w:p>
            <w:pPr>
              <w:ind w:left="40"/>
              <w:spacing w:after="0"/>
              <w:rPr>
                <w:sz w:val="20"/>
                <w:szCs w:val="20"/>
                <w:color w:val="auto"/>
              </w:rPr>
            </w:pPr>
            <w:r>
              <w:rPr>
                <w:rFonts w:ascii="Arial" w:cs="Arial" w:eastAsia="Arial" w:hAnsi="Arial"/>
                <w:sz w:val="18"/>
                <w:szCs w:val="18"/>
                <w:color w:val="auto"/>
              </w:rPr>
              <w:t>Chief 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-135890</wp:posOffset>
            </wp:positionV>
            <wp:extent cx="6009005" cy="4457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09005" cy="44577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90"/>
        </w:trPr>
        <w:tc>
          <w:tcPr>
            <w:tcW w:w="8620" w:type="dxa"/>
            <w:vAlign w:val="bottom"/>
            <w:gridSpan w:val="2"/>
          </w:tcPr>
          <w:p>
            <w:pPr>
              <w:spacing w:after="0" w:line="190" w:lineRule="exact"/>
              <w:rPr>
                <w:sz w:val="20"/>
                <w:szCs w:val="20"/>
                <w:color w:val="auto"/>
              </w:rPr>
            </w:pPr>
            <w:r>
              <w:rPr>
                <w:rFonts w:ascii="Arial" w:cs="Arial" w:eastAsia="Arial" w:hAnsi="Arial"/>
                <w:sz w:val="18"/>
                <w:szCs w:val="18"/>
                <w:color w:val="auto"/>
              </w:rPr>
              <w:t>person, or an entity in which any of the foregoing has a 5% or greater ownership in consultation with the</w:t>
            </w:r>
          </w:p>
        </w:tc>
      </w:tr>
      <w:tr>
        <w:trPr>
          <w:trHeight w:val="274"/>
        </w:trPr>
        <w:tc>
          <w:tcPr>
            <w:tcW w:w="3700" w:type="dxa"/>
            <w:vAlign w:val="bottom"/>
          </w:tcPr>
          <w:p>
            <w:pPr>
              <w:spacing w:after="0"/>
              <w:rPr>
                <w:sz w:val="20"/>
                <w:szCs w:val="20"/>
                <w:color w:val="auto"/>
              </w:rPr>
            </w:pPr>
            <w:r>
              <w:rPr>
                <w:rFonts w:ascii="Arial" w:cs="Arial" w:eastAsia="Arial" w:hAnsi="Arial"/>
                <w:sz w:val="18"/>
                <w:szCs w:val="18"/>
                <w:color w:val="auto"/>
              </w:rPr>
              <w:t>interest</w:t>
            </w:r>
          </w:p>
        </w:tc>
        <w:tc>
          <w:tcPr>
            <w:tcW w:w="4920" w:type="dxa"/>
            <w:vAlign w:val="bottom"/>
          </w:tcPr>
          <w:p>
            <w:pPr>
              <w:ind w:left="2720"/>
              <w:spacing w:after="0"/>
              <w:rPr>
                <w:sz w:val="20"/>
                <w:szCs w:val="20"/>
                <w:color w:val="auto"/>
              </w:rPr>
            </w:pPr>
            <w:r>
              <w:rPr>
                <w:rFonts w:ascii="Arial" w:cs="Arial" w:eastAsia="Arial" w:hAnsi="Arial"/>
                <w:sz w:val="18"/>
                <w:szCs w:val="18"/>
                <w:color w:val="auto"/>
                <w:w w:val="98"/>
              </w:rPr>
              <w:t>chair of the GSR committee</w:t>
            </w:r>
          </w:p>
        </w:tc>
      </w:tr>
      <w:tr>
        <w:trPr>
          <w:trHeight w:val="270"/>
        </w:trPr>
        <w:tc>
          <w:tcPr>
            <w:tcW w:w="3700" w:type="dxa"/>
            <w:vAlign w:val="bottom"/>
          </w:tcPr>
          <w:p>
            <w:pPr>
              <w:spacing w:after="0"/>
              <w:rPr>
                <w:sz w:val="20"/>
                <w:szCs w:val="20"/>
                <w:color w:val="auto"/>
              </w:rPr>
            </w:pPr>
            <w:r>
              <w:rPr>
                <w:rFonts w:ascii="Arial" w:cs="Arial" w:eastAsia="Arial" w:hAnsi="Arial"/>
                <w:sz w:val="18"/>
                <w:szCs w:val="18"/>
                <w:color w:val="auto"/>
              </w:rPr>
              <w:t>A 5% holder</w:t>
            </w:r>
          </w:p>
        </w:tc>
        <w:tc>
          <w:tcPr>
            <w:tcW w:w="4920" w:type="dxa"/>
            <w:vAlign w:val="bottom"/>
          </w:tcPr>
          <w:p>
            <w:pPr>
              <w:ind w:left="2720"/>
              <w:spacing w:after="0"/>
              <w:rPr>
                <w:sz w:val="20"/>
                <w:szCs w:val="20"/>
                <w:color w:val="auto"/>
              </w:rPr>
            </w:pPr>
            <w:r>
              <w:rPr>
                <w:rFonts w:ascii="Arial" w:cs="Arial" w:eastAsia="Arial" w:hAnsi="Arial"/>
                <w:sz w:val="18"/>
                <w:szCs w:val="18"/>
                <w:color w:val="auto"/>
              </w:rPr>
              <w:t>GSR committee</w:t>
            </w:r>
          </w:p>
        </w:tc>
      </w:tr>
    </w:tbl>
    <w:p>
      <w:pPr>
        <w:spacing w:after="0" w:line="3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No member of the GSR committee will participate in the consideration of a related person arrangement in which such member or any of his or her Immediate Family Members is the related person.</w:t>
      </w:r>
    </w:p>
    <w:p>
      <w:pPr>
        <w:spacing w:after="0" w:line="15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(i) was the result of undue influence from the related person or (ii)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18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15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17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board has determined that the following types of transactions pose little risk of a conflict of interest and therefore has deemed them approved:</w:t>
      </w:r>
    </w:p>
    <w:p>
      <w:pPr>
        <w:spacing w:after="0" w:line="153" w:lineRule="exact"/>
        <w:rPr>
          <w:sz w:val="20"/>
          <w:szCs w:val="20"/>
          <w:color w:val="auto"/>
        </w:rPr>
      </w:pPr>
    </w:p>
    <w:p>
      <w:pPr>
        <w:ind w:left="660" w:right="20" w:hanging="328"/>
        <w:spacing w:after="0" w:line="28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Compensation paid to a TI director or executive officer for services as such, or where the sole interest in a related person transaction of a TI director, executive officer or 5% holder is their position as such;</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Transactions where the rates or charges involved are determined by competitive bids, involve the rendering of services as a common or contract carrier, or public utility, at rates or charges fixed in conformity with law or governmental authority;</w:t>
      </w:r>
    </w:p>
    <w:p>
      <w:pPr>
        <w:spacing w:after="0" w:line="1" w:lineRule="exact"/>
        <w:rPr>
          <w:rFonts w:ascii="Arial" w:cs="Arial" w:eastAsia="Arial" w:hAnsi="Arial"/>
          <w:sz w:val="18"/>
          <w:szCs w:val="18"/>
          <w:color w:val="auto"/>
        </w:rPr>
      </w:pPr>
    </w:p>
    <w:p>
      <w:pPr>
        <w:ind w:left="660" w:right="440" w:hanging="328"/>
        <w:spacing w:after="0" w:line="28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Transactions involving services as a bank depository of funds, transfer agent, registrar, trustee under a trust indenture or similar services;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Interests of a related person arising only from:</w:t>
      </w:r>
    </w:p>
    <w:p>
      <w:pPr>
        <w:spacing w:after="0" w:line="63" w:lineRule="exact"/>
        <w:rPr>
          <w:rFonts w:ascii="Arial" w:cs="Arial" w:eastAsia="Arial" w:hAnsi="Arial"/>
          <w:sz w:val="18"/>
          <w:szCs w:val="18"/>
          <w:color w:val="auto"/>
        </w:rPr>
      </w:pPr>
    </w:p>
    <w:p>
      <w:pPr>
        <w:ind w:left="980" w:right="160" w:hanging="324"/>
        <w:spacing w:after="0" w:line="281" w:lineRule="auto"/>
        <w:tabs>
          <w:tab w:leader="none" w:pos="976"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direct or indirect ownership in another party to the transaction and that ownership, when combined with the ownership of all the other individuals specified in 3(a)-(c) above, is less than 5% of the outstanding equity of such party;</w:t>
      </w:r>
    </w:p>
    <w:p>
      <w:pPr>
        <w:spacing w:after="0" w:line="1" w:lineRule="exact"/>
        <w:rPr>
          <w:rFonts w:ascii="Arial" w:cs="Arial" w:eastAsia="Arial" w:hAnsi="Arial"/>
          <w:sz w:val="18"/>
          <w:szCs w:val="18"/>
          <w:color w:val="auto"/>
        </w:rPr>
      </w:pPr>
    </w:p>
    <w:p>
      <w:pPr>
        <w:ind w:left="980" w:right="680" w:hanging="324"/>
        <w:spacing w:after="0" w:line="268" w:lineRule="auto"/>
        <w:tabs>
          <w:tab w:leader="none" w:pos="976"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 interest as a limited partner in a partnership, and that ownership interest, when combined with all the other ownership interests of the other individuals specified in 3(a)-(c) above, is less than 5% of the total ownership interest of the limited partnership;</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their position as a director of another corporation or organization;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ownership of TI stock and all holders of that class of stock receive the same benefit on a pro rata basis;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1" w:name="page62"/>
    <w:bookmarkEnd w:id="61"/>
    <w:p>
      <w:pPr>
        <w:ind w:left="660" w:right="360" w:hanging="328"/>
        <w:spacing w:after="0" w:line="276" w:lineRule="auto"/>
        <w:tabs>
          <w:tab w:leader="none" w:pos="655" w:val="left"/>
        </w:tabs>
        <w:numPr>
          <w:ilvl w:val="0"/>
          <w:numId w:val="87"/>
        </w:numPr>
        <w:rPr>
          <w:rFonts w:ascii="Arial" w:cs="Arial" w:eastAsia="Arial" w:hAnsi="Arial"/>
          <w:sz w:val="17"/>
          <w:szCs w:val="17"/>
          <w:color w:val="auto"/>
        </w:rPr>
      </w:pPr>
      <w:r>
        <w:rPr>
          <w:rFonts w:ascii="Arial" w:cs="Arial" w:eastAsia="Arial" w:hAnsi="Arial"/>
          <w:sz w:val="17"/>
          <w:szCs w:val="17"/>
          <w:color w:val="auto"/>
        </w:rPr>
        <w:t>Transactions in the ordinary course of business where the only relationship of a TI director or executive officer or their Immediate Family Member is as an employee (other than an executive officer) and/or less than a 10% beneficial owner of the other entity if</w:t>
      </w:r>
    </w:p>
    <w:p>
      <w:pPr>
        <w:ind w:left="660" w:right="100"/>
        <w:spacing w:after="0" w:line="266" w:lineRule="auto"/>
        <w:rPr>
          <w:rFonts w:ascii="Arial" w:cs="Arial" w:eastAsia="Arial" w:hAnsi="Arial"/>
          <w:sz w:val="17"/>
          <w:szCs w:val="17"/>
          <w:color w:val="auto"/>
        </w:rPr>
      </w:pPr>
      <w:r>
        <w:rPr>
          <w:rFonts w:ascii="Arial" w:cs="Arial" w:eastAsia="Arial" w:hAnsi="Arial"/>
          <w:sz w:val="18"/>
          <w:szCs w:val="18"/>
          <w:color w:val="auto"/>
        </w:rPr>
        <w:t>(i) the TI director or executive officer is not involved in negotiating the terms of the transaction and (ii) amounts involved for the fiscal year do not exceed the greater of $200,000 or 2% of the entity’s consolidated gross revenues for that year;</w:t>
      </w:r>
    </w:p>
    <w:p>
      <w:pPr>
        <w:spacing w:after="0" w:line="9" w:lineRule="exact"/>
        <w:rPr>
          <w:rFonts w:ascii="Arial" w:cs="Arial" w:eastAsia="Arial" w:hAnsi="Arial"/>
          <w:sz w:val="17"/>
          <w:szCs w:val="17"/>
          <w:color w:val="auto"/>
        </w:rPr>
      </w:pPr>
    </w:p>
    <w:p>
      <w:pPr>
        <w:ind w:left="660" w:hanging="328"/>
        <w:spacing w:after="0" w:line="259"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Charitable contributions, grants or endowments by TI or the TI Foundation to an entity where the only relationship of the TI director or executive officer or their Immediate Family Member is as a trustee or employee (other than as an executive officer) if the aggregate payments for the fiscal year do not exceed the greater of $200,000 or 2% of the recipient’s consolidated gross revenues for that year. “Payments” exclude payments arising solely from investments in TI stock, payments under the TI Director Award Program and payments under non-discretionary charitable contribution matching programs; and</w:t>
      </w:r>
    </w:p>
    <w:p>
      <w:pPr>
        <w:spacing w:after="0" w:line="17"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Transactions involving the employment of an Immediate Family Member of a TI director or executive officer if such director or executive officer does not participate in the decisions regarding the hiring, performance evaluation or compensation of the Immediate Family Member and such hiring, performance evaluation or compensation is determined on a basis consistent with TI’s human resources policies.</w:t>
      </w:r>
    </w:p>
    <w:p>
      <w:pPr>
        <w:spacing w:after="0" w:line="17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During 2024, the spouse of Mohammad Yunus (an executive officer of the company) was employed in our procurement organization. Mr. Yunus was not involved in any decisions regarding his spouse’s employment at TI, and the compensation of his spouse was consistent with that of similarly situated employees and was determined on a basis consistent with the company’s human resources policies.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23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During 2024, Messrs. Blinn, Craighead and Kirk and Ms. Cox served on the compensation committee. No committee member (i) was an officer or employee of TI, (ii) was formerly an officer of TI or (iii) had any relationship requiring disclosure under the SEC’s rules governing disclosure of related person transactions (Item 404 of Regulation S-K). None of TI’s executive officers served on the board of directors or compensation committee of a company that had an executive officer that served on TI’s board or compensation committee.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solicitation</w:t>
      </w:r>
    </w:p>
    <w:p>
      <w:pPr>
        <w:spacing w:after="0" w:line="22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beneficial holders of our shares.</w:t>
      </w:r>
    </w:p>
    <w:p>
      <w:pPr>
        <w:spacing w:after="0" w:line="171"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Without receiving additional compensation, directors, officers and employees of TI may solicit proxies personally by telephone, fax or email from some stockholders if proxies are not promptly received. We have also hired Georgeson LLC to assist in the solicitation of proxies at a cost of $13,500 plus out-of-pocket expenses.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 proposals and nominations for 2026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deadlines for stockholders to submit proposals or director nominations for next year’s annual meeting.</w:t>
      </w:r>
    </w:p>
    <w:p>
      <w:pPr>
        <w:spacing w:after="0" w:line="316" w:lineRule="exact"/>
        <w:rPr>
          <w:sz w:val="20"/>
          <w:szCs w:val="20"/>
          <w:color w:val="auto"/>
        </w:rPr>
      </w:pPr>
    </w:p>
    <w:tbl>
      <w:tblPr>
        <w:tblLayout w:type="fixed"/>
        <w:tblInd w:w="2900" w:type="dxa"/>
        <w:tblCellMar>
          <w:top w:w="0" w:type="dxa"/>
          <w:left w:w="0" w:type="dxa"/>
          <w:bottom w:w="0" w:type="dxa"/>
          <w:right w:w="0" w:type="dxa"/>
        </w:tblCellMar>
      </w:tblPr>
      <w:tr>
        <w:trPr>
          <w:trHeight w:val="175"/>
        </w:trPr>
        <w:tc>
          <w:tcPr>
            <w:tcW w:w="230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Director Nominees for</w:t>
            </w:r>
          </w:p>
        </w:tc>
        <w:tc>
          <w:tcPr>
            <w:tcW w:w="2860" w:type="dxa"/>
            <w:vAlign w:val="bottom"/>
          </w:tcPr>
          <w:p>
            <w:pPr>
              <w:jc w:val="center"/>
              <w:ind w:left="448"/>
              <w:spacing w:after="0"/>
              <w:rPr>
                <w:sz w:val="20"/>
                <w:szCs w:val="20"/>
                <w:color w:val="auto"/>
              </w:rPr>
            </w:pPr>
            <w:r>
              <w:rPr>
                <w:rFonts w:ascii="Arial" w:cs="Arial" w:eastAsia="Arial" w:hAnsi="Arial"/>
                <w:sz w:val="14"/>
                <w:szCs w:val="14"/>
                <w:b w:val="1"/>
                <w:bCs w:val="1"/>
                <w:color w:val="auto"/>
              </w:rPr>
              <w:t>Other Proposals/Nominees to be</w:t>
            </w:r>
          </w:p>
        </w:tc>
      </w:tr>
      <w:tr>
        <w:trPr>
          <w:trHeight w:val="162"/>
        </w:trPr>
        <w:tc>
          <w:tcPr>
            <w:tcW w:w="2300" w:type="dxa"/>
            <w:vAlign w:val="bottom"/>
          </w:tcPr>
          <w:p>
            <w:pPr>
              <w:jc w:val="center"/>
              <w:ind w:right="468"/>
              <w:spacing w:after="0"/>
              <w:rPr>
                <w:sz w:val="20"/>
                <w:szCs w:val="20"/>
                <w:color w:val="auto"/>
              </w:rPr>
            </w:pPr>
            <w:r>
              <w:rPr>
                <w:rFonts w:ascii="Arial" w:cs="Arial" w:eastAsia="Arial" w:hAnsi="Arial"/>
                <w:sz w:val="14"/>
                <w:szCs w:val="14"/>
                <w:b w:val="1"/>
                <w:bCs w:val="1"/>
                <w:color w:val="auto"/>
              </w:rPr>
              <w:t>Proposals for Inclusion in</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Inclusion in 2026 Proxy</w:t>
            </w:r>
          </w:p>
        </w:tc>
        <w:tc>
          <w:tcPr>
            <w:tcW w:w="2860" w:type="dxa"/>
            <w:vAlign w:val="bottom"/>
          </w:tcPr>
          <w:p>
            <w:pPr>
              <w:jc w:val="center"/>
              <w:ind w:left="448"/>
              <w:spacing w:after="0"/>
              <w:rPr>
                <w:sz w:val="20"/>
                <w:szCs w:val="20"/>
                <w:color w:val="auto"/>
              </w:rPr>
            </w:pPr>
            <w:r>
              <w:rPr>
                <w:rFonts w:ascii="Arial" w:cs="Arial" w:eastAsia="Arial" w:hAnsi="Arial"/>
                <w:sz w:val="14"/>
                <w:szCs w:val="14"/>
                <w:b w:val="1"/>
                <w:bCs w:val="1"/>
                <w:color w:val="auto"/>
              </w:rPr>
              <w:t>Presented at 2026 Annual Meeting</w:t>
            </w:r>
          </w:p>
        </w:tc>
      </w:tr>
      <w:tr>
        <w:trPr>
          <w:trHeight w:val="175"/>
        </w:trPr>
        <w:tc>
          <w:tcPr>
            <w:tcW w:w="2300" w:type="dxa"/>
            <w:vAlign w:val="bottom"/>
          </w:tcPr>
          <w:p>
            <w:pPr>
              <w:jc w:val="center"/>
              <w:ind w:right="468"/>
              <w:spacing w:after="0"/>
              <w:rPr>
                <w:sz w:val="20"/>
                <w:szCs w:val="20"/>
                <w:color w:val="auto"/>
              </w:rPr>
            </w:pPr>
            <w:r>
              <w:rPr>
                <w:rFonts w:ascii="Arial" w:cs="Arial" w:eastAsia="Arial" w:hAnsi="Arial"/>
                <w:sz w:val="14"/>
                <w:szCs w:val="14"/>
                <w:b w:val="1"/>
                <w:bCs w:val="1"/>
                <w:color w:val="auto"/>
              </w:rPr>
              <w:t>2026 Proxy</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Materials</w:t>
            </w:r>
          </w:p>
        </w:tc>
        <w:tc>
          <w:tcPr>
            <w:tcW w:w="2860" w:type="dxa"/>
            <w:vAlign w:val="bottom"/>
          </w:tcPr>
          <w:p>
            <w:pPr>
              <w:jc w:val="center"/>
              <w:ind w:left="448"/>
              <w:spacing w:after="0"/>
              <w:rPr>
                <w:sz w:val="20"/>
                <w:szCs w:val="20"/>
                <w:color w:val="auto"/>
              </w:rPr>
            </w:pPr>
            <w:r>
              <w:rPr>
                <w:rFonts w:ascii="Arial" w:cs="Arial" w:eastAsia="Arial" w:hAnsi="Arial"/>
                <w:sz w:val="14"/>
                <w:szCs w:val="14"/>
                <w:b w:val="1"/>
                <w:bCs w:val="1"/>
                <w:color w:val="auto"/>
              </w:rPr>
              <w:t>(and Not for Inclusion in</w:t>
            </w:r>
          </w:p>
        </w:tc>
      </w:tr>
      <w:tr>
        <w:trPr>
          <w:trHeight w:val="196"/>
        </w:trPr>
        <w:tc>
          <w:tcPr>
            <w:tcW w:w="2300" w:type="dxa"/>
            <w:vAlign w:val="bottom"/>
          </w:tcPr>
          <w:p>
            <w:pPr>
              <w:jc w:val="center"/>
              <w:ind w:right="488"/>
              <w:spacing w:after="0"/>
              <w:rPr>
                <w:sz w:val="20"/>
                <w:szCs w:val="20"/>
                <w:color w:val="auto"/>
              </w:rPr>
            </w:pPr>
            <w:r>
              <w:rPr>
                <w:rFonts w:ascii="Arial" w:cs="Arial" w:eastAsia="Arial" w:hAnsi="Arial"/>
                <w:sz w:val="14"/>
                <w:szCs w:val="14"/>
                <w:b w:val="1"/>
                <w:bCs w:val="1"/>
                <w:color w:val="auto"/>
              </w:rPr>
              <w:t>Materials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(Proxy Access)</w:t>
            </w:r>
          </w:p>
        </w:tc>
        <w:tc>
          <w:tcPr>
            <w:tcW w:w="2860" w:type="dxa"/>
            <w:vAlign w:val="bottom"/>
          </w:tcPr>
          <w:p>
            <w:pPr>
              <w:jc w:val="center"/>
              <w:ind w:left="448"/>
              <w:spacing w:after="0"/>
              <w:rPr>
                <w:sz w:val="20"/>
                <w:szCs w:val="20"/>
                <w:color w:val="auto"/>
              </w:rPr>
            </w:pPr>
            <w:r>
              <w:rPr>
                <w:rFonts w:ascii="Arial" w:cs="Arial" w:eastAsia="Arial" w:hAnsi="Arial"/>
                <w:sz w:val="14"/>
                <w:szCs w:val="14"/>
                <w:b w:val="1"/>
                <w:bCs w:val="1"/>
                <w:color w:val="auto"/>
              </w:rPr>
              <w:t>Proxy Materials)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0465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p>
      <w:pPr>
        <w:spacing w:after="0" w:line="37" w:lineRule="exact"/>
        <w:rPr>
          <w:sz w:val="20"/>
          <w:szCs w:val="20"/>
          <w:color w:val="auto"/>
        </w:rPr>
      </w:pPr>
    </w:p>
    <w:p>
      <w:pPr>
        <w:ind w:left="20"/>
        <w:spacing w:after="0"/>
        <w:tabs>
          <w:tab w:leader="none" w:pos="2660" w:val="left"/>
        </w:tabs>
        <w:rPr>
          <w:sz w:val="20"/>
          <w:szCs w:val="20"/>
          <w:color w:val="auto"/>
        </w:rPr>
      </w:pPr>
      <w:r>
        <w:rPr>
          <w:rFonts w:ascii="Arial" w:cs="Arial" w:eastAsia="Arial" w:hAnsi="Arial"/>
          <w:sz w:val="18"/>
          <w:szCs w:val="18"/>
          <w:color w:val="auto"/>
        </w:rPr>
        <w:t>When proposal must</w:t>
      </w:r>
      <w:r>
        <w:rPr>
          <w:sz w:val="20"/>
          <w:szCs w:val="20"/>
          <w:color w:val="auto"/>
        </w:rPr>
        <w:tab/>
      </w:r>
      <w:r>
        <w:rPr>
          <w:rFonts w:ascii="Arial" w:cs="Arial" w:eastAsia="Arial" w:hAnsi="Arial"/>
          <w:sz w:val="17"/>
          <w:szCs w:val="17"/>
          <w:color w:val="auto"/>
        </w:rPr>
        <w:t>On or before November 5,</w:t>
      </w:r>
    </w:p>
    <w:p>
      <w:pPr>
        <w:spacing w:after="0" w:line="27" w:lineRule="exact"/>
        <w:rPr>
          <w:sz w:val="20"/>
          <w:szCs w:val="20"/>
          <w:color w:val="auto"/>
        </w:rPr>
      </w:pPr>
    </w:p>
    <w:p>
      <w:pPr>
        <w:ind w:left="20"/>
        <w:spacing w:after="0"/>
        <w:tabs>
          <w:tab w:leader="none" w:pos="2660" w:val="left"/>
        </w:tabs>
        <w:rPr>
          <w:sz w:val="20"/>
          <w:szCs w:val="20"/>
          <w:color w:val="auto"/>
        </w:rPr>
      </w:pPr>
      <w:r>
        <w:rPr>
          <w:rFonts w:ascii="Arial" w:cs="Arial" w:eastAsia="Arial" w:hAnsi="Arial"/>
          <w:sz w:val="18"/>
          <w:szCs w:val="18"/>
          <w:color w:val="auto"/>
        </w:rPr>
        <w:t>be received by</w:t>
      </w:r>
      <w:r>
        <w:rPr>
          <w:sz w:val="20"/>
          <w:szCs w:val="20"/>
          <w:color w:val="auto"/>
        </w:rPr>
        <w:tab/>
      </w:r>
      <w:r>
        <w:rPr>
          <w:rFonts w:ascii="Arial" w:cs="Arial" w:eastAsia="Arial" w:hAnsi="Arial"/>
          <w:sz w:val="17"/>
          <w:szCs w:val="17"/>
          <w:color w:val="auto"/>
        </w:rPr>
        <w:t>2025</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Texas Instruments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earlier than October 6, 2025, and no later than November 5, 2025</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80"/>
        <w:spacing w:after="0" w:line="318" w:lineRule="auto"/>
        <w:rPr>
          <w:sz w:val="20"/>
          <w:szCs w:val="20"/>
          <w:color w:val="auto"/>
        </w:rPr>
      </w:pPr>
      <w:r>
        <w:rPr>
          <w:rFonts w:ascii="Arial" w:cs="Arial" w:eastAsia="Arial" w:hAnsi="Arial"/>
          <w:sz w:val="17"/>
          <w:szCs w:val="17"/>
          <w:color w:val="auto"/>
        </w:rPr>
        <w:t>No earlier than December 18, 2025, and no later than January 17, 2026</w:t>
      </w:r>
    </w:p>
    <w:p>
      <w:pPr>
        <w:spacing w:after="0" w:line="375" w:lineRule="exact"/>
        <w:rPr>
          <w:sz w:val="20"/>
          <w:szCs w:val="20"/>
          <w:color w:val="auto"/>
        </w:rPr>
      </w:pPr>
    </w:p>
    <w:p>
      <w:pPr>
        <w:sectPr>
          <w:pgSz w:w="11900" w:h="16838" w:orient="portrait"/>
          <w:cols w:equalWidth="0" w:num="3">
            <w:col w:w="4760" w:space="440"/>
            <w:col w:w="2580" w:space="320"/>
            <w:col w:w="3140"/>
          </w:cols>
          <w:pgMar w:left="320" w:top="823" w:right="339" w:bottom="1440" w:gutter="0" w:footer="0" w:header="0"/>
          <w:type w:val="continuous"/>
        </w:sectPr>
      </w:pPr>
    </w:p>
    <w:p>
      <w:pPr>
        <w:spacing w:after="0" w:line="10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 addition to satisfying the requirements of the company’s by-laws, to comply with the SEC’s universal proxy rules, stockholders who intend to solicit proxies in support of director nominees other than board’s nominees must also comply with the additional requirements of Rule 14a-19(b) under the Exchange Act.</w:t>
      </w:r>
    </w:p>
    <w:p>
      <w:pPr>
        <w:spacing w:after="0" w:line="17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Any proposals, nominations or notices are to be sent to Texas Instruments Incorporated, 12500 TI Boulevard, MS 8658, Dallas, TX 75243, Attn: Secretary.</w:t>
      </w:r>
    </w:p>
    <w:p>
      <w:pPr>
        <w:sectPr>
          <w:pgSz w:w="11900" w:h="16838" w:orient="portrait"/>
          <w:cols w:equalWidth="0" w:num="1">
            <w:col w:w="11240"/>
          </w:cols>
          <w:pgMar w:left="320" w:top="8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2025 PROXY STATEMENT •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62" w:name="page63"/>
    <w:bookmarkEnd w:id="62"/>
    <w:p>
      <w:pPr>
        <w:ind w:right="120"/>
        <w:spacing w:after="0" w:line="287" w:lineRule="auto"/>
        <w:rPr>
          <w:sz w:val="20"/>
          <w:szCs w:val="20"/>
          <w:color w:val="auto"/>
        </w:rPr>
      </w:pPr>
      <w:r>
        <w:rPr>
          <w:rFonts w:ascii="Arial" w:cs="Arial" w:eastAsia="Arial" w:hAnsi="Arial"/>
          <w:sz w:val="18"/>
          <w:szCs w:val="18"/>
          <w:color w:val="auto"/>
        </w:rPr>
        <w:t>We reserve the right to reject, rule out of order or take any other appropriate action with respect to any proposal or nomination that does not comply with these and other applicable requirements.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Benefit plan voting</w:t>
      </w:r>
    </w:p>
    <w:p>
      <w:pPr>
        <w:spacing w:after="0" w:line="23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 participant in the TI Contribution and 401(k) Savings Plan or the TI 401(k) Savings Plan is a “named fiduciary” under the plans and is entitled to direct the voting of shares allocable to his or her accounts under these plans. The trustee administering the plan will vote the shares in accordance with the named fiduciary’s instructions. Instructing the trustee on the voting of shares held for the accounts should be done by April 14, 2025, in the manner described in the notice of annual meeting.</w:t>
      </w:r>
    </w:p>
    <w:p>
      <w:pPr>
        <w:spacing w:after="0" w:line="17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14, 2025, will be voted in the same proportions as the shares in the plans for which voting instructions have been received by that date unless otherwise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Delinquent Section 16(a) reports</w:t>
      </w:r>
    </w:p>
    <w:p>
      <w:pPr>
        <w:spacing w:after="0" w:line="2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16(a) of the Securities Exchange Act requires certain persons, including the company’s directors and Section 16 officers, to file reports with the SEC regarding beneficial ownership of certain equity securities of the company. Based upon a review of reports filed with the SEC and written representations from the reporting persons, the company believes that all reports, other than as follows, during 2024 were timely filed by its directors and Section 16 officers. Due to administrative error, Ahmad Bahai, Rafael Lizardi and Mohammad Yunus each had one late filing with respect to an exercise of options and resulting sale of shares in 2024.</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Telephone and internet voting</w:t>
      </w:r>
    </w:p>
    <w:p>
      <w:pPr>
        <w:spacing w:after="0" w:line="23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u w:val="single" w:color="auto"/>
          <w:color w:val="auto"/>
        </w:rPr>
        <w:t>Registered stockholders and benefit plan participants</w:t>
      </w:r>
      <w:r>
        <w:rPr>
          <w:rFonts w:ascii="Arial" w:cs="Arial" w:eastAsia="Arial" w:hAnsi="Arial"/>
          <w:sz w:val="18"/>
          <w:szCs w:val="18"/>
          <w:color w:val="auto"/>
        </w:rPr>
        <w:t>. Stockholders with shares registered directly with Computershare (TI’s transfer agent) and participants who beneficially own shares in a TI benefit plan may vote telephonically by calling (800) 690-6903 (within the U.S. and Canada only, toll-free) or via the internet at www.proxyvote.com.</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w:t>
      </w:r>
    </w:p>
    <w:p>
      <w:pPr>
        <w:spacing w:after="0" w:line="15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u w:val="single" w:color="auto"/>
          <w:color w:val="auto"/>
        </w:rPr>
        <w:t>Stockholders with shares registered in the name of a brokerage firm or bank</w:t>
      </w:r>
      <w:r>
        <w:rPr>
          <w:rFonts w:ascii="Arial" w:cs="Arial" w:eastAsia="Arial" w:hAnsi="Arial"/>
          <w:sz w:val="18"/>
          <w:szCs w:val="18"/>
          <w:color w:val="auto"/>
        </w:rPr>
        <w:t>. A number of brokerage firms and banks offer telephone and internet voting options. These programs may differ from the program provided to registered stockholders and benefit plan participants. Stockholders should check the information forwarded by the bank, broker or other holder of record to see which options are available.</w:t>
      </w:r>
    </w:p>
    <w:p>
      <w:pPr>
        <w:spacing w:after="0" w:line="1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Stockholders sharing the same address</w:t>
      </w:r>
    </w:p>
    <w:p>
      <w:pPr>
        <w:spacing w:after="0" w:line="2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 reduce the expenses of delivering duplicate materials, we take advantage of the SEC’s “householding” rules that permit us to deliver only one set of proxy materials (or one Notice of Internet Availability of Proxy Materials) to stockholders who share an address unless otherwise requested. Stockholders who share an address with another stockholder and who received only one set of these materials may request a separate copy at no cost by calling Investor Relations at (214) 479-3773 or by writing to Texas Instruments Incorporated, P.O. Box 660199, MS 8657, Dallas, TX 75266-0199, Attn: Investor Relations. For future annual meetings, those stockholders may request separate materials, or request that we send only one set of materials if they are receiving multiple copies, by calling (866) 540-7095 or writing to Broadridge, Householding Department,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3" w:name="page64"/>
    <w:bookmarkEnd w:id="63"/>
    <w:p>
      <w:pPr>
        <w:spacing w:after="0"/>
        <w:rPr>
          <w:sz w:val="20"/>
          <w:szCs w:val="20"/>
          <w:color w:val="auto"/>
        </w:rPr>
      </w:pPr>
      <w:r>
        <w:rPr>
          <w:rFonts w:ascii="Arial" w:cs="Arial" w:eastAsia="Arial" w:hAnsi="Arial"/>
          <w:sz w:val="20"/>
          <w:szCs w:val="20"/>
          <w:b w:val="1"/>
          <w:bCs w:val="1"/>
          <w:color w:val="auto"/>
        </w:rPr>
        <w:t>Internet availability of proxy materials</w:t>
      </w:r>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furnishing proxy materials to our stockholders primarily over the internet. A Notice of Internet Availability of Proxy Materials will be mailed to stockholders with instructions on how to access the proxy materials online. Stockholders may follow the instructions in the Notice of Internet Availability of Proxy Materials to elect to receive future proxy materials in print by mail or electronically by email. Stockholders may also request electronic delivery by visiting https://enroll.icsdelivery.com/TXN. We encourage stockholders to take advantage of electronic delivery to help support our sustainability efforts and reduce the company’s printing and mailing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2025 PROXY STATEMENT •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64" w:name="page65"/>
    <w:bookmarkEnd w:id="64"/>
    <w:p>
      <w:pPr>
        <w:ind w:right="200"/>
        <w:spacing w:after="0" w:line="296"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April 17, 2025. This 2025 proxy statement and the company’s 2024 annual report are accessible at www.proxyvote.com.</w:t>
      </w:r>
    </w:p>
    <w:p>
      <w:pPr>
        <w:spacing w:after="0" w:line="1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company’s annual report on Form 10-K for the year ended December 31, 2024, which contains consolidated financial statements, accompanies this proxy statement. </w:t>
      </w:r>
      <w:r>
        <w:rPr>
          <w:rFonts w:ascii="Arial" w:cs="Arial" w:eastAsia="Arial" w:hAnsi="Arial"/>
          <w:sz w:val="18"/>
          <w:szCs w:val="18"/>
          <w:b w:val="1"/>
          <w:bCs w:val="1"/>
          <w:color w:val="auto"/>
        </w:rPr>
        <w:t>You may also obtain a copy of the company’s 2024 Form 10-K, including a list of exhibits and any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exhibit specifically requested, without charge by writing to Investor Relations, P.O. Box 660199, MS 8657, Dallas, TX 75266-0199. </w:t>
      </w:r>
      <w:r>
        <w:rPr>
          <w:rFonts w:ascii="Arial" w:cs="Arial" w:eastAsia="Arial" w:hAnsi="Arial"/>
          <w:sz w:val="18"/>
          <w:szCs w:val="18"/>
          <w:color w:val="auto"/>
        </w:rPr>
        <w:t>Our Form 10-K is also available in the “Investor Relations” section of our website at www.ti.com. The contents posted on our website are not incorporated by reference into this proxy statement.</w:t>
      </w:r>
    </w:p>
    <w:p>
      <w:pPr>
        <w:spacing w:after="0" w:line="23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Katie Kane</w:t>
      </w:r>
    </w:p>
    <w:p>
      <w:pPr>
        <w:spacing w:after="0" w:line="2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Senior Vice President, Secretary and General Counsel</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5, 2025</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regarding forward-looking statements</w:t>
      </w:r>
    </w:p>
    <w:p>
      <w:pPr>
        <w:spacing w:after="0" w:line="2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proxy statement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Statements herein that describe TI’s business strategy, ability to generate free cash flow in the future, outlook, objectives, plans, intentions or goals also are forward-looking statements. All such forward-looking statements are subject to certain risks and uncertainties that could cause actual results and amounts to differ materially from those in forward-looking statements. For a detailed discussion of the risks and uncertainties, see the risk factors discussion in Item 1A of our annual report on Form 10-K for the year ended December 31, 2024. The forward-looking statements included in this proxy statement are made only as of the date of this proxy statement,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2025 PROXY STATEMENT •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688975</wp:posOffset>
            </wp:positionV>
            <wp:extent cx="1671320" cy="5829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671320" cy="58293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80" w:right="720"/>
        <w:spacing w:after="0" w:line="260" w:lineRule="auto"/>
        <w:rPr>
          <w:sz w:val="20"/>
          <w:szCs w:val="20"/>
          <w:color w:val="auto"/>
        </w:rPr>
      </w:pPr>
      <w:r>
        <w:rPr>
          <w:rFonts w:ascii="Arial" w:cs="Arial" w:eastAsia="Arial" w:hAnsi="Arial"/>
          <w:sz w:val="14"/>
          <w:szCs w:val="14"/>
          <w:i w:val="1"/>
          <w:iCs w:val="1"/>
          <w:color w:val="auto"/>
        </w:rPr>
        <w:t>TEXAS INSTRUMENTS INCORPORATED ATTN: ASSISTANT SECRETARY</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P.O. BOX 655474</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MS 3999</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DALLAS, TX 75265-5474</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For registered shares, your proxy must be received by 11:59 p.m. (ET) on </w:t>
      </w:r>
      <w:r>
        <w:rPr>
          <w:rFonts w:ascii="Arial" w:cs="Arial" w:eastAsia="Arial" w:hAnsi="Arial"/>
          <w:sz w:val="14"/>
          <w:szCs w:val="14"/>
          <w:b w:val="1"/>
          <w:bCs w:val="1"/>
          <w:i w:val="1"/>
          <w:iCs w:val="1"/>
          <w:color w:val="auto"/>
        </w:rPr>
        <w:t>April 16, 2025</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-627380</wp:posOffset>
            </wp:positionV>
            <wp:extent cx="1851660" cy="4718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51660" cy="4718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For shares allocable to a benefit plan account, your proxy must be received by 11:59 p.m. (ET) 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April 14, 2025.</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w:t>
      </w:r>
      <w:r>
        <w:rPr>
          <w:rFonts w:ascii="Arial" w:cs="Arial" w:eastAsia="Arial" w:hAnsi="Arial"/>
          <w:sz w:val="14"/>
          <w:szCs w:val="14"/>
          <w:color w:val="auto"/>
        </w:rPr>
        <w:t>–</w:t>
      </w:r>
      <w:r>
        <w:rPr>
          <w:rFonts w:ascii="Arial" w:cs="Arial" w:eastAsia="Arial" w:hAnsi="Arial"/>
          <w:sz w:val="14"/>
          <w:szCs w:val="14"/>
          <w:b w:val="1"/>
          <w:bCs w:val="1"/>
          <w:color w:val="auto"/>
        </w:rPr>
        <w:t xml:space="preserve"> Go to </w:t>
      </w:r>
      <w:r>
        <w:rPr>
          <w:rFonts w:ascii="Arial" w:cs="Arial" w:eastAsia="Arial" w:hAnsi="Arial"/>
          <w:sz w:val="14"/>
          <w:szCs w:val="14"/>
          <w:b w:val="1"/>
          <w:bCs w:val="1"/>
          <w:u w:val="single" w:color="auto"/>
          <w:color w:val="auto"/>
        </w:rPr>
        <w:t>www.proxyvote.com</w:t>
      </w:r>
      <w:r>
        <w:rPr>
          <w:rFonts w:ascii="Arial" w:cs="Arial" w:eastAsia="Arial" w:hAnsi="Arial"/>
          <w:sz w:val="14"/>
          <w:szCs w:val="14"/>
          <w:b w:val="1"/>
          <w:bCs w:val="1"/>
          <w:color w:val="auto"/>
        </w:rPr>
        <w:t xml:space="preserve"> or scan the QR Barcode above</w:t>
      </w:r>
    </w:p>
    <w:p>
      <w:pPr>
        <w:spacing w:after="0" w:line="29" w:lineRule="exact"/>
        <w:rPr>
          <w:sz w:val="20"/>
          <w:szCs w:val="20"/>
          <w:color w:val="auto"/>
        </w:rPr>
      </w:pPr>
    </w:p>
    <w:p>
      <w:pPr>
        <w:jc w:val="both"/>
        <w:ind w:right="40"/>
        <w:spacing w:after="0" w:line="262"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the applicable cut-off date and time above. Have your proxy card in hand when you access the web site and follow the instructions to obtain your records and to create an electronic voting instruction form.</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5" w:lineRule="exact"/>
        <w:rPr>
          <w:sz w:val="20"/>
          <w:szCs w:val="20"/>
          <w:color w:val="auto"/>
        </w:rPr>
      </w:pPr>
    </w:p>
    <w:p>
      <w:pPr>
        <w:jc w:val="both"/>
        <w:ind w:right="20"/>
        <w:spacing w:after="0" w:line="284" w:lineRule="auto"/>
        <w:rPr>
          <w:sz w:val="20"/>
          <w:szCs w:val="20"/>
          <w:color w:val="auto"/>
        </w:rPr>
      </w:pPr>
      <w:r>
        <w:rPr>
          <w:rFonts w:ascii="Arial" w:cs="Arial" w:eastAsia="Arial" w:hAnsi="Arial"/>
          <w:sz w:val="14"/>
          <w:szCs w:val="14"/>
          <w:color w:val="auto"/>
        </w:rPr>
        <w:t>Use any touch-tone telephone to transmit your voting instructions until the applicable cut-off date and time above. Have your proxy card in hand when you call and then follow the instructions.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9" w:lineRule="exact"/>
        <w:rPr>
          <w:sz w:val="20"/>
          <w:szCs w:val="20"/>
          <w:color w:val="auto"/>
        </w:rPr>
      </w:pPr>
    </w:p>
    <w:p>
      <w:pPr>
        <w:jc w:val="both"/>
        <w:ind w:right="40"/>
        <w:spacing w:after="0" w:line="27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 so that it is received by the applicable date and time above.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MEETING ADVANCE REGISTRATION</w:t>
      </w:r>
    </w:p>
    <w:p>
      <w:pPr>
        <w:spacing w:after="0" w:line="29" w:lineRule="exact"/>
        <w:rPr>
          <w:sz w:val="20"/>
          <w:szCs w:val="20"/>
          <w:color w:val="auto"/>
        </w:rPr>
      </w:pPr>
    </w:p>
    <w:p>
      <w:pPr>
        <w:jc w:val="both"/>
        <w:ind w:right="20"/>
        <w:spacing w:after="0" w:line="272" w:lineRule="auto"/>
        <w:rPr>
          <w:sz w:val="20"/>
          <w:szCs w:val="20"/>
          <w:color w:val="auto"/>
        </w:rPr>
      </w:pPr>
      <w:r>
        <w:rPr>
          <w:rFonts w:ascii="Arial" w:cs="Arial" w:eastAsia="Arial" w:hAnsi="Arial"/>
          <w:sz w:val="14"/>
          <w:szCs w:val="14"/>
          <w:color w:val="auto"/>
        </w:rPr>
        <w:t>You must register and print your advance registration form at the stockholder meeting registration site: www.proxyvote.com. If you are unable to print your advance registration form, please call Stockholder Meeting Registration Phone Support (Toll Free) 1-844-318-0137 or (International Toll) 1-925-331-6070 for assistance.</w:t>
      </w:r>
    </w:p>
    <w:p>
      <w:pPr>
        <w:spacing w:after="0" w:line="200" w:lineRule="exact"/>
        <w:rPr>
          <w:sz w:val="20"/>
          <w:szCs w:val="20"/>
          <w:color w:val="auto"/>
        </w:rPr>
      </w:pPr>
    </w:p>
    <w:p>
      <w:pPr>
        <w:sectPr>
          <w:pgSz w:w="11900" w:h="16838" w:orient="portrait"/>
          <w:cols w:equalWidth="0" w:num="2">
            <w:col w:w="3540" w:space="720"/>
            <w:col w:w="6940"/>
          </w:cols>
          <w:pgMar w:left="320" w:top="1440" w:right="379" w:bottom="1440" w:gutter="0" w:footer="0" w:header="0"/>
        </w:sectPr>
      </w:pPr>
    </w:p>
    <w:p>
      <w:pPr>
        <w:spacing w:after="0" w:line="49" w:lineRule="exact"/>
        <w:rPr>
          <w:sz w:val="20"/>
          <w:szCs w:val="20"/>
          <w:color w:val="auto"/>
        </w:rPr>
      </w:pPr>
    </w:p>
    <w:p>
      <w:pPr>
        <w:spacing w:after="0"/>
        <w:tabs>
          <w:tab w:leader="none" w:pos="5140" w:val="left"/>
        </w:tabs>
        <w:rPr>
          <w:sz w:val="20"/>
          <w:szCs w:val="20"/>
          <w:color w:val="auto"/>
        </w:rPr>
      </w:pPr>
      <w:r>
        <w:rPr>
          <w:rFonts w:ascii="Arial" w:cs="Arial" w:eastAsia="Arial" w:hAnsi="Arial"/>
          <w:sz w:val="14"/>
          <w:szCs w:val="14"/>
          <w:color w:val="auto"/>
        </w:rPr>
        <w:t>TO VOTE, MARK BLOCKS BELOW IN BLUE OR BLACK INK AS FOLLOWS:</w:t>
        <w:tab/>
        <w:t>KEEP THIS PORTION FOR YOUR RECORDS</w:t>
      </w:r>
    </w:p>
    <w:p>
      <w:pPr>
        <w:spacing w:after="0" w:line="204" w:lineRule="exact"/>
        <w:rPr>
          <w:sz w:val="20"/>
          <w:szCs w:val="20"/>
          <w:color w:val="auto"/>
        </w:rPr>
      </w:pPr>
    </w:p>
    <w:p>
      <w:pPr>
        <w:ind w:right="3600"/>
        <w:spacing w:after="0" w:line="342" w:lineRule="auto"/>
        <w:rPr>
          <w:sz w:val="20"/>
          <w:szCs w:val="20"/>
          <w:color w:val="auto"/>
        </w:rPr>
      </w:pPr>
      <w:r>
        <w:rPr>
          <w:rFonts w:ascii="Arial" w:cs="Arial" w:eastAsia="Arial" w:hAnsi="Arial"/>
          <w:sz w:val="14"/>
          <w:szCs w:val="14"/>
          <w:b w:val="1"/>
          <w:bCs w:val="1"/>
          <w:color w:val="auto"/>
        </w:rPr>
        <w:t xml:space="preserve">THIS PROXY CARD IS VALID ONLY WHEN SIGNED AND DATED. </w:t>
      </w:r>
      <w:r>
        <w:rPr>
          <w:rFonts w:ascii="Arial" w:cs="Arial" w:eastAsia="Arial" w:hAnsi="Arial"/>
          <w:sz w:val="14"/>
          <w:szCs w:val="14"/>
          <w:color w:val="auto"/>
        </w:rPr>
        <w:t>DETACH AND RETURN THIS PORTION ONLY</w:t>
      </w:r>
      <w:r>
        <w:rPr>
          <w:rFonts w:ascii="Arial" w:cs="Arial" w:eastAsia="Arial" w:hAnsi="Arial"/>
          <w:sz w:val="14"/>
          <w:szCs w:val="14"/>
          <w:b w:val="1"/>
          <w:bCs w:val="1"/>
          <w:color w:val="auto"/>
        </w:rPr>
        <w:t xml:space="preserve"> TEXAS INSTRUMENTS INCORPORATED</w:t>
      </w:r>
    </w:p>
    <w:p>
      <w:pPr>
        <w:sectPr>
          <w:pgSz w:w="11900" w:h="16838" w:orient="portrait"/>
          <w:cols w:equalWidth="0" w:num="1">
            <w:col w:w="11200"/>
          </w:cols>
          <w:pgMar w:left="320" w:top="1440" w:right="379" w:bottom="1440" w:gutter="0" w:footer="0" w:header="0"/>
          <w:type w:val="continuous"/>
        </w:sectPr>
      </w:pPr>
    </w:p>
    <w:p>
      <w:pPr>
        <w:ind w:left="20" w:right="480"/>
        <w:spacing w:after="0" w:line="301" w:lineRule="auto"/>
        <w:rPr>
          <w:sz w:val="20"/>
          <w:szCs w:val="20"/>
          <w:color w:val="auto"/>
        </w:rPr>
      </w:pPr>
      <w:r>
        <w:rPr>
          <w:rFonts w:ascii="Arial" w:cs="Arial" w:eastAsia="Arial" w:hAnsi="Arial"/>
          <w:sz w:val="14"/>
          <w:szCs w:val="14"/>
          <w:color w:val="auto"/>
        </w:rPr>
        <w:t xml:space="preserve">The Board of Directors recommends you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each of the nominees for director.</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26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4"/>
        </w:trPr>
        <w:tc>
          <w:tcPr>
            <w:tcW w:w="2260" w:type="dxa"/>
            <w:vAlign w:val="bottom"/>
            <w:gridSpan w:val="2"/>
          </w:tcPr>
          <w:p>
            <w:pPr>
              <w:ind w:left="160"/>
              <w:spacing w:after="0"/>
              <w:rPr>
                <w:sz w:val="20"/>
                <w:szCs w:val="20"/>
                <w:color w:val="auto"/>
              </w:rPr>
            </w:pPr>
            <w:r>
              <w:rPr>
                <w:rFonts w:ascii="Arial" w:cs="Arial" w:eastAsia="Arial" w:hAnsi="Arial"/>
                <w:sz w:val="14"/>
                <w:szCs w:val="14"/>
                <w:b w:val="1"/>
                <w:bCs w:val="1"/>
                <w:color w:val="auto"/>
              </w:rPr>
              <w:t>Nominees:</w:t>
            </w:r>
          </w:p>
        </w:tc>
        <w:tc>
          <w:tcPr>
            <w:tcW w:w="980" w:type="dxa"/>
            <w:vAlign w:val="bottom"/>
          </w:tcPr>
          <w:p>
            <w:pPr>
              <w:jc w:val="center"/>
              <w:ind w:left="288"/>
              <w:spacing w:after="0"/>
              <w:rPr>
                <w:sz w:val="20"/>
                <w:szCs w:val="20"/>
                <w:color w:val="auto"/>
              </w:rPr>
            </w:pPr>
            <w:r>
              <w:rPr>
                <w:rFonts w:ascii="Arial" w:cs="Arial" w:eastAsia="Arial" w:hAnsi="Arial"/>
                <w:sz w:val="14"/>
                <w:szCs w:val="14"/>
                <w:b w:val="1"/>
                <w:bCs w:val="1"/>
                <w:color w:val="auto"/>
                <w:w w:val="97"/>
              </w:rPr>
              <w:t>For</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rPr>
              <w:t>Against</w:t>
            </w:r>
          </w:p>
        </w:tc>
        <w:tc>
          <w:tcPr>
            <w:tcW w:w="660" w:type="dxa"/>
            <w:vAlign w:val="bottom"/>
          </w:tcPr>
          <w:p>
            <w:pPr>
              <w:jc w:val="center"/>
              <w:ind w:left="68"/>
              <w:spacing w:after="0"/>
              <w:rPr>
                <w:sz w:val="20"/>
                <w:szCs w:val="20"/>
                <w:color w:val="auto"/>
              </w:rPr>
            </w:pPr>
            <w:r>
              <w:rPr>
                <w:rFonts w:ascii="Arial" w:cs="Arial" w:eastAsia="Arial" w:hAnsi="Arial"/>
                <w:sz w:val="14"/>
                <w:szCs w:val="14"/>
                <w:b w:val="1"/>
                <w:bCs w:val="1"/>
                <w:color w:val="auto"/>
              </w:rPr>
              <w:t>Abstain</w:t>
            </w:r>
          </w:p>
        </w:tc>
      </w:tr>
      <w:tr>
        <w:trPr>
          <w:trHeight w:val="230"/>
        </w:trPr>
        <w:tc>
          <w:tcPr>
            <w:tcW w:w="380" w:type="dxa"/>
            <w:vAlign w:val="bottom"/>
          </w:tcPr>
          <w:p>
            <w:pPr>
              <w:ind w:left="160"/>
              <w:spacing w:after="0"/>
              <w:rPr>
                <w:sz w:val="20"/>
                <w:szCs w:val="20"/>
                <w:color w:val="auto"/>
              </w:rPr>
            </w:pPr>
            <w:r>
              <w:rPr>
                <w:rFonts w:ascii="Arial" w:cs="Arial" w:eastAsia="Arial" w:hAnsi="Arial"/>
                <w:sz w:val="14"/>
                <w:szCs w:val="14"/>
                <w:color w:val="auto"/>
              </w:rPr>
              <w:t>1a.</w:t>
            </w:r>
          </w:p>
        </w:tc>
        <w:tc>
          <w:tcPr>
            <w:tcW w:w="1880" w:type="dxa"/>
            <w:vAlign w:val="bottom"/>
          </w:tcPr>
          <w:p>
            <w:pPr>
              <w:ind w:left="20"/>
              <w:spacing w:after="0"/>
              <w:rPr>
                <w:sz w:val="20"/>
                <w:szCs w:val="20"/>
                <w:color w:val="auto"/>
              </w:rPr>
            </w:pPr>
            <w:r>
              <w:rPr>
                <w:rFonts w:ascii="Arial" w:cs="Arial" w:eastAsia="Arial" w:hAnsi="Arial"/>
                <w:sz w:val="14"/>
                <w:szCs w:val="14"/>
                <w:color w:val="auto"/>
              </w:rPr>
              <w:t>Mark Blinn</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80" w:type="dxa"/>
            <w:vAlign w:val="bottom"/>
          </w:tcPr>
          <w:p>
            <w:pPr>
              <w:ind w:left="160"/>
              <w:spacing w:after="0"/>
              <w:rPr>
                <w:sz w:val="20"/>
                <w:szCs w:val="20"/>
                <w:color w:val="auto"/>
              </w:rPr>
            </w:pPr>
            <w:r>
              <w:rPr>
                <w:rFonts w:ascii="Arial" w:cs="Arial" w:eastAsia="Arial" w:hAnsi="Arial"/>
                <w:sz w:val="14"/>
                <w:szCs w:val="14"/>
                <w:color w:val="auto"/>
              </w:rPr>
              <w:t>1b.</w:t>
            </w:r>
          </w:p>
        </w:tc>
        <w:tc>
          <w:tcPr>
            <w:tcW w:w="1880" w:type="dxa"/>
            <w:vAlign w:val="bottom"/>
          </w:tcPr>
          <w:p>
            <w:pPr>
              <w:ind w:left="20"/>
              <w:spacing w:after="0"/>
              <w:rPr>
                <w:sz w:val="20"/>
                <w:szCs w:val="20"/>
                <w:color w:val="auto"/>
              </w:rPr>
            </w:pPr>
            <w:r>
              <w:rPr>
                <w:rFonts w:ascii="Arial" w:cs="Arial" w:eastAsia="Arial" w:hAnsi="Arial"/>
                <w:sz w:val="14"/>
                <w:szCs w:val="14"/>
                <w:color w:val="auto"/>
              </w:rPr>
              <w:t>Todd Bluedorn</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29"/>
        </w:trPr>
        <w:tc>
          <w:tcPr>
            <w:tcW w:w="2260" w:type="dxa"/>
            <w:vAlign w:val="bottom"/>
            <w:gridSpan w:val="2"/>
          </w:tcPr>
          <w:p>
            <w:pPr>
              <w:ind w:left="160"/>
              <w:spacing w:after="0"/>
              <w:rPr>
                <w:sz w:val="20"/>
                <w:szCs w:val="20"/>
                <w:color w:val="auto"/>
              </w:rPr>
            </w:pPr>
            <w:r>
              <w:rPr>
                <w:rFonts w:ascii="Arial" w:cs="Arial" w:eastAsia="Arial" w:hAnsi="Arial"/>
                <w:sz w:val="14"/>
                <w:szCs w:val="14"/>
                <w:color w:val="auto"/>
              </w:rPr>
              <w:t>1c. Janet Clark</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80" w:type="dxa"/>
            <w:vAlign w:val="bottom"/>
          </w:tcPr>
          <w:p>
            <w:pPr>
              <w:ind w:left="160"/>
              <w:spacing w:after="0"/>
              <w:rPr>
                <w:sz w:val="20"/>
                <w:szCs w:val="20"/>
                <w:color w:val="auto"/>
              </w:rPr>
            </w:pPr>
            <w:r>
              <w:rPr>
                <w:rFonts w:ascii="Arial" w:cs="Arial" w:eastAsia="Arial" w:hAnsi="Arial"/>
                <w:sz w:val="14"/>
                <w:szCs w:val="14"/>
                <w:color w:val="auto"/>
              </w:rPr>
              <w:t>1d.</w:t>
            </w:r>
          </w:p>
        </w:tc>
        <w:tc>
          <w:tcPr>
            <w:tcW w:w="1880" w:type="dxa"/>
            <w:vAlign w:val="bottom"/>
          </w:tcPr>
          <w:p>
            <w:pPr>
              <w:ind w:left="20"/>
              <w:spacing w:after="0"/>
              <w:rPr>
                <w:sz w:val="20"/>
                <w:szCs w:val="20"/>
                <w:color w:val="auto"/>
              </w:rPr>
            </w:pPr>
            <w:r>
              <w:rPr>
                <w:rFonts w:ascii="Arial" w:cs="Arial" w:eastAsia="Arial" w:hAnsi="Arial"/>
                <w:sz w:val="14"/>
                <w:szCs w:val="14"/>
                <w:color w:val="auto"/>
              </w:rPr>
              <w:t>Carrie Cox</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80" w:type="dxa"/>
            <w:vAlign w:val="bottom"/>
          </w:tcPr>
          <w:p>
            <w:pPr>
              <w:ind w:left="160"/>
              <w:spacing w:after="0"/>
              <w:rPr>
                <w:sz w:val="20"/>
                <w:szCs w:val="20"/>
                <w:color w:val="auto"/>
              </w:rPr>
            </w:pPr>
            <w:r>
              <w:rPr>
                <w:rFonts w:ascii="Arial" w:cs="Arial" w:eastAsia="Arial" w:hAnsi="Arial"/>
                <w:sz w:val="14"/>
                <w:szCs w:val="14"/>
                <w:color w:val="auto"/>
              </w:rPr>
              <w:t>1e.</w:t>
            </w:r>
          </w:p>
        </w:tc>
        <w:tc>
          <w:tcPr>
            <w:tcW w:w="1880" w:type="dxa"/>
            <w:vAlign w:val="bottom"/>
          </w:tcPr>
          <w:p>
            <w:pPr>
              <w:ind w:left="20"/>
              <w:spacing w:after="0"/>
              <w:rPr>
                <w:sz w:val="20"/>
                <w:szCs w:val="20"/>
                <w:color w:val="auto"/>
              </w:rPr>
            </w:pPr>
            <w:r>
              <w:rPr>
                <w:rFonts w:ascii="Arial" w:cs="Arial" w:eastAsia="Arial" w:hAnsi="Arial"/>
                <w:sz w:val="14"/>
                <w:szCs w:val="14"/>
                <w:color w:val="auto"/>
              </w:rPr>
              <w:t>Martin Craighead</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2260" w:type="dxa"/>
            <w:vAlign w:val="bottom"/>
            <w:gridSpan w:val="2"/>
          </w:tcPr>
          <w:p>
            <w:pPr>
              <w:ind w:left="160"/>
              <w:spacing w:after="0"/>
              <w:rPr>
                <w:sz w:val="20"/>
                <w:szCs w:val="20"/>
                <w:color w:val="auto"/>
              </w:rPr>
            </w:pPr>
            <w:r>
              <w:rPr>
                <w:rFonts w:ascii="Arial" w:cs="Arial" w:eastAsia="Arial" w:hAnsi="Arial"/>
                <w:sz w:val="14"/>
                <w:szCs w:val="14"/>
                <w:color w:val="auto"/>
              </w:rPr>
              <w:t>1f. Reginald DesRoches</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29"/>
        </w:trPr>
        <w:tc>
          <w:tcPr>
            <w:tcW w:w="380" w:type="dxa"/>
            <w:vAlign w:val="bottom"/>
          </w:tcPr>
          <w:p>
            <w:pPr>
              <w:ind w:left="160"/>
              <w:spacing w:after="0"/>
              <w:rPr>
                <w:sz w:val="20"/>
                <w:szCs w:val="20"/>
                <w:color w:val="auto"/>
              </w:rPr>
            </w:pPr>
            <w:r>
              <w:rPr>
                <w:rFonts w:ascii="Arial" w:cs="Arial" w:eastAsia="Arial" w:hAnsi="Arial"/>
                <w:sz w:val="14"/>
                <w:szCs w:val="14"/>
                <w:color w:val="auto"/>
              </w:rPr>
              <w:t>1g.</w:t>
            </w:r>
          </w:p>
        </w:tc>
        <w:tc>
          <w:tcPr>
            <w:tcW w:w="1880" w:type="dxa"/>
            <w:vAlign w:val="bottom"/>
          </w:tcPr>
          <w:p>
            <w:pPr>
              <w:ind w:left="20"/>
              <w:spacing w:after="0"/>
              <w:rPr>
                <w:sz w:val="20"/>
                <w:szCs w:val="20"/>
                <w:color w:val="auto"/>
              </w:rPr>
            </w:pPr>
            <w:r>
              <w:rPr>
                <w:rFonts w:ascii="Arial" w:cs="Arial" w:eastAsia="Arial" w:hAnsi="Arial"/>
                <w:sz w:val="14"/>
                <w:szCs w:val="14"/>
                <w:color w:val="auto"/>
              </w:rPr>
              <w:t>Curtis Farmer</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80" w:type="dxa"/>
            <w:vAlign w:val="bottom"/>
          </w:tcPr>
          <w:p>
            <w:pPr>
              <w:ind w:left="160"/>
              <w:spacing w:after="0"/>
              <w:rPr>
                <w:sz w:val="20"/>
                <w:szCs w:val="20"/>
                <w:color w:val="auto"/>
              </w:rPr>
            </w:pPr>
            <w:r>
              <w:rPr>
                <w:rFonts w:ascii="Arial" w:cs="Arial" w:eastAsia="Arial" w:hAnsi="Arial"/>
                <w:sz w:val="14"/>
                <w:szCs w:val="14"/>
                <w:color w:val="auto"/>
              </w:rPr>
              <w:t>1h.</w:t>
            </w:r>
          </w:p>
        </w:tc>
        <w:tc>
          <w:tcPr>
            <w:tcW w:w="1880" w:type="dxa"/>
            <w:vAlign w:val="bottom"/>
          </w:tcPr>
          <w:p>
            <w:pPr>
              <w:ind w:left="20"/>
              <w:spacing w:after="0"/>
              <w:rPr>
                <w:sz w:val="20"/>
                <w:szCs w:val="20"/>
                <w:color w:val="auto"/>
              </w:rPr>
            </w:pPr>
            <w:r>
              <w:rPr>
                <w:rFonts w:ascii="Arial" w:cs="Arial" w:eastAsia="Arial" w:hAnsi="Arial"/>
                <w:sz w:val="14"/>
                <w:szCs w:val="14"/>
                <w:color w:val="auto"/>
              </w:rPr>
              <w:t>Jean Hobby</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2260" w:type="dxa"/>
            <w:vAlign w:val="bottom"/>
            <w:gridSpan w:val="2"/>
          </w:tcPr>
          <w:p>
            <w:pPr>
              <w:ind w:left="160"/>
              <w:spacing w:after="0"/>
              <w:rPr>
                <w:sz w:val="20"/>
                <w:szCs w:val="20"/>
                <w:color w:val="auto"/>
              </w:rPr>
            </w:pPr>
            <w:r>
              <w:rPr>
                <w:rFonts w:ascii="Arial" w:cs="Arial" w:eastAsia="Arial" w:hAnsi="Arial"/>
                <w:sz w:val="14"/>
                <w:szCs w:val="14"/>
                <w:color w:val="auto"/>
              </w:rPr>
              <w:t>1i. Haviv Ilan</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2260" w:type="dxa"/>
            <w:vAlign w:val="bottom"/>
            <w:gridSpan w:val="2"/>
          </w:tcPr>
          <w:p>
            <w:pPr>
              <w:ind w:left="160"/>
              <w:spacing w:after="0"/>
              <w:rPr>
                <w:sz w:val="20"/>
                <w:szCs w:val="20"/>
                <w:color w:val="auto"/>
              </w:rPr>
            </w:pPr>
            <w:r>
              <w:rPr>
                <w:rFonts w:ascii="Arial" w:cs="Arial" w:eastAsia="Arial" w:hAnsi="Arial"/>
                <w:sz w:val="14"/>
                <w:szCs w:val="14"/>
                <w:color w:val="auto"/>
              </w:rPr>
              <w:t>1j. Ronald Kirk</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29"/>
        </w:trPr>
        <w:tc>
          <w:tcPr>
            <w:tcW w:w="2260" w:type="dxa"/>
            <w:vAlign w:val="bottom"/>
            <w:gridSpan w:val="2"/>
          </w:tcPr>
          <w:p>
            <w:pPr>
              <w:ind w:left="160"/>
              <w:spacing w:after="0"/>
              <w:rPr>
                <w:sz w:val="20"/>
                <w:szCs w:val="20"/>
                <w:color w:val="auto"/>
              </w:rPr>
            </w:pPr>
            <w:r>
              <w:rPr>
                <w:rFonts w:ascii="Arial" w:cs="Arial" w:eastAsia="Arial" w:hAnsi="Arial"/>
                <w:sz w:val="14"/>
                <w:szCs w:val="14"/>
                <w:color w:val="auto"/>
              </w:rPr>
              <w:t>1k. Pamela Patsley</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2260" w:type="dxa"/>
            <w:vAlign w:val="bottom"/>
            <w:gridSpan w:val="2"/>
          </w:tcPr>
          <w:p>
            <w:pPr>
              <w:ind w:left="160"/>
              <w:spacing w:after="0"/>
              <w:rPr>
                <w:sz w:val="20"/>
                <w:szCs w:val="20"/>
                <w:color w:val="auto"/>
              </w:rPr>
            </w:pPr>
            <w:r>
              <w:rPr>
                <w:rFonts w:ascii="Arial" w:cs="Arial" w:eastAsia="Arial" w:hAnsi="Arial"/>
                <w:sz w:val="14"/>
                <w:szCs w:val="14"/>
                <w:color w:val="auto"/>
              </w:rPr>
              <w:t>1l. Robert Sanchez</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2"/>
        </w:trPr>
        <w:tc>
          <w:tcPr>
            <w:tcW w:w="2260" w:type="dxa"/>
            <w:vAlign w:val="bottom"/>
            <w:gridSpan w:val="2"/>
          </w:tcPr>
          <w:p>
            <w:pPr>
              <w:ind w:left="160"/>
              <w:spacing w:after="0"/>
              <w:rPr>
                <w:sz w:val="20"/>
                <w:szCs w:val="20"/>
                <w:color w:val="auto"/>
              </w:rPr>
            </w:pPr>
            <w:r>
              <w:rPr>
                <w:rFonts w:ascii="Arial" w:cs="Arial" w:eastAsia="Arial" w:hAnsi="Arial"/>
                <w:sz w:val="14"/>
                <w:szCs w:val="14"/>
                <w:color w:val="auto"/>
              </w:rPr>
              <w:t>1m. Richard Templeton</w:t>
            </w:r>
          </w:p>
        </w:tc>
        <w:tc>
          <w:tcPr>
            <w:tcW w:w="980" w:type="dxa"/>
            <w:vAlign w:val="bottom"/>
          </w:tcPr>
          <w:p>
            <w:pPr>
              <w:jc w:val="center"/>
              <w:ind w:left="28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The Board of Directors recommends you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Proposals 2 and 3.</w:t>
      </w:r>
    </w:p>
    <w:p>
      <w:pPr>
        <w:spacing w:after="0" w:line="20" w:lineRule="exact"/>
        <w:rPr>
          <w:sz w:val="20"/>
          <w:szCs w:val="20"/>
          <w:color w:val="auto"/>
        </w:rPr>
      </w:pPr>
      <w:r>
        <w:rPr>
          <w:sz w:val="20"/>
          <w:szCs w:val="20"/>
          <w:color w:val="auto"/>
        </w:rPr>
        <w:br w:type="column"/>
      </w:r>
    </w:p>
    <w:p>
      <w:pPr>
        <w:jc w:val="both"/>
        <w:ind w:left="3220"/>
        <w:spacing w:after="0"/>
        <w:tabs>
          <w:tab w:leader="none" w:pos="3740" w:val="left"/>
          <w:tab w:leader="none" w:pos="44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tab/>
        <w:t>Abstain</w:t>
      </w:r>
    </w:p>
    <w:p>
      <w:pPr>
        <w:spacing w:after="0" w:line="35" w:lineRule="exact"/>
        <w:rPr>
          <w:sz w:val="20"/>
          <w:szCs w:val="20"/>
          <w:color w:val="auto"/>
        </w:rPr>
      </w:pPr>
    </w:p>
    <w:p>
      <w:pPr>
        <w:spacing w:after="0" w:line="161" w:lineRule="exact"/>
        <w:tabs>
          <w:tab w:leader="none" w:pos="3240" w:val="left"/>
          <w:tab w:leader="none" w:pos="3940" w:val="left"/>
          <w:tab w:leader="none" w:pos="4640" w:val="left"/>
        </w:tabs>
        <w:rPr>
          <w:sz w:val="20"/>
          <w:szCs w:val="20"/>
          <w:color w:val="auto"/>
        </w:rPr>
      </w:pPr>
      <w:r>
        <w:rPr>
          <w:rFonts w:ascii="Arial" w:cs="Arial" w:eastAsia="Arial" w:hAnsi="Arial"/>
          <w:sz w:val="14"/>
          <w:szCs w:val="14"/>
          <w:color w:val="auto"/>
        </w:rPr>
        <w:t>3. Board proposal to ratify the appointment of</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Ernst &amp; Young LLP as the Company’s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independent registered public accounting firm</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for 2025.</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Board of Directors recommends you vote </w:t>
      </w:r>
      <w:r>
        <w:rPr>
          <w:rFonts w:ascii="Arial" w:cs="Arial" w:eastAsia="Arial" w:hAnsi="Arial"/>
          <w:sz w:val="14"/>
          <w:szCs w:val="14"/>
          <w:b w:val="1"/>
          <w:bCs w:val="1"/>
          <w:color w:val="auto"/>
        </w:rPr>
        <w:t>AGAINST</w:t>
      </w:r>
      <w:r>
        <w:rPr>
          <w:rFonts w:ascii="Arial" w:cs="Arial" w:eastAsia="Arial" w:hAnsi="Arial"/>
          <w:sz w:val="14"/>
          <w:szCs w:val="14"/>
          <w:color w:val="auto"/>
        </w:rPr>
        <w:t xml:space="preserve"> Proposal 4.</w:t>
      </w:r>
    </w:p>
    <w:p>
      <w:pPr>
        <w:spacing w:after="0" w:line="69" w:lineRule="exact"/>
        <w:rPr>
          <w:sz w:val="20"/>
          <w:szCs w:val="20"/>
          <w:color w:val="auto"/>
        </w:rPr>
      </w:pPr>
    </w:p>
    <w:p>
      <w:pPr>
        <w:jc w:val="both"/>
        <w:ind w:left="3220"/>
        <w:spacing w:after="0"/>
        <w:tabs>
          <w:tab w:leader="none" w:pos="3740" w:val="left"/>
          <w:tab w:leader="none" w:pos="44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tab/>
        <w:t>Abstain</w:t>
      </w:r>
    </w:p>
    <w:p>
      <w:pPr>
        <w:spacing w:after="0" w:line="35" w:lineRule="exact"/>
        <w:rPr>
          <w:sz w:val="20"/>
          <w:szCs w:val="20"/>
          <w:color w:val="auto"/>
        </w:rPr>
      </w:pPr>
    </w:p>
    <w:p>
      <w:pPr>
        <w:spacing w:after="0" w:line="161" w:lineRule="exact"/>
        <w:tabs>
          <w:tab w:leader="none" w:pos="3240" w:val="left"/>
          <w:tab w:leader="none" w:pos="3940" w:val="left"/>
          <w:tab w:leader="none" w:pos="4640" w:val="left"/>
        </w:tabs>
        <w:rPr>
          <w:sz w:val="20"/>
          <w:szCs w:val="20"/>
          <w:color w:val="auto"/>
        </w:rPr>
      </w:pPr>
      <w:r>
        <w:rPr>
          <w:rFonts w:ascii="Arial" w:cs="Arial" w:eastAsia="Arial" w:hAnsi="Arial"/>
          <w:sz w:val="14"/>
          <w:szCs w:val="14"/>
          <w:color w:val="auto"/>
        </w:rPr>
        <w:t>4. Stockholder proposal to permit a combined</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10% of stockholders to call a special meeting.</w:t>
      </w:r>
    </w:p>
    <w:p>
      <w:pPr>
        <w:spacing w:after="0" w:line="271" w:lineRule="exact"/>
        <w:rPr>
          <w:sz w:val="20"/>
          <w:szCs w:val="20"/>
          <w:color w:val="auto"/>
        </w:rPr>
      </w:pPr>
    </w:p>
    <w:p>
      <w:pPr>
        <w:ind w:right="400"/>
        <w:spacing w:after="0" w:line="305" w:lineRule="auto"/>
        <w:rPr>
          <w:sz w:val="20"/>
          <w:szCs w:val="20"/>
          <w:color w:val="auto"/>
        </w:rPr>
      </w:pPr>
      <w:r>
        <w:rPr>
          <w:rFonts w:ascii="Arial" w:cs="Arial" w:eastAsia="Arial" w:hAnsi="Arial"/>
          <w:sz w:val="14"/>
          <w:szCs w:val="14"/>
          <w:b w:val="1"/>
          <w:bCs w:val="1"/>
          <w:color w:val="auto"/>
        </w:rPr>
        <w:t>NOTE</w:t>
      </w:r>
      <w:r>
        <w:rPr>
          <w:rFonts w:ascii="Arial" w:cs="Arial" w:eastAsia="Arial" w:hAnsi="Arial"/>
          <w:sz w:val="14"/>
          <w:szCs w:val="14"/>
          <w:color w:val="auto"/>
        </w:rPr>
        <w:t>: Such other business as may properly come before the meeting or any</w:t>
      </w:r>
      <w:r>
        <w:rPr>
          <w:rFonts w:ascii="Arial" w:cs="Arial" w:eastAsia="Arial" w:hAnsi="Arial"/>
          <w:sz w:val="14"/>
          <w:szCs w:val="14"/>
          <w:b w:val="1"/>
          <w:bCs w:val="1"/>
          <w:color w:val="auto"/>
        </w:rPr>
        <w:t xml:space="preserve"> </w:t>
      </w:r>
      <w:r>
        <w:rPr>
          <w:rFonts w:ascii="Arial" w:cs="Arial" w:eastAsia="Arial" w:hAnsi="Arial"/>
          <w:sz w:val="14"/>
          <w:szCs w:val="14"/>
          <w:color w:val="auto"/>
        </w:rPr>
        <w:t>adjournment thereof.</w:t>
      </w:r>
    </w:p>
    <w:p>
      <w:pPr>
        <w:spacing w:after="0" w:line="1616" w:lineRule="exact"/>
        <w:rPr>
          <w:sz w:val="20"/>
          <w:szCs w:val="20"/>
          <w:color w:val="auto"/>
        </w:rPr>
      </w:pPr>
    </w:p>
    <w:p>
      <w:pPr>
        <w:sectPr>
          <w:pgSz w:w="11900" w:h="16838" w:orient="portrait"/>
          <w:cols w:equalWidth="0" w:num="2">
            <w:col w:w="5160" w:space="720"/>
            <w:col w:w="5320"/>
          </w:cols>
          <w:pgMar w:left="320" w:top="1440" w:right="379" w:bottom="1440" w:gutter="0" w:footer="0" w:header="0"/>
          <w:type w:val="continuous"/>
        </w:sectPr>
      </w:pPr>
    </w:p>
    <w:p>
      <w:pPr>
        <w:ind w:left="2840"/>
        <w:spacing w:after="0"/>
        <w:tabs>
          <w:tab w:leader="none" w:pos="3460" w:val="left"/>
          <w:tab w:leader="none" w:pos="42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4"/>
          <w:szCs w:val="14"/>
          <w:b w:val="1"/>
          <w:bCs w:val="1"/>
          <w:color w:val="auto"/>
        </w:rPr>
        <w:t>Abstain</w:t>
      </w:r>
    </w:p>
    <w:p>
      <w:pPr>
        <w:spacing w:after="0" w:line="35" w:lineRule="exact"/>
        <w:rPr>
          <w:sz w:val="20"/>
          <w:szCs w:val="20"/>
          <w:color w:val="auto"/>
        </w:rPr>
      </w:pPr>
    </w:p>
    <w:p>
      <w:pPr>
        <w:ind w:left="20"/>
        <w:spacing w:after="0" w:line="161" w:lineRule="exact"/>
        <w:tabs>
          <w:tab w:leader="none" w:pos="2860" w:val="left"/>
          <w:tab w:leader="none" w:pos="3640" w:val="left"/>
          <w:tab w:leader="none" w:pos="4420" w:val="left"/>
        </w:tabs>
        <w:rPr>
          <w:sz w:val="20"/>
          <w:szCs w:val="20"/>
          <w:color w:val="auto"/>
        </w:rPr>
      </w:pPr>
      <w:r>
        <w:rPr>
          <w:rFonts w:ascii="Arial" w:cs="Arial" w:eastAsia="Arial" w:hAnsi="Arial"/>
          <w:sz w:val="14"/>
          <w:szCs w:val="14"/>
          <w:color w:val="auto"/>
        </w:rPr>
        <w:t>2. Board proposal regarding advisory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approval of the Company’s executive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compensation.</w:t>
      </w:r>
    </w:p>
    <w:p>
      <w:pPr>
        <w:spacing w:after="0" w:line="230"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Please sign exactly as your name(s) appear(s) hereon. When signing as an attorney, executor, administrator, or other fiduciary, please give full title as such. Joint owners should each sign personally. All holders must sign. If a corporation or partnership, please sign in full corporate or partnership name by an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40575" cy="2482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0575" cy="24828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80"/>
        <w:spacing w:after="0"/>
        <w:tabs>
          <w:tab w:leader="none" w:pos="3600" w:val="left"/>
          <w:tab w:leader="none" w:pos="6060" w:val="left"/>
          <w:tab w:leader="none" w:pos="96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2942590</wp:posOffset>
            </wp:positionH>
            <wp:positionV relativeFrom="page">
              <wp:posOffset>749300</wp:posOffset>
            </wp:positionV>
            <wp:extent cx="1671320" cy="5829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6713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ANNUAL MEETING OF STOCKHOLDERS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APRIL 17, 2025</w:t>
      </w:r>
    </w:p>
    <w:p>
      <w:pPr>
        <w:spacing w:after="0" w:line="234" w:lineRule="exact"/>
        <w:rPr>
          <w:sz w:val="20"/>
          <w:szCs w:val="20"/>
          <w:color w:val="auto"/>
        </w:rPr>
      </w:pPr>
    </w:p>
    <w:p>
      <w:pPr>
        <w:jc w:val="both"/>
        <w:ind w:left="540" w:right="560"/>
        <w:spacing w:after="0" w:line="259" w:lineRule="auto"/>
        <w:rPr>
          <w:sz w:val="20"/>
          <w:szCs w:val="20"/>
          <w:color w:val="auto"/>
        </w:rPr>
      </w:pPr>
      <w:r>
        <w:rPr>
          <w:rFonts w:ascii="Arial" w:cs="Arial" w:eastAsia="Arial" w:hAnsi="Arial"/>
          <w:sz w:val="18"/>
          <w:szCs w:val="18"/>
          <w:color w:val="auto"/>
        </w:rPr>
        <w:t>You are invited to attend the 2025 annual meeting of stockholders on Thursday, April 17, 2025, in the auditorium on our property at 12500 TI Boulevard, Dallas, Texas, at 8:30 a.m. (Central time). At the meeting we will consider the election of directors, advisory approval of the Company’s executive compensation, ratification of the appointment of Ernst &amp; Young LLP as the Company’s independent registered public accounting firm for 2025, one stockholder proposal, if properly presented, and such other matters as may properly come before the meeting.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Electronic Delivery of Proxy Materials</w:t>
      </w:r>
    </w:p>
    <w:p>
      <w:pPr>
        <w:spacing w:after="0" w:line="225" w:lineRule="exact"/>
        <w:rPr>
          <w:sz w:val="20"/>
          <w:szCs w:val="20"/>
          <w:color w:val="auto"/>
        </w:rPr>
      </w:pPr>
    </w:p>
    <w:p>
      <w:pPr>
        <w:jc w:val="both"/>
        <w:ind w:left="540" w:right="560"/>
        <w:spacing w:after="0" w:line="268" w:lineRule="auto"/>
        <w:rPr>
          <w:sz w:val="20"/>
          <w:szCs w:val="20"/>
          <w:color w:val="auto"/>
        </w:rPr>
      </w:pPr>
      <w:r>
        <w:rPr>
          <w:rFonts w:ascii="Arial" w:cs="Arial" w:eastAsia="Arial" w:hAnsi="Arial"/>
          <w:sz w:val="18"/>
          <w:szCs w:val="18"/>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 or enroll at https://enroll.icsdelivery.com/TXN.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2025 Notice and Proxy Statement and 2024 Annual Report are also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199390</wp:posOffset>
            </wp:positionV>
            <wp:extent cx="7132320" cy="37757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77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PROXY FOR ANNUAL MEETING</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HELD APRIL 17, 2025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undersigned hereby appoints TODD BLUEDORN, RICHARD TEMPLETON, HAVIV ILAN, KATIE KANE, or any one or more of them, the true and lawful attorneys of the undersigned with power of substitution, to vote as proxies for the undersigned at the annual meeting of stockholders of Texas Instruments Incorporated to be held in Dallas, Texas, on April 17, 2025, at 8:30 a.m. (Central time) and at any or all adjournments thereof, according to the number of shares of common stock that the undersigned would be entitled to vote if then personally present, in the election of directors, upon the board proposals and upon other matters properly coming before the meeting. </w:t>
      </w:r>
      <w:r>
        <w:rPr>
          <w:rFonts w:ascii="Arial" w:cs="Arial" w:eastAsia="Arial" w:hAnsi="Arial"/>
          <w:sz w:val="18"/>
          <w:szCs w:val="18"/>
          <w:b w:val="1"/>
          <w:bCs w:val="1"/>
          <w:color w:val="auto"/>
        </w:rPr>
        <w:t>If</w:t>
      </w:r>
      <w:r>
        <w:rPr>
          <w:rFonts w:ascii="Arial" w:cs="Arial" w:eastAsia="Arial" w:hAnsi="Arial"/>
          <w:sz w:val="18"/>
          <w:szCs w:val="18"/>
          <w:color w:val="auto"/>
        </w:rPr>
        <w:t xml:space="preserve"> </w:t>
      </w:r>
      <w:r>
        <w:rPr>
          <w:rFonts w:ascii="Arial" w:cs="Arial" w:eastAsia="Arial" w:hAnsi="Arial"/>
          <w:sz w:val="18"/>
          <w:szCs w:val="18"/>
          <w:b w:val="1"/>
          <w:bCs w:val="1"/>
          <w:color w:val="auto"/>
        </w:rPr>
        <w:t>no contrary indication is made, this proxy will be voted FOR the election of each director nominee, FOR Proposals 2 and 3, and AGAINST Proposal 4</w:t>
      </w:r>
      <w:r>
        <w:rPr>
          <w:rFonts w:ascii="Arial" w:cs="Arial" w:eastAsia="Arial" w:hAnsi="Arial"/>
          <w:sz w:val="18"/>
          <w:szCs w:val="18"/>
          <w:color w:val="auto"/>
        </w:rPr>
        <w:t>. If other matters come before the meeting, this proxy will be voted in the discretion of the named proxies.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unless otherwise required by law. If the trustee does not receive voting instructions for TI shares under the plans by April 14, 2025, those shares will be voted, in accordance with the terms of plans, in the same proportion as the shares for which voting instructions have been received unless otherwise required by law. If other matters come before the meeting, the named proxies will vote plan shares on those matters in their discretion.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 On the reverse side of this card are procedures on how to vote the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consider voting by Internet or telephone.</w:t>
      </w:r>
    </w:p>
    <w:sectPr>
      <w:pgSz w:w="11900" w:h="16838" w:orient="portrait"/>
      <w:cols w:equalWidth="0" w:num="1">
        <w:col w:w="11000"/>
      </w:cols>
      <w:pgMar w:left="4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30">
    <w:nsid w:val="354FE9F9"/>
    <w:multiLevelType w:val="hybridMultilevel"/>
    <w:lvl w:ilvl="0">
      <w:lvlJc w:val="left"/>
      <w:lvlText w:val="%1."/>
      <w:numFmt w:val="upperLetter"/>
      <w:start w:val="2"/>
    </w:lvl>
    <w:lvl w:ilvl="1">
      <w:lvlJc w:val="left"/>
      <w:lvlText w:val="%2."/>
      <w:numFmt w:val="decimal"/>
      <w:start w:val="1"/>
    </w:lvl>
  </w:abstractNum>
  <w:abstractNum w:abstractNumId="31">
    <w:nsid w:val="15B5AF5C"/>
    <w:multiLevelType w:val="hybridMultilevel"/>
    <w:lvl w:ilvl="0">
      <w:lvlJc w:val="left"/>
      <w:lvlText w:val="•"/>
      <w:numFmt w:val="bullet"/>
      <w:start w:val="1"/>
    </w:lvl>
    <w:lvl w:ilvl="1">
      <w:lvlJc w:val="left"/>
      <w:lvlText w:val="◦"/>
      <w:numFmt w:val="bullet"/>
      <w:start w:val="1"/>
    </w:lvl>
  </w:abstractNum>
  <w:abstractNum w:abstractNumId="32">
    <w:nsid w:val="741226BB"/>
    <w:multiLevelType w:val="hybridMultilevel"/>
    <w:lvl w:ilvl="0">
      <w:lvlJc w:val="left"/>
      <w:lvlText w:val="•"/>
      <w:numFmt w:val="bullet"/>
      <w:start w:val="1"/>
    </w:lvl>
    <w:lvl w:ilvl="1">
      <w:lvlJc w:val="left"/>
      <w:lvlText w:val="◦"/>
      <w:numFmt w:val="bullet"/>
      <w:start w:val="1"/>
    </w:lvl>
  </w:abstractNum>
  <w:abstractNum w:abstractNumId="33">
    <w:nsid w:val="D34B6A8"/>
    <w:multiLevelType w:val="hybridMultilevel"/>
    <w:lvl w:ilvl="0">
      <w:lvlJc w:val="left"/>
      <w:lvlText w:val="•"/>
      <w:numFmt w:val="bullet"/>
      <w:start w:val="1"/>
    </w:lvl>
    <w:lvl w:ilvl="1">
      <w:lvlJc w:val="left"/>
      <w:lvlText w:val="◦"/>
      <w:numFmt w:val="bullet"/>
      <w:start w:val="1"/>
    </w:lvl>
  </w:abstractNum>
  <w:abstractNum w:abstractNumId="34">
    <w:nsid w:val="10233C99"/>
    <w:multiLevelType w:val="hybridMultilevel"/>
    <w:lvl w:ilvl="0">
      <w:lvlJc w:val="left"/>
      <w:lvlText w:val="•"/>
      <w:numFmt w:val="bullet"/>
      <w:start w:val="1"/>
    </w:lvl>
    <w:lvl w:ilvl="1">
      <w:lvlJc w:val="left"/>
      <w:lvlText w:val="◦"/>
      <w:numFmt w:val="bullet"/>
      <w:start w:val="1"/>
    </w:lvl>
  </w:abstractNum>
  <w:abstractNum w:abstractNumId="35">
    <w:nsid w:val="3F6AB60F"/>
    <w:multiLevelType w:val="hybridMultilevel"/>
    <w:lvl w:ilvl="0">
      <w:lvlJc w:val="left"/>
      <w:lvlText w:val="•"/>
      <w:numFmt w:val="bullet"/>
      <w:start w:val="1"/>
    </w:lvl>
    <w:lvl w:ilvl="1">
      <w:lvlJc w:val="left"/>
      <w:lvlText w:val="◦"/>
      <w:numFmt w:val="bullet"/>
      <w:start w:val="1"/>
    </w:lvl>
  </w:abstractNum>
  <w:abstractNum w:abstractNumId="36">
    <w:nsid w:val="61574095"/>
    <w:multiLevelType w:val="hybridMultilevel"/>
    <w:lvl w:ilvl="0">
      <w:lvlJc w:val="left"/>
      <w:lvlText w:val="(%1)"/>
      <w:numFmt w:val="lowerRoman"/>
      <w:start w:val="2"/>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1)"/>
      <w:numFmt w:val="decimal"/>
      <w:start w:val="1"/>
    </w:lvl>
  </w:abstractNum>
  <w:abstractNum w:abstractNumId="41">
    <w:nsid w:val="5FF87E05"/>
    <w:multiLevelType w:val="hybridMultilevel"/>
    <w:lvl w:ilvl="0">
      <w:lvlJc w:val="left"/>
      <w:lvlText w:val="(%1)"/>
      <w:numFmt w:val="decimal"/>
      <w:start w:val="4"/>
    </w:lvl>
  </w:abstractNum>
  <w:abstractNum w:abstractNumId="42">
    <w:nsid w:val="2F305DEF"/>
    <w:multiLevelType w:val="hybridMultilevel"/>
    <w:lvl w:ilvl="0">
      <w:lvlJc w:val="left"/>
      <w:lvlText w:val="(%1)"/>
      <w:numFmt w:val="decimal"/>
      <w:start w:val="5"/>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lvl w:ilvl="1">
      <w:lvlJc w:val="left"/>
      <w:lvlText w:val="*"/>
      <w:numFmt w:val="bullet"/>
      <w:start w:val="1"/>
    </w:lvl>
  </w:abstractNum>
  <w:abstractNum w:abstractNumId="47">
    <w:nsid w:val="1381823A"/>
    <w:multiLevelType w:val="hybridMultilevel"/>
    <w:lvl w:ilvl="0">
      <w:lvlJc w:val="left"/>
      <w:lvlText w:val="1"/>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1)"/>
      <w:numFmt w:val="lowerRoman"/>
      <w:start w:val="2"/>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lvl w:ilvl="1">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lvl w:ilvl="1">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lvl w:ilvl="1">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1)"/>
      <w:numFmt w:val="decimal"/>
      <w:start w:val="1"/>
    </w:lvl>
  </w:abstractNum>
  <w:abstractNum w:abstractNumId="62">
    <w:nsid w:val="7BD3EE7B"/>
    <w:multiLevelType w:val="hybridMultilevel"/>
    <w:lvl w:ilvl="0">
      <w:lvlJc w:val="left"/>
      <w:lvlText w:val="(%1)"/>
      <w:numFmt w:val="decimal"/>
      <w:start w:val="3"/>
    </w:lvl>
  </w:abstractNum>
  <w:abstractNum w:abstractNumId="63">
    <w:nsid w:val="51D9C564"/>
    <w:multiLevelType w:val="hybridMultilevel"/>
    <w:lvl w:ilvl="0">
      <w:lvlJc w:val="left"/>
      <w:lvlText w:val="(%1)"/>
      <w:numFmt w:val="lowerLetter"/>
      <w:start w:val="1"/>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1"/>
    </w:lvl>
  </w:abstractNum>
  <w:abstractNum w:abstractNumId="66">
    <w:nsid w:val="11447B73"/>
    <w:multiLevelType w:val="hybridMultilevel"/>
    <w:lvl w:ilvl="0">
      <w:lvlJc w:val="left"/>
      <w:lvlText w:val="(%1)"/>
      <w:numFmt w:val="decimal"/>
      <w:start w:val="3"/>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1)"/>
      <w:numFmt w:val="lowerRoman"/>
      <w:start w:val="1"/>
    </w:lvl>
  </w:abstractNum>
  <w:abstractNum w:abstractNumId="69">
    <w:nsid w:val="8F2B15E"/>
    <w:multiLevelType w:val="hybridMultilevel"/>
    <w:lvl w:ilvl="0">
      <w:lvlJc w:val="left"/>
      <w:lvlText w:val="(%1)"/>
      <w:numFmt w:val="decimal"/>
      <w:start w:val="1"/>
    </w:lvl>
  </w:abstractNum>
  <w:abstractNum w:abstractNumId="70">
    <w:nsid w:val="1A32234B"/>
    <w:multiLevelType w:val="hybridMultilevel"/>
    <w:lvl w:ilvl="0">
      <w:lvlJc w:val="left"/>
      <w:lvlText w:val="(%1)"/>
      <w:numFmt w:val="decimal"/>
      <w:start w:val="1"/>
    </w:lvl>
  </w:abstractNum>
  <w:abstractNum w:abstractNumId="71">
    <w:nsid w:val="3B0FD379"/>
    <w:multiLevelType w:val="hybridMultilevel"/>
    <w:lvl w:ilvl="0">
      <w:lvlJc w:val="left"/>
      <w:lvlText w:val="(%1)"/>
      <w:numFmt w:val="lowerRoman"/>
      <w:start w:val="1"/>
    </w:lvl>
  </w:abstractNum>
  <w:abstractNum w:abstractNumId="72">
    <w:nsid w:val="68EB2F63"/>
    <w:multiLevelType w:val="hybridMultilevel"/>
    <w:lvl w:ilvl="0">
      <w:lvlJc w:val="left"/>
      <w:lvlText w:val="(%1)"/>
      <w:numFmt w:val="decimal"/>
      <w:start w:val="1"/>
    </w:lvl>
  </w:abstractNum>
  <w:abstractNum w:abstractNumId="73">
    <w:nsid w:val="4962813B"/>
    <w:multiLevelType w:val="hybridMultilevel"/>
    <w:lvl w:ilvl="0">
      <w:lvlJc w:val="left"/>
      <w:lvlText w:val="(%1)"/>
      <w:numFmt w:val="decimal"/>
      <w:start w:val="7"/>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1)"/>
      <w:numFmt w:val="decimal"/>
      <w:start w:val="1"/>
    </w:lvl>
  </w:abstractNum>
  <w:abstractNum w:abstractNumId="76">
    <w:nsid w:val="14330624"/>
    <w:multiLevelType w:val="hybridMultilevel"/>
    <w:lvl w:ilvl="0">
      <w:lvlJc w:val="left"/>
      <w:lvlText w:val="(%1)"/>
      <w:numFmt w:val="decimal"/>
      <w:start w:val="5"/>
    </w:lvl>
  </w:abstractNum>
  <w:abstractNum w:abstractNumId="77">
    <w:nsid w:val="7FFFCA11"/>
    <w:multiLevelType w:val="hybridMultilevel"/>
    <w:lvl w:ilvl="0">
      <w:lvlJc w:val="left"/>
      <w:lvlText w:val="1"/>
      <w:numFmt w:val="bullet"/>
      <w:start w:val="1"/>
    </w:lvl>
  </w:abstractNum>
  <w:abstractNum w:abstractNumId="78">
    <w:nsid w:val="1A27709E"/>
    <w:multiLevelType w:val="hybridMultilevel"/>
    <w:lvl w:ilvl="0">
      <w:lvlJc w:val="left"/>
      <w:lvlText w:val="(%1)"/>
      <w:numFmt w:val="decimal"/>
      <w:start w:val="1"/>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1)"/>
      <w:numFmt w:val="decimal"/>
      <w:start w:val="1"/>
    </w:lvl>
  </w:abstractNum>
  <w:abstractNum w:abstractNumId="81">
    <w:nsid w:val="7FB7E0AA"/>
    <w:multiLevelType w:val="hybridMultilevel"/>
    <w:lvl w:ilvl="0">
      <w:lvlJc w:val="left"/>
      <w:lvlText w:val="%1"/>
      <w:numFmt w:val="decimal"/>
      <w:start w:val="1"/>
    </w:lvl>
    <w:lvl w:ilvl="1">
      <w:lvlJc w:val="left"/>
      <w:lvlText w:val="(%2)"/>
      <w:numFmt w:val="lowerLetter"/>
      <w:start w:val="1"/>
    </w:lvl>
  </w:abstractNum>
  <w:abstractNum w:abstractNumId="82">
    <w:nsid w:val="6EB5BD4"/>
    <w:multiLevelType w:val="hybridMultilevel"/>
    <w:lvl w:ilvl="0">
      <w:lvlJc w:val="left"/>
      <w:lvlText w:val="(%1)"/>
      <w:numFmt w:val="decimal"/>
      <w:start w:val="2"/>
    </w:lvl>
    <w:lvl w:ilvl="1">
      <w:lvlJc w:val="left"/>
      <w:lvlText w:val="%2"/>
      <w:numFmt w:val="lowerLetter"/>
      <w:start w:val="1"/>
    </w:lvl>
  </w:abstractNum>
  <w:abstractNum w:abstractNumId="83">
    <w:nsid w:val="6F6DD9AC"/>
    <w:multiLevelType w:val="hybridMultilevel"/>
    <w:lvl w:ilvl="0">
      <w:lvlJc w:val="left"/>
      <w:lvlText w:val="(%1)"/>
      <w:numFmt w:val="decimal"/>
      <w:start w:val="5"/>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
      <w:numFmt w:val="bullet"/>
      <w:start w:val="1"/>
    </w:lvl>
    <w:lvl w:ilvl="1">
      <w:lvlJc w:val="left"/>
      <w:lvlText w:val="◦"/>
      <w:numFmt w:val="bullet"/>
      <w:start w:val="1"/>
    </w:lvl>
  </w:abstractNum>
  <w:abstractNum w:abstractNumId="86">
    <w:nsid w:val="7627211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2025-03-05T15:23:55Z</dcterms:created>
  <dcterms:modified xsi:type="dcterms:W3CDTF">2025-03-05T15:23:55Z</dcterms:modified>
</cp:coreProperties>
</file>