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8188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18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2">
            <w:col w:w="3760" w:space="160"/>
            <w:col w:w="716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6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1,077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1,133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104.41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15,273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978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16,251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168.1639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15,787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169.1867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14,942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170.4414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14,307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171.4026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172.3225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(6)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(7)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3,046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(8)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1,200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(9)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1,077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1,133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1,133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01/24/2030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$167.65 to $168.48.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$168.775 to $169.69.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$169.985 to $170.915.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$171.01 to $171.89.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$172.055 to $172.68. The Issuer undertakes to provide upon request a detailed breakout of the sale prices and the number of shares sold at each price.</w:t>
      </w:r>
    </w:p>
    <w:p>
      <w:pPr>
        <w:sectPr>
          <w:pgSz w:w="11900" w:h="16889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trustee. Beneficial ownership by reporting person disclaimed.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the reporting person. Reporting person is the sole trustee.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24, 2021.</w:t>
      </w:r>
    </w:p>
    <w:p>
      <w:pPr>
        <w:ind w:left="6560"/>
        <w:spacing w:after="0" w:line="1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02/08/2022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5559425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2022-02-08T16:56:21Z</dcterms:created>
  <dcterms:modified xsi:type="dcterms:W3CDTF">2022-02-08T16:56:21Z</dcterms:modified>
</cp:coreProperties>
</file>