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SECURITIES AND EXCHANGE COMMISSION</w:t>
      </w:r>
    </w:p>
    <w:p>
      <w:pPr>
        <w:ind w:left="478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519430</wp:posOffset>
            </wp:positionV>
            <wp:extent cx="21869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FORM 8-K</w:t>
      </w:r>
    </w:p>
    <w:p>
      <w:pPr>
        <w:spacing w:after="0" w:line="215"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CURRENT REPORT PURSUANT TO SECTION 13 OR 15(d)</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ind w:left="2560"/>
        <w:spacing w:after="0"/>
        <w:rPr>
          <w:sz w:val="20"/>
          <w:szCs w:val="20"/>
          <w:color w:val="auto"/>
        </w:rPr>
      </w:pPr>
      <w:r>
        <w:rPr>
          <w:rFonts w:ascii="Arial" w:cs="Arial" w:eastAsia="Arial" w:hAnsi="Arial"/>
          <w:sz w:val="17"/>
          <w:szCs w:val="17"/>
          <w:b w:val="1"/>
          <w:bCs w:val="1"/>
          <w:color w:val="auto"/>
        </w:rPr>
        <w:t>DATE OF REPORT (DATE OF EARLIEST EVENT REPORTED): June 10,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401955</wp:posOffset>
            </wp:positionV>
            <wp:extent cx="21869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TEXAS INSTRUMENTS INCORPORATED</w:t>
      </w:r>
    </w:p>
    <w:p>
      <w:pPr>
        <w:spacing w:after="0" w:line="40"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0900"/>
          </w:cols>
          <w:pgMar w:left="240" w:top="544" w:right="759" w:bottom="1440" w:gutter="0" w:footer="0" w:header="0"/>
        </w:sectPr>
      </w:pPr>
    </w:p>
    <w:p>
      <w:pPr>
        <w:spacing w:after="0" w:line="200" w:lineRule="exact"/>
        <w:rPr>
          <w:sz w:val="24"/>
          <w:szCs w:val="24"/>
          <w:color w:val="auto"/>
        </w:rPr>
      </w:pPr>
    </w:p>
    <w:p>
      <w:pPr>
        <w:spacing w:after="0" w:line="221"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001-03761</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75-0289970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4040" w:space="720"/>
            <w:col w:w="2760" w:space="720"/>
            <w:col w:w="2660"/>
          </w:cols>
          <w:pgMar w:left="240" w:top="544" w:right="759" w:bottom="1440" w:gutter="0" w:footer="0" w:header="0"/>
          <w:type w:val="continuous"/>
        </w:sectPr>
      </w:pPr>
    </w:p>
    <w:p>
      <w:pPr>
        <w:spacing w:after="0" w:line="30"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8"/>
          <w:szCs w:val="18"/>
          <w:b w:val="1"/>
          <w:bCs w:val="1"/>
          <w:color w:val="auto"/>
        </w:rPr>
        <w:t>DALLAS, TEXAS 75266-0199</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5"/>
          <w:szCs w:val="15"/>
          <w:b w:val="1"/>
          <w:bCs w:val="1"/>
          <w:color w:val="auto"/>
        </w:rPr>
        <w:t>(Address of principal executive offices)</w:t>
      </w:r>
    </w:p>
    <w:p>
      <w:pPr>
        <w:sectPr>
          <w:pgSz w:w="11900" w:h="16838" w:orient="portrait"/>
          <w:cols w:equalWidth="0" w:num="1">
            <w:col w:w="10900"/>
          </w:cols>
          <w:pgMar w:left="240" w:top="544" w:right="759" w:bottom="1440" w:gutter="0" w:footer="0" w:header="0"/>
          <w:type w:val="continuous"/>
        </w:sectPr>
      </w:pPr>
    </w:p>
    <w:p>
      <w:pPr>
        <w:spacing w:after="0" w:line="241" w:lineRule="exact"/>
        <w:rPr>
          <w:sz w:val="24"/>
          <w:szCs w:val="24"/>
          <w:color w:val="auto"/>
        </w:rPr>
      </w:pPr>
    </w:p>
    <w:p>
      <w:pPr>
        <w:ind w:left="3120"/>
        <w:spacing w:after="0"/>
        <w:rPr>
          <w:sz w:val="20"/>
          <w:szCs w:val="20"/>
          <w:color w:val="auto"/>
        </w:rPr>
      </w:pPr>
      <w:r>
        <w:rPr>
          <w:rFonts w:ascii="Arial" w:cs="Arial" w:eastAsia="Arial" w:hAnsi="Arial"/>
          <w:sz w:val="18"/>
          <w:szCs w:val="18"/>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2534920</wp:posOffset>
            </wp:positionH>
            <wp:positionV relativeFrom="paragraph">
              <wp:posOffset>532130</wp:posOffset>
            </wp:positionV>
            <wp:extent cx="21869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869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00"/>
          </w:cols>
          <w:pgMar w:left="240" w:top="544" w:right="7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ITEM 7.01. Regulation FD Disclosure</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Registrant’s news release dated June 10, 2013, regarding the Registrant’s outlook for the second quarter of 2013 is attached hereto as Exhibit 99.</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gridSpan w:val="2"/>
          </w:tcPr>
          <w:p>
            <w:pPr>
              <w:spacing w:after="0"/>
              <w:rPr>
                <w:sz w:val="20"/>
                <w:szCs w:val="20"/>
                <w:color w:val="auto"/>
              </w:rPr>
            </w:pPr>
            <w:r>
              <w:rPr>
                <w:rFonts w:ascii="Arial" w:cs="Arial" w:eastAsia="Arial" w:hAnsi="Arial"/>
                <w:sz w:val="18"/>
                <w:szCs w:val="18"/>
                <w:color w:val="auto"/>
              </w:rPr>
              <w:t>ITEM 9.01. Exhibits</w:t>
            </w:r>
          </w:p>
        </w:tc>
        <w:tc>
          <w:tcPr>
            <w:tcW w:w="9240" w:type="dxa"/>
            <w:vAlign w:val="bottom"/>
          </w:tcPr>
          <w:p>
            <w:pPr>
              <w:spacing w:after="0"/>
              <w:rPr>
                <w:sz w:val="20"/>
                <w:szCs w:val="20"/>
                <w:color w:val="auto"/>
              </w:rPr>
            </w:pPr>
          </w:p>
        </w:tc>
      </w:tr>
      <w:tr>
        <w:trPr>
          <w:trHeight w:val="418"/>
        </w:trPr>
        <w:tc>
          <w:tcPr>
            <w:tcW w:w="2180" w:type="dxa"/>
            <w:vAlign w:val="bottom"/>
            <w:gridSpan w:val="2"/>
          </w:tcPr>
          <w:p>
            <w:pPr>
              <w:spacing w:after="0"/>
              <w:rPr>
                <w:sz w:val="20"/>
                <w:szCs w:val="20"/>
                <w:color w:val="auto"/>
              </w:rPr>
            </w:pPr>
            <w:r>
              <w:rPr>
                <w:rFonts w:ascii="Arial" w:cs="Arial" w:eastAsia="Arial" w:hAnsi="Arial"/>
                <w:sz w:val="18"/>
                <w:szCs w:val="18"/>
                <w:color w:val="auto"/>
              </w:rPr>
              <w:t>Designation</w:t>
            </w:r>
          </w:p>
        </w:tc>
        <w:tc>
          <w:tcPr>
            <w:tcW w:w="9240" w:type="dxa"/>
            <w:vAlign w:val="bottom"/>
          </w:tcPr>
          <w:p>
            <w:pPr>
              <w:spacing w:after="0"/>
              <w:rPr>
                <w:sz w:val="24"/>
                <w:szCs w:val="24"/>
                <w:color w:val="auto"/>
              </w:rPr>
            </w:pP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of Exhibit</w:t>
            </w:r>
          </w:p>
        </w:tc>
        <w:tc>
          <w:tcPr>
            <w:tcW w:w="9240" w:type="dxa"/>
            <w:vAlign w:val="bottom"/>
          </w:tcPr>
          <w:p>
            <w:pPr>
              <w:spacing w:after="0"/>
              <w:rPr>
                <w:sz w:val="18"/>
                <w:szCs w:val="18"/>
                <w:color w:val="auto"/>
              </w:rPr>
            </w:pPr>
          </w:p>
        </w:tc>
      </w:tr>
      <w:tr>
        <w:trPr>
          <w:trHeight w:val="216"/>
        </w:trPr>
        <w:tc>
          <w:tcPr>
            <w:tcW w:w="2180" w:type="dxa"/>
            <w:vAlign w:val="bottom"/>
            <w:gridSpan w:val="2"/>
          </w:tcPr>
          <w:p>
            <w:pPr>
              <w:spacing w:after="0"/>
              <w:rPr>
                <w:sz w:val="20"/>
                <w:szCs w:val="20"/>
                <w:color w:val="auto"/>
              </w:rPr>
            </w:pPr>
            <w:r>
              <w:rPr>
                <w:rFonts w:ascii="Arial" w:cs="Arial" w:eastAsia="Arial" w:hAnsi="Arial"/>
                <w:sz w:val="18"/>
                <w:szCs w:val="18"/>
                <w:color w:val="auto"/>
              </w:rPr>
              <w:t>in this</w:t>
            </w:r>
          </w:p>
        </w:tc>
        <w:tc>
          <w:tcPr>
            <w:tcW w:w="9240" w:type="dxa"/>
            <w:vAlign w:val="bottom"/>
          </w:tcPr>
          <w:p>
            <w:pPr>
              <w:spacing w:after="0"/>
              <w:rPr>
                <w:sz w:val="18"/>
                <w:szCs w:val="18"/>
                <w:color w:val="auto"/>
              </w:rPr>
            </w:pPr>
          </w:p>
        </w:tc>
      </w:tr>
      <w:tr>
        <w:trPr>
          <w:trHeight w:val="237"/>
        </w:trPr>
        <w:tc>
          <w:tcPr>
            <w:tcW w:w="2180" w:type="dxa"/>
            <w:vAlign w:val="bottom"/>
            <w:gridSpan w:val="2"/>
          </w:tcPr>
          <w:p>
            <w:pPr>
              <w:spacing w:after="0"/>
              <w:rPr>
                <w:sz w:val="20"/>
                <w:szCs w:val="20"/>
                <w:color w:val="auto"/>
              </w:rPr>
            </w:pPr>
            <w:r>
              <w:rPr>
                <w:rFonts w:ascii="Arial" w:cs="Arial" w:eastAsia="Arial" w:hAnsi="Arial"/>
                <w:sz w:val="18"/>
                <w:szCs w:val="18"/>
                <w:color w:val="auto"/>
              </w:rPr>
              <w:t>Report</w:t>
            </w:r>
          </w:p>
        </w:tc>
        <w:tc>
          <w:tcPr>
            <w:tcW w:w="9240" w:type="dxa"/>
            <w:vAlign w:val="bottom"/>
          </w:tcPr>
          <w:p>
            <w:pPr>
              <w:spacing w:after="0"/>
              <w:rPr>
                <w:sz w:val="20"/>
                <w:szCs w:val="20"/>
                <w:color w:val="auto"/>
              </w:rPr>
            </w:pPr>
            <w:r>
              <w:rPr>
                <w:rFonts w:ascii="Arial" w:cs="Arial" w:eastAsia="Arial" w:hAnsi="Arial"/>
                <w:sz w:val="18"/>
                <w:szCs w:val="18"/>
                <w:color w:val="auto"/>
              </w:rPr>
              <w:t>Description of Exhibit</w:t>
            </w:r>
          </w:p>
        </w:tc>
      </w:tr>
      <w:tr>
        <w:trPr>
          <w:trHeight w:val="202"/>
        </w:trPr>
        <w:tc>
          <w:tcPr>
            <w:tcW w:w="13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99</w:t>
            </w:r>
          </w:p>
        </w:tc>
        <w:tc>
          <w:tcPr>
            <w:tcW w:w="860" w:type="dxa"/>
            <w:vAlign w:val="bottom"/>
          </w:tcPr>
          <w:p>
            <w:pPr>
              <w:spacing w:after="0"/>
              <w:rPr>
                <w:sz w:val="17"/>
                <w:szCs w:val="17"/>
                <w:color w:val="auto"/>
              </w:rPr>
            </w:pPr>
          </w:p>
        </w:tc>
        <w:tc>
          <w:tcPr>
            <w:tcW w:w="92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Registrant’s News Release</w:t>
            </w:r>
          </w:p>
        </w:tc>
      </w:tr>
      <w:tr>
        <w:trPr>
          <w:trHeight w:val="230"/>
        </w:trPr>
        <w:tc>
          <w:tcPr>
            <w:tcW w:w="1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Dated June 10, 2013 (furnished pursuant to Item 7.01)</w:t>
            </w:r>
          </w:p>
        </w:tc>
      </w:tr>
    </w:tbl>
    <w:p>
      <w:pPr>
        <w:sectPr>
          <w:pgSz w:w="11900" w:h="16838" w:orient="portrait"/>
          <w:cols w:equalWidth="0" w:num="1">
            <w:col w:w="11420"/>
          </w:cols>
          <w:pgMar w:left="240" w:top="517"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60" w:val="left"/>
          <w:tab w:leader="none" w:pos="6260" w:val="left"/>
        </w:tabs>
        <w:rPr>
          <w:sz w:val="20"/>
          <w:szCs w:val="20"/>
          <w:color w:val="auto"/>
        </w:rPr>
      </w:pPr>
      <w:r>
        <w:rPr>
          <w:rFonts w:ascii="Arial" w:cs="Arial" w:eastAsia="Arial" w:hAnsi="Arial"/>
          <w:sz w:val="18"/>
          <w:szCs w:val="18"/>
          <w:color w:val="auto"/>
        </w:rPr>
        <w:t>Date: June 10,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14605</wp:posOffset>
            </wp:positionV>
            <wp:extent cx="32670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Kevin P. March</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80"/>
          </w:cols>
          <w:pgMar w:left="240" w:top="1003" w:right="379" w:bottom="1440" w:gutter="0" w:footer="0" w:header="0"/>
        </w:sectPr>
      </w:pPr>
    </w:p>
    <w:bookmarkStart w:id="3" w:name="page4"/>
    <w:bookmarkEnd w:id="3"/>
    <w:p>
      <w:pPr>
        <w:jc w:val="center"/>
        <w:spacing w:after="0"/>
        <w:rPr>
          <w:sz w:val="20"/>
          <w:szCs w:val="20"/>
          <w:color w:val="auto"/>
        </w:rPr>
      </w:pPr>
      <w:r>
        <w:rPr>
          <w:rFonts w:ascii="Arial" w:cs="Arial" w:eastAsia="Arial" w:hAnsi="Arial"/>
          <w:sz w:val="22"/>
          <w:szCs w:val="22"/>
          <w:b w:val="1"/>
          <w:bCs w:val="1"/>
          <w:color w:val="auto"/>
        </w:rPr>
        <w:t>TI updates second-quarter 2013 business outlook</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Conference call on TI website at 4 p.m. Central time today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www.ti.com/ir</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DALLAS (June 10, 2013) – In a scheduled update to its business outlook for the second quarter of 2013, Texas Instruments Incorporated (TI) (NASDAQ:</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TXN) today narrowed its expected ranges for revenue and earnings per share (EPS).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expects its financial results to be within the following ranges:</w:t>
      </w:r>
    </w:p>
    <w:p>
      <w:pPr>
        <w:spacing w:after="0" w:line="252" w:lineRule="exact"/>
        <w:rPr>
          <w:sz w:val="20"/>
          <w:szCs w:val="20"/>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$2.99 – 3.11 billion compared with the prior range of $2.93 – 3.17 billion</w:t>
      </w:r>
    </w:p>
    <w:p>
      <w:pPr>
        <w:spacing w:after="0" w:line="252" w:lineRule="exact"/>
        <w:rPr>
          <w:rFonts w:ascii="Arial" w:cs="Arial" w:eastAsia="Arial" w:hAnsi="Arial"/>
          <w:sz w:val="18"/>
          <w:szCs w:val="18"/>
          <w:color w:val="auto"/>
        </w:rPr>
      </w:pPr>
    </w:p>
    <w:p>
      <w:pPr>
        <w:ind w:left="660" w:hanging="139"/>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EPS: $0.39 – 0.43 compared with the prior range of $0.37 – 0.45.</w:t>
      </w:r>
    </w:p>
    <w:p>
      <w:pPr>
        <w:spacing w:after="0" w:line="252"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company will hold a conference call at 4 p.m. Central time today to discuss this update. This conference call will be available live at www.ti.com/ir. TI’s original second-quarter outlook was published in the company’s first-quarter 2013 earnings release on April 22. TI’s second quarter ends on June 30.</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“Safe Harbor” Statement under the Private Securities Litigation Reform Act of 1995:</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release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3"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its management:</w:t>
      </w:r>
    </w:p>
    <w:p>
      <w:pPr>
        <w:spacing w:after="0" w:line="197" w:lineRule="exact"/>
        <w:rPr>
          <w:sz w:val="20"/>
          <w:szCs w:val="20"/>
          <w:color w:val="auto"/>
        </w:rPr>
      </w:pPr>
    </w:p>
    <w:p>
      <w:pPr>
        <w:ind w:left="660" w:right="20" w:hanging="139"/>
        <w:spacing w:after="0" w:line="258"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demand for semiconductors, particularly in key markets such as communications, computing, industrial, consumer electronics and automotive;</w:t>
      </w:r>
    </w:p>
    <w:p>
      <w:pPr>
        <w:spacing w:after="0" w:line="1"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develop, manufacture and market innovative products in a rapidly changing technological environment;</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 w:lineRule="exact"/>
        <w:rPr>
          <w:rFonts w:ascii="Arial" w:cs="Arial" w:eastAsia="Arial" w:hAnsi="Arial"/>
          <w:sz w:val="18"/>
          <w:szCs w:val="18"/>
          <w:color w:val="auto"/>
        </w:rPr>
      </w:pPr>
    </w:p>
    <w:p>
      <w:pPr>
        <w:jc w:val="both"/>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communications and information technology networks and fluctuations in foreign currency exchange rates;</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20" w:lineRule="exact"/>
        <w:rPr>
          <w:rFonts w:ascii="Arial" w:cs="Arial" w:eastAsia="Arial" w:hAnsi="Arial"/>
          <w:sz w:val="17"/>
          <w:szCs w:val="17"/>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ind w:left="660" w:hanging="139"/>
        <w:spacing w:after="0" w:line="28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Changes in laws and regulations to which TI or its suppliers are or may become subject, such as those imposing fees or reporting or substitution costs relating to the discharge of emissions into the environment or the use of certain raw materials in our manufacturing processes;</w:t>
      </w:r>
    </w:p>
    <w:p>
      <w:pPr>
        <w:spacing w:after="0" w:line="1" w:lineRule="exact"/>
        <w:rPr>
          <w:rFonts w:ascii="Arial" w:cs="Arial" w:eastAsia="Arial" w:hAnsi="Arial"/>
          <w:sz w:val="16"/>
          <w:szCs w:val="16"/>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and the timing and amount of distributor and other customer inventory adjustments;</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demand that differs from our forecasts;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inventory that results from demand that differs from projections;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Product liability or warranty claims, claims based on epidemic or delivery failure or recalls by TI customers for a product containing a TI part;</w:t>
      </w:r>
    </w:p>
    <w:p>
      <w:pPr>
        <w:spacing w:after="0" w:line="20" w:lineRule="exact"/>
        <w:rPr>
          <w:rFonts w:ascii="Arial" w:cs="Arial" w:eastAsia="Arial" w:hAnsi="Arial"/>
          <w:sz w:val="17"/>
          <w:szCs w:val="17"/>
          <w:color w:val="auto"/>
        </w:rPr>
      </w:pP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and installation of manufacturing equipment, and the ability to obtain needed third-party foundry and assembly/test subcontract services;</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obligation to make principal and interest payments on its debt;</w:t>
      </w:r>
    </w:p>
    <w:p>
      <w:pPr>
        <w:spacing w:after="0" w:line="9" w:lineRule="exact"/>
        <w:rPr>
          <w:rFonts w:ascii="Arial" w:cs="Arial" w:eastAsia="Arial" w:hAnsi="Arial"/>
          <w:sz w:val="18"/>
          <w:szCs w:val="18"/>
          <w:color w:val="auto"/>
        </w:rPr>
      </w:pPr>
    </w:p>
    <w:p>
      <w:pPr>
        <w:ind w:left="660" w:hanging="139"/>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successfully integrate and realize opportunities for growth from acquisitions, and our ability to realize our expectations regarding the amount and timing of restructuring charges and associated cost savings; and</w:t>
      </w:r>
    </w:p>
    <w:p>
      <w:pPr>
        <w:ind w:left="660" w:hanging="139"/>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Breaches of our information technology systems.</w:t>
      </w:r>
    </w:p>
    <w:p>
      <w:pPr>
        <w:spacing w:after="0" w:line="23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a more detailed discussion of these factors, see the Risk Factors discussion in Item 1A of TI’s Form 10-K for the year ended December 31, 2012. The forward-looking statements included in this release are made only as of the date of this release, and TI undertakes no obligation to update the forward-looking statements to reflect subsequent events or circumstances.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Texas Instruments</w:t>
      </w:r>
    </w:p>
    <w:p>
      <w:pPr>
        <w:spacing w:after="0" w:line="256"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Texas Instruments Incorporated (TI) is a global semiconductor design and manufacturing company that develops analog ICs and embedded processors. By employing the world’s brightest minds, TI creates innovations that shape the future of technology. TI is helping more than 100,000 customers transform the future, today. Learn more at www.ti.com.</w:t>
      </w:r>
    </w:p>
    <w:sectPr>
      <w:pgSz w:w="11900" w:h="16838" w:orient="portrait"/>
      <w:cols w:equalWidth="0" w:num="1">
        <w:col w:w="11420"/>
      </w:cols>
      <w:pgMar w:left="240" w:top="112" w:right="239" w:bottom="15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2019-12-05T15:58:09Z</dcterms:created>
  <dcterms:modified xsi:type="dcterms:W3CDTF">2019-12-05T15:58:09Z</dcterms:modified>
</cp:coreProperties>
</file>