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940"/>
        <w:spacing w:after="0"/>
        <w:rPr>
          <w:sz w:val="20"/>
          <w:szCs w:val="20"/>
          <w:color w:val="auto"/>
        </w:rPr>
      </w:pPr>
      <w:r>
        <w:rPr>
          <w:rFonts w:ascii="Arial" w:cs="Arial" w:eastAsia="Arial" w:hAnsi="Arial"/>
          <w:sz w:val="22"/>
          <w:szCs w:val="22"/>
          <w:b w:val="1"/>
          <w:bCs w:val="1"/>
          <w:color w:val="auto"/>
        </w:rPr>
        <w:t>DATE OF REPORT (DATE OF EARLIEST EVENT REPORTED): July 25,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9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July 25, 2016, regarding its second-quarter results of operations and financial condition is attached hereto as Exhibit 99.</w:t>
      </w:r>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260"/>
          </w:cols>
          <w:pgMar w:left="240" w:top="341" w:right="39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9980"/>
          </w:cols>
          <w:pgMar w:left="240" w:top="341" w:right="39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Dated July 25, 2016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July 25, 2016</w:t>
            </w: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By:  /s/ KEVIN P. MARCH</w:t>
            </w:r>
          </w:p>
        </w:tc>
      </w:tr>
      <w:tr>
        <w:trPr>
          <w:trHeight w:val="195"/>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ind w:left="10620"/>
        <w:spacing w:after="0"/>
        <w:rPr>
          <w:sz w:val="20"/>
          <w:szCs w:val="20"/>
          <w:color w:val="auto"/>
        </w:rPr>
      </w:pPr>
      <w:r>
        <w:rPr>
          <w:rFonts w:ascii="Arial" w:cs="Arial" w:eastAsia="Arial" w:hAnsi="Arial"/>
          <w:sz w:val="17"/>
          <w:szCs w:val="17"/>
          <w:b w:val="1"/>
          <w:bCs w:val="1"/>
          <w:color w:val="auto"/>
        </w:rPr>
        <w:t>Exhibit 99</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 reports 2Q16 financial results and shareholder returns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www.ti.com/ir</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DALLAS (July 25, 2016) – Texas Instruments Incorporated (TI) (NASDAQ: TXN) today reported second-quarter revenue of $3.27 billion, net income of $779 million and earnings per share of 76 cents.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jc w:val="both"/>
        <w:ind w:left="520" w:right="500" w:hanging="512"/>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and earnings per share for the quarter were solidly in the upper half of our expected range. Compared with a year ago, demand for our products continued to be strong in the automotive market, and grew in the industrial and communications equipment markets. Despite sequential growth, demand in the personal electronics market was down from a year ago.</w:t>
      </w:r>
    </w:p>
    <w:p>
      <w:pPr>
        <w:spacing w:after="0" w:line="73" w:lineRule="exact"/>
        <w:rPr>
          <w:rFonts w:ascii="Arial" w:cs="Arial" w:eastAsia="Arial" w:hAnsi="Arial"/>
          <w:sz w:val="18"/>
          <w:szCs w:val="18"/>
          <w:color w:val="auto"/>
        </w:rPr>
      </w:pPr>
    </w:p>
    <w:p>
      <w:pPr>
        <w:ind w:left="520" w:right="7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our core businesses, Embedded Processing revenue grew 9 percent and Analog revenue was about even with the same quarter a year ago. Operating margin increased in both businesses.</w:t>
      </w:r>
    </w:p>
    <w:p>
      <w:pPr>
        <w:spacing w:after="0" w:line="62" w:lineRule="exact"/>
        <w:rPr>
          <w:rFonts w:ascii="Arial" w:cs="Arial" w:eastAsia="Arial" w:hAnsi="Arial"/>
          <w:sz w:val="18"/>
          <w:szCs w:val="18"/>
          <w:color w:val="auto"/>
        </w:rPr>
      </w:pPr>
    </w:p>
    <w:p>
      <w:pPr>
        <w:ind w:left="520" w:right="4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61.2 percent reflected the quality of our product portfolio, as well as the efficiency of our manufacturing strategy, including the benefit of 300-millimeter Analog production.</w:t>
      </w:r>
    </w:p>
    <w:p>
      <w:pPr>
        <w:spacing w:after="0" w:line="62" w:lineRule="exact"/>
        <w:rPr>
          <w:rFonts w:ascii="Arial" w:cs="Arial" w:eastAsia="Arial" w:hAnsi="Arial"/>
          <w:sz w:val="18"/>
          <w:szCs w:val="18"/>
          <w:color w:val="auto"/>
        </w:rPr>
      </w:pPr>
    </w:p>
    <w:p>
      <w:pPr>
        <w:ind w:left="520" w:right="120" w:hanging="512"/>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cash flow from operations of $4.5 billion for the trailing 12 months again underscored the strength of our business model. Free cash flow for the trailing 12 months was up 7 percent from a year ago to $3.9 billion, and this represents 30.0 percent of revenue, up from 27.4 percent a year ago.</w:t>
      </w:r>
    </w:p>
    <w:p>
      <w:pPr>
        <w:spacing w:after="0" w:line="15" w:lineRule="exact"/>
        <w:rPr>
          <w:rFonts w:ascii="Arial" w:cs="Arial" w:eastAsia="Arial" w:hAnsi="Arial"/>
          <w:sz w:val="16"/>
          <w:szCs w:val="16"/>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returned $4.1 billion to shareholders in the past 12 months through stock repurchases and dividends.</w:t>
      </w:r>
    </w:p>
    <w:p>
      <w:pPr>
        <w:spacing w:after="0" w:line="117" w:lineRule="exact"/>
        <w:rPr>
          <w:rFonts w:ascii="Arial" w:cs="Arial" w:eastAsia="Arial" w:hAnsi="Arial"/>
          <w:sz w:val="18"/>
          <w:szCs w:val="18"/>
          <w:color w:val="auto"/>
        </w:rPr>
      </w:pPr>
    </w:p>
    <w:p>
      <w:pPr>
        <w:ind w:left="520" w:right="24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62"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$2.5 billion of cash and short-term investments at the end of the quarter, about 80 percent of which was owned by the company’s U.S. entities. Inventory ended the quarter at 133 days.</w:t>
      </w:r>
    </w:p>
    <w:p>
      <w:pPr>
        <w:spacing w:after="0" w:line="62"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third-quarter outlook is for revenue in the range of $3.34 billion to $3.62 billion, and earnings per share between 81 and 91 cents. For 2016, TI’s annual effective tax rate is expected to be about 30 percent, unchanged from previous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9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27"/>
              <w:spacing w:after="0"/>
              <w:rPr>
                <w:sz w:val="20"/>
                <w:szCs w:val="20"/>
                <w:color w:val="auto"/>
              </w:rPr>
            </w:pPr>
            <w:r>
              <w:rPr>
                <w:rFonts w:ascii="Arial" w:cs="Arial" w:eastAsia="Arial" w:hAnsi="Arial"/>
                <w:sz w:val="14"/>
                <w:szCs w:val="14"/>
                <w:color w:val="auto"/>
              </w:rPr>
              <w:t>2Q16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color w:val="auto"/>
              </w:rPr>
              <w:t>2Q15</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Change</w:t>
            </w:r>
          </w:p>
        </w:tc>
        <w:tc>
          <w:tcPr>
            <w:tcW w:w="180" w:type="dxa"/>
            <w:vAlign w:val="bottom"/>
            <w:tcBorders>
              <w:bottom w:val="single" w:sz="8" w:color="CFF0FC"/>
            </w:tcBorders>
          </w:tcPr>
          <w:p>
            <w:pPr>
              <w:spacing w:after="0"/>
              <w:rPr>
                <w:sz w:val="14"/>
                <w:szCs w:val="14"/>
                <w:color w:val="auto"/>
              </w:rPr>
            </w:pPr>
          </w:p>
        </w:tc>
        <w:tc>
          <w:tcPr>
            <w:tcW w:w="58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3,232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1,010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0.76</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color w:val="auto"/>
              </w:rPr>
              <w:t>2Q16</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11"/>
          </w:tcPr>
          <w:p>
            <w:pPr>
              <w:jc w:val="right"/>
              <w:ind w:right="1480"/>
              <w:spacing w:after="0"/>
              <w:rPr>
                <w:sz w:val="20"/>
                <w:szCs w:val="20"/>
                <w:color w:val="auto"/>
              </w:rPr>
            </w:pPr>
            <w:r>
              <w:rPr>
                <w:rFonts w:ascii="Arial" w:cs="Arial" w:eastAsia="Arial" w:hAnsi="Arial"/>
                <w:sz w:val="14"/>
                <w:szCs w:val="14"/>
                <w:color w:val="auto"/>
                <w:w w:val="98"/>
              </w:rPr>
              <w:t>Trailing 12 Months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305"/>
              <w:spacing w:after="0" w:line="155" w:lineRule="exact"/>
              <w:rPr>
                <w:sz w:val="20"/>
                <w:szCs w:val="20"/>
                <w:color w:val="auto"/>
              </w:rPr>
            </w:pPr>
            <w:r>
              <w:rPr>
                <w:rFonts w:ascii="Arial" w:cs="Arial" w:eastAsia="Arial" w:hAnsi="Arial"/>
                <w:sz w:val="14"/>
                <w:szCs w:val="14"/>
                <w:color w:val="auto"/>
              </w:rPr>
              <w:t>2Q16</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3"/>
          </w:tcPr>
          <w:p>
            <w:pPr>
              <w:jc w:val="right"/>
              <w:ind w:right="360"/>
              <w:spacing w:after="0" w:line="155" w:lineRule="exact"/>
              <w:rPr>
                <w:sz w:val="20"/>
                <w:szCs w:val="20"/>
                <w:color w:val="auto"/>
              </w:rPr>
            </w:pPr>
            <w:r>
              <w:rPr>
                <w:rFonts w:ascii="Arial" w:cs="Arial" w:eastAsia="Arial" w:hAnsi="Arial"/>
                <w:sz w:val="14"/>
                <w:szCs w:val="14"/>
                <w:color w:val="auto"/>
              </w:rPr>
              <w:t>2Q15</w:t>
            </w: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gridSpan w:val="3"/>
          </w:tcPr>
          <w:p>
            <w:pPr>
              <w:ind w:left="280"/>
              <w:spacing w:after="0" w:line="155" w:lineRule="exact"/>
              <w:rPr>
                <w:sz w:val="20"/>
                <w:szCs w:val="20"/>
                <w:color w:val="auto"/>
              </w:rPr>
            </w:pPr>
            <w:r>
              <w:rPr>
                <w:rFonts w:ascii="Arial" w:cs="Arial" w:eastAsia="Arial" w:hAnsi="Arial"/>
                <w:sz w:val="14"/>
                <w:szCs w:val="14"/>
                <w:color w:val="auto"/>
              </w:rPr>
              <w:t>Change</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4,455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4,084</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w w:val="93"/>
              </w:rPr>
              <w:t>158</w:t>
            </w:r>
          </w:p>
        </w:tc>
        <w:tc>
          <w:tcPr>
            <w:tcW w:w="8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7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86"/>
              </w:rPr>
              <w:t>911</w:t>
            </w:r>
          </w:p>
        </w:tc>
        <w:tc>
          <w:tcPr>
            <w:tcW w:w="80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3,870</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520" w:type="dxa"/>
            <w:vAlign w:val="bottom"/>
            <w:gridSpan w:val="6"/>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Free cash flow % of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Capital expenditures for the past 12 months were 4.5 percent of revenue, consistent with TI’s long-term expectations.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2Q16</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Trailing 12 Months</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2Q16</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2Q15</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Stock repurchases</w:t>
            </w:r>
          </w:p>
        </w:tc>
        <w:tc>
          <w:tcPr>
            <w:tcW w:w="26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527</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2,574</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2,692</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268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909</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targeted cash return is 100 percent of free cash flow plus proceeds from exercises of equity compensation minus net debt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382" w:right="7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3"/>
              </w:rPr>
              <w:t>For 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3,273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Acquisition charges</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diluted shares outstanding (millions)</w:t>
            </w:r>
          </w:p>
        </w:tc>
        <w:tc>
          <w:tcPr>
            <w:tcW w:w="4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1,016</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6"/>
              </w:rPr>
              <w:t>As a result of accounting rule ASC 260, which requires a portion of Net income to be allocated to</w:t>
            </w: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8"/>
              </w:rPr>
              <w:t>unvested restricted stock units (RSUs) on which we pay dividend equivalents, diluted EPS is</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calculated using the following:</w:t>
            </w: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753"/>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280" w:type="dxa"/>
            <w:vAlign w:val="bottom"/>
          </w:tcPr>
          <w:p>
            <w:pPr>
              <w:spacing w:after="0"/>
              <w:rPr>
                <w:sz w:val="19"/>
                <w:szCs w:val="19"/>
                <w:color w:val="auto"/>
              </w:rPr>
            </w:pPr>
          </w:p>
        </w:tc>
        <w:tc>
          <w:tcPr>
            <w:tcW w:w="1040" w:type="dxa"/>
            <w:vAlign w:val="bottom"/>
            <w:gridSpan w:val="2"/>
          </w:tcPr>
          <w:p>
            <w:pPr>
              <w:jc w:val="right"/>
              <w:ind w:right="91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7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826"/>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1,304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Accounts receivable, net of allowances of ($20) and ($17)</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880"/>
              <w:spacing w:after="0"/>
              <w:rPr>
                <w:sz w:val="20"/>
                <w:szCs w:val="20"/>
                <w:color w:val="auto"/>
              </w:rPr>
            </w:pPr>
            <w:r>
              <w:rPr>
                <w:rFonts w:ascii="Arial" w:cs="Arial" w:eastAsia="Arial" w:hAnsi="Arial"/>
                <w:sz w:val="18"/>
                <w:szCs w:val="18"/>
                <w:color w:val="auto"/>
              </w:rPr>
              <w:t>Raw materials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Work in process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Inventories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1,876</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Total current assets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6,689</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5,152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Accumulated depreciation</w:t>
            </w: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(2,595)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Property, plant and equipment, net</w:t>
            </w: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2,557</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Goodwill,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intangibles, net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licenses, net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15,693</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Current portion of long-term debt</w:t>
            </w:r>
          </w:p>
        </w:tc>
        <w:tc>
          <w:tcPr>
            <w:tcW w:w="980" w:type="dxa"/>
            <w:vAlign w:val="bottom"/>
            <w:shd w:val="clear" w:color="auto" w:fill="CFF0FC"/>
          </w:tcPr>
          <w:p>
            <w:pPr>
              <w:jc w:val="right"/>
              <w:ind w:right="826"/>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Accrued compensation</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Total current liabilities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1,991</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credits and other liabilities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5,731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Stockholders’ equity:</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3"/>
              </w:rPr>
              <w:t>Preferred stock, $25 par value. Authorized – 10,000,000 shares Participating cumulative preferred –</w:t>
            </w:r>
          </w:p>
        </w:tc>
        <w:tc>
          <w:tcPr>
            <w:tcW w:w="98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None issued</w:t>
            </w:r>
          </w:p>
        </w:tc>
        <w:tc>
          <w:tcPr>
            <w:tcW w:w="98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440"/>
              <w:spacing w:after="0"/>
              <w:rPr>
                <w:sz w:val="20"/>
                <w:szCs w:val="20"/>
                <w:color w:val="auto"/>
              </w:rPr>
            </w:pPr>
            <w:r>
              <w:rPr>
                <w:rFonts w:ascii="Arial" w:cs="Arial" w:eastAsia="Arial" w:hAnsi="Arial"/>
                <w:sz w:val="18"/>
                <w:szCs w:val="18"/>
                <w:color w:val="auto"/>
                <w:w w:val="95"/>
              </w:rPr>
              <w:t>Common stock, $1 par value. Authorized – 2,400,000,000 shares Shares issued – 1,740,815,939</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Paid-in capital</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1,681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31,850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2"/>
              </w:rPr>
              <w:t>Treasury common stock at cost Shares: June 30, 2016 – 737,467,669; June 30, 2015 – 706,714,155</w:t>
            </w: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w w:val="95"/>
              </w:rPr>
              <w:t>(24,774)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(22,812)</w:t>
            </w:r>
          </w:p>
        </w:tc>
        <w:tc>
          <w:tcPr>
            <w:tcW w:w="0" w:type="dxa"/>
            <w:vAlign w:val="bottom"/>
          </w:tcPr>
          <w:p>
            <w:pPr>
              <w:spacing w:after="0"/>
              <w:rPr>
                <w:sz w:val="1"/>
                <w:szCs w:val="1"/>
                <w:color w:val="auto"/>
              </w:rPr>
            </w:pPr>
          </w:p>
        </w:tc>
      </w:tr>
      <w:tr>
        <w:trPr>
          <w:trHeight w:val="230"/>
        </w:trPr>
        <w:tc>
          <w:tcPr>
            <w:tcW w:w="786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 net of taxes (AOCI)</w:t>
            </w:r>
          </w:p>
        </w:tc>
        <w:tc>
          <w:tcPr>
            <w:tcW w:w="9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(536)</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Total stockholders’ equity</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9,962</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15,693</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balance sheet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3"/>
              </w:rPr>
              <w:t>For 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6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740" w:type="dxa"/>
            <w:vAlign w:val="bottom"/>
            <w:gridSpan w:val="2"/>
          </w:tcPr>
          <w:p>
            <w:pPr>
              <w:jc w:val="right"/>
              <w:ind w:right="759"/>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280" w:type="dxa"/>
            <w:vAlign w:val="bottom"/>
          </w:tcPr>
          <w:p>
            <w:pPr>
              <w:spacing w:after="0"/>
              <w:rPr>
                <w:sz w:val="19"/>
                <w:szCs w:val="19"/>
                <w:color w:val="auto"/>
              </w:rPr>
            </w:pPr>
          </w:p>
        </w:tc>
        <w:tc>
          <w:tcPr>
            <w:tcW w:w="1040" w:type="dxa"/>
            <w:vAlign w:val="bottom"/>
            <w:gridSpan w:val="2"/>
          </w:tcPr>
          <w:p>
            <w:pPr>
              <w:jc w:val="right"/>
              <w:ind w:right="91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Adjustments to Net income:</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tcPr>
          <w:p>
            <w:pPr>
              <w:ind w:left="880"/>
              <w:spacing w:after="0"/>
              <w:rPr>
                <w:sz w:val="20"/>
                <w:szCs w:val="20"/>
                <w:color w:val="auto"/>
              </w:rPr>
            </w:pPr>
            <w:r>
              <w:rPr>
                <w:rFonts w:ascii="Arial" w:cs="Arial" w:eastAsia="Arial" w:hAnsi="Arial"/>
                <w:sz w:val="18"/>
                <w:szCs w:val="18"/>
                <w:color w:val="auto"/>
              </w:rPr>
              <w:t>Depreciation</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Amortization of acquisition-related intangibles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tcPr>
          <w:p>
            <w:pPr>
              <w:ind w:left="880"/>
              <w:spacing w:after="0"/>
              <w:rPr>
                <w:sz w:val="20"/>
                <w:szCs w:val="20"/>
                <w:color w:val="auto"/>
              </w:rPr>
            </w:pPr>
            <w:r>
              <w:rPr>
                <w:rFonts w:ascii="Arial" w:cs="Arial" w:eastAsia="Arial" w:hAnsi="Arial"/>
                <w:sz w:val="18"/>
                <w:szCs w:val="18"/>
                <w:color w:val="auto"/>
              </w:rPr>
              <w:t>Amortization of capitalized software</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Stock-based compensation</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tcPr>
          <w:p>
            <w:pPr>
              <w:ind w:left="880"/>
              <w:spacing w:after="0"/>
              <w:rPr>
                <w:sz w:val="20"/>
                <w:szCs w:val="20"/>
                <w:color w:val="auto"/>
              </w:rPr>
            </w:pPr>
            <w:r>
              <w:rPr>
                <w:rFonts w:ascii="Arial" w:cs="Arial" w:eastAsia="Arial" w:hAnsi="Arial"/>
                <w:sz w:val="18"/>
                <w:szCs w:val="18"/>
                <w:color w:val="auto"/>
              </w:rPr>
              <w:t>Gains on sales of assets</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Deferred income taxes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(59)</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Increase (decrease) from changes in:</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Accounts receivable</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(76)</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30"/>
        </w:trPr>
        <w:tc>
          <w:tcPr>
            <w:tcW w:w="606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Prepaid expenses and other current assets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30"/>
        </w:trPr>
        <w:tc>
          <w:tcPr>
            <w:tcW w:w="606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Accrued compensation</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tcPr>
          <w:p>
            <w:pPr>
              <w:ind w:left="880"/>
              <w:spacing w:after="0"/>
              <w:rPr>
                <w:sz w:val="20"/>
                <w:szCs w:val="20"/>
                <w:color w:val="auto"/>
              </w:rPr>
            </w:pPr>
            <w:r>
              <w:rPr>
                <w:rFonts w:ascii="Arial" w:cs="Arial" w:eastAsia="Arial" w:hAnsi="Arial"/>
                <w:sz w:val="18"/>
                <w:szCs w:val="18"/>
                <w:color w:val="auto"/>
              </w:rPr>
              <w:t>Income taxes payable</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Changes in funded status of retirement plans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8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Capital expenditures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(158)</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Proceeds from asset sales</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Purchases of short-term investments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(993)</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9"/>
                <w:szCs w:val="19"/>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Proceeds from short-term investments</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flows from investing activities</w:t>
            </w:r>
          </w:p>
        </w:tc>
        <w:tc>
          <w:tcPr>
            <w:tcW w:w="18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Repayment of debt</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(382)</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Stock repurchases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(527)</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9"/>
                <w:szCs w:val="19"/>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Proceeds from common stock transactions</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Excess tax benefit from share-based payments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8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8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60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2Q16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color w:val="auto"/>
              </w:rPr>
              <w:t>2Q16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2Q15</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Change</w:t>
            </w: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1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2,049</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Embedded Processing:</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21" w:lineRule="exact"/>
        <w:rPr>
          <w:sz w:val="20"/>
          <w:szCs w:val="20"/>
          <w:color w:val="auto"/>
        </w:rPr>
      </w:pPr>
    </w:p>
    <w:p>
      <w:pPr>
        <w:ind w:left="520" w:right="26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was about even as growth in High Performance Analog and Silicon Valley Analog was offset by declines in High Volume Analog &amp; Logic and Power Management.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gross profit, which benefited from lower manufacturing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Microcontrollers, Processors and Connectivity)</w:t>
      </w:r>
    </w:p>
    <w:p>
      <w:pPr>
        <w:spacing w:after="0" w:line="12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in all three product lines, led by Processors.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custom ASIC products and royalties)</w:t>
      </w:r>
    </w:p>
    <w:p>
      <w:pPr>
        <w:spacing w:after="0" w:line="12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declined due to calculators, royalties and custom ASIC products, partially offset by an increase in DLP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$10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12 Months Ended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4,455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(476)</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Revenue</w:t>
            </w: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w w:val="99"/>
              </w:rPr>
              <w:t>Cash flow from operations as a percent of revenue (GAAP)</w:t>
            </w: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70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31.1%</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8"/>
        </w:trPr>
        <w:tc>
          <w:tcPr>
            <w:tcW w:w="11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TI, its customers or its suppliers operate;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Breaches of TI’s information technology systems or those of its customers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TI’s ability to manufacture its products or operate its business, or subject us to fines, penalties, or other legal liability;</w:t>
      </w:r>
    </w:p>
    <w:p>
      <w:pPr>
        <w:spacing w:after="0" w:line="15" w:lineRule="exact"/>
        <w:rPr>
          <w:rFonts w:ascii="Arial" w:cs="Arial" w:eastAsia="Arial" w:hAnsi="Arial"/>
          <w:sz w:val="16"/>
          <w:szCs w:val="16"/>
          <w:color w:val="auto"/>
        </w:rPr>
      </w:pPr>
    </w:p>
    <w:p>
      <w:pPr>
        <w:ind w:left="1040" w:right="4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and the ability to realize deferred tax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its daily operations, invest in the business, make strategic acquisitions, or make principal and interest payments on its debt;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 w:name="page11"/>
    <w:bookmarkEnd w:id="10"/>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its ability to realize its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220"/>
      </w:cols>
      <w:pgMar w:left="240" w:top="44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2019-12-05T10:40:44Z</dcterms:created>
  <dcterms:modified xsi:type="dcterms:W3CDTF">2019-12-05T10:40:44Z</dcterms:modified>
</cp:coreProperties>
</file>