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ind w:left="4"/>
        <w:spacing w:after="0"/>
        <w:rPr>
          <w:sz w:val="20"/>
          <w:szCs w:val="20"/>
          <w:color w:val="auto"/>
        </w:rPr>
      </w:pPr>
      <w:r>
        <w:rPr>
          <w:rFonts w:ascii="Courier New" w:cs="Courier New" w:eastAsia="Courier New" w:hAnsi="Courier New"/>
          <w:sz w:val="16"/>
          <w:szCs w:val="16"/>
          <w:color w:val="auto"/>
        </w:rPr>
        <w:t>Prospectus Supplement</w:t>
      </w:r>
    </w:p>
    <w:p>
      <w:pPr>
        <w:spacing w:after="0" w:line="3"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To Prospectus Dated January 4, 2001</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Pursuant to Rule 424(b)(4)</w:t>
      </w:r>
    </w:p>
    <w:p>
      <w:pPr>
        <w:spacing w:after="0" w:line="10"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Registration No. 333-44572-01</w:t>
      </w:r>
    </w:p>
    <w:p>
      <w:pPr>
        <w:spacing w:after="0" w:line="5"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333-44572</w:t>
      </w:r>
    </w:p>
    <w:p>
      <w:pPr>
        <w:spacing w:after="0" w:line="200" w:lineRule="exact"/>
        <w:rPr>
          <w:sz w:val="24"/>
          <w:szCs w:val="24"/>
          <w:color w:val="auto"/>
        </w:rPr>
      </w:pPr>
    </w:p>
    <w:p>
      <w:pPr>
        <w:sectPr>
          <w:pgSz w:w="11900" w:h="16838" w:orient="portrait"/>
          <w:cols w:equalWidth="0" w:num="2">
            <w:col w:w="3784" w:space="720"/>
            <w:col w:w="7020"/>
          </w:cols>
          <w:pgMar w:left="236" w:top="233" w:right="139" w:bottom="1440" w:gutter="0" w:footer="0" w:header="0"/>
        </w:sectPr>
      </w:pPr>
    </w:p>
    <w:p>
      <w:pPr>
        <w:spacing w:after="0" w:line="160" w:lineRule="exact"/>
        <w:rPr>
          <w:sz w:val="24"/>
          <w:szCs w:val="24"/>
          <w:color w:val="auto"/>
        </w:rPr>
      </w:pPr>
    </w:p>
    <w:p>
      <w:pPr>
        <w:jc w:val="center"/>
        <w:ind w:right="4036"/>
        <w:spacing w:after="0"/>
        <w:rPr>
          <w:sz w:val="20"/>
          <w:szCs w:val="20"/>
          <w:color w:val="auto"/>
        </w:rPr>
      </w:pPr>
      <w:r>
        <w:rPr>
          <w:rFonts w:ascii="Courier New" w:cs="Courier New" w:eastAsia="Courier New" w:hAnsi="Courier New"/>
          <w:sz w:val="16"/>
          <w:szCs w:val="16"/>
          <w:color w:val="auto"/>
        </w:rPr>
        <w:t>TEXAS INSTRUMENTS INCORPORATED</w:t>
      </w:r>
    </w:p>
    <w:p>
      <w:pPr>
        <w:spacing w:after="0" w:line="179" w:lineRule="exact"/>
        <w:rPr>
          <w:sz w:val="24"/>
          <w:szCs w:val="24"/>
          <w:color w:val="auto"/>
        </w:rPr>
      </w:pPr>
    </w:p>
    <w:p>
      <w:pPr>
        <w:jc w:val="center"/>
        <w:ind w:right="4036"/>
        <w:spacing w:after="0"/>
        <w:rPr>
          <w:sz w:val="20"/>
          <w:szCs w:val="20"/>
          <w:color w:val="auto"/>
        </w:rPr>
      </w:pPr>
      <w:r>
        <w:rPr>
          <w:rFonts w:ascii="Courier New" w:cs="Courier New" w:eastAsia="Courier New" w:hAnsi="Courier New"/>
          <w:sz w:val="16"/>
          <w:szCs w:val="16"/>
          <w:color w:val="auto"/>
        </w:rPr>
        <w:t>2,257,113 SHARES OF COMMON STOCK</w:t>
      </w:r>
    </w:p>
    <w:p>
      <w:pPr>
        <w:spacing w:after="0" w:line="179"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ISSUABLE UPON CONVERSION OF TEXAS INSTRUMENTS TUCSON CORPORATION'S</w:t>
      </w:r>
    </w:p>
    <w:p>
      <w:pPr>
        <w:jc w:val="center"/>
        <w:ind w:right="4016"/>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179"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ind w:left="4" w:right="4120" w:firstLine="1688"/>
        <w:spacing w:after="0" w:line="256" w:lineRule="auto"/>
        <w:rPr>
          <w:sz w:val="20"/>
          <w:szCs w:val="20"/>
          <w:color w:val="auto"/>
        </w:rPr>
      </w:pPr>
      <w:r>
        <w:rPr>
          <w:rFonts w:ascii="Courier New" w:cs="Courier New" w:eastAsia="Courier New" w:hAnsi="Courier New"/>
          <w:sz w:val="15"/>
          <w:szCs w:val="15"/>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7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CHANGE IN SELLING SECURITYHOLDER INFORMATION</w:t>
      </w:r>
    </w:p>
    <w:p>
      <w:pPr>
        <w:spacing w:after="0" w:line="185" w:lineRule="exact"/>
        <w:rPr>
          <w:sz w:val="24"/>
          <w:szCs w:val="24"/>
          <w:color w:val="auto"/>
        </w:rPr>
      </w:pPr>
    </w:p>
    <w:p>
      <w:pPr>
        <w:ind w:left="4" w:right="4120" w:firstLine="1688"/>
        <w:spacing w:after="0" w:line="237" w:lineRule="auto"/>
        <w:rPr>
          <w:sz w:val="20"/>
          <w:szCs w:val="20"/>
          <w:color w:val="auto"/>
        </w:rPr>
      </w:pPr>
      <w:r>
        <w:rPr>
          <w:rFonts w:ascii="Courier New" w:cs="Courier New" w:eastAsia="Courier New" w:hAnsi="Courier New"/>
          <w:sz w:val="16"/>
          <w:szCs w:val="16"/>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ectPr>
          <w:pgSz w:w="11900" w:h="16838" w:orient="portrait"/>
          <w:cols w:equalWidth="0" w:num="1">
            <w:col w:w="11524"/>
          </w:cols>
          <w:pgMar w:left="236" w:top="233" w:right="1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NAME OF SELLING SECURITYHOLDER</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PRINCIPAL</w:t>
      </w:r>
    </w:p>
    <w:p>
      <w:pPr>
        <w:ind w:left="100"/>
        <w:spacing w:after="0"/>
        <w:rPr>
          <w:sz w:val="20"/>
          <w:szCs w:val="20"/>
          <w:color w:val="auto"/>
        </w:rPr>
      </w:pPr>
      <w:r>
        <w:rPr>
          <w:rFonts w:ascii="Courier New" w:cs="Courier New" w:eastAsia="Courier New" w:hAnsi="Courier New"/>
          <w:sz w:val="16"/>
          <w:szCs w:val="16"/>
          <w:color w:val="auto"/>
        </w:rPr>
        <w:t>AMOUNT AT</w:t>
      </w:r>
    </w:p>
    <w:p>
      <w:pPr>
        <w:spacing w:after="0" w:line="237" w:lineRule="auto"/>
        <w:rPr>
          <w:sz w:val="20"/>
          <w:szCs w:val="20"/>
          <w:color w:val="auto"/>
        </w:rPr>
      </w:pPr>
      <w:r>
        <w:rPr>
          <w:rFonts w:ascii="Courier New" w:cs="Courier New" w:eastAsia="Courier New" w:hAnsi="Courier New"/>
          <w:sz w:val="16"/>
          <w:szCs w:val="16"/>
          <w:color w:val="auto"/>
        </w:rPr>
        <w:t>MATURITY OF</w:t>
      </w:r>
    </w:p>
    <w:p>
      <w:pPr>
        <w:ind w:left="280"/>
        <w:spacing w:after="0"/>
        <w:rPr>
          <w:sz w:val="20"/>
          <w:szCs w:val="20"/>
          <w:color w:val="auto"/>
        </w:rPr>
      </w:pPr>
      <w:r>
        <w:rPr>
          <w:rFonts w:ascii="Courier New" w:cs="Courier New" w:eastAsia="Courier New" w:hAnsi="Courier New"/>
          <w:sz w:val="16"/>
          <w:szCs w:val="16"/>
          <w:color w:val="auto"/>
        </w:rPr>
        <w:t>NOTES</w:t>
      </w:r>
    </w:p>
    <w:p>
      <w:pPr>
        <w:spacing w:after="0" w:line="238" w:lineRule="auto"/>
        <w:rPr>
          <w:sz w:val="20"/>
          <w:szCs w:val="20"/>
          <w:color w:val="auto"/>
        </w:rPr>
      </w:pPr>
      <w:r>
        <w:rPr>
          <w:rFonts w:ascii="Courier New" w:cs="Courier New" w:eastAsia="Courier New" w:hAnsi="Courier New"/>
          <w:sz w:val="16"/>
          <w:szCs w:val="16"/>
          <w:color w:val="auto"/>
        </w:rPr>
        <w:t>BENEFICIALLY</w:t>
      </w:r>
    </w:p>
    <w:p>
      <w:pPr>
        <w:ind w:left="100"/>
        <w:spacing w:after="0"/>
        <w:rPr>
          <w:sz w:val="20"/>
          <w:szCs w:val="20"/>
          <w:color w:val="auto"/>
        </w:rPr>
      </w:pPr>
      <w:r>
        <w:rPr>
          <w:rFonts w:ascii="Courier New" w:cs="Courier New" w:eastAsia="Courier New" w:hAnsi="Courier New"/>
          <w:sz w:val="16"/>
          <w:szCs w:val="16"/>
          <w:color w:val="auto"/>
        </w:rPr>
        <w:t>OWNED THAT</w:t>
      </w:r>
    </w:p>
    <w:p>
      <w:pPr>
        <w:spacing w:after="0" w:line="238" w:lineRule="auto"/>
        <w:rPr>
          <w:sz w:val="20"/>
          <w:szCs w:val="20"/>
          <w:color w:val="auto"/>
        </w:rPr>
      </w:pPr>
      <w:r>
        <w:rPr>
          <w:rFonts w:ascii="Courier New" w:cs="Courier New" w:eastAsia="Courier New" w:hAnsi="Courier New"/>
          <w:sz w:val="16"/>
          <w:szCs w:val="16"/>
          <w:color w:val="auto"/>
        </w:rPr>
        <w:t>MAY BE SOLD</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PERCENTAGE</w:t>
      </w:r>
    </w:p>
    <w:p>
      <w:pPr>
        <w:ind w:left="100"/>
        <w:spacing w:after="0"/>
        <w:rPr>
          <w:sz w:val="20"/>
          <w:szCs w:val="20"/>
          <w:color w:val="auto"/>
        </w:rPr>
      </w:pPr>
      <w:r>
        <w:rPr>
          <w:rFonts w:ascii="Courier New" w:cs="Courier New" w:eastAsia="Courier New" w:hAnsi="Courier New"/>
          <w:sz w:val="16"/>
          <w:szCs w:val="16"/>
          <w:color w:val="auto"/>
        </w:rPr>
        <w:t>OF NOTES</w:t>
      </w:r>
    </w:p>
    <w:p>
      <w:pPr>
        <w:spacing w:after="0" w:line="237" w:lineRule="auto"/>
        <w:rPr>
          <w:sz w:val="20"/>
          <w:szCs w:val="20"/>
          <w:color w:val="auto"/>
        </w:rPr>
      </w:pPr>
      <w:r>
        <w:rPr>
          <w:rFonts w:ascii="Courier New" w:cs="Courier New" w:eastAsia="Courier New" w:hAnsi="Courier New"/>
          <w:sz w:val="16"/>
          <w:szCs w:val="16"/>
          <w:color w:val="auto"/>
        </w:rPr>
        <w:t>OUTSTANDING</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SHARES OF</w:t>
      </w:r>
    </w:p>
    <w:p>
      <w:pPr>
        <w:spacing w:after="0"/>
        <w:rPr>
          <w:sz w:val="20"/>
          <w:szCs w:val="20"/>
          <w:color w:val="auto"/>
        </w:rPr>
      </w:pPr>
      <w:r>
        <w:rPr>
          <w:rFonts w:ascii="Courier New" w:cs="Courier New" w:eastAsia="Courier New" w:hAnsi="Courier New"/>
          <w:sz w:val="16"/>
          <w:szCs w:val="16"/>
          <w:color w:val="auto"/>
        </w:rPr>
        <w:t>COMMON STOCK</w:t>
      </w:r>
    </w:p>
    <w:p>
      <w:pPr>
        <w:ind w:left="180"/>
        <w:spacing w:after="0" w:line="237" w:lineRule="auto"/>
        <w:rPr>
          <w:sz w:val="20"/>
          <w:szCs w:val="20"/>
          <w:color w:val="auto"/>
        </w:rPr>
      </w:pPr>
      <w:r>
        <w:rPr>
          <w:rFonts w:ascii="Courier New" w:cs="Courier New" w:eastAsia="Courier New" w:hAnsi="Courier New"/>
          <w:sz w:val="16"/>
          <w:szCs w:val="16"/>
          <w:color w:val="auto"/>
        </w:rPr>
        <w:t>THAT MAY</w:t>
      </w:r>
    </w:p>
    <w:p>
      <w:pPr>
        <w:ind w:left="100"/>
        <w:spacing w:after="0"/>
        <w:rPr>
          <w:sz w:val="20"/>
          <w:szCs w:val="20"/>
          <w:color w:val="auto"/>
        </w:rPr>
      </w:pPr>
      <w:r>
        <w:rPr>
          <w:rFonts w:ascii="Courier New" w:cs="Courier New" w:eastAsia="Courier New" w:hAnsi="Courier New"/>
          <w:sz w:val="16"/>
          <w:szCs w:val="16"/>
          <w:color w:val="auto"/>
        </w:rPr>
        <w:t>BE SOLD(1)</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PERCENTAGE OF</w:t>
      </w:r>
    </w:p>
    <w:p>
      <w:pPr>
        <w:ind w:left="100"/>
        <w:spacing w:after="0"/>
        <w:rPr>
          <w:sz w:val="20"/>
          <w:szCs w:val="20"/>
          <w:color w:val="auto"/>
        </w:rPr>
      </w:pPr>
      <w:r>
        <w:rPr>
          <w:rFonts w:ascii="Courier New" w:cs="Courier New" w:eastAsia="Courier New" w:hAnsi="Courier New"/>
          <w:sz w:val="16"/>
          <w:szCs w:val="16"/>
          <w:color w:val="auto"/>
        </w:rPr>
        <w:t>COMMON STOCK</w:t>
      </w:r>
    </w:p>
    <w:p>
      <w:pPr>
        <w:spacing w:after="0" w:line="237" w:lineRule="auto"/>
        <w:rPr>
          <w:sz w:val="20"/>
          <w:szCs w:val="20"/>
          <w:color w:val="auto"/>
        </w:rPr>
      </w:pPr>
      <w:r>
        <w:rPr>
          <w:rFonts w:ascii="Courier New" w:cs="Courier New" w:eastAsia="Courier New" w:hAnsi="Courier New"/>
          <w:sz w:val="16"/>
          <w:szCs w:val="16"/>
          <w:color w:val="auto"/>
        </w:rPr>
        <w:t>OUTSTANDING (2)</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sectPr>
          <w:pgSz w:w="11900" w:h="16838" w:orient="portrait"/>
          <w:cols w:equalWidth="0" w:num="5">
            <w:col w:w="4724" w:space="720"/>
            <w:col w:w="1300" w:space="200"/>
            <w:col w:w="1220" w:space="280"/>
            <w:col w:w="1320" w:space="180"/>
            <w:col w:w="1580"/>
          </w:cols>
          <w:pgMar w:left="236" w:top="233" w:right="139" w:bottom="1440" w:gutter="0" w:footer="0" w:header="0"/>
          <w:type w:val="continuous"/>
        </w:sectPr>
      </w:pPr>
    </w:p>
    <w:p>
      <w:pPr>
        <w:spacing w:after="0" w:line="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ABN AMRO Incorporated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$201,000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4,522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5">
            <w:col w:w="5104" w:space="720"/>
            <w:col w:w="780" w:space="720"/>
            <w:col w:w="860" w:space="720"/>
            <w:col w:w="880" w:space="720"/>
            <w:col w:w="1020"/>
          </w:cols>
          <w:pgMar w:left="236" w:top="233" w:right="139" w:bottom="1440" w:gutter="0" w:footer="0" w:header="0"/>
          <w:type w:val="continuous"/>
        </w:sectPr>
      </w:pPr>
    </w:p>
    <w:p>
      <w:pPr>
        <w:spacing w:after="0" w:line="16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4"/>
          <w:szCs w:val="24"/>
          <w:color w:val="auto"/>
        </w:rPr>
      </w:pPr>
    </w:p>
    <w:p>
      <w:pPr>
        <w:ind w:left="4"/>
        <w:spacing w:after="0"/>
        <w:tabs>
          <w:tab w:leader="none" w:pos="823"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Less than 1%</w:t>
      </w:r>
    </w:p>
    <w:p>
      <w:pPr>
        <w:sectPr>
          <w:pgSz w:w="11900" w:h="16838" w:orient="portrait"/>
          <w:cols w:equalWidth="0" w:num="1">
            <w:col w:w="11524"/>
          </w:cols>
          <w:pgMar w:left="236" w:top="233" w:right="139" w:bottom="1440" w:gutter="0" w:footer="0" w:header="0"/>
          <w:type w:val="continuous"/>
        </w:sectPr>
      </w:pPr>
    </w:p>
    <w:p>
      <w:pPr>
        <w:spacing w:after="0" w:line="191" w:lineRule="exact"/>
        <w:rPr>
          <w:sz w:val="24"/>
          <w:szCs w:val="24"/>
          <w:color w:val="auto"/>
        </w:rPr>
      </w:pPr>
    </w:p>
    <w:p>
      <w:pPr>
        <w:ind w:left="844" w:right="4200" w:hanging="844"/>
        <w:spacing w:after="0" w:line="256" w:lineRule="auto"/>
        <w:tabs>
          <w:tab w:leader="none" w:pos="84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75" w:lineRule="exact"/>
        <w:rPr>
          <w:rFonts w:ascii="Courier New" w:cs="Courier New" w:eastAsia="Courier New" w:hAnsi="Courier New"/>
          <w:sz w:val="15"/>
          <w:szCs w:val="15"/>
          <w:color w:val="auto"/>
        </w:rPr>
      </w:pPr>
    </w:p>
    <w:p>
      <w:pPr>
        <w:ind w:left="844" w:right="4020" w:hanging="844"/>
        <w:spacing w:after="0" w:line="237" w:lineRule="auto"/>
        <w:tabs>
          <w:tab w:leader="none" w:pos="84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Securities and Exchange Act using 1,736,630,105 shares of Texas Instruments common stock issued and outstanding as of April 10, 2001. Assumes the number of shares of Texas Instruments common stock issuable upon conversion of all of that particular holder's notes are outstanding. However, this does not include the conversion of any other holder's notes.</w:t>
      </w:r>
    </w:p>
    <w:p>
      <w:pPr>
        <w:spacing w:after="0" w:line="189" w:lineRule="exact"/>
        <w:rPr>
          <w:sz w:val="24"/>
          <w:szCs w:val="24"/>
          <w:color w:val="auto"/>
        </w:rPr>
      </w:pPr>
    </w:p>
    <w:p>
      <w:pPr>
        <w:ind w:left="4" w:right="4120" w:firstLine="844"/>
        <w:spacing w:after="0" w:line="236" w:lineRule="auto"/>
        <w:rPr>
          <w:sz w:val="20"/>
          <w:szCs w:val="20"/>
          <w:color w:val="auto"/>
        </w:rPr>
      </w:pPr>
      <w:r>
        <w:rPr>
          <w:rFonts w:ascii="Courier New" w:cs="Courier New" w:eastAsia="Courier New" w:hAnsi="Courier New"/>
          <w:sz w:val="16"/>
          <w:szCs w:val="16"/>
          <w:color w:val="auto"/>
        </w:rPr>
        <w:t>THE SECURITIES OFFERED HEREBY INVOLVE A HIGH DEGREE OF RISK. SEE "RISK FACTORS" BEGINNING ON PAGE 3 OF THE PROSPECTUS.</w:t>
      </w:r>
    </w:p>
    <w:p>
      <w:pPr>
        <w:spacing w:after="0" w:line="180" w:lineRule="exact"/>
        <w:rPr>
          <w:sz w:val="24"/>
          <w:szCs w:val="24"/>
          <w:color w:val="auto"/>
        </w:rPr>
      </w:pPr>
    </w:p>
    <w:p>
      <w:pPr>
        <w:jc w:val="right"/>
        <w:ind w:right="4020"/>
        <w:spacing w:after="0"/>
        <w:rPr>
          <w:sz w:val="20"/>
          <w:szCs w:val="20"/>
          <w:color w:val="auto"/>
        </w:rPr>
      </w:pPr>
      <w:r>
        <w:rPr>
          <w:rFonts w:ascii="Courier New" w:cs="Courier New" w:eastAsia="Courier New" w:hAnsi="Courier New"/>
          <w:sz w:val="16"/>
          <w:szCs w:val="16"/>
          <w:color w:val="auto"/>
        </w:rPr>
        <w:t>NEITHER THE SECURITIES AND EXCHANGE COMMISSION NOR ANY STATE SECURITIES</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COMMISSION HAS APPROVED OR DISAPPROVED OF THESE SECURITIES OR DETERMINED IF THIS</w:t>
      </w:r>
    </w:p>
    <w:p>
      <w:pPr>
        <w:spacing w:after="0" w:line="5"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PROSPECTUS IS TRUTHFUL OR COMPLETE. ANY REPRESENTATION TO THE CONTRARY IS A</w:t>
      </w:r>
    </w:p>
    <w:p>
      <w:pPr>
        <w:ind w:left="4"/>
        <w:spacing w:after="0"/>
        <w:rPr>
          <w:sz w:val="20"/>
          <w:szCs w:val="20"/>
          <w:color w:val="auto"/>
        </w:rPr>
      </w:pPr>
      <w:r>
        <w:rPr>
          <w:rFonts w:ascii="Courier New" w:cs="Courier New" w:eastAsia="Courier New" w:hAnsi="Courier New"/>
          <w:sz w:val="16"/>
          <w:szCs w:val="16"/>
          <w:color w:val="auto"/>
        </w:rPr>
        <w:t>CRIMINAL OFFENSE.</w:t>
      </w:r>
    </w:p>
    <w:p>
      <w:pPr>
        <w:spacing w:after="0" w:line="179" w:lineRule="exact"/>
        <w:rPr>
          <w:sz w:val="24"/>
          <w:szCs w:val="24"/>
          <w:color w:val="auto"/>
        </w:rPr>
      </w:pPr>
    </w:p>
    <w:p>
      <w:pPr>
        <w:ind w:left="1124"/>
        <w:spacing w:after="0"/>
        <w:rPr>
          <w:sz w:val="20"/>
          <w:szCs w:val="20"/>
          <w:color w:val="auto"/>
        </w:rPr>
      </w:pPr>
      <w:r>
        <w:rPr>
          <w:rFonts w:ascii="Courier New" w:cs="Courier New" w:eastAsia="Courier New" w:hAnsi="Courier New"/>
          <w:sz w:val="16"/>
          <w:szCs w:val="16"/>
          <w:color w:val="auto"/>
        </w:rPr>
        <w:t>The date of this Prospectus Supplement is April 12, 2001.</w:t>
      </w:r>
    </w:p>
    <w:sectPr>
      <w:pgSz w:w="11900" w:h="16838" w:orient="portrait"/>
      <w:cols w:equalWidth="0" w:num="1">
        <w:col w:w="11524"/>
      </w:cols>
      <w:pgMar w:left="236" w:top="23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2019-12-13T07:45:19Z</dcterms:created>
  <dcterms:modified xsi:type="dcterms:W3CDTF">2019-12-13T07:45:19Z</dcterms:modified>
</cp:coreProperties>
</file>