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337820</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243205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660" w:right="1800" w:hanging="625"/>
        <w:spacing w:after="0" w:line="501" w:lineRule="auto"/>
        <w:tabs>
          <w:tab w:leader="none" w:pos="4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spacing w:after="0" w:line="13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TEXAS INSTRUMENTS INCORPORATED</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00" w:lineRule="exact"/>
        <w:rPr>
          <w:sz w:val="24"/>
          <w:szCs w:val="24"/>
          <w:color w:val="auto"/>
        </w:rPr>
      </w:pPr>
    </w:p>
    <w:p>
      <w:pPr>
        <w:spacing w:after="0" w:line="273"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56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38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9"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780" w:space="720"/>
            <w:col w:w="1900" w:space="720"/>
            <w:col w:w="640"/>
          </w:cols>
          <w:pgMar w:left="240" w:top="639"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5">
            <w:col w:w="1940" w:space="720"/>
            <w:col w:w="160" w:space="540"/>
            <w:col w:w="4080" w:space="720"/>
            <w:col w:w="1960" w:space="660"/>
            <w:col w:w="640"/>
          </w:cols>
          <w:pgMar w:left="240" w:top="639" w:right="239" w:bottom="1440" w:gutter="0" w:footer="0" w:header="0"/>
          <w:type w:val="continuous"/>
        </w:sectPr>
      </w:pPr>
    </w:p>
    <w:p>
      <w:pPr>
        <w:spacing w:after="0" w:line="43"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1,056,299,947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5620" w:type="dxa"/>
            <w:vAlign w:val="bottom"/>
          </w:tcPr>
          <w:p>
            <w:pPr>
              <w:spacing w:after="0"/>
              <w:rPr>
                <w:sz w:val="24"/>
                <w:szCs w:val="24"/>
                <w:color w:val="auto"/>
              </w:rPr>
            </w:pPr>
          </w:p>
        </w:tc>
        <w:tc>
          <w:tcPr>
            <w:tcW w:w="2960" w:type="dxa"/>
            <w:vAlign w:val="bottom"/>
            <w:gridSpan w:val="6"/>
          </w:tcPr>
          <w:p>
            <w:pPr>
              <w:ind w:left="420"/>
              <w:spacing w:after="0"/>
              <w:rPr>
                <w:sz w:val="20"/>
                <w:szCs w:val="20"/>
                <w:color w:val="auto"/>
              </w:rPr>
            </w:pPr>
            <w:r>
              <w:rPr>
                <w:rFonts w:ascii="Arial" w:cs="Arial" w:eastAsia="Arial" w:hAnsi="Arial"/>
                <w:sz w:val="18"/>
                <w:szCs w:val="18"/>
                <w:b w:val="1"/>
                <w:bCs w:val="1"/>
                <w:color w:val="auto"/>
              </w:rPr>
              <w:t>For Three Months Ended</w:t>
            </w:r>
          </w:p>
        </w:tc>
        <w:tc>
          <w:tcPr>
            <w:tcW w:w="300" w:type="dxa"/>
            <w:vAlign w:val="bottom"/>
          </w:tcPr>
          <w:p>
            <w:pPr>
              <w:spacing w:after="0"/>
              <w:rPr>
                <w:sz w:val="24"/>
                <w:szCs w:val="24"/>
                <w:color w:val="auto"/>
              </w:rPr>
            </w:pPr>
          </w:p>
        </w:tc>
        <w:tc>
          <w:tcPr>
            <w:tcW w:w="25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For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3,501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1,457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4,244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1,047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1,175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2,847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329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791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1.84</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1,060</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1,070</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20" w:type="dxa"/>
            <w:vAlign w:val="bottom"/>
          </w:tcPr>
          <w:p>
            <w:pPr>
              <w:spacing w:after="0"/>
              <w:rPr>
                <w:sz w:val="24"/>
                <w:szCs w:val="24"/>
                <w:color w:val="auto"/>
              </w:rPr>
            </w:pP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1"/>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[Millions of dollars]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76"/>
        </w:trPr>
        <w:tc>
          <w:tcPr>
            <w:tcW w:w="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8"/>
              </w:rPr>
              <w:t>For Nine Months Ended</w:t>
            </w:r>
          </w:p>
        </w:tc>
      </w:tr>
      <w:tr>
        <w:trPr>
          <w:trHeight w:val="234"/>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7"/>
              </w:rPr>
              <w:t>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160" w:type="dxa"/>
            <w:vAlign w:val="bottom"/>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r>
      <w:tr>
        <w:trPr>
          <w:trHeight w:val="243"/>
        </w:trPr>
        <w:tc>
          <w:tcPr>
            <w:tcW w:w="16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actuarial gains (losses) of defined benefit plans: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380"/>
              <w:spacing w:after="0"/>
              <w:rPr>
                <w:sz w:val="20"/>
                <w:szCs w:val="20"/>
                <w:color w:val="auto"/>
              </w:rPr>
            </w:pPr>
            <w:r>
              <w:rPr>
                <w:rFonts w:ascii="Arial" w:cs="Arial" w:eastAsia="Arial" w:hAnsi="Arial"/>
                <w:sz w:val="18"/>
                <w:szCs w:val="18"/>
                <w:color w:val="auto"/>
              </w:rPr>
              <w:t>Adjustment</w:t>
            </w:r>
          </w:p>
        </w:tc>
        <w:tc>
          <w:tcPr>
            <w:tcW w:w="8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w:t>
            </w: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within Net income</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r>
      <w:tr>
        <w:trPr>
          <w:trHeight w:val="243"/>
        </w:trPr>
        <w:tc>
          <w:tcPr>
            <w:tcW w:w="160" w:type="dxa"/>
            <w:vAlign w:val="bottom"/>
          </w:tcPr>
          <w:p>
            <w:pPr>
              <w:spacing w:after="0"/>
              <w:rPr>
                <w:sz w:val="21"/>
                <w:szCs w:val="21"/>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160" w:type="dxa"/>
            <w:vAlign w:val="bottom"/>
          </w:tcPr>
          <w:p>
            <w:pPr>
              <w:spacing w:after="0"/>
              <w:rPr>
                <w:sz w:val="21"/>
                <w:szCs w:val="21"/>
                <w:color w:val="auto"/>
              </w:rPr>
            </w:pPr>
          </w:p>
        </w:tc>
        <w:tc>
          <w:tcPr>
            <w:tcW w:w="5440" w:type="dxa"/>
            <w:vAlign w:val="bottom"/>
          </w:tcPr>
          <w:p>
            <w:pPr>
              <w:ind w:left="380"/>
              <w:spacing w:after="0"/>
              <w:rPr>
                <w:sz w:val="20"/>
                <w:szCs w:val="20"/>
                <w:color w:val="auto"/>
              </w:rPr>
            </w:pPr>
            <w:r>
              <w:rPr>
                <w:rFonts w:ascii="Arial" w:cs="Arial" w:eastAsia="Arial" w:hAnsi="Arial"/>
                <w:sz w:val="18"/>
                <w:szCs w:val="18"/>
                <w:color w:val="auto"/>
              </w:rPr>
              <w:t>Recognized within Net income</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5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5440" w:type="dxa"/>
            <w:vAlign w:val="bottom"/>
          </w:tcPr>
          <w:p>
            <w:pPr>
              <w:ind w:left="380"/>
              <w:spacing w:after="0"/>
              <w:rPr>
                <w:sz w:val="20"/>
                <w:szCs w:val="20"/>
                <w:color w:val="auto"/>
              </w:rPr>
            </w:pPr>
            <w:r>
              <w:rPr>
                <w:rFonts w:ascii="Arial" w:cs="Arial" w:eastAsia="Arial" w:hAnsi="Arial"/>
                <w:sz w:val="18"/>
                <w:szCs w:val="18"/>
                <w:color w:val="auto"/>
              </w:rPr>
              <w:t>Change in fair value</w:t>
            </w:r>
          </w:p>
        </w:tc>
        <w:tc>
          <w:tcPr>
            <w:tcW w:w="86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within Net income</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16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r>
      <w:tr>
        <w:trPr>
          <w:trHeight w:val="27"/>
        </w:trPr>
        <w:tc>
          <w:tcPr>
            <w:tcW w:w="160" w:type="dxa"/>
            <w:vAlign w:val="bottom"/>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0" w:type="dxa"/>
            <w:vAlign w:val="bottom"/>
          </w:tcPr>
          <w:p>
            <w:pPr>
              <w:spacing w:after="0"/>
              <w:rPr>
                <w:sz w:val="22"/>
                <w:szCs w:val="22"/>
                <w:color w:val="auto"/>
              </w:rPr>
            </w:pPr>
          </w:p>
        </w:tc>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1,778</w:t>
            </w:r>
          </w:p>
        </w:tc>
      </w:tr>
      <w:tr>
        <w:trPr>
          <w:trHeight w:val="20"/>
        </w:trPr>
        <w:tc>
          <w:tcPr>
            <w:tcW w:w="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121"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120" w:type="dxa"/>
            <w:vAlign w:val="bottom"/>
          </w:tcPr>
          <w:p>
            <w:pPr>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[Millions of dollars, except share amounts]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($15) and ($22)</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749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1,982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Underfunded retirement plans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credits and other liabilities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358"/>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Preferred stock, $25 par value. Authorized – 10,000,000 shares.  Participating cumulative preferred. None</w:t>
            </w:r>
          </w:p>
        </w:tc>
        <w:tc>
          <w:tcPr>
            <w:tcW w:w="160" w:type="dxa"/>
            <w:vAlign w:val="bottom"/>
            <w:shd w:val="clear" w:color="auto" w:fill="CCEEFF"/>
          </w:tcPr>
          <w:p>
            <w:pPr>
              <w:spacing w:after="0"/>
              <w:rPr>
                <w:sz w:val="19"/>
                <w:szCs w:val="19"/>
                <w:color w:val="auto"/>
              </w:rPr>
            </w:pPr>
          </w:p>
        </w:tc>
        <w:tc>
          <w:tcPr>
            <w:tcW w:w="15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issued.</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Common stock, $1 par value. Authorized – 2,400,000,000 shares.  Shares issued – 1,740,815,939</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29,189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Treasury common stock at cost. Shares: September 30, 2014 – 684,515,992; December 31, 2013 –</w:t>
            </w:r>
          </w:p>
        </w:tc>
        <w:tc>
          <w:tcPr>
            <w:tcW w:w="16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658,012,970</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 (AOCI)</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17,900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18,938</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121" w:right="239" w:bottom="3"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3"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For Nine Months Ended</w:t>
      </w:r>
    </w:p>
    <w:p>
      <w:pPr>
        <w:spacing w:after="0" w:line="27"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capitalized software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on sales of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funded status of retirement plans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asset sales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short-term investments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2,491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(1,000)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Stock repurchases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(2,133)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(3,055)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1,306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ind w:left="340" w:hanging="31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29"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 We have two reportable segments, which are established along major categories of products as follows:</w:t>
      </w:r>
    </w:p>
    <w:p>
      <w:pPr>
        <w:spacing w:after="0" w:line="170" w:lineRule="exact"/>
        <w:rPr>
          <w:rFonts w:ascii="Arial" w:cs="Arial" w:eastAsia="Arial" w:hAnsi="Arial"/>
          <w:sz w:val="18"/>
          <w:szCs w:val="18"/>
          <w:color w:val="auto"/>
        </w:rPr>
      </w:pPr>
    </w:p>
    <w:p>
      <w:pPr>
        <w:jc w:val="both"/>
        <w:ind w:left="900" w:right="20" w:hanging="244"/>
        <w:spacing w:after="0" w:line="256" w:lineRule="auto"/>
        <w:tabs>
          <w:tab w:leader="none" w:pos="90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consists of the following major product lines: High Volume Analog &amp; Logic (HVAL), Power Management (Power), High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Analog (HPA) and Silicon Valley Analog (SVA). SVA consists primarily of products that we acquired through our purchase of National Semiconductor Corporation (National) in 2011.</w:t>
      </w:r>
    </w:p>
    <w:p>
      <w:pPr>
        <w:ind w:left="900" w:hanging="244"/>
        <w:spacing w:after="0"/>
        <w:tabs>
          <w:tab w:leader="none" w:pos="90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consists of the following major product lines: Processors, Microcontrollers and Connectivity.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 the results of our remaining business activities in Other. See Note 11 for the results of our business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U.S. (GAAP) and on the same basis as the audited financial statements included in our annual report on Form 10-K for the year ended December 31, 2013. The Consolidated Statements of Income, Comprehensive Income and Cash Flows for the periods ended September 30, 2014, and 2013, and the Consolidated Balance Sheet as of September 30, 2014,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2013. The results for the three-month and nine-month periods are not necessarily indicative of a full year’s results.</w:t>
      </w:r>
    </w:p>
    <w:p>
      <w:pPr>
        <w:spacing w:after="0" w:line="178" w:lineRule="exact"/>
        <w:rPr>
          <w:sz w:val="20"/>
          <w:szCs w:val="20"/>
          <w:color w:val="auto"/>
        </w:rPr>
      </w:pPr>
    </w:p>
    <w:p>
      <w:pPr>
        <w:ind w:left="340" w:right="34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Earnings per share (EPS)</w:t>
      </w:r>
    </w:p>
    <w:p>
      <w:pPr>
        <w:spacing w:after="0" w:line="225" w:lineRule="exact"/>
        <w:rPr>
          <w:sz w:val="20"/>
          <w:szCs w:val="20"/>
          <w:color w:val="auto"/>
        </w:rPr>
      </w:pPr>
    </w:p>
    <w:p>
      <w:pPr>
        <w:ind w:left="340" w:right="160"/>
        <w:spacing w:after="0" w:line="259"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2014</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2013</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Net Income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Net 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813</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813</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1,074</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3"/>
              </w:rPr>
              <w:t>For Nine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2"/>
              </w:rPr>
              <w:t>For Nine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2014</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September 30, 2013</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1,965</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1,965</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1,085</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Potentially dilutive securities representing 11 million shares of common stock that were outstanding during both the third quarter and first nine months of 2014 were excluded from the computation of diluted earnings per common share for these periods because their effect would have been anti-dilutive. There were no potentially dilutive securities excluded from the computation of diluted earnings per common share during the third quarter and the first nine months of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Derivatives and hedging</w:t>
      </w:r>
    </w:p>
    <w:p>
      <w:pPr>
        <w:spacing w:after="0" w:line="22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In association with the issuance of certain long-term debt, we use financial derivatives such as treasury 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We also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The fair values of our derivative financial instruments were not significant at September 30, 2014. Our investments in cash equivalents, short-term investments and certain long-term investments, as well as our deferred compensation liabilities, are carried at fair value and are discussed in Note 5. The carrying values for other current financial assets and liabilities, such as accounts receivable and accounts payable, approximate fair value due to the short maturity of such instruments. The carrying value of our long-term debt approximates its fair value as measured using broker-dealer quotes, which are based on Level 2 inputs. See Note 5 for the definition of Level 2 inputs.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25"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 xml:space="preserve">In April 2014, the Financial Accounting Standards Board (FASB) issued Accounting Standards Update (ASU) No. 2014-08, </w:t>
      </w:r>
      <w:r>
        <w:rPr>
          <w:rFonts w:ascii="Arial" w:cs="Arial" w:eastAsia="Arial" w:hAnsi="Arial"/>
          <w:sz w:val="16"/>
          <w:szCs w:val="16"/>
          <w:i w:val="1"/>
          <w:iCs w:val="1"/>
          <w:color w:val="auto"/>
        </w:rPr>
        <w:t>Presentation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(Topic 205) and Property, Plant, and Equipment (Topic 360): Reporting Discontinued Operations and Disclosures of Disposals of Components of an Entity</w:t>
      </w:r>
      <w:r>
        <w:rPr>
          <w:rFonts w:ascii="Arial" w:cs="Arial" w:eastAsia="Arial" w:hAnsi="Arial"/>
          <w:sz w:val="16"/>
          <w:szCs w:val="16"/>
          <w:color w:val="auto"/>
        </w:rPr>
        <w:t>. This standard raises the threshold for a disposal to qualify as a discontinued operation. Under the new guidance, only a disposal</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 strategic shift in operations that has or will have a major effect on an entity's operations and financial results, such as a disposal of a major geographic area or a major line of business, should be presented as discontinued operations. In addition, the new standard requires additional disclosures of both discontinued operations and certain other disposals that do not meet the revised definition of a discontinued operation. This standard is effective for annual and interim reporting periods beginning as of January 1, 2015. In the event that a future disposition meets the revised criteria, we expect that this standard will have an impact on the presentation of our financial statements and we will note the appropriate disclosures at that time.</w:t>
      </w:r>
    </w:p>
    <w:p>
      <w:pPr>
        <w:spacing w:after="0" w:line="166"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standard provides a single set of guidelines for revenue recognition to be used across all industries and requires additional disclosures. This standard is effective for annual and interim reporting periods beginning as of January 1, 2017. We are currently evaluating the potential impact of this standard on our financial position and results of operations.</w:t>
      </w:r>
    </w:p>
    <w:p>
      <w:pPr>
        <w:spacing w:after="0" w:line="187"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205-40</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Uncertainties about an Entity’s Ability to Continue as a Going Concern. </w:t>
      </w:r>
      <w:r>
        <w:rPr>
          <w:rFonts w:ascii="Arial" w:cs="Arial" w:eastAsia="Arial" w:hAnsi="Arial"/>
          <w:sz w:val="18"/>
          <w:szCs w:val="18"/>
          <w:color w:val="auto"/>
        </w:rPr>
        <w:t>This standard sets forth management’s responsibility to evaluate, each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whether there is substantial doubt about our ability to continue as a going concern, and if so, to provide related footnote disclosures. The standard is effective for annual and interim reporting periods ending after December 15, 2016. We are currently evaluating this new standard and expect it to have no impact on our financial position and results of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Acquisition charges</w:t>
      </w:r>
    </w:p>
    <w:p>
      <w:pPr>
        <w:spacing w:after="0" w:line="229" w:lineRule="exact"/>
        <w:rPr>
          <w:rFonts w:ascii="Arial" w:cs="Arial" w:eastAsia="Arial" w:hAnsi="Arial"/>
          <w:sz w:val="18"/>
          <w:szCs w:val="18"/>
          <w:color w:val="auto"/>
        </w:rPr>
      </w:pPr>
    </w:p>
    <w:p>
      <w:pPr>
        <w:ind w:left="340" w:right="200"/>
        <w:spacing w:after="0" w:line="277" w:lineRule="auto"/>
        <w:rPr>
          <w:rFonts w:ascii="Arial" w:cs="Arial" w:eastAsia="Arial" w:hAnsi="Arial"/>
          <w:sz w:val="18"/>
          <w:szCs w:val="18"/>
          <w:color w:val="auto"/>
        </w:rPr>
      </w:pPr>
      <w:r>
        <w:rPr>
          <w:rFonts w:ascii="Arial" w:cs="Arial" w:eastAsia="Arial" w:hAnsi="Arial"/>
          <w:sz w:val="18"/>
          <w:szCs w:val="18"/>
          <w:color w:val="auto"/>
        </w:rPr>
        <w:t>We incurred various costs as a result of the 2011 acquisition of National that are included in Other for segment reporting purposes, consistent with how management measures the performance of our segments. These acquisition charges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Nine Months Ended</w:t>
            </w:r>
          </w:p>
        </w:tc>
        <w:tc>
          <w:tcPr>
            <w:tcW w:w="44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87"/>
              </w:rPr>
              <w:t>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7"/>
              </w:rPr>
              <w:t>September 30,</w:t>
            </w:r>
          </w:p>
        </w:tc>
        <w:tc>
          <w:tcPr>
            <w:tcW w:w="4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bonuses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59" w:lineRule="auto"/>
        <w:rPr>
          <w:sz w:val="20"/>
          <w:szCs w:val="20"/>
          <w:color w:val="auto"/>
        </w:rPr>
      </w:pPr>
      <w:r>
        <w:rPr>
          <w:rFonts w:ascii="Arial" w:cs="Arial" w:eastAsia="Arial" w:hAnsi="Arial"/>
          <w:sz w:val="18"/>
          <w:szCs w:val="18"/>
          <w:color w:val="auto"/>
        </w:rPr>
        <w:t>Amortization of intangible assets resulting from the National acquisition is based on estimated useful lives. See Note 6 for additional information. Stock-based compensation reflects awards to former National employees and is recognized over the applicable vesting period for the remaining grantees. Retention bonuses reflect amounts paid to former National employees who fulfilled agreed-upon service period obligations and were recognized ratably over the required service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Restructuring charges/other</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Restructuring charges/other is comprised of the following components, all of which are recognized in Other for segment reporting purposes: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240"/>
              <w:spacing w:after="0"/>
              <w:rPr>
                <w:sz w:val="20"/>
                <w:szCs w:val="20"/>
                <w:color w:val="auto"/>
              </w:rPr>
            </w:pPr>
            <w:r>
              <w:rPr>
                <w:rFonts w:ascii="Arial" w:cs="Arial" w:eastAsia="Arial" w:hAnsi="Arial"/>
                <w:sz w:val="18"/>
                <w:szCs w:val="18"/>
                <w:b w:val="1"/>
                <w:bCs w:val="1"/>
                <w:color w:val="auto"/>
              </w:rPr>
              <w:t>For Three Months Ended</w:t>
            </w:r>
          </w:p>
        </w:tc>
        <w:tc>
          <w:tcPr>
            <w:tcW w:w="340" w:type="dxa"/>
            <w:vAlign w:val="bottom"/>
          </w:tcPr>
          <w:p>
            <w:pPr>
              <w:spacing w:after="0"/>
              <w:rPr>
                <w:sz w:val="18"/>
                <w:szCs w:val="18"/>
                <w:color w:val="auto"/>
              </w:rPr>
            </w:pPr>
          </w:p>
        </w:tc>
        <w:tc>
          <w:tcPr>
            <w:tcW w:w="22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For Nine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4"/>
              </w:rPr>
              <w:t>Cumulative Since</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ind w:left="24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January 1, 2011</w:t>
            </w:r>
          </w:p>
        </w:tc>
        <w:tc>
          <w:tcPr>
            <w:tcW w:w="0" w:type="dxa"/>
            <w:vAlign w:val="bottom"/>
          </w:tcPr>
          <w:p>
            <w:pPr>
              <w:spacing w:after="0"/>
              <w:rPr>
                <w:sz w:val="1"/>
                <w:szCs w:val="1"/>
                <w:color w:val="auto"/>
              </w:rPr>
            </w:pPr>
          </w:p>
        </w:tc>
      </w:tr>
      <w:tr>
        <w:trPr>
          <w:trHeight w:val="27"/>
        </w:trPr>
        <w:tc>
          <w:tcPr>
            <w:tcW w:w="3100" w:type="dxa"/>
            <w:vAlign w:val="bottom"/>
            <w:gridSpan w:val="7"/>
            <w:vMerge w:val="restart"/>
          </w:tcPr>
          <w:p>
            <w:pPr>
              <w:ind w:left="40"/>
              <w:spacing w:after="0"/>
              <w:rPr>
                <w:sz w:val="20"/>
                <w:szCs w:val="20"/>
                <w:color w:val="auto"/>
              </w:rPr>
            </w:pPr>
            <w:r>
              <w:rPr>
                <w:rFonts w:ascii="Arial" w:cs="Arial" w:eastAsia="Arial" w:hAnsi="Arial"/>
                <w:sz w:val="18"/>
                <w:szCs w:val="18"/>
                <w:color w:val="auto"/>
              </w:rPr>
              <w:t>Restructuring charges by action:</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00" w:type="dxa"/>
            <w:vAlign w:val="bottom"/>
            <w:gridSpan w:val="7"/>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2013 actions</w:t>
            </w: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Severance and benefits cost (a)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Other exit costs</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spacing w:after="0" w:line="182" w:lineRule="exact"/>
              <w:rPr>
                <w:sz w:val="20"/>
                <w:szCs w:val="20"/>
                <w:color w:val="auto"/>
              </w:rPr>
            </w:pPr>
            <w:r>
              <w:rPr>
                <w:rFonts w:ascii="Arial" w:cs="Arial" w:eastAsia="Arial" w:hAnsi="Arial"/>
                <w:sz w:val="18"/>
                <w:szCs w:val="18"/>
                <w:color w:val="auto"/>
              </w:rPr>
              <w:t>2012 Wireless action</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Severance and benefits cost (a)</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Accelerated depreciation</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exit costs</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2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color w:val="auto"/>
              </w:rPr>
              <w:t>Prior actions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7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Severance and benefits cost</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Other exit costs (a)</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3100" w:type="dxa"/>
            <w:vAlign w:val="bottom"/>
            <w:gridSpan w:val="7"/>
          </w:tcPr>
          <w:p>
            <w:pPr>
              <w:ind w:left="40"/>
              <w:spacing w:after="0"/>
              <w:rPr>
                <w:sz w:val="20"/>
                <w:szCs w:val="20"/>
                <w:color w:val="auto"/>
              </w:rPr>
            </w:pPr>
            <w:r>
              <w:rPr>
                <w:rFonts w:ascii="Arial" w:cs="Arial" w:eastAsia="Arial" w:hAnsi="Arial"/>
                <w:sz w:val="18"/>
                <w:szCs w:val="18"/>
                <w:color w:val="auto"/>
              </w:rPr>
              <w:t>Total restructuring charges</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00" w:type="dxa"/>
            <w:vAlign w:val="bottom"/>
            <w:gridSpan w:val="7"/>
          </w:tcPr>
          <w:p>
            <w:pPr>
              <w:ind w:left="40"/>
              <w:spacing w:after="0" w:line="202" w:lineRule="exact"/>
              <w:rPr>
                <w:sz w:val="20"/>
                <w:szCs w:val="20"/>
                <w:color w:val="auto"/>
              </w:rPr>
            </w:pPr>
            <w:r>
              <w:rPr>
                <w:rFonts w:ascii="Arial" w:cs="Arial" w:eastAsia="Arial" w:hAnsi="Arial"/>
                <w:sz w:val="18"/>
                <w:szCs w:val="18"/>
                <w:color w:val="auto"/>
              </w:rPr>
              <w:t>Other:</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Gains on sales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spacing w:after="0"/>
              <w:rPr>
                <w:sz w:val="20"/>
                <w:szCs w:val="20"/>
                <w:color w:val="auto"/>
              </w:rPr>
            </w:pPr>
            <w:r>
              <w:rPr>
                <w:rFonts w:ascii="Arial" w:cs="Arial" w:eastAsia="Arial" w:hAnsi="Arial"/>
                <w:sz w:val="18"/>
                <w:szCs w:val="18"/>
                <w:color w:val="auto"/>
              </w:rPr>
              <w:t>Gain on technology transfer</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00" w:type="dxa"/>
            <w:vAlign w:val="bottom"/>
            <w:gridSpan w:val="7"/>
          </w:tcPr>
          <w:p>
            <w:pPr>
              <w:ind w:left="40"/>
              <w:spacing w:after="0"/>
              <w:rPr>
                <w:sz w:val="20"/>
                <w:szCs w:val="20"/>
                <w:color w:val="auto"/>
              </w:rPr>
            </w:pPr>
            <w:r>
              <w:rPr>
                <w:rFonts w:ascii="Arial" w:cs="Arial" w:eastAsia="Arial" w:hAnsi="Arial"/>
                <w:sz w:val="18"/>
                <w:szCs w:val="18"/>
                <w:color w:val="auto"/>
              </w:rPr>
              <w:t>Restructuring charges/other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540" w:hanging="8"/>
        <w:spacing w:after="0" w:line="501" w:lineRule="auto"/>
        <w:tabs>
          <w:tab w:leader="none" w:pos="57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Includes changes in estimates for the three and nine months ended September 30, 2014. </w:t>
      </w:r>
      <w:r>
        <w:rPr>
          <w:rFonts w:ascii="Arial" w:cs="Arial" w:eastAsia="Arial" w:hAnsi="Arial"/>
          <w:sz w:val="18"/>
          <w:szCs w:val="18"/>
          <w:u w:val="single" w:color="auto"/>
          <w:color w:val="auto"/>
        </w:rPr>
        <w:t>2013 actions</w:t>
      </w:r>
    </w:p>
    <w:p>
      <w:pPr>
        <w:ind w:left="340" w:right="60"/>
        <w:spacing w:after="0" w:line="302" w:lineRule="auto"/>
        <w:rPr>
          <w:sz w:val="20"/>
          <w:szCs w:val="20"/>
          <w:color w:val="auto"/>
        </w:rPr>
      </w:pPr>
      <w:r>
        <w:rPr>
          <w:rFonts w:ascii="Arial" w:cs="Arial" w:eastAsia="Arial" w:hAnsi="Arial"/>
          <w:sz w:val="16"/>
          <w:szCs w:val="16"/>
          <w:color w:val="auto"/>
        </w:rPr>
        <w:t>In January 2014, we announced cost-saving actions in Embedded Processing and in Japan to reduce expenses and focus our investments on markets with greater potential for sustainable growth and strong long-term returns. We expect the actions to be completed by mid-2015. Cost reductions include the elimination of about 1,100 jobs worldwide. Through September 30, 2014, we have recognized $74 million in cumulative restructuring charges, with no further material charges expected. As of September 30, 2014, $36 million has been paid to terminated employees for severance and benefits.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2012 Wireless action</w:t>
      </w:r>
    </w:p>
    <w:p>
      <w:pPr>
        <w:spacing w:after="0" w:line="225" w:lineRule="exact"/>
        <w:rPr>
          <w:sz w:val="20"/>
          <w:szCs w:val="20"/>
          <w:color w:val="auto"/>
        </w:rPr>
      </w:pPr>
    </w:p>
    <w:p>
      <w:pPr>
        <w:ind w:left="340" w:right="40"/>
        <w:spacing w:after="0" w:line="312" w:lineRule="auto"/>
        <w:rPr>
          <w:sz w:val="20"/>
          <w:szCs w:val="20"/>
          <w:color w:val="auto"/>
        </w:rPr>
      </w:pPr>
      <w:r>
        <w:rPr>
          <w:rFonts w:ascii="Arial" w:cs="Arial" w:eastAsia="Arial" w:hAnsi="Arial"/>
          <w:sz w:val="16"/>
          <w:szCs w:val="16"/>
          <w:color w:val="auto"/>
        </w:rPr>
        <w:t>In 2012, we announced a restructuring of our Wireless business to reduce expenses and focus our investments on markets with greater potential for sustainable growth and strong long-term returns. This action is now complete. We recognized $383 million in cumulative restructuring charges, including a $90 million impairment of goodwill. As of September 30, 2014, $241 million has been paid to terminated employees for severance and benefits.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Prior actions</w:t>
      </w:r>
    </w:p>
    <w:p>
      <w:pPr>
        <w:spacing w:after="0" w:line="225"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In 2012, we announced closure of two older semiconductor manufacturing facilities in Houston, Texas, and Hiji, Japan. We recognized $200 million in cumulative restructuring charges related to these closures, completing both by the end of 2013. As of September 30, 2014, $102 million has been paid to terminated employees for severance and benefits.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2014, and December 31, 2013, we carried immaterial liabilities related to actions commenced in 2008 and 2009.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2012 Wireless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2013 Actions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Action</w:t>
            </w:r>
          </w:p>
        </w:tc>
        <w:tc>
          <w:tcPr>
            <w:tcW w:w="140" w:type="dxa"/>
            <w:vAlign w:val="bottom"/>
          </w:tcPr>
          <w:p>
            <w:pPr>
              <w:spacing w:after="0"/>
              <w:rPr>
                <w:sz w:val="20"/>
                <w:szCs w:val="20"/>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Prior Actions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8"/>
        </w:trPr>
        <w:tc>
          <w:tcPr>
            <w:tcW w:w="386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Severance and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Severance and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18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Benefits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accrual at December 31, 2013</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Restructuring charges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r>
      <w:tr>
        <w:trPr>
          <w:trHeight w:val="27"/>
        </w:trPr>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Payments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r>
      <w:tr>
        <w:trPr>
          <w:trHeight w:val="257"/>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Remaining accrual at September 30, 2014</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w:t>
            </w: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right="780"/>
        <w:spacing w:after="0" w:line="277" w:lineRule="auto"/>
        <w:rPr>
          <w:sz w:val="20"/>
          <w:szCs w:val="20"/>
          <w:color w:val="auto"/>
        </w:rPr>
      </w:pPr>
      <w:r>
        <w:rPr>
          <w:rFonts w:ascii="Arial" w:cs="Arial" w:eastAsia="Arial" w:hAnsi="Arial"/>
          <w:sz w:val="18"/>
          <w:szCs w:val="18"/>
          <w:color w:val="auto"/>
        </w:rPr>
        <w:t>The accrual balances above are primarily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Gains on sales of assets</w:t>
      </w:r>
    </w:p>
    <w:p>
      <w:pPr>
        <w:spacing w:after="0" w:line="225"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During the first quarter of 2014, we completed the sale of our site in Nice, France. The planned shut-down of this site was part of our 2012 Wireless restructuring action. As a result of the sale, we recognized a gain of $30 million in the first quarter of 2014. We also recognized gains of $17 million on a year-to-date basis tied to the sales of other assets associated primarily with our Houston and Hiji manufacturing facilities, with $8 million recognized in the third quarter of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on technology transfer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second quarter of 2013, we recognized a gain of $315 million on a transfer of wireless connectivity technology to a customer.</w:t>
      </w:r>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color w:val="auto"/>
        </w:rPr>
      </w:pPr>
    </w:p>
    <w:p>
      <w:pPr>
        <w:ind w:left="340" w:right="80"/>
        <w:spacing w:after="0" w:line="255" w:lineRule="auto"/>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effective tax rate. The rate is based on current tax law and for 2014 does not assume reinstatement of the federal research tax credit, which expired at the end of 2013. As of September 30, 2014, the estimated annual effective tax rate for 2014 is about 28 percent, which differs from the 35 percent statutory corporate tax rate due to lower statutory tax rates applicable to our operations in many of the jurisdictions in which we operate and from U.S. tax benefits. The first-quarter 2013 tax provision included a $65 million discrete tax benefit from the reinstatement of the federal research tax credit retroactive to the beginning of 2012.</w:t>
      </w:r>
    </w:p>
    <w:p>
      <w:pPr>
        <w:spacing w:after="0" w:line="189" w:lineRule="exact"/>
        <w:rPr>
          <w:rFonts w:ascii="Arial" w:cs="Arial" w:eastAsia="Arial" w:hAnsi="Arial"/>
          <w:sz w:val="18"/>
          <w:szCs w:val="18"/>
          <w:color w:val="auto"/>
        </w:rPr>
      </w:pPr>
    </w:p>
    <w:p>
      <w:pPr>
        <w:ind w:left="340" w:right="6260" w:hanging="332"/>
        <w:spacing w:after="0" w:line="50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48" w:lineRule="exact"/>
        <w:rPr>
          <w:rFonts w:ascii="Arial" w:cs="Arial" w:eastAsia="Arial" w:hAnsi="Arial"/>
          <w:sz w:val="18"/>
          <w:szCs w:val="18"/>
          <w:color w:val="auto"/>
        </w:rPr>
      </w:pPr>
    </w:p>
    <w:p>
      <w:pPr>
        <w:ind w:left="340" w:right="4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left="360" w:right="20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Details of our investments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Cash and Cash</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Equivalents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U.S. Government agency and Treasury</w:t>
            </w:r>
          </w:p>
        </w:tc>
        <w:tc>
          <w:tcPr>
            <w:tcW w:w="1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340" w:type="dxa"/>
            <w:vAlign w:val="bottom"/>
          </w:tcPr>
          <w:p>
            <w:pPr>
              <w:ind w:left="200"/>
              <w:spacing w:after="0"/>
              <w:rPr>
                <w:sz w:val="20"/>
                <w:szCs w:val="20"/>
                <w:color w:val="auto"/>
              </w:rPr>
            </w:pPr>
            <w:r>
              <w:rPr>
                <w:rFonts w:ascii="Arial" w:cs="Arial" w:eastAsia="Arial" w:hAnsi="Arial"/>
                <w:sz w:val="18"/>
                <w:szCs w:val="18"/>
                <w:color w:val="auto"/>
              </w:rPr>
              <w:t>Cost-method investments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1,880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120"/>
        <w:spacing w:after="0" w:line="342" w:lineRule="auto"/>
        <w:rPr>
          <w:sz w:val="20"/>
          <w:szCs w:val="20"/>
          <w:color w:val="auto"/>
        </w:rPr>
      </w:pPr>
      <w:r>
        <w:rPr>
          <w:rFonts w:ascii="Arial" w:cs="Arial" w:eastAsia="Arial" w:hAnsi="Arial"/>
          <w:sz w:val="16"/>
          <w:szCs w:val="16"/>
          <w:color w:val="auto"/>
        </w:rPr>
        <w:t>At September 30, 2014, and December 31, 2013, we had no significant unrealized gains or losses associated with our available-for-sale investments. We did not recognize any credit losses related to available-for-sale investments for the nine months ended September 30, 2014, and 2013.</w:t>
      </w:r>
    </w:p>
    <w:p>
      <w:pPr>
        <w:spacing w:after="0" w:line="124" w:lineRule="exact"/>
        <w:rPr>
          <w:sz w:val="20"/>
          <w:szCs w:val="20"/>
          <w:color w:val="auto"/>
        </w:rPr>
      </w:pPr>
    </w:p>
    <w:p>
      <w:pPr>
        <w:ind w:left="340" w:right="800"/>
        <w:spacing w:after="0" w:line="342" w:lineRule="auto"/>
        <w:rPr>
          <w:sz w:val="20"/>
          <w:szCs w:val="20"/>
          <w:color w:val="auto"/>
        </w:rPr>
      </w:pPr>
      <w:r>
        <w:rPr>
          <w:rFonts w:ascii="Arial" w:cs="Arial" w:eastAsia="Arial" w:hAnsi="Arial"/>
          <w:sz w:val="16"/>
          <w:szCs w:val="16"/>
          <w:color w:val="auto"/>
        </w:rPr>
        <w:t>For the nine months ended September 30, 2014, and 2013, the proceeds from sales, redemptions and maturities of short-term available-for-sale investments were $2.49 billion and $3.56 billion, respectively. Gross realized gains and losses from these sales were not significant.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aggregate maturities of investments in debt securities classified as available for sale at September 30, 2014:</w:t>
      </w:r>
    </w:p>
    <w:p>
      <w:pPr>
        <w:spacing w:after="0" w:line="395"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to two years</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Gross realized gains and losses from sales of long-term investments were not significant for the nine months ended September 30, 2014, and 2013. Other-than-temporary declines and impairments in the values of these investments recognized in OI&amp;E were also not significant for the nine months ended September 30, 2014, and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840" w:hanging="265"/>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Uses unadjusted quoted prices that are available in active markets for identical assets or liabilities as of the reporting date.</w:t>
      </w:r>
    </w:p>
    <w:p>
      <w:pPr>
        <w:spacing w:after="0" w:line="34" w:lineRule="exact"/>
        <w:rPr>
          <w:rFonts w:ascii="Arial" w:cs="Arial" w:eastAsia="Arial" w:hAnsi="Arial"/>
          <w:sz w:val="17"/>
          <w:szCs w:val="17"/>
          <w:color w:val="auto"/>
        </w:rPr>
      </w:pPr>
    </w:p>
    <w:p>
      <w:pPr>
        <w:ind w:left="1540" w:right="140" w:hanging="965"/>
        <w:spacing w:after="0" w:line="265" w:lineRule="auto"/>
        <w:tabs>
          <w:tab w:leader="none" w:pos="829"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 valuations. We verify these valuations for reasonableness relative to unadjusted quotes obtained from brokers or dealers based on observable prices for similar assets in active markets.</w:t>
      </w:r>
    </w:p>
    <w:p>
      <w:pPr>
        <w:spacing w:after="0" w:line="1" w:lineRule="exact"/>
        <w:rPr>
          <w:rFonts w:ascii="Arial" w:cs="Arial" w:eastAsia="Arial" w:hAnsi="Arial"/>
          <w:sz w:val="17"/>
          <w:szCs w:val="17"/>
          <w:color w:val="auto"/>
        </w:rPr>
      </w:pPr>
    </w:p>
    <w:p>
      <w:pPr>
        <w:ind w:left="1540" w:right="300" w:hanging="965"/>
        <w:spacing w:after="0" w:line="323" w:lineRule="auto"/>
        <w:tabs>
          <w:tab w:leader="none" w:pos="829"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39" w:lineRule="exact"/>
        <w:rPr>
          <w:sz w:val="20"/>
          <w:szCs w:val="20"/>
          <w:color w:val="auto"/>
        </w:rPr>
      </w:pPr>
    </w:p>
    <w:p>
      <w:pPr>
        <w:ind w:left="340" w:right="44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September 30, 2014, and December 31, 2013. For these periods, we had no Level 3 assets or liabilities. These tables do not include cash on hand, assets held by our postretirement plans, or assets and liabilities that are measured at historical cost or any basis other than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2014</w:t>
            </w:r>
          </w:p>
        </w:tc>
        <w:tc>
          <w:tcPr>
            <w:tcW w:w="26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3"/>
                <w:szCs w:val="23"/>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rPr>
              <w:t>435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agency and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565</w:t>
            </w: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2013</w:t>
            </w:r>
          </w:p>
        </w:tc>
        <w:tc>
          <w:tcPr>
            <w:tcW w:w="26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3"/>
                <w:szCs w:val="23"/>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Corporate obligations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agency and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29" w:lineRule="exact"/>
        <w:rPr>
          <w:rFonts w:ascii="Arial" w:cs="Arial" w:eastAsia="Arial" w:hAnsi="Arial"/>
          <w:sz w:val="18"/>
          <w:szCs w:val="18"/>
          <w:color w:val="auto"/>
        </w:rPr>
      </w:pPr>
    </w:p>
    <w:p>
      <w:pPr>
        <w:ind w:left="340" w:right="120"/>
        <w:spacing w:after="0" w:line="277" w:lineRule="auto"/>
        <w:rPr>
          <w:rFonts w:ascii="Arial" w:cs="Arial" w:eastAsia="Arial" w:hAnsi="Arial"/>
          <w:sz w:val="18"/>
          <w:szCs w:val="18"/>
          <w:color w:val="auto"/>
        </w:rPr>
      </w:pPr>
      <w:r>
        <w:rPr>
          <w:rFonts w:ascii="Arial" w:cs="Arial" w:eastAsia="Arial" w:hAnsi="Arial"/>
          <w:sz w:val="18"/>
          <w:szCs w:val="18"/>
          <w:color w:val="auto"/>
        </w:rPr>
        <w:t>Goodwill was $4.36 billion net of accumulated impairment of $90 million as of September 30, 2014, and December 31, 2013. There was no impairment of goodwill during the nine months ended September 30, 2014 and 2013.</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acquisition-related intangible assets are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gridSpan w:val="5"/>
          </w:tcPr>
          <w:p>
            <w:pPr>
              <w:ind w:left="40"/>
              <w:spacing w:after="0"/>
              <w:rPr>
                <w:sz w:val="20"/>
                <w:szCs w:val="20"/>
                <w:color w:val="auto"/>
              </w:rPr>
            </w:pPr>
            <w:r>
              <w:rPr>
                <w:rFonts w:ascii="Arial" w:cs="Arial" w:eastAsia="Arial" w:hAnsi="Arial"/>
                <w:sz w:val="18"/>
                <w:szCs w:val="18"/>
                <w:b w:val="1"/>
                <w:bCs w:val="1"/>
                <w:color w:val="auto"/>
              </w:rPr>
              <w:t>September 30, 2014</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0"/>
              </w:rPr>
              <w:t>December 31, 2013</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6"/>
              </w:rPr>
              <w:t>Acquisition-related Intangibles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 (Years)</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6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81"/>
        </w:trPr>
        <w:tc>
          <w:tcPr>
            <w:tcW w:w="2620" w:type="dxa"/>
            <w:vAlign w:val="bottom"/>
            <w:gridSpan w:val="2"/>
            <w:vMerge w:val="continue"/>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Developed technology</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5 - 10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2,128</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Customer relationships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79"/>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intangibles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60"/>
              <w:spacing w:after="0"/>
              <w:rPr>
                <w:sz w:val="20"/>
                <w:szCs w:val="20"/>
                <w:color w:val="auto"/>
              </w:rPr>
            </w:pPr>
            <w:r>
              <w:rPr>
                <w:rFonts w:ascii="Arial" w:cs="Arial" w:eastAsia="Arial" w:hAnsi="Arial"/>
                <w:sz w:val="18"/>
                <w:szCs w:val="18"/>
                <w:color w:val="auto"/>
              </w:rPr>
              <w:t>In-process R&amp;D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94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2,948</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right="480" w:hanging="248"/>
        <w:spacing w:after="0" w:line="277" w:lineRule="auto"/>
        <w:tabs>
          <w:tab w:leader="none" w:pos="5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is expensed.</w:t>
      </w:r>
    </w:p>
    <w:p>
      <w:pPr>
        <w:spacing w:after="0" w:line="170"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Amortization of acquisition-related intangibles was $80 million and $83 million for the three months ended and $241 million and $253 million for the nine months ended September 30, 2014, and 2013, respectively, primarily related to developed technology. Fully amortized assets are written off against accumulated amortization.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U.S.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Non-U.S.</w:t>
            </w:r>
          </w:p>
        </w:tc>
        <w:tc>
          <w:tcPr>
            <w:tcW w:w="7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September 30,</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losses (a)</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including other postretirement (gains) losses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63"/>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U.S.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Non-U.S.</w:t>
            </w:r>
          </w:p>
        </w:tc>
        <w:tc>
          <w:tcPr>
            <w:tcW w:w="70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Nine Months Ended September 30,</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4"/>
        </w:trPr>
        <w:tc>
          <w:tcPr>
            <w:tcW w:w="47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losses (a)</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including other postretirement (gains) losses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Includes non-restructuring and restructuring-related settlement losses.</w:t>
      </w:r>
    </w:p>
    <w:p>
      <w:pPr>
        <w:spacing w:after="0" w:line="225"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color w:val="auto"/>
        </w:rPr>
        <w:t>In the first nine months of 2014, as a result of increased retirement activities, we remeasured our U.S. and Japan defined benefit plans. These remeasurements resulted in a net actuarial gain on a pre-tax basis of $12 million in Other comprehensive income. A gain of $17 million related to Japan was partially offset by a loss of $5 million related to the U.S. plans. For the nine months ended September 30, 2014, we also recognized settlement losses of $15 million related to our U.S. and Japan defined benefit plans, with a $2 million curtailment gain also related to Japan.</w:t>
      </w:r>
    </w:p>
    <w:p>
      <w:pPr>
        <w:spacing w:after="0" w:line="171"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color w:val="auto"/>
        </w:rPr>
        <w:t>In the first nine months of 2013, as a result of increased retirement activities, we remeasured our U.S. and Japan defined benefit plans. These remeasurements resulted in a net actuarial gain on a pre-tax basis of $79 million in Other comprehensive income. Of this gain, $24 million related to the U.S. plans and $55 million was for Japan. For the nine months ended September 30, 2013, we also recognized settlement losses of $22 million on our U.S. and Japan defined benefit plans, with a $5 million curtailment gain also related to Japan.</w:t>
      </w:r>
    </w:p>
    <w:p>
      <w:pPr>
        <w:spacing w:after="0" w:line="187" w:lineRule="exact"/>
        <w:rPr>
          <w:sz w:val="20"/>
          <w:szCs w:val="20"/>
          <w:color w:val="auto"/>
        </w:rPr>
      </w:pPr>
    </w:p>
    <w:p>
      <w:pPr>
        <w:ind w:left="340" w:right="720"/>
        <w:spacing w:after="0" w:line="277" w:lineRule="auto"/>
        <w:rPr>
          <w:sz w:val="20"/>
          <w:szCs w:val="20"/>
          <w:color w:val="auto"/>
        </w:rPr>
      </w:pPr>
      <w:r>
        <w:rPr>
          <w:rFonts w:ascii="Arial" w:cs="Arial" w:eastAsia="Arial" w:hAnsi="Arial"/>
          <w:sz w:val="18"/>
          <w:szCs w:val="18"/>
          <w:color w:val="auto"/>
        </w:rPr>
        <w:t>The effects of these remeasurements and the effects of foreign currency exchange rate fluctuations are reflected in AOCI and in our Overfunded retirement plans and Underfunded retirement plans on our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right="9300" w:hanging="332"/>
        <w:spacing w:after="0" w:line="56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ind w:left="340" w:right="40"/>
        <w:spacing w:after="0" w:line="259" w:lineRule="auto"/>
        <w:rPr>
          <w:rFonts w:ascii="Arial" w:cs="Arial" w:eastAsia="Arial" w:hAnsi="Arial"/>
          <w:sz w:val="16"/>
          <w:szCs w:val="16"/>
          <w:color w:val="auto"/>
        </w:rPr>
      </w:pPr>
      <w:r>
        <w:rPr>
          <w:rFonts w:ascii="Arial" w:cs="Arial" w:eastAsia="Arial" w:hAnsi="Arial"/>
          <w:sz w:val="18"/>
          <w:szCs w:val="18"/>
          <w:color w:val="auto"/>
        </w:rPr>
        <w:t>We maintain a line of credit to support commercial paper borrowings, if any, and to provide additional liquidity through bank loans. As of September 30, 2014, we had a variable-rate revolving credit facility from a consortium of investment-grade banks that allows us to borrow up to $2 billion through March 2019. The interest rate on borrowings under this credit facility, if drawn, is indexed to the applicable London Interbank Offered Rate (LIBOR). As of September 30, 2014, our credit facility was undrawn and we had no commercial paper outstanding.</w:t>
      </w:r>
    </w:p>
    <w:p>
      <w:pPr>
        <w:spacing w:after="0" w:line="18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Long-term debt</w:t>
      </w:r>
    </w:p>
    <w:p>
      <w:pPr>
        <w:spacing w:after="0" w:line="225" w:lineRule="exact"/>
        <w:rPr>
          <w:rFonts w:ascii="Arial" w:cs="Arial" w:eastAsia="Arial" w:hAnsi="Arial"/>
          <w:sz w:val="16"/>
          <w:szCs w:val="16"/>
          <w:color w:val="auto"/>
        </w:rPr>
      </w:pPr>
    </w:p>
    <w:p>
      <w:pPr>
        <w:ind w:left="340" w:right="20"/>
        <w:spacing w:after="0" w:line="259" w:lineRule="auto"/>
        <w:rPr>
          <w:rFonts w:ascii="Arial" w:cs="Arial" w:eastAsia="Arial" w:hAnsi="Arial"/>
          <w:sz w:val="16"/>
          <w:szCs w:val="16"/>
          <w:color w:val="auto"/>
        </w:rPr>
      </w:pPr>
      <w:r>
        <w:rPr>
          <w:rFonts w:ascii="Arial" w:cs="Arial" w:eastAsia="Arial" w:hAnsi="Arial"/>
          <w:sz w:val="18"/>
          <w:szCs w:val="18"/>
          <w:color w:val="auto"/>
        </w:rPr>
        <w:t>In March 2014, we issued an aggregate principal amount of $500 million of fixed-rate long-term debt, with $250 million due in 2017 and $250 million due in 2021. The proceeds of the offering were $498 million, net of the original issuance discount and were used toward the repayment of the $1.0 billion of debt that matured in May 2014. We incurred $3 million of issuance and other related costs, which are being amortized to Interest and debt expense over the term of the debt.</w:t>
      </w:r>
    </w:p>
    <w:p>
      <w:pPr>
        <w:spacing w:after="0" w:line="186" w:lineRule="exact"/>
        <w:rPr>
          <w:rFonts w:ascii="Arial" w:cs="Arial" w:eastAsia="Arial" w:hAnsi="Arial"/>
          <w:sz w:val="16"/>
          <w:szCs w:val="16"/>
          <w:color w:val="auto"/>
        </w:rPr>
      </w:pPr>
    </w:p>
    <w:p>
      <w:pPr>
        <w:ind w:left="340" w:right="20"/>
        <w:spacing w:after="0" w:line="302" w:lineRule="auto"/>
        <w:rPr>
          <w:rFonts w:ascii="Arial" w:cs="Arial" w:eastAsia="Arial" w:hAnsi="Arial"/>
          <w:sz w:val="16"/>
          <w:szCs w:val="16"/>
          <w:color w:val="auto"/>
        </w:rPr>
      </w:pPr>
      <w:r>
        <w:rPr>
          <w:rFonts w:ascii="Arial" w:cs="Arial" w:eastAsia="Arial" w:hAnsi="Arial"/>
          <w:sz w:val="16"/>
          <w:szCs w:val="16"/>
          <w:color w:val="auto"/>
        </w:rPr>
        <w:t>In May 2013, we issued an aggregate principal amount of $1.0 billion of fixed-rate long-term debt, with $500 million due in 2018 and $500 million due in 2023. We incurred $6 million of issuance and other related costs, which are being amortized to Interest and debt expense over the term of the debt. The proceeds of the offering were $986 million, net of the original issuance discount, and were used toward the repayment of $1.5 billion of maturing debt, including floating-rate notes. In connection with this repayment, we settled a floating-to-fixed interest rate swap associated with the maturing debt.</w:t>
      </w:r>
    </w:p>
    <w:p>
      <w:pPr>
        <w:spacing w:after="0" w:line="15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Long-term debt outstanding as of September 30, 2014, and December 31, 2013, is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2014 at 1.375%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0.45%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2016 at 2.375%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2017 at 0.875%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2018 at 1.00%</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2019 at 1.65%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2021 at 2.75%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2023 at 2.25%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unamortized premium</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4,158</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Interest and debt expense was $23 million and $24 million for the three months ended and $72 million and $71 million for the nine months ended September 30, 2014, and 2013, respectively. This was net of the amortization of the debt premium and other debt issuance costs. Capitalized interest was not material.</w:t>
      </w:r>
    </w:p>
    <w:p>
      <w:pPr>
        <w:spacing w:after="0" w:line="204" w:lineRule="exact"/>
        <w:rPr>
          <w:sz w:val="20"/>
          <w:szCs w:val="20"/>
          <w:color w:val="auto"/>
        </w:rPr>
      </w:pPr>
    </w:p>
    <w:p>
      <w:pPr>
        <w:ind w:left="340" w:right="9120" w:hanging="332"/>
        <w:spacing w:after="0" w:line="56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ind w:left="340"/>
        <w:spacing w:after="0" w:line="342"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25"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left="340" w:right="300"/>
        <w:spacing w:after="0" w:line="312" w:lineRule="auto"/>
        <w:rPr>
          <w:sz w:val="20"/>
          <w:szCs w:val="20"/>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25"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September 30, 2014, we believe future payments related to these indemnity obligations will not have a material effect on our financial condition, results of operations or liquidity.</w:t>
      </w:r>
    </w:p>
    <w:p>
      <w:pPr>
        <w:spacing w:after="0" w:line="184" w:lineRule="exact"/>
        <w:rPr>
          <w:sz w:val="20"/>
          <w:szCs w:val="20"/>
          <w:color w:val="auto"/>
        </w:rPr>
      </w:pPr>
    </w:p>
    <w:p>
      <w:pPr>
        <w:ind w:left="340" w:right="8100" w:hanging="332"/>
        <w:spacing w:after="0" w:line="687"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Supplemental financial information </w:t>
      </w:r>
      <w:r>
        <w:rPr>
          <w:rFonts w:ascii="Arial" w:cs="Arial" w:eastAsia="Arial" w:hAnsi="Arial"/>
          <w:sz w:val="15"/>
          <w:szCs w:val="15"/>
          <w:u w:val="single" w:color="auto"/>
          <w:color w:val="auto"/>
        </w:rPr>
        <w:t>Prepaid expenses and other current assets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2014</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2013</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taxes on intercompany inventory profits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Assets held for sale (a)</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prepaid expenses and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September 30, 2014, we had excess assets in various locations, with an aggregate carrying value of $77 million, which met the criteria to be considered held for sale and were included in Prepaid expenses and other current assets in our Consolidated Balance Sheets. Prior to the reclassification in the first quarter of 2014, the comparable carrying amount of these assets as of December 31, 2013, of $81 million, was in Property, plant and equipment, net. Assets considered held for sale are no longer being depreciated. We expect the sales transactions applicable to these assets to be completed within the next year and any resulting gain on such sales will be recognized on the Restructuring charges/other line of our Consolidated Statements of Income in Other.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Details on amounts reclassified out of Accumulated other comprehensive income (loss), net of taxes, recognized within Net income</w:t>
      </w:r>
    </w:p>
    <w:p>
      <w:pPr>
        <w:spacing w:after="0" w:line="225"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Our Consolidated Statements of Comprehensive Income include items which have been recognized within Net income during the periods ended September 30, 2014 and 2013. The table below details where these transactions are recorded on the Consolidated Statements of Income.</w:t>
      </w:r>
    </w:p>
    <w:p>
      <w:pPr>
        <w:sectPr>
          <w:pgSz w:w="11900" w:h="16838" w:orient="portrait"/>
          <w:cols w:equalWidth="0" w:num="1">
            <w:col w:w="11420"/>
          </w:cols>
          <w:pgMar w:left="240" w:top="121" w:right="239" w:bottom="144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For Three Months Ended</w:t>
            </w:r>
          </w:p>
        </w:tc>
        <w:tc>
          <w:tcPr>
            <w:tcW w:w="240" w:type="dxa"/>
            <w:vAlign w:val="bottom"/>
          </w:tcPr>
          <w:p>
            <w:pPr>
              <w:spacing w:after="0"/>
              <w:rPr>
                <w:sz w:val="18"/>
                <w:szCs w:val="18"/>
                <w:color w:val="auto"/>
              </w:rPr>
            </w:pPr>
          </w:p>
        </w:tc>
        <w:tc>
          <w:tcPr>
            <w:tcW w:w="23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6"/>
              </w:rPr>
              <w:t>For Nine Months Ended</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34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Details About AOCI Components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Net actuarial gains (losses) of defined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Recognized net actuarial loss and</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Settlement losses (a)</w:t>
            </w:r>
          </w:p>
        </w:tc>
        <w:tc>
          <w:tcPr>
            <w:tcW w:w="2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86"/>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Tax effect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460" w:type="dxa"/>
            <w:vAlign w:val="bottom"/>
            <w:gridSpan w:val="2"/>
            <w:vMerge w:val="restart"/>
          </w:tcPr>
          <w:p>
            <w:pPr>
              <w:ind w:left="280"/>
              <w:spacing w:after="0"/>
              <w:rPr>
                <w:sz w:val="20"/>
                <w:szCs w:val="20"/>
                <w:color w:val="auto"/>
              </w:rPr>
            </w:pPr>
            <w:r>
              <w:rPr>
                <w:rFonts w:ascii="Arial" w:cs="Arial" w:eastAsia="Arial" w:hAnsi="Arial"/>
                <w:sz w:val="18"/>
                <w:szCs w:val="18"/>
                <w:color w:val="auto"/>
              </w:rPr>
              <w:t>Recognized within Net income, net of</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vMerge w:val="continue"/>
          </w:tcPr>
          <w:p>
            <w:pPr>
              <w:spacing w:after="0"/>
              <w:rPr>
                <w:sz w:val="18"/>
                <w:szCs w:val="18"/>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2"/>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-942975</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Impact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Related Statement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Income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22860</wp:posOffset>
            </wp:positionV>
            <wp:extent cx="1586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Increase to Pension expense (b)</w:t>
      </w:r>
    </w:p>
    <w:p>
      <w:pPr>
        <w:spacing w:after="0" w:line="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Decrease to Provision for income taxes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Decrease to Net income</w:t>
      </w:r>
    </w:p>
    <w:p>
      <w:pPr>
        <w:spacing w:after="0" w:line="277" w:lineRule="exact"/>
        <w:rPr>
          <w:sz w:val="20"/>
          <w:szCs w:val="20"/>
          <w:color w:val="auto"/>
        </w:rPr>
      </w:pPr>
    </w:p>
    <w:p>
      <w:pPr>
        <w:sectPr>
          <w:pgSz w:w="11900" w:h="16838" w:orient="portrait"/>
          <w:cols w:equalWidth="0" w:num="2">
            <w:col w:w="8820" w:space="120"/>
            <w:col w:w="2480"/>
          </w:cols>
          <w:pgMar w:left="240" w:top="121" w:right="23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Prior service cost of defined benefit plans: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ind w:left="280"/>
              <w:spacing w:after="0"/>
              <w:rPr>
                <w:sz w:val="20"/>
                <w:szCs w:val="20"/>
                <w:color w:val="auto"/>
              </w:rPr>
            </w:pPr>
            <w:r>
              <w:rPr>
                <w:rFonts w:ascii="Arial" w:cs="Arial" w:eastAsia="Arial" w:hAnsi="Arial"/>
                <w:sz w:val="18"/>
                <w:szCs w:val="18"/>
                <w:color w:val="auto"/>
                <w:w w:val="98"/>
              </w:rPr>
              <w:t>Amortization of prior service cost (credit)</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and Curtailment gain (a)</w:t>
            </w:r>
          </w:p>
        </w:tc>
        <w:tc>
          <w:tcPr>
            <w:tcW w:w="5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600" w:type="dxa"/>
            <w:vAlign w:val="bottom"/>
          </w:tcPr>
          <w:p>
            <w:pPr>
              <w:ind w:left="120"/>
              <w:spacing w:after="0"/>
              <w:rPr>
                <w:sz w:val="20"/>
                <w:szCs w:val="20"/>
                <w:color w:val="auto"/>
              </w:rPr>
            </w:pPr>
            <w:r>
              <w:rPr>
                <w:rFonts w:ascii="Arial" w:cs="Arial" w:eastAsia="Arial" w:hAnsi="Arial"/>
                <w:sz w:val="18"/>
                <w:szCs w:val="18"/>
                <w:color w:val="auto"/>
                <w:w w:val="92"/>
              </w:rPr>
              <w:t>Decrease to Pension expense (b)</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Increase to Provision for income</w:t>
            </w: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vMerge w:val="continue"/>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vMerge w:val="continue"/>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09"/>
        </w:trPr>
        <w:tc>
          <w:tcPr>
            <w:tcW w:w="3460" w:type="dxa"/>
            <w:vAlign w:val="bottom"/>
          </w:tcPr>
          <w:p>
            <w:pPr>
              <w:ind w:left="280"/>
              <w:spacing w:after="0"/>
              <w:rPr>
                <w:sz w:val="20"/>
                <w:szCs w:val="20"/>
                <w:color w:val="auto"/>
              </w:rPr>
            </w:pPr>
            <w:r>
              <w:rPr>
                <w:rFonts w:ascii="Arial" w:cs="Arial" w:eastAsia="Arial" w:hAnsi="Arial"/>
                <w:sz w:val="18"/>
                <w:szCs w:val="18"/>
                <w:color w:val="auto"/>
              </w:rPr>
              <w:t>Recognized within Net income, net of</w:t>
            </w:r>
          </w:p>
        </w:tc>
        <w:tc>
          <w:tcPr>
            <w:tcW w:w="54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56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56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taxes</w:t>
            </w:r>
          </w:p>
        </w:tc>
        <w:tc>
          <w:tcPr>
            <w:tcW w:w="540" w:type="dxa"/>
            <w:vAlign w:val="bottom"/>
            <w:tcBorders>
              <w:bottom w:val="single" w:sz="8" w:color="auto"/>
            </w:tcBorders>
            <w:vMerge w:val="continue"/>
          </w:tcPr>
          <w:p>
            <w:pPr>
              <w:spacing w:after="0"/>
              <w:rPr>
                <w:sz w:val="24"/>
                <w:szCs w:val="24"/>
                <w:color w:val="auto"/>
              </w:rPr>
            </w:pPr>
          </w:p>
        </w:tc>
        <w:tc>
          <w:tcPr>
            <w:tcW w:w="7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700" w:type="dxa"/>
            <w:vAlign w:val="bottom"/>
            <w:tcBorders>
              <w:bottom w:val="single" w:sz="8" w:color="auto"/>
            </w:tcBorders>
            <w:vMerge w:val="continue"/>
          </w:tcPr>
          <w:p>
            <w:pPr>
              <w:spacing w:after="0"/>
              <w:rPr>
                <w:sz w:val="24"/>
                <w:szCs w:val="24"/>
                <w:color w:val="auto"/>
              </w:rPr>
            </w:pPr>
          </w:p>
        </w:tc>
        <w:tc>
          <w:tcPr>
            <w:tcW w:w="2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Increase to Net income</w:t>
            </w:r>
          </w:p>
        </w:tc>
        <w:tc>
          <w:tcPr>
            <w:tcW w:w="0" w:type="dxa"/>
            <w:vAlign w:val="bottom"/>
          </w:tcPr>
          <w:p>
            <w:pPr>
              <w:spacing w:after="0"/>
              <w:rPr>
                <w:sz w:val="1"/>
                <w:szCs w:val="1"/>
                <w:color w:val="auto"/>
              </w:rPr>
            </w:pPr>
          </w:p>
        </w:tc>
      </w:tr>
      <w:tr>
        <w:trPr>
          <w:trHeight w:val="284"/>
        </w:trPr>
        <w:tc>
          <w:tcPr>
            <w:tcW w:w="34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to Interest and debt</w:t>
            </w: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treasury rate locks</w:t>
            </w: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820" w:type="dxa"/>
            <w:vAlign w:val="bottom"/>
            <w:tcBorders>
              <w:bottom w:val="single" w:sz="8" w:color="CCEEFF"/>
            </w:tcBorders>
            <w:gridSpan w:val="2"/>
            <w:vMerge w:val="continue"/>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w w:val="92"/>
              </w:rPr>
              <w:t>Decrease to Provision for income</w:t>
            </w:r>
          </w:p>
        </w:tc>
        <w:tc>
          <w:tcPr>
            <w:tcW w:w="0" w:type="dxa"/>
            <w:vAlign w:val="bottom"/>
          </w:tcPr>
          <w:p>
            <w:pPr>
              <w:spacing w:after="0"/>
              <w:rPr>
                <w:sz w:val="1"/>
                <w:szCs w:val="1"/>
                <w:color w:val="auto"/>
              </w:rPr>
            </w:pPr>
          </w:p>
        </w:tc>
      </w:tr>
      <w:tr>
        <w:trPr>
          <w:trHeight w:val="230"/>
        </w:trPr>
        <w:tc>
          <w:tcPr>
            <w:tcW w:w="3460" w:type="dxa"/>
            <w:vAlign w:val="bottom"/>
          </w:tcPr>
          <w:p>
            <w:pPr>
              <w:ind w:left="280"/>
              <w:spacing w:after="0"/>
              <w:rPr>
                <w:sz w:val="20"/>
                <w:szCs w:val="20"/>
                <w:color w:val="auto"/>
              </w:rPr>
            </w:pPr>
            <w:r>
              <w:rPr>
                <w:rFonts w:ascii="Arial" w:cs="Arial" w:eastAsia="Arial" w:hAnsi="Arial"/>
                <w:sz w:val="18"/>
                <w:szCs w:val="18"/>
                <w:color w:val="auto"/>
              </w:rPr>
              <w:t>Tax effect</w:t>
            </w:r>
          </w:p>
        </w:tc>
        <w:tc>
          <w:tcPr>
            <w:tcW w:w="5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600" w:type="dxa"/>
            <w:vAlign w:val="bottom"/>
          </w:tcPr>
          <w:p>
            <w:pPr>
              <w:ind w:left="1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Recognized within Net income, net of</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taxes</w:t>
            </w:r>
          </w:p>
        </w:tc>
        <w:tc>
          <w:tcPr>
            <w:tcW w:w="54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Detailed in Note 7.</w:t>
      </w:r>
    </w:p>
    <w:p>
      <w:pPr>
        <w:spacing w:after="0" w:line="225" w:lineRule="exact"/>
        <w:rPr>
          <w:rFonts w:ascii="Arial" w:cs="Arial" w:eastAsia="Arial" w:hAnsi="Arial"/>
          <w:sz w:val="18"/>
          <w:szCs w:val="18"/>
          <w:color w:val="auto"/>
        </w:rPr>
      </w:pPr>
    </w:p>
    <w:p>
      <w:pPr>
        <w:ind w:left="580" w:hanging="248"/>
        <w:spacing w:after="0" w:line="277" w:lineRule="auto"/>
        <w:tabs>
          <w:tab w:leader="none" w:pos="6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Pension expense is included in the computation of total employee benefit cost, which is allocated to COR, R&amp;D, SG&amp;A and Restructuring charges/other in the Consolidated Statements of Income.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5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Segment data</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See Note 1 for a detailed description of our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Segment Revenue:</w:t>
      </w:r>
    </w:p>
    <w:p>
      <w:pPr>
        <w:spacing w:after="0" w:line="63"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7"/>
          <w:szCs w:val="17"/>
          <w:color w:val="auto"/>
        </w:rPr>
        <w:t>Analog</w:t>
      </w:r>
      <w:r>
        <w:rPr>
          <w:sz w:val="20"/>
          <w:szCs w:val="20"/>
          <w:color w:val="auto"/>
        </w:rPr>
        <w:tab/>
      </w:r>
      <w:r>
        <w:rPr>
          <w:rFonts w:ascii="Arial" w:cs="Arial" w:eastAsia="Arial" w:hAnsi="Arial"/>
          <w:sz w:val="17"/>
          <w:szCs w:val="17"/>
          <w:b w:val="1"/>
          <w:bCs w:val="1"/>
          <w:color w:val="auto"/>
        </w:rPr>
        <w: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Embedded Processing</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p>
    <w:p>
      <w:pPr>
        <w:spacing w:after="0" w:line="73"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8"/>
          <w:szCs w:val="18"/>
          <w:color w:val="auto"/>
        </w:rPr>
        <w:t>Total revenue</w:t>
      </w:r>
      <w:r>
        <w:rPr>
          <w:sz w:val="20"/>
          <w:szCs w:val="20"/>
          <w:color w:val="auto"/>
        </w:rPr>
        <w:tab/>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Segment Operating Profit:</w:t>
      </w:r>
    </w:p>
    <w:p>
      <w:pPr>
        <w:spacing w:after="0" w:line="63"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7"/>
          <w:szCs w:val="17"/>
          <w:color w:val="auto"/>
        </w:rPr>
        <w:t>Analog</w:t>
      </w:r>
      <w:r>
        <w:rPr>
          <w:sz w:val="20"/>
          <w:szCs w:val="20"/>
          <w:color w:val="auto"/>
        </w:rPr>
        <w:tab/>
      </w:r>
      <w:r>
        <w:rPr>
          <w:rFonts w:ascii="Arial" w:cs="Arial" w:eastAsia="Arial" w:hAnsi="Arial"/>
          <w:sz w:val="17"/>
          <w:szCs w:val="17"/>
          <w:b w:val="1"/>
          <w:bCs w:val="1"/>
          <w:color w:val="auto"/>
        </w:rPr>
        <w:t>$</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Embedded Processing</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w:t>
      </w:r>
    </w:p>
    <w:p>
      <w:pPr>
        <w:spacing w:after="0" w:line="73" w:lineRule="exact"/>
        <w:rPr>
          <w:sz w:val="20"/>
          <w:szCs w:val="20"/>
          <w:color w:val="auto"/>
        </w:rPr>
      </w:pPr>
    </w:p>
    <w:p>
      <w:pPr>
        <w:ind w:left="360"/>
        <w:spacing w:after="0"/>
        <w:tabs>
          <w:tab w:leader="none" w:pos="5140" w:val="left"/>
        </w:tabs>
        <w:rPr>
          <w:sz w:val="20"/>
          <w:szCs w:val="20"/>
          <w:color w:val="auto"/>
        </w:rPr>
      </w:pPr>
      <w:r>
        <w:rPr>
          <w:rFonts w:ascii="Arial" w:cs="Arial" w:eastAsia="Arial" w:hAnsi="Arial"/>
          <w:sz w:val="18"/>
          <w:szCs w:val="18"/>
          <w:color w:val="auto"/>
        </w:rPr>
        <w:t>Total operating profit</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2"/>
              </w:rPr>
              <w:t>For Three Months Ended</w:t>
            </w:r>
          </w:p>
        </w:tc>
        <w:tc>
          <w:tcPr>
            <w:tcW w:w="300" w:type="dxa"/>
            <w:vAlign w:val="bottom"/>
          </w:tcPr>
          <w:p>
            <w:pPr>
              <w:spacing w:after="0"/>
              <w:rPr>
                <w:sz w:val="18"/>
                <w:szCs w:val="18"/>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Nine Months Ended</w:t>
            </w:r>
          </w:p>
        </w:tc>
        <w:tc>
          <w:tcPr>
            <w:tcW w:w="20" w:type="dxa"/>
            <w:vAlign w:val="bottom"/>
          </w:tcPr>
          <w:p>
            <w:pPr>
              <w:spacing w:after="0"/>
              <w:rPr>
                <w:sz w:val="18"/>
                <w:szCs w:val="18"/>
                <w:color w:val="auto"/>
              </w:rPr>
            </w:pPr>
          </w:p>
        </w:tc>
      </w:tr>
      <w:tr>
        <w:trPr>
          <w:trHeight w:val="234"/>
        </w:trPr>
        <w:tc>
          <w:tcPr>
            <w:tcW w:w="15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4"/>
          </w:tcPr>
          <w:p>
            <w:pPr>
              <w:ind w:left="600"/>
              <w:spacing w:after="0"/>
              <w:rPr>
                <w:sz w:val="20"/>
                <w:szCs w:val="20"/>
                <w:color w:val="auto"/>
              </w:rPr>
            </w:pPr>
            <w:r>
              <w:rPr>
                <w:rFonts w:ascii="Arial" w:cs="Arial" w:eastAsia="Arial" w:hAnsi="Arial"/>
                <w:sz w:val="18"/>
                <w:szCs w:val="18"/>
                <w:b w:val="1"/>
                <w:bCs w:val="1"/>
                <w:color w:val="auto"/>
                <w:w w:val="87"/>
              </w:rPr>
              <w:t>September 30,</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2013</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507"/>
        </w:trPr>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2,149</w:t>
            </w:r>
          </w:p>
        </w:tc>
        <w:tc>
          <w:tcPr>
            <w:tcW w:w="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ind w:left="580"/>
              <w:spacing w:after="0"/>
              <w:rPr>
                <w:sz w:val="20"/>
                <w:szCs w:val="20"/>
                <w:color w:val="auto"/>
              </w:rPr>
            </w:pPr>
            <w:r>
              <w:rPr>
                <w:rFonts w:ascii="Arial" w:cs="Arial" w:eastAsia="Arial" w:hAnsi="Arial"/>
                <w:sz w:val="18"/>
                <w:szCs w:val="18"/>
                <w:b w:val="1"/>
                <w:bCs w:val="1"/>
                <w:color w:val="auto"/>
              </w:rPr>
              <w:t>5,981</w:t>
            </w:r>
          </w:p>
        </w:tc>
        <w:tc>
          <w:tcPr>
            <w:tcW w:w="100" w:type="dxa"/>
            <w:vAlign w:val="bottom"/>
          </w:tcPr>
          <w:p>
            <w:pPr>
              <w:spacing w:after="0"/>
              <w:rPr>
                <w:sz w:val="24"/>
                <w:szCs w:val="24"/>
                <w:color w:val="auto"/>
              </w:rPr>
            </w:pPr>
          </w:p>
        </w:tc>
        <w:tc>
          <w:tcPr>
            <w:tcW w:w="5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5,325</w:t>
            </w:r>
          </w:p>
        </w:tc>
        <w:tc>
          <w:tcPr>
            <w:tcW w:w="20" w:type="dxa"/>
            <w:vAlign w:val="bottom"/>
          </w:tcPr>
          <w:p>
            <w:pPr>
              <w:spacing w:after="0"/>
              <w:rPr>
                <w:sz w:val="24"/>
                <w:szCs w:val="24"/>
                <w:color w:val="auto"/>
              </w:rPr>
            </w:pPr>
          </w:p>
        </w:tc>
      </w:tr>
      <w:tr>
        <w:trPr>
          <w:trHeight w:val="270"/>
        </w:trPr>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711</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ind w:left="580"/>
              <w:spacing w:after="0"/>
              <w:rPr>
                <w:sz w:val="20"/>
                <w:szCs w:val="20"/>
                <w:color w:val="auto"/>
              </w:rPr>
            </w:pPr>
            <w:r>
              <w:rPr>
                <w:rFonts w:ascii="Arial" w:cs="Arial" w:eastAsia="Arial" w:hAnsi="Arial"/>
                <w:sz w:val="18"/>
                <w:szCs w:val="18"/>
                <w:b w:val="1"/>
                <w:bCs w:val="1"/>
                <w:color w:val="auto"/>
              </w:rPr>
              <w:t>2,070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1,846</w:t>
            </w:r>
          </w:p>
        </w:tc>
        <w:tc>
          <w:tcPr>
            <w:tcW w:w="20" w:type="dxa"/>
            <w:vAlign w:val="bottom"/>
          </w:tcPr>
          <w:p>
            <w:pPr>
              <w:spacing w:after="0"/>
              <w:rPr>
                <w:sz w:val="23"/>
                <w:szCs w:val="23"/>
                <w:color w:val="auto"/>
              </w:rPr>
            </w:pPr>
          </w:p>
        </w:tc>
      </w:tr>
      <w:tr>
        <w:trPr>
          <w:trHeight w:val="270"/>
        </w:trPr>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641</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ind w:left="580"/>
              <w:spacing w:after="0"/>
              <w:rPr>
                <w:sz w:val="20"/>
                <w:szCs w:val="20"/>
                <w:color w:val="auto"/>
              </w:rPr>
            </w:pPr>
            <w:r>
              <w:rPr>
                <w:rFonts w:ascii="Arial" w:cs="Arial" w:eastAsia="Arial" w:hAnsi="Arial"/>
                <w:sz w:val="18"/>
                <w:szCs w:val="18"/>
                <w:b w:val="1"/>
                <w:bCs w:val="1"/>
                <w:color w:val="auto"/>
              </w:rPr>
              <w:t>1,725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3"/>
                <w:szCs w:val="23"/>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rPr>
              <w:t>3,501</w:t>
            </w:r>
          </w:p>
        </w:tc>
        <w:tc>
          <w:tcPr>
            <w:tcW w:w="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ind w:left="580"/>
              <w:spacing w:after="0"/>
              <w:rPr>
                <w:sz w:val="20"/>
                <w:szCs w:val="20"/>
                <w:color w:val="auto"/>
              </w:rPr>
            </w:pPr>
            <w:r>
              <w:rPr>
                <w:rFonts w:ascii="Arial" w:cs="Arial" w:eastAsia="Arial" w:hAnsi="Arial"/>
                <w:sz w:val="18"/>
                <w:szCs w:val="18"/>
                <w:b w:val="1"/>
                <w:bCs w:val="1"/>
                <w:color w:val="auto"/>
              </w:rPr>
              <w:t>9,776</w:t>
            </w:r>
          </w:p>
        </w:tc>
        <w:tc>
          <w:tcPr>
            <w:tcW w:w="100" w:type="dxa"/>
            <w:vAlign w:val="bottom"/>
          </w:tcPr>
          <w:p>
            <w:pPr>
              <w:spacing w:after="0"/>
              <w:rPr>
                <w:sz w:val="20"/>
                <w:szCs w:val="20"/>
                <w:color w:val="auto"/>
              </w:rPr>
            </w:pPr>
          </w:p>
        </w:tc>
        <w:tc>
          <w:tcPr>
            <w:tcW w:w="5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9,177</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25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2"/>
              </w:rPr>
              <w:t>For Three Months Ended</w:t>
            </w:r>
          </w:p>
        </w:tc>
        <w:tc>
          <w:tcPr>
            <w:tcW w:w="300" w:type="dxa"/>
            <w:vAlign w:val="bottom"/>
          </w:tcPr>
          <w:p>
            <w:pPr>
              <w:spacing w:after="0"/>
              <w:rPr>
                <w:sz w:val="24"/>
                <w:szCs w:val="24"/>
                <w:color w:val="auto"/>
              </w:rPr>
            </w:pPr>
          </w:p>
        </w:tc>
        <w:tc>
          <w:tcPr>
            <w:tcW w:w="256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Nine Months Ended</w:t>
            </w:r>
          </w:p>
        </w:tc>
        <w:tc>
          <w:tcPr>
            <w:tcW w:w="20" w:type="dxa"/>
            <w:vAlign w:val="bottom"/>
          </w:tcPr>
          <w:p>
            <w:pPr>
              <w:spacing w:after="0"/>
              <w:rPr>
                <w:sz w:val="24"/>
                <w:szCs w:val="24"/>
                <w:color w:val="auto"/>
              </w:rPr>
            </w:pPr>
          </w:p>
        </w:tc>
      </w:tr>
      <w:tr>
        <w:trPr>
          <w:trHeight w:val="234"/>
        </w:trPr>
        <w:tc>
          <w:tcPr>
            <w:tcW w:w="15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ind w:left="60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802</w:t>
            </w:r>
          </w:p>
        </w:tc>
        <w:tc>
          <w:tcPr>
            <w:tcW w:w="2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1,964</w:t>
            </w:r>
          </w:p>
        </w:tc>
        <w:tc>
          <w:tcPr>
            <w:tcW w:w="100" w:type="dxa"/>
            <w:vAlign w:val="bottom"/>
          </w:tcPr>
          <w:p>
            <w:pPr>
              <w:spacing w:after="0"/>
              <w:rPr>
                <w:sz w:val="24"/>
                <w:szCs w:val="24"/>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Pr>
          <w:p>
            <w:pPr>
              <w:spacing w:after="0"/>
              <w:rPr>
                <w:sz w:val="24"/>
                <w:szCs w:val="24"/>
                <w:color w:val="auto"/>
              </w:rPr>
            </w:pPr>
          </w:p>
        </w:tc>
      </w:tr>
      <w:tr>
        <w:trPr>
          <w:trHeight w:val="270"/>
        </w:trPr>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114</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3"/>
                <w:szCs w:val="23"/>
                <w:color w:val="auto"/>
              </w:rPr>
            </w:pPr>
          </w:p>
        </w:tc>
      </w:tr>
      <w:tr>
        <w:trPr>
          <w:trHeight w:val="270"/>
        </w:trPr>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259</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23"/>
                <w:szCs w:val="23"/>
                <w:color w:val="auto"/>
              </w:rPr>
            </w:pPr>
          </w:p>
        </w:tc>
      </w:tr>
      <w:tr>
        <w:trPr>
          <w:trHeight w:val="27"/>
        </w:trPr>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1,175</w:t>
            </w:r>
          </w:p>
        </w:tc>
        <w:tc>
          <w:tcPr>
            <w:tcW w:w="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2,847</w:t>
            </w:r>
          </w:p>
        </w:tc>
        <w:tc>
          <w:tcPr>
            <w:tcW w:w="100" w:type="dxa"/>
            <w:vAlign w:val="bottom"/>
          </w:tcPr>
          <w:p>
            <w:pPr>
              <w:spacing w:after="0"/>
              <w:rPr>
                <w:sz w:val="20"/>
                <w:szCs w:val="20"/>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2,145</w:t>
            </w:r>
          </w:p>
        </w:tc>
        <w:tc>
          <w:tcPr>
            <w:tcW w:w="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-2194560</wp:posOffset>
            </wp:positionV>
            <wp:extent cx="677481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4815" cy="17145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-1851660</wp:posOffset>
            </wp:positionV>
            <wp:extent cx="677481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4815" cy="3771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-2374900</wp:posOffset>
            </wp:positionV>
            <wp:extent cx="892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-2555240</wp:posOffset>
            </wp:positionV>
            <wp:extent cx="1835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-719455</wp:posOffset>
            </wp:positionV>
            <wp:extent cx="67919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-376555</wp:posOffset>
            </wp:positionV>
            <wp:extent cx="679196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1960" cy="3771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-899795</wp:posOffset>
            </wp:positionV>
            <wp:extent cx="883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-1080135</wp:posOffset>
            </wp:positionV>
            <wp:extent cx="1835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340"/>
            <w:col w:w="5420"/>
          </w:cols>
          <w:pgMar w:left="240" w:top="121" w:right="639" w:bottom="1440" w:gutter="0" w:footer="0" w:header="0"/>
        </w:sectPr>
      </w:pPr>
    </w:p>
    <w:p>
      <w:pPr>
        <w:spacing w:after="0" w:line="2" w:lineRule="exact"/>
        <w:rPr>
          <w:sz w:val="20"/>
          <w:szCs w:val="20"/>
          <w:color w:val="auto"/>
        </w:rPr>
      </w:pPr>
    </w:p>
    <w:p>
      <w:pPr>
        <w:jc w:val="both"/>
        <w:ind w:left="340" w:right="240"/>
        <w:spacing w:after="0" w:line="312" w:lineRule="auto"/>
        <w:rPr>
          <w:sz w:val="20"/>
          <w:szCs w:val="20"/>
          <w:color w:val="auto"/>
        </w:rPr>
      </w:pPr>
      <w:r>
        <w:rPr>
          <w:rFonts w:ascii="Arial" w:cs="Arial" w:eastAsia="Arial" w:hAnsi="Arial"/>
          <w:sz w:val="16"/>
          <w:szCs w:val="16"/>
          <w:color w:val="auto"/>
        </w:rPr>
        <w:t>We use centralized manufacturing and support organizations, such as facilities, procurement and logistics, to provide products and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240" w:top="121" w:right="639"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35 countries. We have three segments: Analog, Embedded Processing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18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sell catalog and application-specific standard semiconductor products, both of which we market to multiple customers. Catalog products are designed for use by many customers and/or many applications and are sold through both distribution and direct channels. The vast majority of our catalog products are differentiated. We also sell catalog commodity products, but they account for a small percentage of our revenue. The life cycles of catalog products generally span multiple years, with some products continuing to sell for decades after their initial release. Application-specific standard products (ASSPs) are designed for use by a smaller number of customers and are targeted to a specific application. The life cycles of ASSPs are generally determined by end-equipment upgrade cycles and can be as short as 12 to 24 months, although some can be used across multiple generations of customers’ products.</w:t>
      </w:r>
    </w:p>
    <w:p>
      <w:pPr>
        <w:spacing w:after="0" w:line="16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8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embedded processors. Analog semiconductors are also used to manage power in every electronic device, whether plugged into a wall or running off a battery. We estimate that we sell our Analog products to more than 100,000 customers. Our Analog products are used in many markets, particularly personal electronics and industrial.</w:t>
      </w:r>
    </w:p>
    <w:p>
      <w:pPr>
        <w:spacing w:after="0" w:line="15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Sales of our Analog products generated about 60 percent of our revenue in 2013. According to external sources, the worldwide market for analog semiconductors was about $40 billion in 2013. Our Analog segment’s revenue in 2013 was $7.2 billion, or about 18 percent of this fragmented market, the leading position. We believe that we are well positioned to increase our market share over time.</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HVAL products: These include high-volume integrated analog products for specific applications and high-volume catalog products. HVAL products support applications like automotive safety devices, touch screen controllers, low voltage motor drivers and integrated motor controllers.</w:t>
      </w:r>
    </w:p>
    <w:p>
      <w:pPr>
        <w:spacing w:after="0" w:line="14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Power products: These include both catalog products and ASSPs that help customers manage power in electronic systems. Our broad portfolio of Power products is designed to enhance the efficiency of powered devices using battery management solutions, portable power conversion devices, power supply controls and point-of-load products.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ind w:right="160"/>
        <w:spacing w:after="0" w:line="286" w:lineRule="auto"/>
        <w:rPr>
          <w:sz w:val="20"/>
          <w:szCs w:val="20"/>
          <w:color w:val="auto"/>
        </w:rPr>
      </w:pPr>
      <w:r>
        <w:rPr>
          <w:rFonts w:ascii="Arial" w:cs="Arial" w:eastAsia="Arial" w:hAnsi="Arial"/>
          <w:sz w:val="17"/>
          <w:szCs w:val="17"/>
          <w:color w:val="auto"/>
        </w:rPr>
        <w:t>HPA products: These include catalog analog products that we market to many different customers who use them in manufacturing a wide range of products. HPA products include high-speed data converters, amplifiers, sensors, high reliability products, interface products and precision analog products that are typically used in systems that require high performance. HPA products generally have long life cycles, often more than 10 years.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SVA products: These include a broad portfolio of power management, data converter, interface and operational amplifier catalog analog products used in manufacturing a wide range of products. SVA products support applications like video and data interface products, electrical fault/arc detection systems and mobile lighting and display systems. SVA products generally have long life cycles, often more than 10 years. SVA consists primarily of products that we acquired through our purchase of National Semiconductor Corporation (National) in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Embedded Processing products are the “brains” of many electronic devices.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communications infrastructure equipment. Our Embedded Processing products are used in many markets, particularly industrial and automotive.</w:t>
      </w:r>
    </w:p>
    <w:p>
      <w:pPr>
        <w:spacing w:after="0" w:line="22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222"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Sales of Embedded Processing products generated about 20 percent of our revenue in 2013. According to external sources, the worldwide market for embedded processors was about $17 billion in 2013. Our Embedded Processing segment’s revenue in 2013 was $2.4 billion. This was the number two position and represented about 14 percent of this fragmented market. We believe we are well positioned to increase our market share over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2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Processor products: These include digital signal processors (DSPs) and applications processors. DSPs perform mathematical computations almost instantaneously to process or improve digital data. Applications processors are typically tailored for a specific class of applications such as communications infrastructure, automotive (infotainment and advanced driver assistance systems) and broad industrial applications.</w:t>
      </w:r>
    </w:p>
    <w:p>
      <w:pPr>
        <w:spacing w:after="0" w:line="14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w:t>
      </w:r>
    </w:p>
    <w:p>
      <w:pPr>
        <w:spacing w:after="0" w:line="106"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other technologies like Bluetooth</w:t>
      </w:r>
      <w:r>
        <w:rPr>
          <w:rFonts w:ascii="Arial" w:cs="Arial" w:eastAsia="Arial" w:hAnsi="Arial"/>
          <w:sz w:val="22"/>
          <w:szCs w:val="22"/>
          <w:color w:val="auto"/>
          <w:vertAlign w:val="superscript"/>
        </w:rPr>
        <w:t>®</w:t>
      </w:r>
      <w:r>
        <w:rPr>
          <w:rFonts w:ascii="Arial" w:cs="Arial" w:eastAsia="Arial" w:hAnsi="Arial"/>
          <w:sz w:val="16"/>
          <w:szCs w:val="16"/>
          <w:color w:val="auto"/>
        </w:rPr>
        <w:t>, WiFi and GPS. Our Connectivity products are usually designed into customer devices alongside our processor and microcontroller products, enabling data to be collected, transmitted and acted upon.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Other includes revenue from our smaller product lines, such as DLP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(primarily used in projectors to create high-definition images), certain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from our baseband products and from our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applications processors and connectivity products sold into smartphones and consumer tablets, all of which are product lines that we previously announced we are exiting and are collectively referred to as “legacy wireless products.” Revenue from legacy wireless products declined throughout 2013, and our exit from these products is complete. Other generated $2.6 billion of revenue in 2013.</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1" w:name="page22"/>
    <w:bookmarkEnd w:id="21"/>
    <w:p>
      <w:pPr>
        <w:spacing w:after="0" w:line="257" w:lineRule="auto"/>
        <w:rPr>
          <w:sz w:val="20"/>
          <w:szCs w:val="20"/>
          <w:color w:val="auto"/>
        </w:rPr>
      </w:pPr>
      <w:r>
        <w:rPr>
          <w:rFonts w:ascii="Arial" w:cs="Arial" w:eastAsia="Arial" w:hAnsi="Arial"/>
          <w:sz w:val="18"/>
          <w:szCs w:val="18"/>
          <w:color w:val="auto"/>
        </w:rPr>
        <w:t>We also include in Other restructuring charges and certain acquisition-related charges, as these charges are not used in evaluating the results of or in allocating resources to our segments. Acquisition-related charges include certain fair-value adjustments, restructuring charges, transaction expenses, acquisition-related retention bonuses and amortization of intangible assets. Other also includes certain corporate-level items, such as litigation expenses, environmental costs, insurance proceeds, and assets and liabilities associated with our centralized operations, such as our worldwide manufacturing, facilities and procurement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18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18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Our revenue is subject to some seasonal variation. Our semiconductor revenue tends to be weaker in the first and fourth quarters when compared to the second and third quarters. Calculator revenue is tied to the U.S. back-to-school season and is therefore at its highest in the second and third quarters.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46"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logic products, such as some of our processor products.</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a decrease in factory loadings, potentially lowering our profit margins. Conversely, as factory loadings increase, the fixed costs are spread over increased output, potentially benefiting our profit margins.</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expect to maintain sufficient internal manufacturing capacity to meet the vast majority of our production needs. To supplement our manufacturing capacity and maximize our responsiveness to customer demand and return on capital, we utilize the capacity of outside suppliers, commonly known as foundries, and subcontractors. In 2013, we sourced about 20 percent of our total wafers from external foundries and about 35 percent of our assembly/test services from subcontractors.</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2013, we closed older wafer fabrication facilities in Hiji, Japan, and Houston, Texas. In December 2013, we acquired an assembly/test facility in the Hi-Tech Zone of Chengdu, China, adjacent to our existing fabrication facility in Chengdu.</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Inventory</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application-specific products. Additionally, we sometimes maintain product inventory in unfinished wafer form, as well as higher finished-goods inventory of low-volume catalog products, allowing greater flexibility in periods of high demand. We also have consignment inventory programs in place for our largest customers and some distributors.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third-quarter revenue was $3.50 billion, net income was $826 million and earnings per share (EPS) were $0.76 cents.</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for the quarter was solidly in the upper half of our expected range and earnings were at the top of the range, marking another quarter of strong progress and execution. We delivered 8 percent year-over-year revenue growth. Analog and Embedded Processing comprised 82 percent of third-quarter revenue.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margin of 58.4 percent, a new record, reflects the quality of our portfolio of Analog and Embedded Processing products as well as the efficiency of our manufacturing strategy.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cash flow from operations once again reflects the strength of our business model. Free cash flow for the trailing twelve-month period was up 20 percent from a year ago to $3.5 billion or 27 percent of revenue. This represents an improvement of 3 percentage points from a year ago and is consistent with our targeted range of 20-30 percent of revenue.</w:t>
      </w:r>
    </w:p>
    <w:p>
      <w:pPr>
        <w:spacing w:after="0" w:line="181"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returned $4.2 billion to shareholders in the past twelve months through stock repurchases and dividends paid. In the quarter, we announced a dividend increase of 13 percent, resulting in an annualized rate of $1.36 per share. Our strategy to return to shareholders all free cash flow not needed for net debt retirement, and to return proceeds from exercises of equity compensation, reflects our confidence in the long-term sustainability of our business model.</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balance sheet remains strong, with $3.2 billion of cash and short-term investments at the end of the quarter, 81 percent of which was owned by the company’s U.S. entities. Inventory days were 108, consistent with our model of 105-115 days.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Free cash flow is a non-GAAP financial measure. For a reconciliation to GAAP and an explanation of the purpose for providing this non-GAAP measure, see the Non-GAAP financial information section in this MD&amp;A.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368" w:right="279" w:bottom="1440" w:gutter="0" w:footer="0" w:header="0"/>
        </w:sectPr>
      </w:pPr>
    </w:p>
    <w:bookmarkStart w:id="23" w:name="page24"/>
    <w:bookmarkEnd w:id="23"/>
    <w:tbl>
      <w:tblPr>
        <w:tblLayout w:type="fixed"/>
        <w:tblInd w:w="1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92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Summary of Selected Financial Data</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78"/>
        </w:trPr>
        <w:tc>
          <w:tcPr>
            <w:tcW w:w="4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Nine Months Ended</w:t>
            </w:r>
          </w:p>
        </w:tc>
        <w:tc>
          <w:tcPr>
            <w:tcW w:w="720" w:type="dxa"/>
            <w:vAlign w:val="bottom"/>
          </w:tcPr>
          <w:p>
            <w:pPr>
              <w:spacing w:after="0"/>
              <w:rPr>
                <w:sz w:val="24"/>
                <w:szCs w:val="24"/>
                <w:color w:val="auto"/>
              </w:rPr>
            </w:pPr>
          </w:p>
        </w:tc>
      </w:tr>
      <w:tr>
        <w:trPr>
          <w:trHeight w:val="27"/>
        </w:trPr>
        <w:tc>
          <w:tcPr>
            <w:tcW w:w="4140" w:type="dxa"/>
            <w:vAlign w:val="bottom"/>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r>
      <w:tr>
        <w:trPr>
          <w:trHeight w:val="237"/>
        </w:trPr>
        <w:tc>
          <w:tcPr>
            <w:tcW w:w="4140" w:type="dxa"/>
            <w:vAlign w:val="bottom"/>
          </w:tcPr>
          <w:p>
            <w:pPr>
              <w:spacing w:after="0"/>
              <w:rPr>
                <w:sz w:val="20"/>
                <w:szCs w:val="20"/>
                <w:color w:val="auto"/>
              </w:rPr>
            </w:pPr>
          </w:p>
        </w:tc>
        <w:tc>
          <w:tcPr>
            <w:tcW w:w="18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 2014</w:t>
            </w: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September 30, 2013</w:t>
            </w: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September 30, 2014</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2013</w:t>
            </w:r>
          </w:p>
        </w:tc>
      </w:tr>
      <w:tr>
        <w:trPr>
          <w:trHeight w:val="27"/>
        </w:trPr>
        <w:tc>
          <w:tcPr>
            <w:tcW w:w="4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2,044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5,532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4,724</w:t>
            </w:r>
          </w:p>
        </w:tc>
      </w:tr>
      <w:tr>
        <w:trPr>
          <w:trHeight w:val="27"/>
        </w:trPr>
        <w:tc>
          <w:tcPr>
            <w:tcW w:w="4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(R&amp;D)</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1,414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7"/>
        </w:trPr>
        <w:tc>
          <w:tcPr>
            <w:tcW w:w="4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charges</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4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120" w:type="dxa"/>
            <w:vAlign w:val="bottom"/>
          </w:tcPr>
          <w:p>
            <w:pPr>
              <w:spacing w:after="0"/>
              <w:rPr>
                <w:sz w:val="21"/>
                <w:szCs w:val="21"/>
                <w:color w:val="auto"/>
              </w:rPr>
            </w:pP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1,996</w:t>
            </w:r>
          </w:p>
        </w:tc>
        <w:tc>
          <w:tcPr>
            <w:tcW w:w="120" w:type="dxa"/>
            <w:vAlign w:val="bottom"/>
          </w:tcPr>
          <w:p>
            <w:pPr>
              <w:spacing w:after="0"/>
              <w:rPr>
                <w:sz w:val="21"/>
                <w:szCs w:val="21"/>
                <w:color w:val="auto"/>
              </w:rPr>
            </w:pPr>
          </w:p>
        </w:tc>
        <w:tc>
          <w:tcPr>
            <w:tcW w:w="94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7"/>
        </w:trPr>
        <w:tc>
          <w:tcPr>
            <w:tcW w:w="4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4"/>
        </w:trPr>
        <w:tc>
          <w:tcPr>
            <w:tcW w:w="4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20" w:type="dxa"/>
            <w:vAlign w:val="bottom"/>
          </w:tcPr>
          <w:p>
            <w:pPr>
              <w:spacing w:after="0"/>
              <w:rPr>
                <w:sz w:val="21"/>
                <w:szCs w:val="21"/>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4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4"/>
        </w:trPr>
        <w:tc>
          <w:tcPr>
            <w:tcW w:w="4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R&amp;D</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5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w:t>
            </w:r>
          </w:p>
        </w:tc>
      </w:tr>
    </w:tbl>
    <w:p>
      <w:pPr>
        <w:spacing w:after="0" w:line="22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exit from legacy wireless products and the elimination (effective January 1, 2013) of the Wireless segment resulted in changes to our corporate-level expense allocations, which negatively affected Analog and Embedded Processing profitability in the year ended December 31, 2013. We expect a similar, although less significant, effect through the end of 2014. We allocate our corporate-level expenses, which are largely fixed, among our product lines in proportion to the operating expenses directly generated by them. Because we stopped investing in legacy wireless products, the corporate-level expenses allocated to them were proportionately lower, and the corporate-level expenses allocated to the remaining product lines were proportionately higher. This allocation change affects the profitability of each of our segments, but does not impact operating expense or profitability trends at the consolidated level.</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Throughout the following discussion of our results of operations, unless otherwise noted, changes in our revenue are attributable to changes in customer demand, which are evidenced by fluctuations in shipment volumes. New products tend not to have a significant impact on our results in any given period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Third-quarter 2014 compared with third-quarter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2014, we report the following:</w:t>
      </w:r>
    </w:p>
    <w:p>
      <w:pPr>
        <w:spacing w:after="0" w:line="225"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Revenue was $3.50 billion, an increase of $257 million, or 8 percent, from the year-ago quarter due to higher revenue from Analog and Embedded Processing. Analog and Embedded Processing comprised 82 percent of revenue compared with 80 percent in the year-ago quarter.</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was $2.04 billion, or 58.4 percent of revenue, an increase of $265 million from the year-ago quarter primarily due to higher revenue and, to a lesser extent, a more favorable mix of products shipped.</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expenses were $332 million for R&amp;D and $463 million for SG&amp;A. R&amp;D expense decreased $36 million, or 10 percent, from the year-ago quarter due about equally to cost savings from previously-announced restructuring actions and other efforts across the company to align costs with growth opportunities. SG&amp;A expense was about even compared with the year-ago quarter as higher variable compensation costs were offset by savings from previously-announced restructuring actions and other cost alignment efforts.</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580" w:right="359" w:bottom="1440" w:gutter="0" w:footer="0" w:header="0"/>
        </w:sectPr>
      </w:pPr>
    </w:p>
    <w:bookmarkStart w:id="24" w:name="page25"/>
    <w:bookmarkEnd w:id="24"/>
    <w:p>
      <w:pPr>
        <w:ind w:right="60"/>
        <w:spacing w:after="0" w:line="264" w:lineRule="auto"/>
        <w:rPr>
          <w:sz w:val="20"/>
          <w:szCs w:val="20"/>
          <w:color w:val="auto"/>
        </w:rPr>
      </w:pPr>
      <w:r>
        <w:rPr>
          <w:rFonts w:ascii="Arial" w:cs="Arial" w:eastAsia="Arial" w:hAnsi="Arial"/>
          <w:sz w:val="18"/>
          <w:szCs w:val="18"/>
          <w:color w:val="auto"/>
        </w:rPr>
        <w:t>Acquisition charges associated with our 2011 acquisition of National are recorded in Other and were $83 million in the current quarter compared with $86 million in the year-ago quarter. These Acquisition charges were from the ongoing amortization of intangible assets. See Note 2 to the financial statements for detailed information.</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Restructuring charges/other was a net credit of $9 million compared with charges of $16 million in the year-ago quarter. The net credit in the third quarter of 2014 included gains from sales of assets. These items are included in Other for segment reporting purposes. For details on the types of costs incurred and the amounts associated with each restructuring action, see Note 3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$1.18 billion, or 33.6 percent of revenue, compared with $844 million, or 26.0 percent of revenue, in the year-ago quarter.</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Quarterly income taxes are calculated using the estimated annual effective tax rate. At the end of the third quarter, our estimated annual effective tax rate for 2014 is about 28 percent. The tax rate is based on current tax law and does not include the effect of the federal research tax credit, which expired at the end of 2013. Our annual effective tax rate benefits from lower tax rates (compared to the U.S. statutory rate) applicable to our operations in many of the jurisdictions in which we operate and from U.S. tax benefits. These lower non-U.S. tax rates are generally statutory in nature, without expiration and available to companies that operate in those taxing jurisdictions. See Note 4 to the financial statements for detailed information.</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tax provision was $329 million compared with $187 million in the year-ago quarter. The increase was primarily due to an increase in income before income taxes, and to a lesser extent, the expiration of the federal research tax credit at the end of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$826 million compared with $629 million in the year-ago quarter. EPS was $0.76 compared with $0.56 in the year-ago quarter.</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3"/>
          </w:tcPr>
          <w:p>
            <w:pPr>
              <w:spacing w:after="0"/>
              <w:rPr>
                <w:sz w:val="20"/>
                <w:szCs w:val="20"/>
                <w:color w:val="auto"/>
              </w:rPr>
            </w:pPr>
            <w:r>
              <w:rPr>
                <w:rFonts w:ascii="Arial" w:cs="Arial" w:eastAsia="Arial" w:hAnsi="Arial"/>
                <w:sz w:val="18"/>
                <w:szCs w:val="18"/>
                <w:color w:val="auto"/>
              </w:rPr>
              <w:t>Third-quarter 2014 segment results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2540" w:type="dxa"/>
            <w:vAlign w:val="bottom"/>
            <w:gridSpan w:val="2"/>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5420" w:type="dxa"/>
            <w:vAlign w:val="bottom"/>
            <w:gridSpan w:val="3"/>
          </w:tcPr>
          <w:p>
            <w:pPr>
              <w:spacing w:after="0"/>
              <w:rPr>
                <w:sz w:val="20"/>
                <w:szCs w:val="20"/>
                <w:color w:val="auto"/>
              </w:rPr>
            </w:pPr>
            <w:r>
              <w:rPr>
                <w:rFonts w:ascii="Arial" w:cs="Arial" w:eastAsia="Arial" w:hAnsi="Arial"/>
                <w:sz w:val="18"/>
                <w:szCs w:val="18"/>
                <w:color w:val="auto"/>
                <w:w w:val="94"/>
              </w:rPr>
              <w:t>Our segment results compared with the year-ago quarter are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Analog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3Q14</w:t>
            </w:r>
          </w:p>
        </w:tc>
        <w:tc>
          <w:tcPr>
            <w:tcW w:w="24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3Q13</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7"/>
        </w:trPr>
        <w:tc>
          <w:tcPr>
            <w:tcW w:w="1800" w:type="dxa"/>
            <w:vAlign w:val="bottom"/>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1800" w:type="dxa"/>
            <w:vAlign w:val="bottom"/>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2,149</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80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1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1800" w:type="dxa"/>
            <w:vAlign w:val="bottom"/>
          </w:tcPr>
          <w:p>
            <w:pPr>
              <w:spacing w:after="0"/>
              <w:rPr>
                <w:sz w:val="21"/>
                <w:szCs w:val="21"/>
                <w:color w:val="auto"/>
              </w:rPr>
            </w:pP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180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Analog revenue increased in all product lines. Revenue from Power grew the most, followed by revenue from HVAL, HPA and SVA.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67"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3Q14</w:t>
            </w: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3Q13</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Embedded Processing revenue increased due to higher revenue from Microcontrollers, Connectivity and Processors, each of which grew by about the same amount. Revenue increased due to increased shipments, except Processors revenue, which increased due to a more favorable mix of products shipped. Operating profit increased due to higher gross profit and, to a lesser extent, lower operating expenses.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368"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Other</w:t>
      </w:r>
    </w:p>
    <w:p>
      <w:pPr>
        <w:spacing w:after="0" w:line="383"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3Q14</w:t>
            </w: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3Q13</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w:t>
            </w:r>
          </w:p>
        </w:tc>
        <w:tc>
          <w:tcPr>
            <w:tcW w:w="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5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Other revenue was about even as lower revenue from legacy wireless products was mostly offset by higher revenue from DLP products. Operating profit increased due to, in decreasing order, higher gross profit resulting from a more favorable mix of products shipped, lower Restructuring charges/other and lower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2014 compared with first nine months of 2013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2014, we report the following:</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 was $9.78 billion, an increase of $599 million, or 7 percent, primarily due to higher revenue from Analog and Embedded Processing, which more than offset lower revenue from legacy wireless products. Analog and Embedded Processing comprised 82 percent of revenue compared with 78 percent in the year-ago period.</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Gross profit was $5.53 billion, an increase of $808 million, or 17 percent, primarily due to higher revenue and, to a lesser extent, a more favorable mix of products shipped.</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R&amp;D expense of $1.05 billion decreased $129 million, or 11 percent, due to savings from ongoing efforts across the company to align costs with growth opportunities, including previously-announced actions such as the wind-down of our legacy wireless products and the restructuring actions in Embedded Processing and Japan. SG&amp;A expense of $1.41 billion was about even, as higher variable compensation costs were offset by savings from our cost alignment efforts.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Acquisition charges were $248 million compared with $257 million in the year-ago period. These charges were from the ongoing amortization of intangible assets. See Note 2 to the financial statements for detailed information.</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Restructuring charges/other was a net credit of $24 million compared with a net credit of $251 million in the year-ago period. The 2014 net credit included $44 million of gains on sales of assets partially offset by restructuring charges. The net credit in 2013 included a $315 million gain from the transfer of wireless connectivity technology to a customer in the second quarter partially offset by restructuring charges. See Note 3 to the financial statements for detailed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$2.85 billion, or 29.1 percent of revenue, compared with $2.14 billion, or 23.4 percent of revenue, in the year-ago period.</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tax provision was $791 million compared with $421 million in the year-ago period. The increase was primarily due to higher income before income taxes, and to a lesser extent, the impact of the federal research tax credit, which included a $65 million discrete tax benefit in the first quarter of 2013. The federal research tax credit expired at the end of 2013. See Note 4 to the financial statements for detailed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$2.00 billion compared with $1.65 billion in the year-ago period. EPS was $1.81 compared with $1.45 in the year-ago period.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68"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Year-to-date segment results</w:t>
            </w: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5420" w:type="dxa"/>
            <w:vAlign w:val="bottom"/>
            <w:gridSpan w:val="3"/>
          </w:tcPr>
          <w:p>
            <w:pPr>
              <w:spacing w:after="0"/>
              <w:rPr>
                <w:sz w:val="20"/>
                <w:szCs w:val="20"/>
                <w:color w:val="auto"/>
              </w:rPr>
            </w:pPr>
            <w:r>
              <w:rPr>
                <w:rFonts w:ascii="Arial" w:cs="Arial" w:eastAsia="Arial" w:hAnsi="Arial"/>
                <w:sz w:val="18"/>
                <w:szCs w:val="18"/>
                <w:color w:val="auto"/>
                <w:w w:val="95"/>
              </w:rPr>
              <w:t>Our segment results compared with the year-ago period are as follows: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2"/>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Analog</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YTD 2014</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YTD 2013</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7"/>
        </w:trPr>
        <w:tc>
          <w:tcPr>
            <w:tcW w:w="1820" w:type="dxa"/>
            <w:vAlign w:val="bottom"/>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18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5,981</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820" w:type="dxa"/>
            <w:vAlign w:val="bottom"/>
          </w:tcPr>
          <w:p>
            <w:pPr>
              <w:spacing w:after="0"/>
              <w:rPr>
                <w:sz w:val="21"/>
                <w:szCs w:val="21"/>
                <w:color w:val="auto"/>
              </w:rPr>
            </w:pP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1,964</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1820" w:type="dxa"/>
            <w:vAlign w:val="bottom"/>
          </w:tcPr>
          <w:p>
            <w:pPr>
              <w:spacing w:after="0"/>
              <w:rPr>
                <w:sz w:val="21"/>
                <w:szCs w:val="21"/>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7"/>
        </w:trPr>
        <w:tc>
          <w:tcPr>
            <w:tcW w:w="18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Analog revenue increased due to higher revenue from, in decreasing order, Power, HPA, HVAL and SVA. Operating profit increased primarily due to higher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67"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YTD 2014</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YTD 2013</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2,070</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7"/>
        </w:trPr>
        <w:tc>
          <w:tcPr>
            <w:tcW w:w="3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Embedded Processing revenue increased due to higher revenue from, in decreasing order, Microcontrollers, Processors, and Connectivity. Revenue increased due to increased shipments, except Processors revenue, which increased due to a more favorable mix of products shipped. Operating profit increased due to higher revenue and associated gross profit.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YTD 2014</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YTD 2013</w:t>
            </w: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7"/>
        </w:trPr>
        <w:tc>
          <w:tcPr>
            <w:tcW w:w="3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1,725</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7"/>
        </w:trPr>
        <w:tc>
          <w:tcPr>
            <w:tcW w:w="3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*Includes Acquisition and Restructuring charges/other.</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revenue decreased due to lower revenue from legacy wireless products. Operating profit decreased primarily due to the non-recurrence of the gain on the technology transfer partially offset by lower operating expenses resulting from the legacy wireless wind-down.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the end of the third quarter of 2014, total cash (Cash and cash equivalents plus Short-term investments) was $3.19 billion, with 81 percent owned by our U.S. entities.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were $1.48 billion at the end of the third quarter. This was an increase of $274 million from the end of 2013 as a result of higher revenue at the end of the third quarter compared with the end of the year. Days sales outstanding were 38 at the end of the third quarter compared with 36 at the end of 2013.</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Inventory was $1.75 billion at the end of the third quarter, an increase of $20 million from the end of 2013. Days of inventory at the end of the third quarter were 108 compared with 112 at the end of 2013, consistent with our target range of 105 to 115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a revolving credit facility. Cash flows from operating activities for the first nine months of 2014 was $2.62 billion, an increase of $435 million from the year-ago period, primarily due to higher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had $1.31 billion of Cash and cash equivalents and $1.88 billion of Short-term investments as of September 30, 2014.</w:t>
      </w:r>
    </w:p>
    <w:p>
      <w:pPr>
        <w:sectPr>
          <w:pgSz w:w="11900" w:h="16838" w:orient="portrait"/>
          <w:cols w:equalWidth="0" w:num="1">
            <w:col w:w="11380"/>
          </w:cols>
          <w:pgMar w:left="240" w:top="351" w:right="27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80"/>
          </w:cols>
          <w:pgMar w:left="240" w:top="351" w:right="279" w:bottom="1440" w:gutter="0" w:footer="0" w:header="0"/>
          <w:type w:val="continuous"/>
        </w:sectPr>
      </w:pPr>
    </w:p>
    <w:bookmarkStart w:id="27" w:name="page28"/>
    <w:bookmarkEnd w:id="27"/>
    <w:p>
      <w:pPr>
        <w:ind w:right="140"/>
        <w:spacing w:after="0" w:line="264" w:lineRule="auto"/>
        <w:rPr>
          <w:sz w:val="20"/>
          <w:szCs w:val="20"/>
          <w:color w:val="auto"/>
        </w:rPr>
      </w:pPr>
      <w:r>
        <w:rPr>
          <w:rFonts w:ascii="Arial" w:cs="Arial" w:eastAsia="Arial" w:hAnsi="Arial"/>
          <w:sz w:val="18"/>
          <w:szCs w:val="18"/>
          <w:color w:val="auto"/>
        </w:rPr>
        <w:t>We have a variable-rate revolving credit facility with a consortium of investment-grade banks that allows us to borrow up to $2 billion through March 2019. This credit facility also serves as support for the issuance of commercial paper. As of September 30, 2014, our credit facility was undrawn and we had no commercial paper outstanding.</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first nine months of 2014, investing activities provided cash of $114 million compared with $120 million in the year-ago period. Proceeds from sales of short-term investments, net of purchases, provided cash of $321 million compared with $387 million in the year-ago period. Capital expenditures in the first nine months of 2014 totaled $260 million compared with $305 million in the year-ago period. These expenditures were primarily for semiconductor manufacturing equipment. We also received $46 million of cash proceeds from sales of assets in the first nine months of 2014 compared with $21 million in the year-ago period.</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cash used in financing activities was $3.06 billion for the first nine months of 2014 compared with $2.29 billion in the year-ago period. In March 2014, we issued $500 million principal amount of debt, receiving net proceeds of $498 million. This compares with May 2013, when we issued $1.0 billion principal amount of debt, receiving net proceeds of $986 million. We used the net proceeds from these issuances to repay maturing debt of $1.0 billion in the first nine months of 2014 and $1.5 billion in the year-ago period. In the first nine months of 2014, we paid dividends of $967 million compared with $849 million in the year-ago period, a result of a higher dividend rate. We also used $2.13 billion in the first nine months of 2014 to repurchase 46.8 million shares of our common stock. In the same period last year, we used $2.13 billion to repurchase 59.8 million shares of our common stock. Employee exercises of stock options are also reflected in cash from financing activities. In the first nine months of 2014, these exercises provided cash proceeds of $476 million compared with $1.15 billion in the year-ago period. See Note 8 for detailed information on debt outstanding.</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September 2014, we announced a 13 percent increase in our quarterly cash dividend, which increased from $0.30 to $0.34 per share. This dividend will be payable November 17, 2014, to stockholders of record on October 31, 2014.</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and associated ratios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185"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76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For Twelve Months Ended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5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8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w w:val="96"/>
              </w:rPr>
              <w:t>September 30,</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3"/>
        </w:trPr>
        <w:tc>
          <w:tcPr>
            <w:tcW w:w="58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1"/>
        </w:trPr>
        <w:tc>
          <w:tcPr>
            <w:tcW w:w="58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Change</w:t>
            </w:r>
          </w:p>
        </w:tc>
      </w:tr>
      <w:tr>
        <w:trPr>
          <w:trHeight w:val="33"/>
        </w:trPr>
        <w:tc>
          <w:tcPr>
            <w:tcW w:w="58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80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3,819</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r>
      <w:tr>
        <w:trPr>
          <w:trHeight w:val="237"/>
        </w:trPr>
        <w:tc>
          <w:tcPr>
            <w:tcW w:w="58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(367)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(402)</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58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8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3,452</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r>
      <w:tr>
        <w:trPr>
          <w:trHeight w:val="20"/>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584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12,804</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12,155</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7"/>
        </w:trPr>
        <w:tc>
          <w:tcPr>
            <w:tcW w:w="5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 of revenue (GAAP)</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6"/>
                <w:szCs w:val="16"/>
                <w:color w:val="auto"/>
              </w:rPr>
              <w:t>Free cash flow as a percent of revenue (non-GAAP)</w:t>
            </w:r>
          </w:p>
        </w:tc>
        <w:tc>
          <w:tcPr>
            <w:tcW w:w="8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18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to the long-term debt obligations described in the long-term contractual obligations chart on page 47 of Exhibit 13 to our Form 10-K for the year ended December 31, 2013: in March 2014 we issued $250 million principal amount of 0.875% notes maturing in 2017 and $250 million principal amount of 2.750% notes maturing in 2021, and in May 2014 we repaid $1.0 billion of debt that was maturing.</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financial statements for detailed information regarding the status of new accounting and reporting standards.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0"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semiconductors decreases or if this market or key end-equipment markets grow at a significantly slower pace than management expects.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is fixed. In general, these fixed costs do not decline with reductions in customer demand or utilization of manufacturing capacity, and can adversely affect profit margins as a result.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The Technology Industry Is Characterized by Rapid Technological Change That Requires Us to Develop New Technologies and Products.</w:t>
      </w:r>
    </w:p>
    <w:p>
      <w:pPr>
        <w:spacing w:after="0" w:line="2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well-received by customers, nor that we will realize a return on the capital expended to develop such products.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smaller competitors serving niche markets, and also from emerging companies, particularly in Asia, that sell products into the same markets in which we operate.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6"/>
          <w:szCs w:val="16"/>
          <w:u w:val="single" w:color="auto"/>
          <w:color w:val="auto"/>
        </w:rPr>
        <w:t>Our Performance Depends in Part on Our Ability to Enforce Our Intellectual Property Rights and to Develop and License New Intellectual Property.</w:t>
      </w:r>
    </w:p>
    <w:p>
      <w:pPr>
        <w:spacing w:after="0" w:line="2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a contractual or other legal obligation to indemnify them against damages resulting from infringement claims.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 Decline in Demand in Certain Markets Could Have a Material Adverse Effect on the Demand for Our Products and Results of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customer base includes companies in a wide range of markets, but we generate a significant amount of revenue from sales to customers in the personal electronics market, particularly the mobile phone sector, and from sales to industrial customers. Decline in one of these markets could have a material adverse effect on the demand for our products and our results of operations and financial condition.</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Our Global Operations Subject Us to Complex Laws, Regulations and Policies and Risks Associated with International Political, Economic or Other Conditions.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facilities in 35 countries worldwide. About 85 percent of our revenue comes from shipments to locations outside the United States; in particular, shipments of products into China typically represent a large portion of our revenue. Our global operations subject us to complex U.S. and foreign laws, regulations and policies relating to, for example, trade and export controls, anti-bribery, antitrust and privacy. Violations of or changes in these laws, regulations and policies could result in fines, penalties, and sanctions that could adversely affect our results of operations. Operating internationally also exposes us to political and economic conditions, security risks, health conditions and possible disruptions in transportation, communications and information technology networks of the various countries in which we operate. Any of these could result in an adverse effect on our business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health epidemics, severe weather and geological events that could disrupt operations. In addition, our suppliers and customers have similar facilities and operations in such locations. A natural disaster that results in a prolonged disruption to our operations, or the operations of our customers or suppliers, may adversely affect our results and financial condition.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The Loss of or Significant Curtailment of Purchases by Any of Our Largest Customers Could Adversely Affect Our Results of Operations.</w:t>
      </w:r>
    </w:p>
    <w:p>
      <w:pPr>
        <w:spacing w:after="0" w:line="23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584" w:right="279" w:bottom="1440" w:gutter="0" w:footer="0" w:header="0"/>
        </w:sectPr>
      </w:pPr>
    </w:p>
    <w:bookmarkStart w:id="31" w:name="page32"/>
    <w:bookmarkEnd w:id="31"/>
    <w:p>
      <w:pPr>
        <w:ind w:left="660" w:right="120"/>
        <w:spacing w:after="0" w:line="277" w:lineRule="auto"/>
        <w:rPr>
          <w:sz w:val="20"/>
          <w:szCs w:val="20"/>
          <w:color w:val="auto"/>
        </w:rPr>
      </w:pPr>
      <w:r>
        <w:rPr>
          <w:rFonts w:ascii="Arial" w:cs="Arial" w:eastAsia="Arial" w:hAnsi="Arial"/>
          <w:sz w:val="18"/>
          <w:szCs w:val="18"/>
          <w:u w:val="single" w:color="auto"/>
          <w:color w:val="auto"/>
        </w:rPr>
        <w:t>Our Results of Operations Could be Adversely Affected by Our Distributors’ Promotion of Competing Product Lines or Our Distributors’ Financial Performance.</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2013, about 55 percent of our revenue was generated from sales of our products to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w:t>
      </w:r>
    </w:p>
    <w:p>
      <w:pPr>
        <w:spacing w:after="0" w:line="18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u w:val="single" w:color="auto"/>
          <w:color w:val="auto"/>
        </w:rPr>
        <w:t>Our Results of Operations and Financial Condition Could be Adversely Affected if a Customer or a Distributor Suffers a Loss with Respect to Our Inventory.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consignment inventory programs in place for some of our largest customers and for some distributors. If a customer or distributor were to experience a loss with respect to TI-consigned inventory, our results of operations and financial condition may be adversely affected if we do not recover the full value of the lost inventory from the customer, distributor or insurer, or if our recovery is delayed.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7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manufacturing processes and critical manufacturing equipment, and those of some of our customers and suppliers,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customers demand that we change the sourcing of materials we cannot identify as conflict-free.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logic manufacturing process technology development. A limited number of third parties perform these functions, and we do not have long-term contracts with all of them. Reliance on these third parties involves risks, including possible shortages of capacity in periods of high demand, the third parties’ inability to develop and deliver advanced logic manufacturing process technology in a timely, cost effective and appropriate manner and the possibility of third parties imposing increased costs on us.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We have facilities in 35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u w:val="single" w:color="auto"/>
          <w:color w:val="auto"/>
        </w:rPr>
        <w:t>Our Operations Could be Affected by Changes in Environmental, Safety and Health Laws and Regulations.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environmental, safety and health laws and regulations in the jurisdictions in which we operate our business, particularly those in which we manufacture our products. If we fail to comply with these laws and regulations, we could be subject to fines, penalties or other legal liability. Furthermore, should these laws and regulations be amended or expanded, or new ones enacted, we could incur materially greater compliance costs or restrictions on our ability to manufacture our products and operate our business, particularly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or of materials or gases used or emitted into the environment, in connection with the manufacture of our products. There can be no assurance that in all instances a substitute for a prohibited raw material or process would be available, or be available at reasonable cost.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bank accounts, one or more multi-year revolving credit agreements, and a portfolio of investments to support the financing needs of the company. Our ability to fund our daily operations, invest in our business, make strategic acquisitions and service our debt obligations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Charges associated with impairments of our goodwill or intangible assets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 Most of our intangible assets are amortized over their estimated useful lives, but they are reviewed for impairment whenever events or changes in circumstances indicate that the carrying amount of the asset may not be recoverable. If the sum of the future undiscounted cash flows expected to result from the use of the intangible asset and its eventual disposition is less than the carrying amount of the asset, we would recognize an impairment loss to the extent the carrying amount of the asset exceeds its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could be subject to warranty or product liability claims or claims based on epidemic or delivery failures that could lead to significant expenses as we defend such claims or pay damage awards or settlements. In the event of a warranty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78" w:lineRule="exact"/>
        <w:rPr>
          <w:sz w:val="20"/>
          <w:szCs w:val="20"/>
          <w:color w:val="auto"/>
        </w:rPr>
      </w:pPr>
    </w:p>
    <w:p>
      <w:pPr>
        <w:ind w:left="660" w:right="68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continued success depends in part on the retention and recruitment of skilled personnel, including technical, marketing, management and staff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be able to successfully retain and recruit the key personnel that we require.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cause us to raise funds through such means as the issuance of new debt or equity, or the disposition of assets.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Our Ability to Successfully Implement Business and Organizational Changes Could Affect Our Business Plans and Results of Operations.</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undertake business and organizational changes, including acquisitions, divestitures and restructuring actions, to support or carry out our strategic objectives. Our failure to successfully implement these changes could adversely affect our business plans and operating results. For example, we may not realize the expected benefits of an acquisition if we are unable to timely and successfully integrate acquired operations, product lines and technology, and our pre-acquisition due diligence may not identify all possible issues and risks that might arise with respect to an acquisition. Further, we may not achieve or sustain the expected growth or cost savings benefits of business and organizational changes, and restructuring charges could differ materially in amount and timing from our expectations.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Operating Results and Our Reputation Could be Adversely Affected by Breaches of Our Information Technology Systems.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Breaches of our information technology systems caused by computer viruses, unauthorized access, sabotage, vandalism or terrorism could compromise our information technology networks and result in unauthorized release of our, our customers’ or our suppliers’ confidential or proprietary information, cause a disruption to our manufacturing and other operations, result in release of employee personal data, or cause us to incur increased information technology protection costs, any of which could adversely affect our operating results and our reputation.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8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4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Total Number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70"/>
        </w:trPr>
        <w:tc>
          <w:tcPr>
            <w:tcW w:w="3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4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of Shares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Dollar Value</w:t>
            </w:r>
          </w:p>
        </w:tc>
      </w:tr>
      <w:tr>
        <w:trPr>
          <w:trHeight w:val="270"/>
        </w:trPr>
        <w:tc>
          <w:tcPr>
            <w:tcW w:w="3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4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Purchased as</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r>
      <w:tr>
        <w:trPr>
          <w:trHeight w:val="270"/>
        </w:trPr>
        <w:tc>
          <w:tcPr>
            <w:tcW w:w="39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4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Part of</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May Yet Be</w:t>
            </w:r>
          </w:p>
        </w:tc>
      </w:tr>
      <w:tr>
        <w:trPr>
          <w:trHeight w:val="270"/>
        </w:trPr>
        <w:tc>
          <w:tcPr>
            <w:tcW w:w="3940" w:type="dxa"/>
            <w:vAlign w:val="bottom"/>
          </w:tcPr>
          <w:p>
            <w:pPr>
              <w:spacing w:after="0"/>
              <w:rPr>
                <w:sz w:val="23"/>
                <w:szCs w:val="23"/>
                <w:color w:val="auto"/>
              </w:rPr>
            </w:pPr>
          </w:p>
        </w:tc>
        <w:tc>
          <w:tcPr>
            <w:tcW w:w="160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4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Publicly</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r>
      <w:tr>
        <w:trPr>
          <w:trHeight w:val="270"/>
        </w:trPr>
        <w:tc>
          <w:tcPr>
            <w:tcW w:w="3940" w:type="dxa"/>
            <w:vAlign w:val="bottom"/>
          </w:tcPr>
          <w:p>
            <w:pPr>
              <w:spacing w:after="0"/>
              <w:rPr>
                <w:sz w:val="23"/>
                <w:szCs w:val="23"/>
                <w:color w:val="auto"/>
              </w:rPr>
            </w:pPr>
          </w:p>
        </w:tc>
        <w:tc>
          <w:tcPr>
            <w:tcW w:w="16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c>
          <w:tcPr>
            <w:tcW w:w="204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Announced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r>
      <w:tr>
        <w:trPr>
          <w:trHeight w:val="270"/>
        </w:trPr>
        <w:tc>
          <w:tcPr>
            <w:tcW w:w="3940" w:type="dxa"/>
            <w:vAlign w:val="bottom"/>
          </w:tcPr>
          <w:p>
            <w:pPr>
              <w:spacing w:after="0"/>
              <w:rPr>
                <w:sz w:val="23"/>
                <w:szCs w:val="23"/>
                <w:color w:val="auto"/>
              </w:rPr>
            </w:pPr>
          </w:p>
        </w:tc>
        <w:tc>
          <w:tcPr>
            <w:tcW w:w="1600" w:type="dxa"/>
            <w:vAlign w:val="bottom"/>
          </w:tcPr>
          <w:p>
            <w:pPr>
              <w:jc w:val="center"/>
              <w:ind w:left="190"/>
              <w:spacing w:after="0"/>
              <w:rPr>
                <w:sz w:val="20"/>
                <w:szCs w:val="20"/>
                <w:color w:val="auto"/>
              </w:rPr>
            </w:pPr>
            <w:r>
              <w:rPr>
                <w:rFonts w:ascii="Arial" w:cs="Arial" w:eastAsia="Arial" w:hAnsi="Arial"/>
                <w:sz w:val="18"/>
                <w:szCs w:val="18"/>
                <w:b w:val="1"/>
                <w:bCs w:val="1"/>
                <w:color w:val="auto"/>
                <w:w w:val="86"/>
              </w:rPr>
              <w:t>Shares</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Price Paid</w:t>
            </w:r>
          </w:p>
        </w:tc>
        <w:tc>
          <w:tcPr>
            <w:tcW w:w="204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Plans or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r>
      <w:tr>
        <w:trPr>
          <w:trHeight w:val="297"/>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Purchased</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per Share</w:t>
            </w:r>
          </w:p>
        </w:tc>
        <w:tc>
          <w:tcPr>
            <w:tcW w:w="20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5"/>
                <w:szCs w:val="25"/>
                <w:b w:val="1"/>
                <w:bCs w:val="1"/>
                <w:color w:val="auto"/>
                <w:w w:val="85"/>
                <w:vertAlign w:val="superscript"/>
              </w:rPr>
              <w:t>(1)</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5"/>
                <w:szCs w:val="25"/>
                <w:b w:val="1"/>
                <w:bCs w:val="1"/>
                <w:color w:val="auto"/>
                <w:w w:val="85"/>
                <w:vertAlign w:val="superscript"/>
              </w:rPr>
              <w:t>(1)</w:t>
            </w: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2014 through July 31, 2014</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7,981,490</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48.18</w:t>
            </w:r>
          </w:p>
        </w:tc>
        <w:tc>
          <w:tcPr>
            <w:tcW w:w="20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7,981,490</w:t>
            </w:r>
          </w:p>
        </w:tc>
        <w:tc>
          <w:tcPr>
            <w:tcW w:w="1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4.16 billion</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August 1, 2014 through August 31, 2014</w:t>
            </w:r>
          </w:p>
        </w:tc>
        <w:tc>
          <w:tcPr>
            <w:tcW w:w="1600" w:type="dxa"/>
            <w:vAlign w:val="bottom"/>
          </w:tcPr>
          <w:p>
            <w:pPr>
              <w:jc w:val="right"/>
              <w:spacing w:after="0"/>
              <w:rPr>
                <w:sz w:val="20"/>
                <w:szCs w:val="20"/>
                <w:color w:val="auto"/>
              </w:rPr>
            </w:pPr>
            <w:r>
              <w:rPr>
                <w:rFonts w:ascii="Arial" w:cs="Arial" w:eastAsia="Arial" w:hAnsi="Arial"/>
                <w:sz w:val="18"/>
                <w:szCs w:val="18"/>
                <w:color w:val="auto"/>
              </w:rPr>
              <w:t>6,087,231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46.89</w:t>
            </w:r>
          </w:p>
        </w:tc>
        <w:tc>
          <w:tcPr>
            <w:tcW w:w="2040" w:type="dxa"/>
            <w:vAlign w:val="bottom"/>
          </w:tcPr>
          <w:p>
            <w:pPr>
              <w:jc w:val="right"/>
              <w:ind w:right="490"/>
              <w:spacing w:after="0"/>
              <w:rPr>
                <w:sz w:val="20"/>
                <w:szCs w:val="20"/>
                <w:color w:val="auto"/>
              </w:rPr>
            </w:pPr>
            <w:r>
              <w:rPr>
                <w:rFonts w:ascii="Arial" w:cs="Arial" w:eastAsia="Arial" w:hAnsi="Arial"/>
                <w:sz w:val="18"/>
                <w:szCs w:val="18"/>
                <w:color w:val="auto"/>
              </w:rPr>
              <w:t>6,087,231</w:t>
            </w:r>
          </w:p>
        </w:tc>
        <w:tc>
          <w:tcPr>
            <w:tcW w:w="1700" w:type="dxa"/>
            <w:vAlign w:val="bottom"/>
          </w:tcPr>
          <w:p>
            <w:pPr>
              <w:ind w:left="280"/>
              <w:spacing w:after="0"/>
              <w:rPr>
                <w:sz w:val="20"/>
                <w:szCs w:val="20"/>
                <w:color w:val="auto"/>
              </w:rPr>
            </w:pPr>
            <w:r>
              <w:rPr>
                <w:rFonts w:ascii="Arial" w:cs="Arial" w:eastAsia="Arial" w:hAnsi="Arial"/>
                <w:sz w:val="18"/>
                <w:szCs w:val="18"/>
                <w:color w:val="auto"/>
              </w:rPr>
              <w:t>3.87 billion</w:t>
            </w:r>
          </w:p>
        </w:tc>
      </w:tr>
      <w:tr>
        <w:trPr>
          <w:trHeight w:val="27"/>
        </w:trPr>
        <w:tc>
          <w:tcPr>
            <w:tcW w:w="3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 2014 through September 30, 2014</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3.87 billion</w:t>
            </w:r>
          </w:p>
        </w:tc>
      </w:tr>
      <w:tr>
        <w:trPr>
          <w:trHeight w:val="335"/>
        </w:trPr>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14,068,721</w:t>
            </w:r>
          </w:p>
        </w:tc>
        <w:tc>
          <w:tcPr>
            <w:tcW w:w="3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47.62</w:t>
            </w:r>
          </w:p>
        </w:tc>
        <w:tc>
          <w:tcPr>
            <w:tcW w:w="20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 xml:space="preserve">14,068,721  </w:t>
            </w:r>
            <w:r>
              <w:rPr>
                <w:rFonts w:ascii="Arial" w:cs="Arial" w:eastAsia="Arial" w:hAnsi="Arial"/>
                <w:sz w:val="25"/>
                <w:szCs w:val="25"/>
                <w:color w:val="auto"/>
                <w:vertAlign w:val="superscript"/>
              </w:rPr>
              <w:t>(2)</w:t>
            </w:r>
          </w:p>
        </w:tc>
        <w:tc>
          <w:tcPr>
            <w:tcW w:w="17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 xml:space="preserve">3.87 billion </w:t>
            </w:r>
            <w:r>
              <w:rPr>
                <w:rFonts w:ascii="Arial" w:cs="Arial" w:eastAsia="Arial" w:hAnsi="Arial"/>
                <w:sz w:val="25"/>
                <w:szCs w:val="25"/>
                <w:color w:val="auto"/>
                <w:vertAlign w:val="superscript"/>
              </w:rPr>
              <w:t>(3)</w:t>
            </w:r>
          </w:p>
        </w:tc>
      </w:tr>
    </w:tbl>
    <w:p>
      <w:pPr>
        <w:spacing w:after="0" w:line="130" w:lineRule="exact"/>
        <w:rPr>
          <w:sz w:val="20"/>
          <w:szCs w:val="20"/>
          <w:color w:val="auto"/>
        </w:rPr>
      </w:pPr>
    </w:p>
    <w:p>
      <w:pPr>
        <w:ind w:left="340" w:right="160" w:hanging="318"/>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$5.0 billion of additional shares of TI common stock announced on February 21, 2013.</w:t>
      </w:r>
    </w:p>
    <w:p>
      <w:pPr>
        <w:spacing w:after="0" w:line="146" w:lineRule="exact"/>
        <w:rPr>
          <w:rFonts w:ascii="Arial" w:cs="Arial" w:eastAsia="Arial" w:hAnsi="Arial"/>
          <w:sz w:val="25"/>
          <w:szCs w:val="25"/>
          <w:color w:val="auto"/>
          <w:vertAlign w:val="superscript"/>
        </w:rPr>
      </w:pPr>
    </w:p>
    <w:p>
      <w:pPr>
        <w:ind w:left="340" w:hanging="318"/>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01" w:lineRule="exact"/>
        <w:rPr>
          <w:rFonts w:ascii="Arial" w:cs="Arial" w:eastAsia="Arial" w:hAnsi="Arial"/>
          <w:sz w:val="25"/>
          <w:szCs w:val="25"/>
          <w:color w:val="auto"/>
          <w:vertAlign w:val="superscript"/>
        </w:rPr>
      </w:pPr>
    </w:p>
    <w:p>
      <w:pPr>
        <w:ind w:left="340" w:right="200" w:hanging="318"/>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As of September 30, 2014, this amount consisted of the remaining portion of the $5.0 billion authorized in February 2013. No expiration date has been specified for this authorization.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200" w:type="dxa"/>
            <w:vAlign w:val="bottom"/>
          </w:tcPr>
          <w:p>
            <w:pPr>
              <w:spacing w:after="0"/>
              <w:rPr>
                <w:sz w:val="20"/>
                <w:szCs w:val="20"/>
                <w:color w:val="auto"/>
              </w:rPr>
            </w:pPr>
          </w:p>
        </w:tc>
      </w:tr>
      <w:tr>
        <w:trPr>
          <w:trHeight w:val="576"/>
        </w:trPr>
        <w:tc>
          <w:tcPr>
            <w:tcW w:w="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Designation of Exhibits in</w:t>
            </w:r>
          </w:p>
        </w:tc>
        <w:tc>
          <w:tcPr>
            <w:tcW w:w="9200" w:type="dxa"/>
            <w:vAlign w:val="bottom"/>
          </w:tcPr>
          <w:p>
            <w:pPr>
              <w:ind w:left="60"/>
              <w:spacing w:after="0"/>
              <w:rPr>
                <w:sz w:val="20"/>
                <w:szCs w:val="20"/>
                <w:color w:val="auto"/>
              </w:rPr>
            </w:pPr>
            <w:r>
              <w:rPr>
                <w:rFonts w:ascii="Arial" w:cs="Arial" w:eastAsia="Arial" w:hAnsi="Arial"/>
                <w:sz w:val="18"/>
                <w:szCs w:val="18"/>
                <w:b w:val="1"/>
                <w:bCs w:val="1"/>
                <w:color w:val="auto"/>
              </w:rPr>
              <w:t>Description of Exhibit</w:t>
            </w:r>
          </w:p>
        </w:tc>
      </w:tr>
      <w:tr>
        <w:trPr>
          <w:trHeight w:val="234"/>
        </w:trPr>
        <w:tc>
          <w:tcPr>
            <w:tcW w:w="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This Report</w:t>
            </w:r>
          </w:p>
        </w:tc>
        <w:tc>
          <w:tcPr>
            <w:tcW w:w="92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3(a)</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Restated Certificate of Incorporation of the Registrant, dated April 18, 1985 (incorporated by reference to Exhibit 3(a) of the</w:t>
            </w:r>
          </w:p>
        </w:tc>
      </w:tr>
      <w:tr>
        <w:trPr>
          <w:trHeight w:val="237"/>
        </w:trPr>
        <w:tc>
          <w:tcPr>
            <w:tcW w:w="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Registrant's Annual Report on Form 10-K for the year ended December 31, 2011).</w:t>
            </w:r>
          </w:p>
        </w:tc>
      </w:tr>
      <w:tr>
        <w:trPr>
          <w:trHeight w:val="229"/>
        </w:trPr>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3(b)</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16, 1987 (incorporated by</w:t>
            </w:r>
          </w:p>
        </w:tc>
      </w:tr>
      <w:tr>
        <w:trPr>
          <w:trHeight w:val="230"/>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reference to Exhibit 3(b) of the Registrant's Annual Report on Form 10-K for the year ended December 31, 2011).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3(c)</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21, 1988 (incorporated by</w:t>
            </w:r>
          </w:p>
        </w:tc>
      </w:tr>
      <w:tr>
        <w:trPr>
          <w:trHeight w:val="237"/>
        </w:trPr>
        <w:tc>
          <w:tcPr>
            <w:tcW w:w="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3(c) of the Registrant's Annual Report on Form 10-K for the year ended December 31, 2011).</w:t>
            </w:r>
          </w:p>
        </w:tc>
      </w:tr>
      <w:tr>
        <w:trPr>
          <w:trHeight w:val="229"/>
        </w:trPr>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3(d)</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18, 1996 (incorporated by</w:t>
            </w:r>
          </w:p>
        </w:tc>
      </w:tr>
      <w:tr>
        <w:trPr>
          <w:trHeight w:val="230"/>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reference to Exhibit 3(d) of the Registrant's Annual Report on Form 10-K for the year ended December 31, 2011).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3(e)</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Ownership merging Texas Instruments Automation Controls, Inc. into the Registrant, dated March 28, 1988</w:t>
            </w: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(incorporated by reference to Exhibit 3(e) of the Registrant's Annual Report on Form 10-K for the year ended December 31,</w:t>
            </w:r>
          </w:p>
        </w:tc>
      </w:tr>
      <w:tr>
        <w:trPr>
          <w:trHeight w:val="237"/>
        </w:trPr>
        <w:tc>
          <w:tcPr>
            <w:tcW w:w="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3(f)</w:t>
            </w:r>
          </w:p>
        </w:tc>
        <w:tc>
          <w:tcPr>
            <w:tcW w:w="9200" w:type="dxa"/>
            <w:vAlign w:val="bottom"/>
          </w:tcPr>
          <w:p>
            <w:pPr>
              <w:ind w:left="60"/>
              <w:spacing w:after="0"/>
              <w:rPr>
                <w:sz w:val="20"/>
                <w:szCs w:val="20"/>
                <w:color w:val="auto"/>
              </w:rPr>
            </w:pPr>
            <w:r>
              <w:rPr>
                <w:rFonts w:ascii="Arial" w:cs="Arial" w:eastAsia="Arial" w:hAnsi="Arial"/>
                <w:sz w:val="18"/>
                <w:szCs w:val="18"/>
                <w:color w:val="auto"/>
                <w:w w:val="98"/>
              </w:rPr>
              <w:t>Certificate of Elimination of Designations of Preferred Stock of the Registrant, dated March 18, 1994 (incorporated by</w:t>
            </w:r>
          </w:p>
        </w:tc>
      </w:tr>
      <w:tr>
        <w:trPr>
          <w:trHeight w:val="230"/>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reference to Exhibit 3(f) of the Registrant's Annual Report on Form 10-K for the year ended December 31, 2011).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3(g)</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Certificate of Ownership and Merger merging Tiburon Systems, Inc. into the Registrant, dated November 2, 1995</w:t>
            </w: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(incorporated by reference to Exhibit 3(g) of the Registrant's Annual Report on Form 10-K for the year ended December 31,</w:t>
            </w:r>
          </w:p>
        </w:tc>
      </w:tr>
      <w:tr>
        <w:trPr>
          <w:trHeight w:val="237"/>
        </w:trPr>
        <w:tc>
          <w:tcPr>
            <w:tcW w:w="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3(h)</w:t>
            </w:r>
          </w:p>
        </w:tc>
        <w:tc>
          <w:tcPr>
            <w:tcW w:w="9200" w:type="dxa"/>
            <w:vAlign w:val="bottom"/>
          </w:tcPr>
          <w:p>
            <w:pPr>
              <w:ind w:left="60"/>
              <w:spacing w:after="0"/>
              <w:rPr>
                <w:sz w:val="20"/>
                <w:szCs w:val="20"/>
                <w:color w:val="auto"/>
              </w:rPr>
            </w:pPr>
            <w:r>
              <w:rPr>
                <w:rFonts w:ascii="Arial" w:cs="Arial" w:eastAsia="Arial" w:hAnsi="Arial"/>
                <w:sz w:val="18"/>
                <w:szCs w:val="18"/>
                <w:color w:val="auto"/>
                <w:w w:val="91"/>
              </w:rPr>
              <w:t>Certificate of Ownership and Merger merging Tartan, Inc. into the Registrant, dated June 21, 1995 (incorporated by reference</w:t>
            </w:r>
          </w:p>
        </w:tc>
      </w:tr>
      <w:tr>
        <w:trPr>
          <w:trHeight w:val="230"/>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to Exhibit 3(h) of the Registrant's Annual Report on Form 10-K for the year ended December 31, 2011).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3(i)</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Certificate of Designation relating to the Registrant's Participating Cumulative Preferred Stock, dated June 23, 1998</w:t>
            </w: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(incorporated by reference to Exhibit 3(i) of the Registrant's Annual Report on Form 10-K for the year ended December 31,</w:t>
            </w:r>
          </w:p>
        </w:tc>
      </w:tr>
      <w:tr>
        <w:trPr>
          <w:trHeight w:val="237"/>
        </w:trPr>
        <w:tc>
          <w:tcPr>
            <w:tcW w:w="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3(j)</w:t>
            </w:r>
          </w:p>
        </w:tc>
        <w:tc>
          <w:tcPr>
            <w:tcW w:w="9200" w:type="dxa"/>
            <w:vAlign w:val="bottom"/>
          </w:tcPr>
          <w:p>
            <w:pPr>
              <w:ind w:left="60"/>
              <w:spacing w:after="0"/>
              <w:rPr>
                <w:sz w:val="20"/>
                <w:szCs w:val="20"/>
                <w:color w:val="auto"/>
              </w:rPr>
            </w:pPr>
            <w:r>
              <w:rPr>
                <w:rFonts w:ascii="Arial" w:cs="Arial" w:eastAsia="Arial" w:hAnsi="Arial"/>
                <w:sz w:val="18"/>
                <w:szCs w:val="18"/>
                <w:color w:val="auto"/>
                <w:w w:val="91"/>
              </w:rPr>
              <w:t>Certificate of Elimination of Designation of Preferred Stock of the Registrant, dated June 18, 1998 (incorporated by reference</w:t>
            </w:r>
          </w:p>
        </w:tc>
      </w:tr>
      <w:tr>
        <w:trPr>
          <w:trHeight w:val="230"/>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to Exhibit 3(j) of the Registrant's Annual Report on Form 10-K for the year ended December 31, 2011).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3(k)</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Certificate of Ownership and Merger merging Intersect Technologies, Inc. with and into the Registrant, dated July 15, 1999</w:t>
            </w: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(incorporated by reference to Exhibit 3(k) of the Registrant's Annual Report on Form 10-K for the year ended December 31,</w:t>
            </w:r>
          </w:p>
        </w:tc>
      </w:tr>
      <w:tr>
        <w:trPr>
          <w:trHeight w:val="237"/>
        </w:trPr>
        <w:tc>
          <w:tcPr>
            <w:tcW w:w="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3(l)</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Soft Warehouse, Inc. with and into the Registrant, dated September 23, 1999</w:t>
            </w:r>
          </w:p>
        </w:tc>
      </w:tr>
      <w:tr>
        <w:trPr>
          <w:trHeight w:val="216"/>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3(l) of the Registrant's Annual Report on Form 10-K for the year ended December 31,</w:t>
            </w:r>
          </w:p>
        </w:tc>
      </w:tr>
      <w:tr>
        <w:trPr>
          <w:trHeight w:val="230"/>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3(m)</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Certificate of Ownership and Merger merging Silicon Systems, Inc. with and into the Registrant, dated December 17, 1999</w:t>
            </w: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(incorporated by reference to Exhibit 3(m) of the Registrant's Annual Report on Form 10-K for the year ended December 31,</w:t>
            </w:r>
          </w:p>
        </w:tc>
      </w:tr>
      <w:tr>
        <w:trPr>
          <w:trHeight w:val="237"/>
        </w:trPr>
        <w:tc>
          <w:tcPr>
            <w:tcW w:w="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3(n)</w:t>
            </w:r>
          </w:p>
        </w:tc>
        <w:tc>
          <w:tcPr>
            <w:tcW w:w="9200" w:type="dxa"/>
            <w:vAlign w:val="bottom"/>
          </w:tcPr>
          <w:p>
            <w:pPr>
              <w:ind w:left="60"/>
              <w:spacing w:after="0"/>
              <w:rPr>
                <w:sz w:val="20"/>
                <w:szCs w:val="20"/>
                <w:color w:val="auto"/>
              </w:rPr>
            </w:pPr>
            <w:r>
              <w:rPr>
                <w:rFonts w:ascii="Arial" w:cs="Arial" w:eastAsia="Arial" w:hAnsi="Arial"/>
                <w:sz w:val="18"/>
                <w:szCs w:val="18"/>
                <w:color w:val="auto"/>
                <w:w w:val="92"/>
              </w:rPr>
              <w:t>Certificate of Amendment to Restated Certificate of Incorporation, dated April 20, 2000 (incorporated by reference to Exhibit</w:t>
            </w:r>
          </w:p>
        </w:tc>
      </w:tr>
      <w:tr>
        <w:trPr>
          <w:trHeight w:val="230"/>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3(n) of the Registrant's Annual Report on Form 10-K for the year ended December 31, 2011).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3(o)</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Certificate of Ownership and Merger merging Power Trends, Inc. with and into the Registrant, dated May 31, 2001</w:t>
            </w:r>
          </w:p>
        </w:tc>
      </w:tr>
      <w:tr>
        <w:trPr>
          <w:trHeight w:val="216"/>
        </w:trPr>
        <w:tc>
          <w:tcPr>
            <w:tcW w:w="4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(incorporated by reference to Exhibit 3(o) of the Registrant's Annual Report on Form 10-K for the year ended December 31,</w:t>
            </w:r>
          </w:p>
        </w:tc>
      </w:tr>
      <w:tr>
        <w:trPr>
          <w:trHeight w:val="237"/>
        </w:trPr>
        <w:tc>
          <w:tcPr>
            <w:tcW w:w="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4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3(p)</w:t>
            </w:r>
          </w:p>
        </w:tc>
        <w:tc>
          <w:tcPr>
            <w:tcW w:w="9200" w:type="dxa"/>
            <w:vAlign w:val="bottom"/>
          </w:tcPr>
          <w:p>
            <w:pPr>
              <w:ind w:left="60"/>
              <w:spacing w:after="0"/>
              <w:rPr>
                <w:sz w:val="20"/>
                <w:szCs w:val="20"/>
                <w:color w:val="auto"/>
              </w:rPr>
            </w:pPr>
            <w:r>
              <w:rPr>
                <w:rFonts w:ascii="Arial" w:cs="Arial" w:eastAsia="Arial" w:hAnsi="Arial"/>
                <w:sz w:val="18"/>
                <w:szCs w:val="18"/>
                <w:color w:val="auto"/>
                <w:w w:val="98"/>
              </w:rPr>
              <w:t>Certificate of Ownership and Merger merging Amati Communications Corporation with and into the Registrant, dated</w:t>
            </w:r>
          </w:p>
        </w:tc>
      </w:tr>
      <w:tr>
        <w:trPr>
          <w:trHeight w:val="216"/>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September 28, 2001 (incorporated by reference to Exhibit 3(p) of the Registrant's Annual Report on Form 10-K for the year</w:t>
            </w:r>
          </w:p>
        </w:tc>
      </w:tr>
      <w:tr>
        <w:trPr>
          <w:trHeight w:val="230"/>
        </w:trPr>
        <w:tc>
          <w:tcPr>
            <w:tcW w:w="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ended December 31, 2011).</w:t>
            </w:r>
          </w:p>
        </w:tc>
      </w:tr>
      <w:tr>
        <w:trPr>
          <w:trHeight w:val="486"/>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200" w:type="dxa"/>
            <w:vAlign w:val="bottom"/>
          </w:tcPr>
          <w:p>
            <w:pPr>
              <w:ind w:left="344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360"/>
          </w:cols>
          <w:pgMar w:left="260" w:top="1440" w:right="27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3(q)</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Certificate of Ownership and Merger merging Texas Instruments San Diego Incorporated with and into the Registrant, dated</w:t>
            </w:r>
          </w:p>
        </w:tc>
      </w:tr>
      <w:tr>
        <w:trPr>
          <w:trHeight w:val="216"/>
        </w:trPr>
        <w:tc>
          <w:tcPr>
            <w:tcW w:w="1760" w:type="dxa"/>
            <w:vAlign w:val="bottom"/>
            <w:shd w:val="clear" w:color="auto" w:fill="CCEEFF"/>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August 27, 2002 (incorporated by reference to Exhibit 3(q) of the Registrant's Annual Report on Form 10-K for the year</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ended December 31, 2011).</w:t>
            </w:r>
          </w:p>
        </w:tc>
      </w:tr>
      <w:tr>
        <w:trPr>
          <w:trHeight w:val="229"/>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9"/>
              </w:rPr>
              <w:t>3(r)</w:t>
            </w:r>
          </w:p>
        </w:tc>
        <w:tc>
          <w:tcPr>
            <w:tcW w:w="9560" w:type="dxa"/>
            <w:vAlign w:val="bottom"/>
          </w:tcPr>
          <w:p>
            <w:pPr>
              <w:ind w:left="420"/>
              <w:spacing w:after="0"/>
              <w:rPr>
                <w:sz w:val="20"/>
                <w:szCs w:val="20"/>
                <w:color w:val="auto"/>
              </w:rPr>
            </w:pPr>
            <w:r>
              <w:rPr>
                <w:rFonts w:ascii="Arial" w:cs="Arial" w:eastAsia="Arial" w:hAnsi="Arial"/>
                <w:sz w:val="18"/>
                <w:szCs w:val="18"/>
                <w:color w:val="auto"/>
                <w:w w:val="92"/>
              </w:rPr>
              <w:t>Certificate of Ownership and Merger merging Texas Instruments Burlington Incorporated with and into the Registrant, dated</w:t>
            </w:r>
          </w:p>
        </w:tc>
      </w:tr>
      <w:tr>
        <w:trPr>
          <w:trHeight w:val="216"/>
        </w:trPr>
        <w:tc>
          <w:tcPr>
            <w:tcW w:w="176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w w:val="94"/>
              </w:rPr>
              <w:t>December 31, 2003 (incorporated by reference to Exhibit 3(r) of the Registrant's Annual Report on Form 10-K for the year</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ended December 31, 2011).</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29"/>
        </w:trPr>
        <w:tc>
          <w:tcPr>
            <w:tcW w:w="17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3(s)</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Certificate of Ownership and Merger merging Texas Instruments Automotive Sensors and Controls San Jose Inc. with and</w:t>
            </w:r>
          </w:p>
        </w:tc>
      </w:tr>
      <w:tr>
        <w:trPr>
          <w:trHeight w:val="216"/>
        </w:trPr>
        <w:tc>
          <w:tcPr>
            <w:tcW w:w="1760" w:type="dxa"/>
            <w:vAlign w:val="bottom"/>
            <w:shd w:val="clear" w:color="auto" w:fill="CCEEFF"/>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into the Registrant, dated October 31, 2004 (incorporated by reference to Exhibit 3(s) of the Registrant's Annual Report on</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Form 10-K for the year ended December 31, 2011).</w:t>
            </w:r>
          </w:p>
        </w:tc>
      </w:tr>
      <w:tr>
        <w:trPr>
          <w:trHeight w:val="229"/>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6"/>
              </w:rPr>
              <w:t>3(t)</w:t>
            </w: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Certificate of Elimination of Series B Participating Cumulative Preferred Stock (incorporated by reference to Exhibit 3 to the</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Registrant's Current Report on Form 8-K filed June 23, 2008).</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29"/>
        </w:trPr>
        <w:tc>
          <w:tcPr>
            <w:tcW w:w="17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3(u)</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By-Laws of the Registrant (incorporated by reference to Exhibit 3 to the Registrant's Current Report on Form 8-K filed July</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18, 2008).</w:t>
            </w:r>
          </w:p>
        </w:tc>
      </w:tr>
      <w:tr>
        <w:trPr>
          <w:trHeight w:val="243"/>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0"/>
              </w:rPr>
              <w:t>31(a)</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31(b)</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43"/>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0"/>
              </w:rPr>
              <w:t>32(a)</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32(b)</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43"/>
        </w:trPr>
        <w:tc>
          <w:tcPr>
            <w:tcW w:w="1760" w:type="dxa"/>
            <w:vAlign w:val="bottom"/>
          </w:tcPr>
          <w:p>
            <w:pPr>
              <w:ind w:left="820"/>
              <w:spacing w:after="0"/>
              <w:rPr>
                <w:sz w:val="20"/>
                <w:szCs w:val="20"/>
                <w:color w:val="auto"/>
              </w:rPr>
            </w:pPr>
            <w:r>
              <w:rPr>
                <w:rFonts w:ascii="Arial" w:cs="Arial" w:eastAsia="Arial" w:hAnsi="Arial"/>
                <w:sz w:val="18"/>
                <w:szCs w:val="18"/>
                <w:color w:val="auto"/>
              </w:rPr>
              <w:t>101.ins</w:t>
            </w:r>
          </w:p>
        </w:tc>
        <w:tc>
          <w:tcPr>
            <w:tcW w:w="956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101.def</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101.sch</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101.cal</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101.lab</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101.pre</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760" w:type="dxa"/>
            <w:vAlign w:val="bottom"/>
          </w:tcPr>
          <w:p>
            <w:pPr>
              <w:spacing w:after="0"/>
              <w:rPr>
                <w:sz w:val="24"/>
                <w:szCs w:val="24"/>
                <w:color w:val="auto"/>
              </w:rPr>
            </w:pPr>
          </w:p>
        </w:tc>
        <w:tc>
          <w:tcPr>
            <w:tcW w:w="9560" w:type="dxa"/>
            <w:vAlign w:val="bottom"/>
          </w:tcPr>
          <w:p>
            <w:pPr>
              <w:ind w:left="380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320"/>
          </w:cols>
          <w:pgMar w:left="300" w:top="518"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demand for semiconductors, particularly in markets such as personal electronics, especially the mobile phone sector, and industrial;</w:t>
      </w:r>
    </w:p>
    <w:p>
      <w:pPr>
        <w:spacing w:after="0" w:line="34" w:lineRule="exact"/>
        <w:rPr>
          <w:rFonts w:ascii="Arial" w:cs="Arial" w:eastAsia="Arial" w:hAnsi="Arial"/>
          <w:sz w:val="17"/>
          <w:szCs w:val="17"/>
          <w:color w:val="auto"/>
        </w:rPr>
      </w:pPr>
    </w:p>
    <w:p>
      <w:pPr>
        <w:ind w:left="660" w:right="3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right="1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right="32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584" w:right="31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October 31,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36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left="340" w:right="120" w:hanging="8"/>
        <w:spacing w:after="0" w:line="342"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left="340" w:right="400" w:hanging="8"/>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340" w:right="200" w:hanging="8"/>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140" w:hanging="8"/>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9"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October 31, 2014</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520" w:hanging="188"/>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left="340" w:right="120" w:hanging="8"/>
        <w:spacing w:after="0" w:line="342"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left="340" w:right="400" w:hanging="8"/>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340" w:right="200" w:hanging="8"/>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660" w:right="20" w:hanging="4"/>
        <w:spacing w:after="0" w:line="264" w:lineRule="auto"/>
        <w:tabs>
          <w:tab w:leader="none" w:pos="8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660" w:right="240" w:hanging="4"/>
        <w:spacing w:after="0" w:line="264" w:lineRule="auto"/>
        <w:tabs>
          <w:tab w:leader="none" w:pos="8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660" w:right="880" w:hanging="4"/>
        <w:spacing w:after="0" w:line="342" w:lineRule="auto"/>
        <w:tabs>
          <w:tab w:leader="none" w:pos="84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660" w:right="260" w:hanging="4"/>
        <w:spacing w:after="0" w:line="264" w:lineRule="auto"/>
        <w:tabs>
          <w:tab w:leader="none" w:pos="8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340" w:right="140" w:hanging="8"/>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79" w:lineRule="exact"/>
        <w:rPr>
          <w:rFonts w:ascii="Arial" w:cs="Arial" w:eastAsia="Arial" w:hAnsi="Arial"/>
          <w:sz w:val="17"/>
          <w:szCs w:val="17"/>
          <w:color w:val="auto"/>
        </w:rPr>
      </w:pPr>
    </w:p>
    <w:p>
      <w:pPr>
        <w:ind w:left="660" w:right="260" w:hanging="4"/>
        <w:spacing w:after="0" w:line="277" w:lineRule="auto"/>
        <w:tabs>
          <w:tab w:leader="none" w:pos="84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20" w:hanging="4"/>
        <w:spacing w:after="0" w:line="277" w:lineRule="auto"/>
        <w:tabs>
          <w:tab w:leader="none" w:pos="8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October 31, 2014</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500" w:right="140" w:hanging="6"/>
        <w:spacing w:after="0" w:line="264"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2014,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760" w:hanging="26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October 31, 2014</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500" w:right="140" w:hanging="6"/>
        <w:spacing w:after="0" w:line="264" w:lineRule="auto"/>
        <w:tabs>
          <w:tab w:leader="none" w:pos="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2014, as filed with the Securities and Exchange Commission on the date hereof (the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760" w:hanging="26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October 31, 2014</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
      <w:numFmt w:val="bullet"/>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decimal"/>
      <w:start w:val="9"/>
    </w:lvl>
  </w:abstractNum>
  <w:abstractNum w:abstractNumId="13">
    <w:nsid w:val="3F2DBA31"/>
    <w:multiLevelType w:val="hybridMultilevel"/>
    <w:lvl w:ilvl="0">
      <w:lvlJc w:val="left"/>
      <w:lvlText w:val="%1."/>
      <w:numFmt w:val="decimal"/>
      <w:start w:val="10"/>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1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2019-12-05T15:40:43Z</dcterms:created>
  <dcterms:modified xsi:type="dcterms:W3CDTF">2019-12-05T15:40:43Z</dcterms:modified>
</cp:coreProperties>
</file>