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419735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DATE OF REPORT (DATE OF EARLIEST EVENT REPORTED): June 11,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436245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15" w:right="75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15" w:right="759" w:bottom="1440" w:gutter="0" w:footer="0" w:header="0"/>
          <w:type w:val="continuous"/>
        </w:sectPr>
      </w:pPr>
    </w:p>
    <w:p>
      <w:pPr>
        <w:spacing w:after="0" w:line="15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15" w:right="75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429260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15"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7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Registrant's news release dated June 11, 2007, regarding the Registrant's outlook for the second quarter of 2007 attached hereto as Exhibit 99 is incorporated by reference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0"/>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70"/>
        </w:trPr>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June 11, 2007 (furnished pursuant to Item 7.01)</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June 11,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3267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TI Updates Second-Quarter 2007 Business Outlook</w:t>
      </w:r>
    </w:p>
    <w:p>
      <w:pPr>
        <w:spacing w:after="0" w:line="200" w:lineRule="exact"/>
        <w:rPr>
          <w:sz w:val="20"/>
          <w:szCs w:val="20"/>
          <w:color w:val="auto"/>
        </w:rPr>
      </w:pPr>
    </w:p>
    <w:p>
      <w:pPr>
        <w:spacing w:after="0" w:line="353" w:lineRule="exact"/>
        <w:rPr>
          <w:sz w:val="20"/>
          <w:szCs w:val="20"/>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$3.36 Billion and $3.51 Billion</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$0.40 and $0.44</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CDT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www.ti.com</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DALLAS (June 11, 2007) - In a scheduled update to its business outlook for the second quarter of 2007, Texas Instruments Incorporated (TI)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(NYSE: TXN) today narrowed its expected ranges for revenue and earnings per share (EPS).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expectations for revenue are:</w:t>
      </w:r>
    </w:p>
    <w:p>
      <w:pPr>
        <w:spacing w:after="0" w:line="279"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$3.36 billion and $3.51 billion, compared with the prior range of $3.32 billion to $3.60 billion;</w:t>
      </w:r>
    </w:p>
    <w:p>
      <w:pPr>
        <w:spacing w:after="0" w:line="23"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Semiconductor revenue between $3.20 billion and $3.34 billion, compared with the prior range of $3.14 billion to $3.40 billion; and</w:t>
      </w:r>
    </w:p>
    <w:p>
      <w:pPr>
        <w:spacing w:after="0" w:line="20" w:lineRule="exact"/>
        <w:rPr>
          <w:rFonts w:ascii="Arial" w:cs="Arial" w:eastAsia="Arial" w:hAnsi="Arial"/>
          <w:sz w:val="17"/>
          <w:szCs w:val="17"/>
          <w:color w:val="auto"/>
        </w:rPr>
      </w:pPr>
    </w:p>
    <w:p>
      <w:pPr>
        <w:jc w:val="both"/>
        <w:ind w:left="1140" w:hanging="132"/>
        <w:spacing w:after="0" w:line="255"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revenue between $160 million and $170 million, compared with the prior range of $180 million to $200 million. The lower estimate reflects delays by retailers in stocking their back-to-school calculator inventory until closer to the start of school in the third quarter.</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EPS from continuing operations between $0.40 and $0.44, compared with the previous range of $0.39 to $0.45.</w:t>
      </w:r>
    </w:p>
    <w:p>
      <w:pPr>
        <w:spacing w:after="0" w:line="27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The company will hold a conference call at 4 p.m. CDT today to discuss this update. This conference call will be available live at </w:t>
      </w:r>
      <w:r>
        <w:rPr>
          <w:rFonts w:ascii="Arial" w:cs="Arial" w:eastAsia="Arial" w:hAnsi="Arial"/>
          <w:sz w:val="18"/>
          <w:szCs w:val="18"/>
          <w:u w:val="single" w:color="auto"/>
          <w:color w:val="auto"/>
        </w:rPr>
        <w:t>www.ti.com</w:t>
      </w:r>
      <w:r>
        <w:rPr>
          <w:rFonts w:ascii="Arial" w:cs="Arial" w:eastAsia="Arial" w:hAnsi="Arial"/>
          <w:sz w:val="18"/>
          <w:szCs w:val="18"/>
          <w:color w:val="auto"/>
        </w:rPr>
        <w:t xml:space="preserve">. TI’s original second-quarter outlook was published in the company’s first-quarter 2007 earnings release on April 23, available at </w:t>
      </w:r>
      <w:r>
        <w:rPr>
          <w:rFonts w:ascii="Arial" w:cs="Arial" w:eastAsia="Arial" w:hAnsi="Arial"/>
          <w:sz w:val="18"/>
          <w:szCs w:val="18"/>
          <w:u w:val="single" w:color="auto"/>
          <w:color w:val="auto"/>
        </w:rPr>
        <w:t>www.ti.com</w:t>
      </w:r>
      <w:r>
        <w:rPr>
          <w:rFonts w:ascii="Arial" w:cs="Arial" w:eastAsia="Arial" w:hAnsi="Arial"/>
          <w:sz w:val="18"/>
          <w:szCs w:val="18"/>
          <w:color w:val="auto"/>
        </w:rPr>
        <w:t>. TI’s second quarter ends on June 30.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release are made only as of the date of publication, and we undertake no obligation to update the forward-looking statements to reflect subsequent events or circumstances.</w:t>
      </w:r>
    </w:p>
    <w:p>
      <w:pPr>
        <w:spacing w:after="0" w:line="2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ectPr>
          <w:pgSz w:w="11900" w:h="16838" w:orient="portrait"/>
          <w:cols w:equalWidth="0" w:num="1">
            <w:col w:w="11420"/>
          </w:cols>
          <w:pgMar w:left="240" w:top="368" w:right="239"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2019-12-11T18:33:24Z</dcterms:created>
  <dcterms:modified xsi:type="dcterms:W3CDTF">2019-12-11T18:33:24Z</dcterms:modified>
</cp:coreProperties>
</file>