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67,962,000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67,962,000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67,962,000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Global Investors is deemed to be the</w:t>
      </w:r>
    </w:p>
    <w:p>
      <w:pPr>
        <w:ind w:left="740"/>
        <w:spacing w:after="0" w:line="238" w:lineRule="auto"/>
        <w:rPr>
          <w:sz w:val="20"/>
          <w:szCs w:val="20"/>
          <w:color w:val="auto"/>
        </w:rPr>
      </w:pPr>
      <w:r>
        <w:rPr>
          <w:rFonts w:ascii="Courier New" w:cs="Courier New" w:eastAsia="Courier New" w:hAnsi="Courier New"/>
          <w:sz w:val="18"/>
          <w:szCs w:val="18"/>
          <w:color w:val="auto"/>
        </w:rPr>
        <w:t>beneficial owner of 67,962,000 shares or 6.1% of the</w:t>
      </w:r>
    </w:p>
    <w:p>
      <w:pPr>
        <w:ind w:left="740"/>
        <w:spacing w:after="0"/>
        <w:rPr>
          <w:sz w:val="20"/>
          <w:szCs w:val="20"/>
          <w:color w:val="auto"/>
        </w:rPr>
      </w:pPr>
      <w:r>
        <w:rPr>
          <w:rFonts w:ascii="Courier New" w:cs="Courier New" w:eastAsia="Courier New" w:hAnsi="Courier New"/>
          <w:sz w:val="18"/>
          <w:szCs w:val="18"/>
          <w:color w:val="auto"/>
        </w:rPr>
        <w:t>1,120,802,980 shares believed to be outstanding as a result of</w:t>
      </w:r>
    </w:p>
    <w:p>
      <w:pPr>
        <w:ind w:left="740"/>
        <w:spacing w:after="0" w:line="237" w:lineRule="auto"/>
        <w:rPr>
          <w:sz w:val="20"/>
          <w:szCs w:val="20"/>
          <w:color w:val="auto"/>
        </w:rPr>
      </w:pPr>
      <w:r>
        <w:rPr>
          <w:rFonts w:ascii="Courier New" w:cs="Courier New" w:eastAsia="Courier New" w:hAnsi="Courier New"/>
          <w:sz w:val="18"/>
          <w:szCs w:val="18"/>
          <w:color w:val="auto"/>
        </w:rPr>
        <w:t>CRMC acting as investment adviser to various investment</w:t>
      </w:r>
    </w:p>
    <w:p>
      <w:pPr>
        <w:ind w:left="740"/>
        <w:spacing w:after="0" w:line="238" w:lineRule="auto"/>
        <w:rPr>
          <w:sz w:val="20"/>
          <w:szCs w:val="20"/>
          <w:color w:val="auto"/>
        </w:rPr>
      </w:pPr>
      <w:r>
        <w:rPr>
          <w:rFonts w:ascii="Courier New" w:cs="Courier New" w:eastAsia="Courier New" w:hAnsi="Courier New"/>
          <w:sz w:val="18"/>
          <w:szCs w:val="18"/>
          <w:color w:val="auto"/>
        </w:rPr>
        <w:t>companies registered under Section 8 of the Investment Company</w:t>
      </w:r>
    </w:p>
    <w:p>
      <w:pPr>
        <w:ind w:left="740"/>
        <w:spacing w:after="0"/>
        <w:rPr>
          <w:sz w:val="20"/>
          <w:szCs w:val="20"/>
          <w:color w:val="auto"/>
        </w:rPr>
      </w:pPr>
      <w:r>
        <w:rPr>
          <w:rFonts w:ascii="Courier New" w:cs="Courier New" w:eastAsia="Courier New" w:hAnsi="Courier New"/>
          <w:sz w:val="18"/>
          <w:szCs w:val="18"/>
          <w:color w:val="auto"/>
        </w:rPr>
        <w:t>Act of 1940.</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11,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2019-12-05T16:05:53Z</dcterms:created>
  <dcterms:modified xsi:type="dcterms:W3CDTF">2019-12-05T16:05:53Z</dcterms:modified>
</cp:coreProperties>
</file>