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No. 333-284977</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October 26, 2026</w:t>
            </w:r>
          </w:p>
        </w:tc>
      </w:tr>
      <w:tr>
        <w:trPr>
          <w:trHeight w:val="234"/>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October 26, 2026</w:t>
            </w:r>
          </w:p>
        </w:tc>
      </w:tr>
      <w:tr>
        <w:trPr>
          <w:trHeight w:val="626"/>
        </w:trPr>
        <w:tc>
          <w:tcPr>
            <w:tcW w:w="3240" w:type="dxa"/>
            <w:vAlign w:val="bottom"/>
          </w:tcPr>
          <w:p>
            <w:pPr>
              <w:spacing w:after="0"/>
              <w:rPr>
                <w:sz w:val="24"/>
                <w:szCs w:val="24"/>
                <w:color w:val="auto"/>
              </w:rPr>
            </w:pPr>
          </w:p>
        </w:tc>
        <w:tc>
          <w:tcPr>
            <w:tcW w:w="7780" w:type="dxa"/>
            <w:vAlign w:val="bottom"/>
            <w:gridSpan w:val="3"/>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w:t>
            </w:r>
          </w:p>
        </w:tc>
      </w:tr>
      <w:tr>
        <w:trPr>
          <w:trHeight w:val="238"/>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jc w:val="center"/>
              <w:ind w:right="457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39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80" w:type="dxa"/>
            <w:vAlign w:val="bottom"/>
            <w:gridSpan w:val="2"/>
          </w:tcPr>
          <w:p>
            <w:pPr>
              <w:jc w:val="center"/>
              <w:ind w:right="4570"/>
              <w:spacing w:after="0"/>
              <w:rPr>
                <w:sz w:val="20"/>
                <w:szCs w:val="20"/>
                <w:color w:val="auto"/>
              </w:rPr>
            </w:pPr>
            <w:r>
              <w:rPr>
                <w:rFonts w:ascii="Times New Roman" w:cs="Times New Roman" w:eastAsia="Times New Roman" w:hAnsi="Times New Roman"/>
                <w:sz w:val="18"/>
                <w:szCs w:val="18"/>
                <w:color w:val="auto"/>
                <w:w w:val="99"/>
              </w:rPr>
              <w:t>5.</w:t>
            </w:r>
            <w:r>
              <w:rPr>
                <w:rFonts w:ascii="Times New Roman" w:cs="Times New Roman" w:eastAsia="Times New Roman" w:hAnsi="Times New Roman"/>
                <w:sz w:val="18"/>
                <w:szCs w:val="18"/>
                <w:u w:val="single" w:color="auto"/>
                <w:color w:val="auto"/>
                <w:w w:val="99"/>
              </w:rPr>
              <w:t>000%</w:t>
            </w:r>
            <w:r>
              <w:rPr>
                <w:rFonts w:ascii="Times New Roman" w:cs="Times New Roman" w:eastAsia="Times New Roman" w:hAnsi="Times New Roman"/>
                <w:sz w:val="18"/>
                <w:szCs w:val="18"/>
                <w:color w:val="auto"/>
                <w:w w:val="99"/>
              </w:rPr>
              <w:t xml:space="preserve"> Notes due 2028</w:t>
            </w:r>
          </w:p>
        </w:tc>
      </w:tr>
      <w:tr>
        <w:trPr>
          <w:trHeight w:val="20"/>
        </w:trPr>
        <w:tc>
          <w:tcPr>
            <w:tcW w:w="3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7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$500,000,000 (the “2028 Notes”)</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November 9, 2028</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5.000%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99.827% of principal amount</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May 9 and November 9, beginning on May 9, 2027, and on the maturity date</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Day Count Convention:</w:t>
            </w:r>
          </w:p>
        </w:tc>
        <w:tc>
          <w:tcPr>
            <w:tcW w:w="1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30/360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TI:</w:t>
            </w:r>
          </w:p>
        </w:tc>
        <w:tc>
          <w:tcPr>
            <w:tcW w:w="3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$498,135,000</w:t>
            </w:r>
          </w:p>
        </w:tc>
        <w:tc>
          <w:tcPr>
            <w:tcW w:w="466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4.750% due September 30, 2028</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+ 38 basis points</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5.092%</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1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xml:space="preserve">100-02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8</w:t>
            </w:r>
            <w:r>
              <w:rPr>
                <w:rFonts w:ascii="Times New Roman" w:cs="Times New Roman" w:eastAsia="Times New Roman" w:hAnsi="Times New Roman"/>
                <w:sz w:val="18"/>
                <w:szCs w:val="18"/>
                <w:color w:val="auto"/>
              </w:rPr>
              <w:t>; 4.712%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At any time at the greater of: (1) (a) the sum of the present values of the remaining scheduled</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payments of principal and interest thereon discounted to the redemption date on a semi-annual</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basis (assuming a 360-day year consisting of twelve 30-day months) at the Treasury Rate plus 10</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basis points less (b) interest accrued to the date of redemption, and (2) 100% of the principal</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amount of the Notes to be redeemed, plus, in either case, accrued and unpaid interest thereon to the</w:t>
            </w:r>
          </w:p>
        </w:tc>
      </w:tr>
      <w:tr>
        <w:trPr>
          <w:trHeight w:val="234"/>
        </w:trPr>
        <w:tc>
          <w:tcPr>
            <w:tcW w:w="3240" w:type="dxa"/>
            <w:vAlign w:val="bottom"/>
          </w:tcPr>
          <w:p>
            <w:pPr>
              <w:spacing w:after="0"/>
              <w:rPr>
                <w:sz w:val="20"/>
                <w:szCs w:val="20"/>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redemption date.</w:t>
            </w:r>
          </w:p>
        </w:tc>
      </w:tr>
      <w:tr>
        <w:trPr>
          <w:trHeight w:val="365"/>
        </w:trPr>
        <w:tc>
          <w:tcPr>
            <w:tcW w:w="3240" w:type="dxa"/>
            <w:vAlign w:val="bottom"/>
          </w:tcPr>
          <w:p>
            <w:pPr>
              <w:spacing w:after="0"/>
              <w:rPr>
                <w:sz w:val="24"/>
                <w:szCs w:val="24"/>
                <w:color w:val="auto"/>
              </w:rPr>
            </w:pPr>
          </w:p>
        </w:tc>
        <w:tc>
          <w:tcPr>
            <w:tcW w:w="31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88"/>
              </w:rPr>
              <w:t>1</w:t>
            </w:r>
          </w:p>
        </w:tc>
        <w:tc>
          <w:tcPr>
            <w:tcW w:w="4660" w:type="dxa"/>
            <w:vAlign w:val="bottom"/>
          </w:tcPr>
          <w:p>
            <w:pPr>
              <w:spacing w:after="0"/>
              <w:rPr>
                <w:sz w:val="24"/>
                <w:szCs w:val="24"/>
                <w:color w:val="auto"/>
              </w:rPr>
            </w:pPr>
          </w:p>
        </w:tc>
      </w:tr>
    </w:tbl>
    <w:p>
      <w:pPr>
        <w:sectPr>
          <w:pgSz w:w="11900" w:h="16838" w:orient="portrait"/>
          <w:cols w:equalWidth="0" w:num="1">
            <w:col w:w="11020"/>
          </w:cols>
          <w:pgMar w:left="440" w:top="229"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Special Mandatory Redemption:</w:t>
            </w: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If (i) the Acquisition (as defined in the preliminary prospectus supplement) is not consummated on</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or prior to the later of (x) February 4, 2027 (or, if the “Termination Date” under the Merger</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Agreement (as defined in the preliminary prospectus supplement) is automatically extended to</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August 4, 2027 or February 4, 2028 in accordance with the terms of the Merger Agreement, such</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extended date) and (y) the date that is five business days after any later date to which the parties to</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Merger Agreement may agree to extend the “Termination Date” in the Merger Agreement</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(such later date, the “Special Mandatory Redemption End Date”), (ii) the Merger Agreement is</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terminated (other than in connection with the consummation of the Acquisition) or (iii) the Issuer</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determines that the Acquisition will not be consummated prior to the Special Mandatory</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Redemption End Date or at all, the Issuer will be required to redeem all of the outstanding 2028</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Notes at a redemption price equal to 101% of the aggregate principal amount of the 2028 Notes to</w:t>
            </w:r>
          </w:p>
        </w:tc>
      </w:tr>
      <w:tr>
        <w:trPr>
          <w:trHeight w:val="216"/>
        </w:trPr>
        <w:tc>
          <w:tcPr>
            <w:tcW w:w="3100" w:type="dxa"/>
            <w:vAlign w:val="bottom"/>
          </w:tcPr>
          <w:p>
            <w:pPr>
              <w:spacing w:after="0"/>
              <w:rPr>
                <w:sz w:val="18"/>
                <w:szCs w:val="18"/>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be redeemed plus accrued and unpaid interest, if any, to, but excluding the Special Mandatory</w:t>
            </w:r>
          </w:p>
        </w:tc>
      </w:tr>
      <w:tr>
        <w:trPr>
          <w:trHeight w:val="234"/>
        </w:trPr>
        <w:tc>
          <w:tcPr>
            <w:tcW w:w="3100" w:type="dxa"/>
            <w:vAlign w:val="bottom"/>
          </w:tcPr>
          <w:p>
            <w:pPr>
              <w:spacing w:after="0"/>
              <w:rPr>
                <w:sz w:val="20"/>
                <w:szCs w:val="20"/>
                <w:color w:val="auto"/>
              </w:rPr>
            </w:pP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Redemption Date (as defined in the preliminary prospectus supplement)</w:t>
            </w:r>
          </w:p>
        </w:tc>
      </w:tr>
      <w:tr>
        <w:trPr>
          <w:trHeight w:val="32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32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November 9, 2026 (T+10)</w:t>
            </w:r>
          </w:p>
        </w:tc>
      </w:tr>
      <w:tr>
        <w:trPr>
          <w:trHeight w:val="32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882508 CN2 / US882508CN25</w:t>
            </w:r>
          </w:p>
        </w:tc>
      </w:tr>
      <w:tr>
        <w:trPr>
          <w:trHeight w:val="391"/>
        </w:trPr>
        <w:tc>
          <w:tcPr>
            <w:tcW w:w="3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350%</w:t>
            </w:r>
            <w:r>
              <w:rPr>
                <w:rFonts w:ascii="Times New Roman" w:cs="Times New Roman" w:eastAsia="Times New Roman" w:hAnsi="Times New Roman"/>
                <w:sz w:val="18"/>
                <w:szCs w:val="18"/>
                <w:color w:val="auto"/>
              </w:rPr>
              <w:t xml:space="preserve"> Notes due 2031</w:t>
            </w:r>
          </w:p>
        </w:tc>
      </w:tr>
      <w:tr>
        <w:trPr>
          <w:trHeight w:val="20"/>
        </w:trPr>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58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$500,000,000 (the “2031 Notes”)</w:t>
            </w:r>
          </w:p>
        </w:tc>
      </w:tr>
      <w:tr>
        <w:trPr>
          <w:trHeight w:val="32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78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November 9, 2031</w:t>
            </w:r>
          </w:p>
        </w:tc>
      </w:tr>
      <w:tr>
        <w:trPr>
          <w:trHeight w:val="364"/>
        </w:trPr>
        <w:tc>
          <w:tcPr>
            <w:tcW w:w="3100" w:type="dxa"/>
            <w:vAlign w:val="bottom"/>
          </w:tcPr>
          <w:p>
            <w:pPr>
              <w:spacing w:after="0"/>
              <w:rPr>
                <w:sz w:val="24"/>
                <w:szCs w:val="24"/>
                <w:color w:val="auto"/>
              </w:rPr>
            </w:pPr>
          </w:p>
        </w:tc>
        <w:tc>
          <w:tcPr>
            <w:tcW w:w="32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2</w:t>
            </w:r>
          </w:p>
        </w:tc>
        <w:tc>
          <w:tcPr>
            <w:tcW w:w="4620" w:type="dxa"/>
            <w:vAlign w:val="bottom"/>
          </w:tcPr>
          <w:p>
            <w:pPr>
              <w:spacing w:after="0"/>
              <w:rPr>
                <w:sz w:val="24"/>
                <w:szCs w:val="24"/>
                <w:color w:val="auto"/>
              </w:rPr>
            </w:pPr>
          </w:p>
        </w:tc>
      </w:tr>
    </w:tbl>
    <w:p>
      <w:pPr>
        <w:sectPr>
          <w:pgSz w:w="11900" w:h="16838" w:orient="portrait"/>
          <w:cols w:equalWidth="0" w:num="1">
            <w:col w:w="10980"/>
          </w:cols>
          <w:pgMar w:left="440" w:top="378"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18"/>
          <w:szCs w:val="18"/>
          <w:color w:val="auto"/>
        </w:rPr>
        <w:t>5.350%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-281940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99.779% of principal amount</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May 9 and November 9, beginning on May 9, 2027, and on the maturity date</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$497,395,000</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5.000% due September 30, 2031</w:t>
      </w:r>
    </w:p>
    <w:p>
      <w:pPr>
        <w:spacing w:after="0" w:line="117" w:lineRule="exact"/>
        <w:rPr>
          <w:sz w:val="20"/>
          <w:szCs w:val="20"/>
          <w:color w:val="auto"/>
        </w:rPr>
      </w:pPr>
    </w:p>
    <w:p>
      <w:pPr>
        <w:ind w:left="143" w:hanging="143"/>
        <w:spacing w:after="0"/>
        <w:tabs>
          <w:tab w:leader="none" w:pos="1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basis points</w:t>
      </w:r>
    </w:p>
    <w:p>
      <w:pPr>
        <w:spacing w:after="0" w:line="117"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5.401%</w:t>
      </w:r>
    </w:p>
    <w:p>
      <w:pPr>
        <w:spacing w:after="0" w:line="27"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100-24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4.821%</w:t>
      </w:r>
    </w:p>
    <w:p>
      <w:pPr>
        <w:spacing w:after="0" w:line="100" w:lineRule="exact"/>
        <w:rPr>
          <w:sz w:val="20"/>
          <w:szCs w:val="20"/>
          <w:color w:val="auto"/>
        </w:rPr>
      </w:pPr>
    </w:p>
    <w:p>
      <w:pPr>
        <w:ind w:left="3"/>
        <w:spacing w:after="0" w:line="251" w:lineRule="auto"/>
        <w:rPr>
          <w:sz w:val="20"/>
          <w:szCs w:val="20"/>
          <w:color w:val="auto"/>
        </w:rPr>
      </w:pPr>
      <w:r>
        <w:rPr>
          <w:rFonts w:ascii="Times New Roman" w:cs="Times New Roman" w:eastAsia="Times New Roman" w:hAnsi="Times New Roman"/>
          <w:sz w:val="18"/>
          <w:szCs w:val="18"/>
          <w:color w:val="auto"/>
        </w:rPr>
        <w:t>At any time before October 9, 2031 (one month before the maturity date) at the greater of: (1) (a) the sum of the present values of the remaining scheduled payments of principal and interest thereon discounted to the redemption date (assuming the Notes matured on October 9, 2031) on a semi-annual basis (assuming a 360-day year consisting of twelve 30-day months) at the Treasury Rate plus 10 basis points less (b) interest accrued to the date of redemption, and (2) 100% of the principal amount of the Notes to be redeemed, plus, in either case, accrued and unpaid interest thereon to the redemption date.</w:t>
      </w:r>
    </w:p>
    <w:p>
      <w:pPr>
        <w:spacing w:after="0" w:line="85" w:lineRule="exact"/>
        <w:rPr>
          <w:sz w:val="20"/>
          <w:szCs w:val="20"/>
          <w:color w:val="auto"/>
        </w:rPr>
      </w:pPr>
    </w:p>
    <w:p>
      <w:pPr>
        <w:ind w:left="3" w:right="380"/>
        <w:spacing w:after="0" w:line="266" w:lineRule="auto"/>
        <w:rPr>
          <w:sz w:val="20"/>
          <w:szCs w:val="20"/>
          <w:color w:val="auto"/>
        </w:rPr>
      </w:pPr>
      <w:r>
        <w:rPr>
          <w:rFonts w:ascii="Times New Roman" w:cs="Times New Roman" w:eastAsia="Times New Roman" w:hAnsi="Times New Roman"/>
          <w:sz w:val="18"/>
          <w:szCs w:val="18"/>
          <w:color w:val="auto"/>
        </w:rPr>
        <w:t>At any time on or after October 9, 2031 (one month before the maturity date) at 100% of the principal amount of notes being redeemed plus accrued and unpaid interest thereon to the redemption date.</w:t>
      </w:r>
    </w:p>
    <w:p>
      <w:pPr>
        <w:spacing w:after="0" w:line="108" w:lineRule="exact"/>
        <w:rPr>
          <w:sz w:val="20"/>
          <w:szCs w:val="20"/>
          <w:color w:val="auto"/>
        </w:rPr>
      </w:pPr>
    </w:p>
    <w:p>
      <w:pPr>
        <w:ind w:left="16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3137" w:space="720"/>
            <w:col w:w="7023"/>
          </w:cols>
          <w:pgMar w:left="440" w:top="378"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20" w:lineRule="exact"/>
        <w:rPr>
          <w:sz w:val="20"/>
          <w:szCs w:val="20"/>
          <w:color w:val="auto"/>
        </w:rPr>
      </w:pPr>
      <w:r>
        <w:rPr>
          <w:sz w:val="20"/>
          <w:szCs w:val="20"/>
          <w:color w:val="auto"/>
        </w:rPr>
        <w:br w:type="column"/>
      </w:r>
    </w:p>
    <w:p>
      <w:pPr>
        <w:ind w:left="3" w:right="80"/>
        <w:spacing w:after="0" w:line="272" w:lineRule="auto"/>
        <w:rPr>
          <w:sz w:val="20"/>
          <w:szCs w:val="20"/>
          <w:color w:val="auto"/>
        </w:rPr>
      </w:pPr>
      <w:r>
        <w:rPr>
          <w:rFonts w:ascii="Times New Roman" w:cs="Times New Roman" w:eastAsia="Times New Roman" w:hAnsi="Times New Roman"/>
          <w:sz w:val="17"/>
          <w:szCs w:val="17"/>
          <w:color w:val="auto"/>
        </w:rPr>
        <w:t>If (i) the Acquisition is not consummated on or prior to the later of (x) February 4, 2027 (or, if the “Termination Date” under the Merger Agreement is automatically extended to August 4, 2027 or February 4, 2028 in accordance with the terms of the Merger Agreement, such extended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-572770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 w:hanging="3"/>
        <w:spacing w:after="0" w:line="251"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five business days after any later date to which the parties to the Merger Agreement may agree to extend the “Termination Date” in the Merger Agreement (such later date, the “Special Mandatory Redemption End Date”), (ii) the Merger Agreement is terminated (other than in connection with the consummation of the Acquisition) or (iii) the Issuer determines that the Acquisition will not be consummated prior to the Special Mandatory Redemption End Date or at all, the Issuer will be required to redeem all of the outstanding 2031 Notes at a redemption price equal to 101% of the aggregate principal amount of the 2031 Notes to be redeemed plus accrued and unpaid interest, if any, to, but excluding the Special Mandatory Redemption Date.</w:t>
      </w:r>
    </w:p>
    <w:p>
      <w:pPr>
        <w:spacing w:after="0" w:line="8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October 26, 2026</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November 9, 2026 (T+10)</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882508 CP7 / US882508CP72</w:t>
      </w:r>
    </w:p>
    <w:p>
      <w:pPr>
        <w:spacing w:after="0" w:line="225" w:lineRule="exact"/>
        <w:rPr>
          <w:sz w:val="20"/>
          <w:szCs w:val="20"/>
          <w:color w:val="auto"/>
        </w:rPr>
      </w:pPr>
    </w:p>
    <w:p>
      <w:pPr>
        <w:ind w:left="783"/>
        <w:spacing w:after="0"/>
        <w:rPr>
          <w:sz w:val="20"/>
          <w:szCs w:val="20"/>
          <w:color w:val="auto"/>
        </w:rPr>
      </w:pPr>
      <w:r>
        <w:rPr>
          <w:rFonts w:ascii="Times New Roman" w:cs="Times New Roman" w:eastAsia="Times New Roman" w:hAnsi="Times New Roman"/>
          <w:sz w:val="18"/>
          <w:szCs w:val="18"/>
          <w:u w:val="single" w:color="auto"/>
          <w:color w:val="auto"/>
        </w:rPr>
        <w:t>5.500% Notes due 2033</w:t>
      </w:r>
    </w:p>
    <w:p>
      <w:pPr>
        <w:spacing w:after="0" w:line="2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$500,000,000 (the “2033 Notes”)</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November 9, 2033</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5.500%</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99.587% of principal amount</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May 9 and November 9, beginning on May 9, 2027, and on the maturity date</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$496,310,000</w:t>
      </w:r>
    </w:p>
    <w:p>
      <w:pPr>
        <w:spacing w:after="0" w:line="158" w:lineRule="exact"/>
        <w:rPr>
          <w:sz w:val="20"/>
          <w:szCs w:val="20"/>
          <w:color w:val="auto"/>
        </w:rPr>
      </w:pPr>
    </w:p>
    <w:p>
      <w:pPr>
        <w:ind w:left="16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3137" w:space="720"/>
            <w:col w:w="7123"/>
          </w:cols>
          <w:pgMar w:left="440" w:top="378"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5.000% due September 30,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-274955</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140" w:space="720"/>
            <w:col w:w="7120"/>
          </w:cols>
          <w:pgMar w:left="440" w:top="378"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+ 68 basis points</w:t>
      </w:r>
    </w:p>
    <w:p>
      <w:pPr>
        <w:spacing w:after="0" w:line="117" w:lineRule="exact"/>
        <w:rPr>
          <w:sz w:val="20"/>
          <w:szCs w:val="20"/>
          <w:color w:val="auto"/>
        </w:rPr>
      </w:pPr>
    </w:p>
    <w:p>
      <w:pPr>
        <w:sectPr>
          <w:pgSz w:w="11900" w:h="16838" w:orient="portrait"/>
          <w:cols w:equalWidth="0" w:num="2">
            <w:col w:w="3140" w:space="720"/>
            <w:col w:w="7120"/>
          </w:cols>
          <w:pgMar w:left="44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5.572%</w:t>
      </w:r>
    </w:p>
    <w:p>
      <w:pPr>
        <w:spacing w:after="0" w:line="117" w:lineRule="exact"/>
        <w:rPr>
          <w:sz w:val="20"/>
          <w:szCs w:val="20"/>
          <w:color w:val="auto"/>
        </w:rPr>
      </w:pPr>
    </w:p>
    <w:p>
      <w:pPr>
        <w:sectPr>
          <w:pgSz w:w="11900" w:h="16838" w:orient="portrait"/>
          <w:cols w:equalWidth="0" w:num="2">
            <w:col w:w="3140" w:space="720"/>
            <w:col w:w="7120"/>
          </w:cols>
          <w:pgMar w:left="44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100-20; 4.892%</w:t>
      </w:r>
    </w:p>
    <w:p>
      <w:pPr>
        <w:spacing w:after="0" w:line="129" w:lineRule="exact"/>
        <w:rPr>
          <w:sz w:val="20"/>
          <w:szCs w:val="20"/>
          <w:color w:val="auto"/>
        </w:rPr>
      </w:pPr>
    </w:p>
    <w:p>
      <w:pPr>
        <w:sectPr>
          <w:pgSz w:w="11900" w:h="16838" w:orient="portrait"/>
          <w:cols w:equalWidth="0" w:num="2">
            <w:col w:w="3140" w:space="720"/>
            <w:col w:w="7120"/>
          </w:cols>
          <w:pgMar w:left="44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Make-Whole Call:</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At any time before September 9, 2033 (two months before the maturity date) at the greater of: (1) (a) the sum of the present values of the remaining scheduled payments of principal and interest thereon discounted to the redemption date (assuming the Notes matured on September 9, 2033) on a semi-annual basis (assuming a 360-day year consisting of twelve 30-day months) at the Treasury Rate plus 15 basis points less (b) interest accrued to the date of redemption, and (2) 100% of the principal amount of the Notes to be redeemed, plus, in either case, accrued and unpaid interest thereon to the redemption date.</w:t>
      </w:r>
    </w:p>
    <w:p>
      <w:pPr>
        <w:spacing w:after="0" w:line="81" w:lineRule="exact"/>
        <w:rPr>
          <w:sz w:val="20"/>
          <w:szCs w:val="20"/>
          <w:color w:val="auto"/>
        </w:rPr>
      </w:pPr>
    </w:p>
    <w:p>
      <w:pPr>
        <w:sectPr>
          <w:pgSz w:w="11900" w:h="16838" w:orient="portrait"/>
          <w:cols w:equalWidth="0" w:num="2">
            <w:col w:w="3140" w:space="720"/>
            <w:col w:w="7120"/>
          </w:cols>
          <w:pgMar w:left="44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ind w:right="200"/>
        <w:spacing w:after="0" w:line="266" w:lineRule="auto"/>
        <w:rPr>
          <w:sz w:val="20"/>
          <w:szCs w:val="20"/>
          <w:color w:val="auto"/>
        </w:rPr>
      </w:pPr>
      <w:r>
        <w:rPr>
          <w:rFonts w:ascii="Times New Roman" w:cs="Times New Roman" w:eastAsia="Times New Roman" w:hAnsi="Times New Roman"/>
          <w:sz w:val="18"/>
          <w:szCs w:val="18"/>
          <w:color w:val="auto"/>
        </w:rPr>
        <w:t>At any time on or after September 9, 2033 (two months before the maturity date) at 100% of the principal amount of notes being redeemed plus accrued and unpaid interest thereon to the redemption date.</w:t>
      </w:r>
    </w:p>
    <w:p>
      <w:pPr>
        <w:spacing w:after="0" w:line="68" w:lineRule="exact"/>
        <w:rPr>
          <w:sz w:val="20"/>
          <w:szCs w:val="20"/>
          <w:color w:val="auto"/>
        </w:rPr>
      </w:pPr>
    </w:p>
    <w:p>
      <w:pPr>
        <w:sectPr>
          <w:pgSz w:w="11900" w:h="16838" w:orient="portrait"/>
          <w:cols w:equalWidth="0" w:num="2">
            <w:col w:w="3140" w:space="720"/>
            <w:col w:w="7120"/>
          </w:cols>
          <w:pgMar w:left="44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Special Mandatory Redemption:</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If (i) the Acquisition is not consummated on or prior to the later of (x) February 4, 2027 (or, if the “Termination Date” under the Merger Agreement is automatically extended to August 4, 2027 or February 4, 2028 in accordance with the terms of the Merger Agreement, such extended date) and (y) the date that is five business days after any later date to which the parties to the Merger Agreement may agree to extend the “Termination Date” in the Merger Agreement (such later date, the “Special Mandatory Redemption End Date”), (ii) the Merger Agreement is terminated (other than in connection with the consummation of the Acquisition) or (iii) the Issuer determines that the Acquisition will not be consummated prior to the Special Mandatory Redemption End Date or at all, the Issuer will be required to redeem all of the outstanding 2033 Notes at a redemption price equal to 101% of the aggregate principal amount of the 2033 Notes to be redeemed plus accrued and unpaid interest, if any, to, but excluding the Special Mandatory Redemption Date.</w:t>
      </w:r>
    </w:p>
    <w:p>
      <w:pPr>
        <w:spacing w:after="0" w:line="124" w:lineRule="exact"/>
        <w:rPr>
          <w:sz w:val="20"/>
          <w:szCs w:val="20"/>
          <w:color w:val="auto"/>
        </w:rPr>
      </w:pPr>
    </w:p>
    <w:p>
      <w:pPr>
        <w:sectPr>
          <w:pgSz w:w="11900" w:h="16838" w:orient="portrait"/>
          <w:cols w:equalWidth="0" w:num="2">
            <w:col w:w="3140" w:space="720"/>
            <w:col w:w="7120"/>
          </w:cols>
          <w:pgMar w:left="440" w:top="378"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80"/>
          </w:cols>
          <w:pgMar w:left="440" w:top="378" w:right="4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November 9, 2026 (T+10)</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882508 CQ5 / US882508CQ55</w:t>
            </w:r>
          </w:p>
        </w:tc>
      </w:tr>
      <w:tr>
        <w:trPr>
          <w:trHeight w:val="391"/>
        </w:trPr>
        <w:tc>
          <w:tcPr>
            <w:tcW w:w="3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750%</w:t>
            </w:r>
            <w:r>
              <w:rPr>
                <w:rFonts w:ascii="Times New Roman" w:cs="Times New Roman" w:eastAsia="Times New Roman" w:hAnsi="Times New Roman"/>
                <w:sz w:val="18"/>
                <w:szCs w:val="18"/>
                <w:color w:val="auto"/>
              </w:rPr>
              <w:t xml:space="preserve"> Notes due 2036</w:t>
            </w:r>
          </w:p>
        </w:tc>
      </w:tr>
      <w:tr>
        <w:trPr>
          <w:trHeight w:val="20"/>
        </w:trPr>
        <w:tc>
          <w:tcPr>
            <w:tcW w:w="3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8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$500,000,000 (the “2036 Notes”)</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November 9, 2036</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5.750%</w:t>
            </w:r>
          </w:p>
        </w:tc>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99.910% of principal amount</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May 9 and November 9, beginning on May 9, 2027, and on the maturity date</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Day Count Convention:</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30/360</w:t>
            </w:r>
          </w:p>
        </w:tc>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TI:</w:t>
            </w:r>
          </w:p>
        </w:tc>
        <w:tc>
          <w:tcPr>
            <w:tcW w:w="3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$497,800,000</w:t>
            </w:r>
          </w:p>
        </w:tc>
        <w:tc>
          <w:tcPr>
            <w:tcW w:w="304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4.625% due August 15, 2036</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61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+ 78 basis points</w:t>
            </w: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5.762%</w:t>
            </w:r>
          </w:p>
        </w:tc>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3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97-08; 4.982%</w:t>
            </w:r>
          </w:p>
        </w:tc>
        <w:tc>
          <w:tcPr>
            <w:tcW w:w="3040" w:type="dxa"/>
            <w:vAlign w:val="bottom"/>
          </w:tcPr>
          <w:p>
            <w:pPr>
              <w:spacing w:after="0"/>
              <w:rPr>
                <w:sz w:val="24"/>
                <w:szCs w:val="24"/>
                <w:color w:val="auto"/>
              </w:rPr>
            </w:pPr>
          </w:p>
        </w:tc>
      </w:tr>
      <w:tr>
        <w:trPr>
          <w:trHeight w:val="364"/>
        </w:trPr>
        <w:tc>
          <w:tcPr>
            <w:tcW w:w="3280" w:type="dxa"/>
            <w:vAlign w:val="bottom"/>
          </w:tcPr>
          <w:p>
            <w:pPr>
              <w:spacing w:after="0"/>
              <w:rPr>
                <w:sz w:val="24"/>
                <w:szCs w:val="24"/>
                <w:color w:val="auto"/>
              </w:rPr>
            </w:pPr>
          </w:p>
        </w:tc>
        <w:tc>
          <w:tcPr>
            <w:tcW w:w="30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6</w:t>
            </w:r>
          </w:p>
        </w:tc>
        <w:tc>
          <w:tcPr>
            <w:tcW w:w="3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378"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Make-Whole Call:</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At any time before August 9, 2036 (three months before the maturity date) at the greater of: (1) (a) the sum of the present values of the remaining scheduled payments of principal and interest thereon discounted to the redemption date (assuming the Notes matured on August 9, 2036) on a semi-annual basis (assuming a 360-day year consisting of twelve 30-day months) at the Treasury Rate plus 15 basis points less (b) interest accrued to the date of redemption, and (2) 100% of the principal amount of the Notes to be redeemed, 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-1128395</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140" w:space="720"/>
            <w:col w:w="7120"/>
          </w:cols>
          <w:pgMar w:left="440" w:top="378"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ind w:right="360"/>
        <w:spacing w:after="0" w:line="266" w:lineRule="auto"/>
        <w:rPr>
          <w:sz w:val="20"/>
          <w:szCs w:val="20"/>
          <w:color w:val="auto"/>
        </w:rPr>
      </w:pPr>
      <w:r>
        <w:rPr>
          <w:rFonts w:ascii="Times New Roman" w:cs="Times New Roman" w:eastAsia="Times New Roman" w:hAnsi="Times New Roman"/>
          <w:sz w:val="18"/>
          <w:szCs w:val="18"/>
          <w:color w:val="auto"/>
        </w:rPr>
        <w:t>At any time on or after August 9, 2036 (three months before the maturity date) at 100% of the principal amount of notes being redeemed plus accrued and unpaid interest thereon to the redemption date.</w:t>
      </w:r>
    </w:p>
    <w:p>
      <w:pPr>
        <w:spacing w:after="0" w:line="68" w:lineRule="exact"/>
        <w:rPr>
          <w:sz w:val="20"/>
          <w:szCs w:val="20"/>
          <w:color w:val="auto"/>
        </w:rPr>
      </w:pPr>
    </w:p>
    <w:p>
      <w:pPr>
        <w:sectPr>
          <w:pgSz w:w="11900" w:h="16838" w:orient="portrait"/>
          <w:cols w:equalWidth="0" w:num="2">
            <w:col w:w="3140" w:space="720"/>
            <w:col w:w="7120"/>
          </w:cols>
          <w:pgMar w:left="44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Special Mandatory Redemption:</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If (i) the Acquisition is not consummated on or prior to the later of (x) February 4, 2027 (or, if the “Termination Date” under the Merger Agreement is automatically extended to August 4, 2027 or February 4, 2028 in accordance with the terms of the Merger Agreement, such extended date) and (y) the date that is five business days after any later date to which the parties to the Merger Agreement may agree to extend the “Termination Date” in the Merger Agreement (such later date, the “Special Mandatory Redemption End Date”), (ii) the Merger Agreement is terminated (other than in connection with the consummation of the Acquisition) or (iii) the Issuer determines that the Acquisition will not be consummated prior to the Special Mandatory Redemption End Date or at all, the Issuer will be required to redeem all of the outstanding 2036 Notes at a redemption price equal to 101% of the aggregate principal amount of the 2036 Notes to be redeemed plus accrued and unpaid interest, if any, to, but excluding the Special Mandatory Redemption Date.</w:t>
      </w:r>
    </w:p>
    <w:p>
      <w:pPr>
        <w:spacing w:after="0" w:line="124" w:lineRule="exact"/>
        <w:rPr>
          <w:sz w:val="20"/>
          <w:szCs w:val="20"/>
          <w:color w:val="auto"/>
        </w:rPr>
      </w:pPr>
    </w:p>
    <w:p>
      <w:pPr>
        <w:sectPr>
          <w:pgSz w:w="11900" w:h="16838" w:orient="portrait"/>
          <w:cols w:equalWidth="0" w:num="2">
            <w:col w:w="3140" w:space="720"/>
            <w:col w:w="7120"/>
          </w:cols>
          <w:pgMar w:left="440" w:top="378"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980"/>
          </w:cols>
          <w:pgMar w:left="440" w:top="378" w:right="479" w:bottom="1440" w:gutter="0" w:footer="0" w:header="0"/>
          <w:type w:val="continuous"/>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November 9, 2026 (T+10)</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w w:val="99"/>
              </w:rPr>
              <w:t>$2,000 and multiples of $1,000 thereafter</w:t>
            </w:r>
          </w:p>
        </w:tc>
      </w:tr>
      <w:tr>
        <w:trPr>
          <w:trHeight w:val="32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882508 CR3 / US882508CR39</w:t>
            </w:r>
          </w:p>
        </w:tc>
      </w:tr>
      <w:tr>
        <w:trPr>
          <w:trHeight w:val="392"/>
        </w:trPr>
        <w:tc>
          <w:tcPr>
            <w:tcW w:w="3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3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6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Moody’s: Aa3 (stable outlook)</w:t>
            </w:r>
          </w:p>
        </w:tc>
      </w:tr>
      <w:tr>
        <w:trPr>
          <w:trHeight w:val="234"/>
        </w:trPr>
        <w:tc>
          <w:tcPr>
            <w:tcW w:w="3060" w:type="dxa"/>
            <w:vAlign w:val="bottom"/>
          </w:tcPr>
          <w:p>
            <w:pPr>
              <w:spacing w:after="0"/>
              <w:rPr>
                <w:sz w:val="20"/>
                <w:szCs w:val="20"/>
                <w:color w:val="auto"/>
              </w:rPr>
            </w:pP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S&amp;P: A+ (stable outlook)</w:t>
            </w:r>
          </w:p>
        </w:tc>
      </w:tr>
      <w:tr>
        <w:trPr>
          <w:trHeight w:val="31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060" w:type="dxa"/>
            <w:vAlign w:val="bottom"/>
          </w:tcPr>
          <w:p>
            <w:pPr>
              <w:spacing w:after="0"/>
              <w:rPr>
                <w:sz w:val="18"/>
                <w:szCs w:val="18"/>
                <w:color w:val="auto"/>
              </w:rPr>
            </w:pP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060" w:type="dxa"/>
            <w:vAlign w:val="bottom"/>
          </w:tcPr>
          <w:p>
            <w:pPr>
              <w:spacing w:after="0"/>
              <w:rPr>
                <w:sz w:val="18"/>
                <w:szCs w:val="18"/>
                <w:color w:val="auto"/>
              </w:rPr>
            </w:pP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060" w:type="dxa"/>
            <w:vAlign w:val="bottom"/>
          </w:tcPr>
          <w:p>
            <w:pPr>
              <w:spacing w:after="0"/>
              <w:rPr>
                <w:sz w:val="18"/>
                <w:szCs w:val="18"/>
                <w:color w:val="auto"/>
              </w:rPr>
            </w:pP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3060" w:type="dxa"/>
            <w:vAlign w:val="bottom"/>
          </w:tcPr>
          <w:p>
            <w:pPr>
              <w:spacing w:after="0"/>
              <w:rPr>
                <w:sz w:val="18"/>
                <w:szCs w:val="18"/>
                <w:color w:val="auto"/>
              </w:rPr>
            </w:pP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3060" w:type="dxa"/>
            <w:vAlign w:val="bottom"/>
          </w:tcPr>
          <w:p>
            <w:pPr>
              <w:spacing w:after="0"/>
              <w:rPr>
                <w:sz w:val="18"/>
                <w:szCs w:val="18"/>
                <w:color w:val="auto"/>
              </w:rPr>
            </w:pP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3060" w:type="dxa"/>
            <w:vAlign w:val="bottom"/>
          </w:tcPr>
          <w:p>
            <w:pPr>
              <w:spacing w:after="0"/>
              <w:rPr>
                <w:sz w:val="18"/>
                <w:szCs w:val="18"/>
                <w:color w:val="auto"/>
              </w:rPr>
            </w:pP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34"/>
        </w:trPr>
        <w:tc>
          <w:tcPr>
            <w:tcW w:w="3060" w:type="dxa"/>
            <w:vAlign w:val="bottom"/>
          </w:tcPr>
          <w:p>
            <w:pPr>
              <w:spacing w:after="0"/>
              <w:rPr>
                <w:sz w:val="20"/>
                <w:szCs w:val="20"/>
                <w:color w:val="auto"/>
              </w:rPr>
            </w:pP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33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Co-Manager:</w:t>
            </w:r>
          </w:p>
        </w:tc>
        <w:tc>
          <w:tcPr>
            <w:tcW w:w="37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Goldman Sachs &amp; Co. LLC</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2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November 9, 2026, which is the tenth business day following the date hereof (such settlement cycle being referred to as “T+10”).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immediately before the delivery of the notes will be required, by virtue of the fact that the notes initially will settle in T+10, to specify an alternative settlement cycle at the time of any such trade to prevent failed settlement. Purchasers of the notes who wish to trade the notes prior to the business day immediately before the delivery of the notes should consult their own advisors.</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378" w:right="49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1-212-834-4533 (collect), Citigroup Global Markets Inc. at 1-800-831-9146 (toll-free), BofA Securities, Inc. at 1-800-294-1322 (toll-free) or U.S. Bancorp Investments, Inc. at 1-877-558-2607 (toll-free).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2026-10-26T16:21:15Z</dcterms:created>
  <dcterms:modified xsi:type="dcterms:W3CDTF">2026-10-26T16:21:15Z</dcterms:modified>
</cp:coreProperties>
</file>