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333-209678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5"/>
              <w:spacing w:after="0" w:line="116" w:lineRule="exact"/>
              <w:rPr>
                <w:sz w:val="20"/>
                <w:szCs w:val="20"/>
                <w:color w:val="auto"/>
              </w:rPr>
            </w:pPr>
            <w:r>
              <w:rPr>
                <w:rFonts w:ascii="Arial" w:cs="Arial" w:eastAsia="Arial" w:hAnsi="Arial"/>
                <w:sz w:val="13"/>
                <w:szCs w:val="13"/>
                <w:b w:val="1"/>
                <w:bCs w:val="1"/>
                <w:color w:val="auto"/>
                <w:w w:val="96"/>
              </w:rPr>
              <w:t>Proposed</w:t>
            </w:r>
          </w:p>
        </w:tc>
        <w:tc>
          <w:tcPr>
            <w:tcW w:w="1600" w:type="dxa"/>
            <w:vAlign w:val="bottom"/>
            <w:tcBorders>
              <w:right w:val="single" w:sz="8" w:color="auto"/>
            </w:tcBorders>
          </w:tcPr>
          <w:p>
            <w:pPr>
              <w:jc w:val="center"/>
              <w:ind w:left="23"/>
              <w:spacing w:after="0" w:line="116" w:lineRule="exact"/>
              <w:rPr>
                <w:sz w:val="20"/>
                <w:szCs w:val="20"/>
                <w:color w:val="auto"/>
              </w:rPr>
            </w:pPr>
            <w:r>
              <w:rPr>
                <w:rFonts w:ascii="Arial" w:cs="Arial" w:eastAsia="Arial" w:hAnsi="Arial"/>
                <w:sz w:val="13"/>
                <w:szCs w:val="13"/>
                <w:b w:val="1"/>
                <w:bCs w:val="1"/>
                <w:color w:val="auto"/>
                <w:w w:val="96"/>
              </w:rPr>
              <w:t>Proposed</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rPr>
              <w:t>Max</w:t>
            </w:r>
          </w:p>
        </w:tc>
        <w:tc>
          <w:tcPr>
            <w:tcW w:w="1600" w:type="dxa"/>
            <w:vAlign w:val="bottom"/>
            <w:tcBorders>
              <w:right w:val="single" w:sz="8" w:color="auto"/>
            </w:tcBorders>
          </w:tcPr>
          <w:p>
            <w:pPr>
              <w:jc w:val="center"/>
              <w:ind w:left="3"/>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3"/>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6"/>
              </w:rPr>
              <w:t>Per Unit</w:t>
            </w:r>
          </w:p>
        </w:tc>
        <w:tc>
          <w:tcPr>
            <w:tcW w:w="160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4.150% Notes due 2048</w:t>
            </w:r>
          </w:p>
        </w:tc>
        <w:tc>
          <w:tcPr>
            <w:tcW w:w="16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0"/>
              </w:rPr>
              <w:t>$200,000,000</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8"/>
                <w:szCs w:val="18"/>
                <w:color w:val="auto"/>
                <w:w w:val="91"/>
              </w:rPr>
              <w:t>103.052%</w:t>
            </w:r>
          </w:p>
        </w:tc>
        <w:tc>
          <w:tcPr>
            <w:tcW w:w="160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8"/>
                <w:szCs w:val="18"/>
                <w:color w:val="auto"/>
                <w:w w:val="90"/>
              </w:rPr>
              <w:t>$206,104,000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$25,659.95</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0"/>
              </w:rPr>
              <w:t>$200,000,000</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8"/>
                <w:szCs w:val="18"/>
                <w:color w:val="auto"/>
                <w:w w:val="90"/>
              </w:rPr>
              <w:t>$206,104,000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$25,659.95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160020</wp:posOffset>
            </wp:positionV>
            <wp:extent cx="28644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$200,000,000 4.150% Notes due 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186055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Texas Instruments Incorporated is offering $200,000,000 aggregate principal amount of its 4.150% Notes due 2048 (the “Notes”), which will bear interest at the rate per year as set forth above. The Notes will be a further issuance of, and will form a single series with, the $1.3 billion aggregate principal amount of 4.150% Notes due 2048 issued on May 7, 2018 (the “Existing Notes”). Upon completion of this offering, we will have $1.5 billion aggregate principal amount of outstanding 4.150% Notes due 2048. The Notes offered hereby will have the same terms (other than issue date and price to public) and will vote together as a single class, with the same CUSIP number as, and be fungible with, the Existing Notes. Interest on the Notes will be payable semi-annually in arrears on May 15 and November 15 of each year, beginning on November 15, 2018.</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mature on May 15, 2048.</w:t>
      </w:r>
    </w:p>
    <w:p>
      <w:pPr>
        <w:spacing w:after="0" w:line="144"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03"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142875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40"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173990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88" w:lineRule="exact"/>
        <w:rPr>
          <w:sz w:val="20"/>
          <w:szCs w:val="20"/>
          <w:color w:val="auto"/>
        </w:rPr>
      </w:pPr>
    </w:p>
    <w:p>
      <w:pPr>
        <w:jc w:val="center"/>
        <w:ind w:right="320"/>
        <w:spacing w:after="0" w:line="34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113665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w:t>
            </w:r>
          </w:p>
        </w:tc>
        <w:tc>
          <w:tcPr>
            <w:tcW w:w="100" w:type="dxa"/>
            <w:vAlign w:val="bottom"/>
          </w:tcPr>
          <w:p>
            <w:pPr>
              <w:spacing w:after="0"/>
              <w:rPr>
                <w:sz w:val="14"/>
                <w:szCs w:val="14"/>
                <w:color w:val="auto"/>
              </w:rPr>
            </w:pPr>
          </w:p>
        </w:tc>
        <w:tc>
          <w:tcPr>
            <w:tcW w:w="9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Note</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r>
              <w:rPr>
                <w:rFonts w:ascii="Arial" w:cs="Arial" w:eastAsia="Arial" w:hAnsi="Arial"/>
                <w:sz w:val="15"/>
                <w:szCs w:val="15"/>
                <w:color w:val="auto"/>
              </w:rPr>
              <w:t>(1)</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103.052%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206,104,000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Underwriting discount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0.750%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102.302%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204,604,000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from May 7, 2018.</w:t>
      </w:r>
    </w:p>
    <w:p>
      <w:pPr>
        <w:spacing w:after="0" w:line="14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Interest on the Notes will accrue from May 7, 2018 to the date of delivery.</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underwriters expect to deliver the Notes to purchasers only in book-entry form through the facilities of The Depository Trust Company and its participants, including Euroclear Bank S.A./N.V. and Clearstream Banking, S.A., on or about June 8, 2018, which is the fifth business day following the date of this prospectus supplement.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149860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800" w:type="dxa"/>
            <w:vAlign w:val="bottom"/>
          </w:tcPr>
          <w:p>
            <w:pPr>
              <w:spacing w:after="0"/>
              <w:rPr>
                <w:sz w:val="23"/>
                <w:szCs w:val="23"/>
                <w:color w:val="auto"/>
              </w:rPr>
            </w:pPr>
          </w:p>
        </w:tc>
        <w:tc>
          <w:tcPr>
            <w:tcW w:w="5600" w:type="dxa"/>
            <w:vAlign w:val="bottom"/>
          </w:tcPr>
          <w:p>
            <w:pPr>
              <w:jc w:val="center"/>
              <w:ind w:left="2101"/>
              <w:spacing w:after="0"/>
              <w:rPr>
                <w:sz w:val="20"/>
                <w:szCs w:val="20"/>
                <w:color w:val="auto"/>
              </w:rPr>
            </w:pPr>
            <w:r>
              <w:rPr>
                <w:rFonts w:ascii="Arial" w:cs="Arial" w:eastAsia="Arial" w:hAnsi="Arial"/>
                <w:sz w:val="22"/>
                <w:szCs w:val="22"/>
                <w:i w:val="1"/>
                <w:iCs w:val="1"/>
                <w:color w:val="auto"/>
                <w:w w:val="89"/>
              </w:rPr>
              <w:t>Joint Book-Running Managers</w:t>
            </w:r>
          </w:p>
        </w:tc>
        <w:tc>
          <w:tcPr>
            <w:tcW w:w="18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1"/>
        </w:trPr>
        <w:tc>
          <w:tcPr>
            <w:tcW w:w="1800" w:type="dxa"/>
            <w:vAlign w:val="bottom"/>
          </w:tcPr>
          <w:p>
            <w:pPr>
              <w:spacing w:after="0"/>
              <w:rPr>
                <w:sz w:val="20"/>
                <w:szCs w:val="20"/>
                <w:color w:val="auto"/>
              </w:rPr>
            </w:pPr>
            <w:r>
              <w:rPr>
                <w:rFonts w:ascii="Arial" w:cs="Arial" w:eastAsia="Arial" w:hAnsi="Arial"/>
                <w:sz w:val="29"/>
                <w:szCs w:val="29"/>
                <w:b w:val="1"/>
                <w:bCs w:val="1"/>
                <w:color w:val="auto"/>
              </w:rPr>
              <w:t>Citigroup</w:t>
            </w:r>
          </w:p>
        </w:tc>
        <w:tc>
          <w:tcPr>
            <w:tcW w:w="5600" w:type="dxa"/>
            <w:vAlign w:val="bottom"/>
          </w:tcPr>
          <w:p>
            <w:pPr>
              <w:ind w:left="2980"/>
              <w:spacing w:after="0"/>
              <w:rPr>
                <w:sz w:val="20"/>
                <w:szCs w:val="20"/>
                <w:color w:val="auto"/>
              </w:rPr>
            </w:pPr>
            <w:r>
              <w:rPr>
                <w:rFonts w:ascii="Arial" w:cs="Arial" w:eastAsia="Arial" w:hAnsi="Arial"/>
                <w:sz w:val="29"/>
                <w:szCs w:val="29"/>
                <w:b w:val="1"/>
                <w:bCs w:val="1"/>
                <w:color w:val="auto"/>
              </w:rPr>
              <w:t>Mizuho Securities</w:t>
            </w:r>
          </w:p>
        </w:tc>
        <w:tc>
          <w:tcPr>
            <w:tcW w:w="18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9"/>
                <w:szCs w:val="29"/>
                <w:b w:val="1"/>
                <w:bCs w:val="1"/>
                <w:color w:val="auto"/>
                <w:w w:val="99"/>
              </w:rPr>
              <w:t>Morgan Stanley</w:t>
            </w:r>
          </w:p>
        </w:tc>
        <w:tc>
          <w:tcPr>
            <w:tcW w:w="0" w:type="dxa"/>
            <w:vAlign w:val="bottom"/>
          </w:tcPr>
          <w:p>
            <w:pPr>
              <w:spacing w:after="0"/>
              <w:rPr>
                <w:sz w:val="1"/>
                <w:szCs w:val="1"/>
                <w:color w:val="auto"/>
              </w:rPr>
            </w:pPr>
          </w:p>
        </w:tc>
      </w:tr>
      <w:tr>
        <w:trPr>
          <w:trHeight w:val="449"/>
        </w:trPr>
        <w:tc>
          <w:tcPr>
            <w:tcW w:w="180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5600" w:type="dxa"/>
            <w:vAlign w:val="bottom"/>
          </w:tcPr>
          <w:p>
            <w:pPr>
              <w:ind w:left="1660"/>
              <w:spacing w:after="0"/>
              <w:rPr>
                <w:sz w:val="20"/>
                <w:szCs w:val="20"/>
                <w:color w:val="auto"/>
              </w:rPr>
            </w:pPr>
            <w:r>
              <w:rPr>
                <w:rFonts w:ascii="Arial" w:cs="Arial" w:eastAsia="Arial" w:hAnsi="Arial"/>
                <w:sz w:val="25"/>
                <w:szCs w:val="25"/>
                <w:b w:val="1"/>
                <w:bCs w:val="1"/>
                <w:color w:val="auto"/>
              </w:rPr>
              <w:t>BofA Merrill Lynch</w:t>
            </w:r>
          </w:p>
        </w:tc>
        <w:tc>
          <w:tcPr>
            <w:tcW w:w="1860" w:type="dxa"/>
            <w:vAlign w:val="bottom"/>
          </w:tcPr>
          <w:p>
            <w:pPr>
              <w:ind w:left="360"/>
              <w:spacing w:after="0"/>
              <w:rPr>
                <w:sz w:val="20"/>
                <w:szCs w:val="20"/>
                <w:color w:val="auto"/>
              </w:rPr>
            </w:pPr>
            <w:r>
              <w:rPr>
                <w:rFonts w:ascii="Arial" w:cs="Arial" w:eastAsia="Arial" w:hAnsi="Arial"/>
                <w:sz w:val="25"/>
                <w:szCs w:val="25"/>
                <w:b w:val="1"/>
                <w:bCs w:val="1"/>
                <w:color w:val="auto"/>
              </w:rPr>
              <w:t>J.P. Morgan</w:t>
            </w:r>
          </w:p>
        </w:tc>
        <w:tc>
          <w:tcPr>
            <w:tcW w:w="2160" w:type="dxa"/>
            <w:vAlign w:val="bottom"/>
          </w:tcPr>
          <w:p>
            <w:pPr>
              <w:jc w:val="right"/>
              <w:spacing w:after="0"/>
              <w:rPr>
                <w:sz w:val="20"/>
                <w:szCs w:val="20"/>
                <w:color w:val="auto"/>
              </w:rPr>
            </w:pPr>
            <w:r>
              <w:rPr>
                <w:rFonts w:ascii="Arial" w:cs="Arial" w:eastAsia="Arial" w:hAnsi="Arial"/>
                <w:sz w:val="25"/>
                <w:szCs w:val="25"/>
                <w:b w:val="1"/>
                <w:bCs w:val="1"/>
                <w:color w:val="auto"/>
              </w:rPr>
              <w:t>MUFG</w:t>
            </w:r>
          </w:p>
        </w:tc>
        <w:tc>
          <w:tcPr>
            <w:tcW w:w="0" w:type="dxa"/>
            <w:vAlign w:val="bottom"/>
          </w:tcPr>
          <w:p>
            <w:pPr>
              <w:spacing w:after="0"/>
              <w:rPr>
                <w:sz w:val="1"/>
                <w:szCs w:val="1"/>
                <w:color w:val="auto"/>
              </w:rPr>
            </w:pPr>
          </w:p>
        </w:tc>
      </w:tr>
      <w:tr>
        <w:trPr>
          <w:trHeight w:val="380"/>
        </w:trPr>
        <w:tc>
          <w:tcPr>
            <w:tcW w:w="1800" w:type="dxa"/>
            <w:vAlign w:val="bottom"/>
          </w:tcPr>
          <w:p>
            <w:pPr>
              <w:spacing w:after="0"/>
              <w:rPr>
                <w:sz w:val="24"/>
                <w:szCs w:val="24"/>
                <w:color w:val="auto"/>
              </w:rPr>
            </w:pPr>
          </w:p>
        </w:tc>
        <w:tc>
          <w:tcPr>
            <w:tcW w:w="5600" w:type="dxa"/>
            <w:vAlign w:val="bottom"/>
          </w:tcPr>
          <w:p>
            <w:pPr>
              <w:jc w:val="center"/>
              <w:ind w:left="2121"/>
              <w:spacing w:after="0"/>
              <w:rPr>
                <w:sz w:val="20"/>
                <w:szCs w:val="20"/>
                <w:color w:val="auto"/>
              </w:rPr>
            </w:pPr>
            <w:r>
              <w:rPr>
                <w:rFonts w:ascii="Arial" w:cs="Arial" w:eastAsia="Arial" w:hAnsi="Arial"/>
                <w:sz w:val="22"/>
                <w:szCs w:val="22"/>
                <w:i w:val="1"/>
                <w:iCs w:val="1"/>
                <w:color w:val="auto"/>
                <w:w w:val="90"/>
              </w:rPr>
              <w:t>Co-Managers</w:t>
            </w: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800" w:type="dxa"/>
            <w:vAlign w:val="bottom"/>
          </w:tcPr>
          <w:p>
            <w:pPr>
              <w:spacing w:after="0"/>
              <w:rPr>
                <w:sz w:val="20"/>
                <w:szCs w:val="20"/>
                <w:color w:val="auto"/>
              </w:rPr>
            </w:pPr>
            <w:r>
              <w:rPr>
                <w:rFonts w:ascii="Arial" w:cs="Arial" w:eastAsia="Arial" w:hAnsi="Arial"/>
                <w:sz w:val="22"/>
                <w:szCs w:val="22"/>
                <w:b w:val="1"/>
                <w:bCs w:val="1"/>
                <w:color w:val="auto"/>
              </w:rPr>
              <w:t>US Bancorp</w:t>
            </w:r>
          </w:p>
        </w:tc>
        <w:tc>
          <w:tcPr>
            <w:tcW w:w="5600" w:type="dxa"/>
            <w:vAlign w:val="bottom"/>
            <w:vMerge w:val="restart"/>
          </w:tcPr>
          <w:p>
            <w:pPr>
              <w:ind w:left="600"/>
              <w:spacing w:after="0"/>
              <w:rPr>
                <w:sz w:val="20"/>
                <w:szCs w:val="20"/>
                <w:color w:val="auto"/>
              </w:rPr>
            </w:pPr>
            <w:r>
              <w:rPr>
                <w:rFonts w:ascii="Arial" w:cs="Arial" w:eastAsia="Arial" w:hAnsi="Arial"/>
                <w:sz w:val="22"/>
                <w:szCs w:val="22"/>
                <w:b w:val="1"/>
                <w:bCs w:val="1"/>
                <w:color w:val="auto"/>
              </w:rPr>
              <w:t>The Williams Capital Group, L.P.</w:t>
            </w: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7200"/>
        <w:spacing w:after="0" w:line="230" w:lineRule="auto"/>
        <w:rPr>
          <w:sz w:val="20"/>
          <w:szCs w:val="20"/>
          <w:color w:val="auto"/>
        </w:rPr>
      </w:pPr>
      <w:r>
        <w:rPr>
          <w:rFonts w:ascii="Arial" w:cs="Arial" w:eastAsia="Arial" w:hAnsi="Arial"/>
          <w:sz w:val="22"/>
          <w:szCs w:val="22"/>
          <w:b w:val="1"/>
          <w:bCs w:val="1"/>
          <w:color w:val="auto"/>
        </w:rPr>
        <w:t>BNP PARIBAS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64770</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June 1, 2018</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216535</wp:posOffset>
            </wp:positionV>
            <wp:extent cx="1089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40" w:type="dxa"/>
            <w:vAlign w:val="bottom"/>
            <w:gridSpan w:val="5"/>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
            <w:vMerge w:val="restart"/>
          </w:tcPr>
          <w:p>
            <w:pPr>
              <w:jc w:val="center"/>
              <w:ind w:right="3120"/>
              <w:spacing w:after="0"/>
              <w:rPr>
                <w:sz w:val="20"/>
                <w:szCs w:val="20"/>
                <w:color w:val="auto"/>
              </w:rPr>
            </w:pPr>
            <w:r>
              <w:rPr>
                <w:rFonts w:ascii="Arial" w:cs="Arial" w:eastAsia="Arial" w:hAnsi="Arial"/>
                <w:sz w:val="18"/>
                <w:szCs w:val="18"/>
                <w:b w:val="1"/>
                <w:bCs w:val="1"/>
                <w:color w:val="auto"/>
                <w:w w:val="87"/>
              </w:rPr>
              <w:t>Prospectus Supplement</w:t>
            </w:r>
          </w:p>
        </w:tc>
        <w:tc>
          <w:tcPr>
            <w:tcW w:w="420" w:type="dxa"/>
            <w:vAlign w:val="bottom"/>
            <w:tcBorders>
              <w:bottom w:val="single" w:sz="8" w:color="auto"/>
            </w:tcBorders>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gridSpan w:val="21"/>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Notice Regarding Forward-Looking Statements</w:t>
              </w:r>
            </w:hyperlink>
          </w:p>
        </w:tc>
        <w:tc>
          <w:tcPr>
            <w:tcW w:w="7400" w:type="dxa"/>
            <w:vAlign w:val="bottom"/>
            <w:gridSpan w:val="3"/>
            <w:vMerge w:val="continue"/>
          </w:tcPr>
          <w:p>
            <w:pPr>
              <w:spacing w:after="0"/>
              <w:rPr>
                <w:sz w:val="17"/>
                <w:szCs w:val="17"/>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84"/>
        </w:trPr>
        <w:tc>
          <w:tcPr>
            <w:tcW w:w="3540" w:type="dxa"/>
            <w:vAlign w:val="bottom"/>
            <w:gridSpan w:val="21"/>
            <w:vMerge w:val="continue"/>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About this Prospectus Supplement</w:t>
              </w:r>
            </w:hyperlink>
          </w:p>
        </w:tc>
        <w:tc>
          <w:tcPr>
            <w:tcW w:w="94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2620" w:type="dxa"/>
            <w:vAlign w:val="bottom"/>
            <w:gridSpan w:val="18"/>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Use of Proceeds</w:t>
              </w:r>
            </w:hyperlink>
          </w:p>
        </w:tc>
        <w:tc>
          <w:tcPr>
            <w:tcW w:w="2360" w:type="dxa"/>
            <w:vAlign w:val="bottom"/>
            <w:gridSpan w:val="14"/>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Capitalization</w:t>
              </w:r>
            </w:hyperlink>
          </w:p>
        </w:tc>
        <w:tc>
          <w:tcPr>
            <w:tcW w:w="2520" w:type="dxa"/>
            <w:vAlign w:val="bottom"/>
            <w:gridSpan w:val="16"/>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Description of the Notes</w:t>
              </w:r>
            </w:hyperlink>
          </w:p>
        </w:tc>
        <w:tc>
          <w:tcPr>
            <w:tcW w:w="1760" w:type="dxa"/>
            <w:vAlign w:val="bottom"/>
            <w:gridSpan w:val="7"/>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Material U.S. Federal Income Tax Consequences</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Underwriting</w:t>
              </w:r>
            </w:hyperlink>
          </w:p>
        </w:tc>
        <w:tc>
          <w:tcPr>
            <w:tcW w:w="2560" w:type="dxa"/>
            <w:vAlign w:val="bottom"/>
            <w:gridSpan w:val="17"/>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Validity of Securities</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Experts</w:t>
              </w:r>
            </w:hyperlink>
          </w:p>
        </w:tc>
        <w:tc>
          <w:tcPr>
            <w:tcW w:w="960" w:type="dxa"/>
            <w:vAlign w:val="bottom"/>
            <w:tcBorders>
              <w:top w:val="single" w:sz="8" w:color="0000EE"/>
            </w:tcBorders>
            <w:gridSpan w:val="10"/>
          </w:tcPr>
          <w:p>
            <w:pPr>
              <w:spacing w:after="0"/>
              <w:rPr>
                <w:sz w:val="17"/>
                <w:szCs w:val="17"/>
                <w:color w:val="auto"/>
              </w:rPr>
            </w:pPr>
          </w:p>
        </w:tc>
        <w:tc>
          <w:tcPr>
            <w:tcW w:w="202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Where You Can Find More Information</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80" w:type="dxa"/>
            <w:vAlign w:val="bottom"/>
            <w:gridSpan w:val="2"/>
            <w:vMerge w:val="restart"/>
          </w:tcPr>
          <w:p>
            <w:pPr>
              <w:jc w:val="center"/>
              <w:ind w:right="4440"/>
              <w:spacing w:after="0"/>
              <w:rPr>
                <w:sz w:val="20"/>
                <w:szCs w:val="20"/>
                <w:color w:val="auto"/>
              </w:rPr>
            </w:pPr>
            <w:r>
              <w:rPr>
                <w:rFonts w:ascii="Arial" w:cs="Arial" w:eastAsia="Arial" w:hAnsi="Arial"/>
                <w:sz w:val="18"/>
                <w:szCs w:val="18"/>
                <w:b w:val="1"/>
                <w:bCs w:val="1"/>
                <w:color w:val="auto"/>
                <w:w w:val="85"/>
              </w:rPr>
              <w:t>Prospectus</w:t>
            </w: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80" w:type="dxa"/>
            <w:vAlign w:val="bottom"/>
            <w:gridSpan w:val="2"/>
            <w:vMerge w:val="continue"/>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The Company</w:t>
              </w:r>
            </w:hyperlink>
          </w:p>
        </w:tc>
        <w:tc>
          <w:tcPr>
            <w:tcW w:w="2500" w:type="dxa"/>
            <w:vAlign w:val="bottom"/>
            <w:gridSpan w:val="15"/>
          </w:tcPr>
          <w:p>
            <w:pPr>
              <w:spacing w:after="0"/>
              <w:rPr>
                <w:sz w:val="24"/>
                <w:szCs w:val="24"/>
                <w:color w:val="auto"/>
              </w:rPr>
            </w:pPr>
          </w:p>
        </w:tc>
        <w:tc>
          <w:tcPr>
            <w:tcW w:w="784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About this Prospectus</w:t>
              </w:r>
            </w:hyperlink>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Where You Can Find More Information</w:t>
              </w:r>
            </w:hyperlink>
          </w:p>
        </w:tc>
        <w:tc>
          <w:tcPr>
            <w:tcW w:w="660" w:type="dxa"/>
            <w:vAlign w:val="bottom"/>
            <w:gridSpan w:val="2"/>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Notice Regarding Forward-Looking Statements</w:t>
              </w:r>
            </w:hyperlink>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3"/>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Ratios of Earnings to Fixed Charges</w:t>
              </w:r>
            </w:hyperlink>
          </w:p>
        </w:tc>
        <w:tc>
          <w:tcPr>
            <w:tcW w:w="920" w:type="dxa"/>
            <w:vAlign w:val="bottom"/>
            <w:gridSpan w:val="3"/>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Description of Debt Securities</w:t>
              </w:r>
            </w:hyperlink>
          </w:p>
        </w:tc>
        <w:tc>
          <w:tcPr>
            <w:tcW w:w="1340" w:type="dxa"/>
            <w:vAlign w:val="bottom"/>
            <w:gridSpan w:val="5"/>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Description of Warrants</w:t>
              </w:r>
            </w:hyperlink>
          </w:p>
        </w:tc>
        <w:tc>
          <w:tcPr>
            <w:tcW w:w="1800" w:type="dxa"/>
            <w:vAlign w:val="bottom"/>
            <w:gridSpan w:val="8"/>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Description of Units</w:t>
              </w:r>
            </w:hyperlink>
          </w:p>
        </w:tc>
        <w:tc>
          <w:tcPr>
            <w:tcW w:w="2060" w:type="dxa"/>
            <w:vAlign w:val="bottom"/>
            <w:gridSpan w:val="11"/>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Forms of Securities</w:t>
              </w:r>
            </w:hyperlink>
          </w:p>
        </w:tc>
        <w:tc>
          <w:tcPr>
            <w:tcW w:w="2120" w:type="dxa"/>
            <w:vAlign w:val="bottom"/>
            <w:gridSpan w:val="13"/>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Plan of Distribution</w:t>
              </w:r>
            </w:hyperlink>
          </w:p>
        </w:tc>
        <w:tc>
          <w:tcPr>
            <w:tcW w:w="2100" w:type="dxa"/>
            <w:vAlign w:val="bottom"/>
            <w:gridSpan w:val="12"/>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Validity of Securities</w:t>
              </w:r>
            </w:hyperlink>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Experts</w:t>
              </w:r>
            </w:hyperlink>
          </w:p>
        </w:tc>
        <w:tc>
          <w:tcPr>
            <w:tcW w:w="960" w:type="dxa"/>
            <w:vAlign w:val="bottom"/>
            <w:tcBorders>
              <w:top w:val="single" w:sz="8" w:color="0000EE"/>
            </w:tcBorders>
            <w:gridSpan w:val="10"/>
          </w:tcPr>
          <w:p>
            <w:pPr>
              <w:spacing w:after="0"/>
              <w:rPr>
                <w:sz w:val="17"/>
                <w:szCs w:val="17"/>
                <w:color w:val="auto"/>
              </w:rPr>
            </w:pPr>
          </w:p>
        </w:tc>
        <w:tc>
          <w:tcPr>
            <w:tcW w:w="2020" w:type="dxa"/>
            <w:vAlign w:val="bottom"/>
            <w:gridSpan w:val="10"/>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660" w:right="40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660" w:right="100" w:hanging="20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42" w:lineRule="exact"/>
        <w:rPr>
          <w:rFonts w:ascii="Arial" w:cs="Arial" w:eastAsia="Arial" w:hAnsi="Arial"/>
          <w:sz w:val="17"/>
          <w:szCs w:val="17"/>
          <w:color w:val="auto"/>
        </w:rPr>
      </w:pPr>
    </w:p>
    <w:p>
      <w:pPr>
        <w:ind w:left="660" w:right="640" w:hanging="20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660" w:right="380" w:hanging="206"/>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660" w:right="60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660" w:right="42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130" w:lineRule="exact"/>
        <w:rPr>
          <w:rFonts w:ascii="Arial" w:cs="Arial" w:eastAsia="Arial" w:hAnsi="Arial"/>
          <w:sz w:val="18"/>
          <w:szCs w:val="18"/>
          <w:color w:val="auto"/>
        </w:rPr>
      </w:pPr>
    </w:p>
    <w:p>
      <w:pPr>
        <w:ind w:left="660" w:right="10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2016.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748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748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Texas Instruments Incorporated</w:t>
      </w:r>
    </w:p>
    <w:p>
      <w:pPr>
        <w:spacing w:after="0" w:line="12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240" w:top="459"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29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229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Issuer</w:t>
            </w:r>
          </w:p>
        </w:tc>
        <w:tc>
          <w:tcPr>
            <w:tcW w:w="8240" w:type="dxa"/>
            <w:vAlign w:val="bottom"/>
          </w:tcPr>
          <w:p>
            <w:pPr>
              <w:ind w:left="1200"/>
              <w:spacing w:after="0"/>
              <w:rPr>
                <w:sz w:val="20"/>
                <w:szCs w:val="20"/>
                <w:color w:val="auto"/>
              </w:rPr>
            </w:pPr>
            <w:r>
              <w:rPr>
                <w:rFonts w:ascii="Arial" w:cs="Arial" w:eastAsia="Arial" w:hAnsi="Arial"/>
                <w:sz w:val="18"/>
                <w:szCs w:val="18"/>
                <w:color w:val="auto"/>
              </w:rPr>
              <w:t>Texas Instruments Incorporated.</w:t>
            </w:r>
          </w:p>
        </w:tc>
      </w:tr>
      <w:tr>
        <w:trPr>
          <w:trHeight w:val="458"/>
        </w:trPr>
        <w:tc>
          <w:tcPr>
            <w:tcW w:w="318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240" w:type="dxa"/>
            <w:vAlign w:val="bottom"/>
          </w:tcPr>
          <w:p>
            <w:pPr>
              <w:ind w:left="1200"/>
              <w:spacing w:after="0"/>
              <w:rPr>
                <w:sz w:val="20"/>
                <w:szCs w:val="20"/>
                <w:color w:val="auto"/>
              </w:rPr>
            </w:pPr>
            <w:r>
              <w:rPr>
                <w:rFonts w:ascii="Arial" w:cs="Arial" w:eastAsia="Arial" w:hAnsi="Arial"/>
                <w:sz w:val="18"/>
                <w:szCs w:val="18"/>
                <w:color w:val="auto"/>
                <w:w w:val="98"/>
              </w:rPr>
              <w:t>$200,000,000 aggregate principal amount of 4.150% Notes due 2048. The Notes will be a</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further issuance of and will form a single series with the $1.3 billion aggregate principal</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4"/>
              </w:rPr>
              <w:t>amount of the Existing Notes. The Notes offered hereby will have the same terms (other than</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5"/>
              </w:rPr>
              <w:t>issue date and price to public) and will vote together as a single class, with the same CUSIP</w:t>
            </w:r>
          </w:p>
        </w:tc>
      </w:tr>
      <w:tr>
        <w:trPr>
          <w:trHeight w:val="230"/>
        </w:trPr>
        <w:tc>
          <w:tcPr>
            <w:tcW w:w="3180" w:type="dxa"/>
            <w:vAlign w:val="bottom"/>
          </w:tcPr>
          <w:p>
            <w:pPr>
              <w:spacing w:after="0"/>
              <w:rPr>
                <w:sz w:val="20"/>
                <w:szCs w:val="20"/>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number as, and be fungible with, the Existing Notes.</w:t>
            </w:r>
          </w:p>
        </w:tc>
      </w:tr>
      <w:tr>
        <w:trPr>
          <w:trHeight w:val="459"/>
        </w:trPr>
        <w:tc>
          <w:tcPr>
            <w:tcW w:w="3180" w:type="dxa"/>
            <w:vAlign w:val="bottom"/>
          </w:tcPr>
          <w:p>
            <w:pPr>
              <w:ind w:left="200"/>
              <w:spacing w:after="0"/>
              <w:rPr>
                <w:sz w:val="20"/>
                <w:szCs w:val="20"/>
                <w:color w:val="auto"/>
              </w:rPr>
            </w:pPr>
            <w:r>
              <w:rPr>
                <w:rFonts w:ascii="Arial" w:cs="Arial" w:eastAsia="Arial" w:hAnsi="Arial"/>
                <w:sz w:val="18"/>
                <w:szCs w:val="18"/>
                <w:color w:val="auto"/>
              </w:rPr>
              <w:t>Maturity Date</w:t>
            </w:r>
          </w:p>
        </w:tc>
        <w:tc>
          <w:tcPr>
            <w:tcW w:w="8240" w:type="dxa"/>
            <w:vAlign w:val="bottom"/>
          </w:tcPr>
          <w:p>
            <w:pPr>
              <w:ind w:left="1200"/>
              <w:spacing w:after="0"/>
              <w:rPr>
                <w:sz w:val="20"/>
                <w:szCs w:val="20"/>
                <w:color w:val="auto"/>
              </w:rPr>
            </w:pPr>
            <w:r>
              <w:rPr>
                <w:rFonts w:ascii="Arial" w:cs="Arial" w:eastAsia="Arial" w:hAnsi="Arial"/>
                <w:sz w:val="18"/>
                <w:szCs w:val="18"/>
                <w:color w:val="auto"/>
              </w:rPr>
              <w:t>May 15, 2048.</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Issue Date</w:t>
            </w:r>
          </w:p>
        </w:tc>
        <w:tc>
          <w:tcPr>
            <w:tcW w:w="8240" w:type="dxa"/>
            <w:vAlign w:val="bottom"/>
          </w:tcPr>
          <w:p>
            <w:pPr>
              <w:ind w:left="1200"/>
              <w:spacing w:after="0"/>
              <w:rPr>
                <w:sz w:val="20"/>
                <w:szCs w:val="20"/>
                <w:color w:val="auto"/>
              </w:rPr>
            </w:pPr>
            <w:r>
              <w:rPr>
                <w:rFonts w:ascii="Arial" w:cs="Arial" w:eastAsia="Arial" w:hAnsi="Arial"/>
                <w:sz w:val="18"/>
                <w:szCs w:val="18"/>
                <w:color w:val="auto"/>
              </w:rPr>
              <w:t>June 8, 2018.</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240" w:type="dxa"/>
            <w:vAlign w:val="bottom"/>
          </w:tcPr>
          <w:p>
            <w:pPr>
              <w:ind w:left="1200"/>
              <w:spacing w:after="0"/>
              <w:rPr>
                <w:sz w:val="20"/>
                <w:szCs w:val="20"/>
                <w:color w:val="auto"/>
              </w:rPr>
            </w:pPr>
            <w:r>
              <w:rPr>
                <w:rFonts w:ascii="Arial" w:cs="Arial" w:eastAsia="Arial" w:hAnsi="Arial"/>
                <w:sz w:val="18"/>
                <w:szCs w:val="18"/>
                <w:color w:val="auto"/>
              </w:rPr>
              <w:t>Fixed rate of 4.150%.</w:t>
            </w:r>
          </w:p>
        </w:tc>
      </w:tr>
      <w:tr>
        <w:trPr>
          <w:trHeight w:val="458"/>
        </w:trPr>
        <w:tc>
          <w:tcPr>
            <w:tcW w:w="318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240" w:type="dxa"/>
            <w:vAlign w:val="bottom"/>
          </w:tcPr>
          <w:p>
            <w:pPr>
              <w:ind w:left="1200"/>
              <w:spacing w:after="0"/>
              <w:rPr>
                <w:sz w:val="20"/>
                <w:szCs w:val="20"/>
                <w:color w:val="auto"/>
              </w:rPr>
            </w:pPr>
            <w:r>
              <w:rPr>
                <w:rFonts w:ascii="Arial" w:cs="Arial" w:eastAsia="Arial" w:hAnsi="Arial"/>
                <w:sz w:val="18"/>
                <w:szCs w:val="18"/>
                <w:color w:val="auto"/>
                <w:w w:val="95"/>
              </w:rPr>
              <w:t>Each May 15 and November 15, beginning on November 15, 2018, and on the maturity date.</w:t>
            </w:r>
          </w:p>
        </w:tc>
      </w:tr>
      <w:tr>
        <w:trPr>
          <w:trHeight w:val="230"/>
        </w:trPr>
        <w:tc>
          <w:tcPr>
            <w:tcW w:w="3180" w:type="dxa"/>
            <w:vAlign w:val="bottom"/>
          </w:tcPr>
          <w:p>
            <w:pPr>
              <w:spacing w:after="0"/>
              <w:rPr>
                <w:sz w:val="20"/>
                <w:szCs w:val="20"/>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Interest on the Notes will accrue from May 7, 2018.</w:t>
            </w:r>
          </w:p>
        </w:tc>
      </w:tr>
      <w:tr>
        <w:trPr>
          <w:trHeight w:val="445"/>
        </w:trPr>
        <w:tc>
          <w:tcPr>
            <w:tcW w:w="3180" w:type="dxa"/>
            <w:vAlign w:val="bottom"/>
          </w:tcPr>
          <w:p>
            <w:pPr>
              <w:ind w:left="200"/>
              <w:spacing w:after="0"/>
              <w:rPr>
                <w:sz w:val="20"/>
                <w:szCs w:val="20"/>
                <w:color w:val="auto"/>
              </w:rPr>
            </w:pPr>
            <w:r>
              <w:rPr>
                <w:rFonts w:ascii="Arial" w:cs="Arial" w:eastAsia="Arial" w:hAnsi="Arial"/>
                <w:sz w:val="18"/>
                <w:szCs w:val="18"/>
                <w:color w:val="auto"/>
              </w:rPr>
              <w:t>Ranking</w:t>
            </w:r>
          </w:p>
        </w:tc>
        <w:tc>
          <w:tcPr>
            <w:tcW w:w="8240" w:type="dxa"/>
            <w:vAlign w:val="bottom"/>
          </w:tcPr>
          <w:p>
            <w:pPr>
              <w:ind w:left="120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 will</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rank equally with all of its existing and future senior indebtedness from time to time</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6"/>
              </w:rPr>
              <w:t>outstanding (including the Existing Notes). All existing and future liabilities of subsidiaries of</w:t>
            </w:r>
          </w:p>
        </w:tc>
      </w:tr>
      <w:tr>
        <w:trPr>
          <w:trHeight w:val="230"/>
        </w:trPr>
        <w:tc>
          <w:tcPr>
            <w:tcW w:w="3180" w:type="dxa"/>
            <w:vAlign w:val="bottom"/>
          </w:tcPr>
          <w:p>
            <w:pPr>
              <w:spacing w:after="0"/>
              <w:rPr>
                <w:sz w:val="20"/>
                <w:szCs w:val="20"/>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Texas Instruments Incorporated will be effectively senior to the Notes.</w:t>
            </w:r>
          </w:p>
        </w:tc>
      </w:tr>
      <w:tr>
        <w:trPr>
          <w:trHeight w:val="445"/>
        </w:trPr>
        <w:tc>
          <w:tcPr>
            <w:tcW w:w="3180" w:type="dxa"/>
            <w:vAlign w:val="bottom"/>
          </w:tcPr>
          <w:p>
            <w:pPr>
              <w:spacing w:after="0"/>
              <w:rPr>
                <w:sz w:val="24"/>
                <w:szCs w:val="24"/>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As of March 31, 2018, Texas Instruments Incorporated had approximately $4.1 billion of</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7"/>
              </w:rPr>
              <w:t>outstanding indebtedness (without giving effect to the issuance of the Existing Notes or the</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7"/>
              </w:rPr>
              <w:t>repayment of $500 million aggregate principal amount of 1.00% Notes due May 1, 2018 at</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8"/>
              </w:rPr>
              <w:t>maturity). As of March 31, 2018, Texas Instruments had approximately $6.9 billion of total</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liabilities on a consolidated basis. Of this amount, subsidiaries of Texas Instruments</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Incorporated had approximately $0.9 billion of liabilities (including trade payables and</w:t>
            </w:r>
          </w:p>
        </w:tc>
      </w:tr>
      <w:tr>
        <w:trPr>
          <w:trHeight w:val="230"/>
        </w:trPr>
        <w:tc>
          <w:tcPr>
            <w:tcW w:w="3180" w:type="dxa"/>
            <w:vAlign w:val="bottom"/>
          </w:tcPr>
          <w:p>
            <w:pPr>
              <w:spacing w:after="0"/>
              <w:rPr>
                <w:sz w:val="20"/>
                <w:szCs w:val="20"/>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excluding intercompany debt) to which the Notes will be effectively subordinated.</w:t>
            </w:r>
          </w:p>
        </w:tc>
      </w:tr>
      <w:tr>
        <w:trPr>
          <w:trHeight w:val="445"/>
        </w:trPr>
        <w:tc>
          <w:tcPr>
            <w:tcW w:w="3180" w:type="dxa"/>
            <w:vAlign w:val="bottom"/>
          </w:tcPr>
          <w:p>
            <w:pPr>
              <w:ind w:left="200"/>
              <w:spacing w:after="0"/>
              <w:rPr>
                <w:sz w:val="20"/>
                <w:szCs w:val="20"/>
                <w:color w:val="auto"/>
              </w:rPr>
            </w:pPr>
            <w:r>
              <w:rPr>
                <w:rFonts w:ascii="Arial" w:cs="Arial" w:eastAsia="Arial" w:hAnsi="Arial"/>
                <w:sz w:val="18"/>
                <w:szCs w:val="18"/>
                <w:color w:val="auto"/>
              </w:rPr>
              <w:t>Form and Denomination</w:t>
            </w:r>
          </w:p>
        </w:tc>
        <w:tc>
          <w:tcPr>
            <w:tcW w:w="8240" w:type="dxa"/>
            <w:vAlign w:val="bottom"/>
          </w:tcPr>
          <w:p>
            <w:pPr>
              <w:ind w:left="1200"/>
              <w:spacing w:after="0"/>
              <w:rPr>
                <w:sz w:val="20"/>
                <w:szCs w:val="20"/>
                <w:color w:val="auto"/>
              </w:rPr>
            </w:pPr>
            <w:r>
              <w:rPr>
                <w:rFonts w:ascii="Arial" w:cs="Arial" w:eastAsia="Arial" w:hAnsi="Arial"/>
                <w:sz w:val="18"/>
                <w:szCs w:val="18"/>
                <w:color w:val="auto"/>
                <w:w w:val="96"/>
              </w:rPr>
              <w:t>The Notes will be issued in the form of one or more fully registered global securities, without</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6"/>
              </w:rPr>
              <w:t>coupons, in denominations of $2,000 in principal amount and integral multiples of $1,000 in</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7"/>
              </w:rPr>
              <w:t>excess thereof. These global notes will be deposited with the trustee as custodian for, and</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3"/>
              </w:rPr>
              <w:t>registered in the name of, a nominee of The Depository Trust Company, or DTC. Except in the</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6"/>
              </w:rPr>
              <w:t>limited circumstances described under “Description of the Notes—Book-Entry; Delivery and</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5"/>
              </w:rPr>
              <w:t>Form; Global Note,” Notes in certificated form will not be issued or exchanged for interests in</w:t>
            </w:r>
          </w:p>
        </w:tc>
      </w:tr>
      <w:tr>
        <w:trPr>
          <w:trHeight w:val="241"/>
        </w:trPr>
        <w:tc>
          <w:tcPr>
            <w:tcW w:w="318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global securities.</w:t>
            </w:r>
          </w:p>
        </w:tc>
      </w:tr>
      <w:tr>
        <w:trPr>
          <w:trHeight w:val="361"/>
        </w:trPr>
        <w:tc>
          <w:tcPr>
            <w:tcW w:w="3180" w:type="dxa"/>
            <w:vAlign w:val="bottom"/>
          </w:tcPr>
          <w:p>
            <w:pPr>
              <w:spacing w:after="0"/>
              <w:rPr>
                <w:sz w:val="24"/>
                <w:szCs w:val="24"/>
                <w:color w:val="auto"/>
              </w:rPr>
            </w:pPr>
          </w:p>
        </w:tc>
        <w:tc>
          <w:tcPr>
            <w:tcW w:w="8240" w:type="dxa"/>
            <w:vAlign w:val="bottom"/>
          </w:tcPr>
          <w:p>
            <w:pPr>
              <w:ind w:left="240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30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6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We expect to use the net proceeds of this offering for general corporate purposes. See “Use of</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Proceeds.” In connection with the issuance of the Notes, we may enter into interest rate swap</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agreements with financial institutions, which may include one or more of the underwriters or</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their affiliates.</w:t>
            </w:r>
          </w:p>
        </w:tc>
      </w:tr>
      <w:tr>
        <w:trPr>
          <w:trHeight w:val="445"/>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2"/>
              </w:rPr>
              <w:t>Texas Instruments Incorporated may create and issue further notes ranking equally and ratably</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with the Notes offered by this prospectus supplement in all respects, so that such further notes</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will be consolidated and form a single series with the Existing Notes and the Notes offered by</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this prospectus supplement.</w:t>
            </w:r>
          </w:p>
        </w:tc>
      </w:tr>
      <w:tr>
        <w:trPr>
          <w:trHeight w:val="45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Sinking Fund</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None.</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Texas Instruments Incorporated may redeem some or all of the Notes at any time at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Redemption.”</w:t>
            </w:r>
          </w:p>
        </w:tc>
      </w:tr>
      <w:tr>
        <w:trPr>
          <w:trHeight w:val="445"/>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We do not intend to apply for listing of the Notes on any securities exchange. The underwriters</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5"/>
              </w:rPr>
              <w:t>have advised us that they intend to make a market in the Notes, but they are not obligated to</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do so and may discontinue market-making at any time without notice. See “Underwriting” in</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this prospectus supplement for more information about possible market-making by the</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underwriters.</w:t>
            </w:r>
          </w:p>
        </w:tc>
      </w:tr>
      <w:tr>
        <w:trPr>
          <w:trHeight w:val="45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8"/>
              </w:rPr>
              <w:t>You should carefully consider all of the information in this prospectus supplement and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accompanying prospectus and the documents incorporated herein by reference. In particular,</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you should evaluate the information set forth under “Notice Regarding Forward-Looking</w:t>
            </w:r>
          </w:p>
        </w:tc>
      </w:tr>
      <w:tr>
        <w:trPr>
          <w:trHeight w:val="241"/>
        </w:trPr>
        <w:tc>
          <w:tcPr>
            <w:tcW w:w="3060" w:type="dxa"/>
            <w:vAlign w:val="bottom"/>
            <w:tcBorders>
              <w:left w:val="single" w:sz="8" w:color="auto"/>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Statements” and “Risk Factors” before deciding whether to invest in the Notes.</w:t>
            </w:r>
          </w:p>
        </w:tc>
      </w:tr>
      <w:tr>
        <w:trPr>
          <w:trHeight w:val="361"/>
        </w:trPr>
        <w:tc>
          <w:tcPr>
            <w:tcW w:w="3060" w:type="dxa"/>
            <w:vAlign w:val="bottom"/>
          </w:tcPr>
          <w:p>
            <w:pPr>
              <w:spacing w:after="0"/>
              <w:rPr>
                <w:sz w:val="24"/>
                <w:szCs w:val="24"/>
                <w:color w:val="auto"/>
              </w:rPr>
            </w:pPr>
          </w:p>
        </w:tc>
        <w:tc>
          <w:tcPr>
            <w:tcW w:w="8360" w:type="dxa"/>
            <w:vAlign w:val="bottom"/>
          </w:tcPr>
          <w:p>
            <w:pPr>
              <w:ind w:left="252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650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1650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35"/>
        </w:trPr>
        <w:tc>
          <w:tcPr>
            <w:tcW w:w="7120" w:type="dxa"/>
            <w:vAlign w:val="bottom"/>
          </w:tcPr>
          <w:p>
            <w:pPr>
              <w:spacing w:after="0"/>
              <w:rPr>
                <w:sz w:val="3"/>
                <w:szCs w:val="3"/>
                <w:color w:val="auto"/>
              </w:rPr>
            </w:pPr>
          </w:p>
        </w:tc>
        <w:tc>
          <w:tcPr>
            <w:tcW w:w="136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3"/>
                <w:szCs w:val="3"/>
                <w:color w:val="auto"/>
              </w:rPr>
            </w:pPr>
          </w:p>
        </w:tc>
        <w:tc>
          <w:tcPr>
            <w:tcW w:w="340" w:type="dxa"/>
            <w:vAlign w:val="bottom"/>
            <w:gridSpan w:val="2"/>
            <w:vMerge w:val="restart"/>
          </w:tcPr>
          <w:p>
            <w:pPr>
              <w:spacing w:after="0"/>
              <w:rPr>
                <w:sz w:val="3"/>
                <w:szCs w:val="3"/>
                <w:color w:val="auto"/>
              </w:rPr>
            </w:pPr>
          </w:p>
        </w:tc>
        <w:tc>
          <w:tcPr>
            <w:tcW w:w="2200" w:type="dxa"/>
            <w:vAlign w:val="bottom"/>
            <w:gridSpan w:val="9"/>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line="20" w:lineRule="exact"/>
              <w:rPr>
                <w:sz w:val="1"/>
                <w:szCs w:val="1"/>
                <w:color w:val="auto"/>
              </w:rPr>
            </w:pPr>
          </w:p>
        </w:tc>
      </w:tr>
      <w:tr>
        <w:trPr>
          <w:trHeight w:val="126"/>
        </w:trPr>
        <w:tc>
          <w:tcPr>
            <w:tcW w:w="712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22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7120" w:type="dxa"/>
            <w:vAlign w:val="bottom"/>
          </w:tcPr>
          <w:p>
            <w:pPr>
              <w:spacing w:after="0"/>
              <w:rPr>
                <w:sz w:val="6"/>
                <w:szCs w:val="6"/>
                <w:color w:val="auto"/>
              </w:rPr>
            </w:pPr>
          </w:p>
        </w:tc>
        <w:tc>
          <w:tcPr>
            <w:tcW w:w="1360" w:type="dxa"/>
            <w:vAlign w:val="bottom"/>
            <w:gridSpan w:val="4"/>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Borders>
              <w:bottom w:val="single" w:sz="8" w:color="auto"/>
            </w:tcBorders>
            <w:shd w:val="clear" w:color="auto" w:fill="000000"/>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712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March 31, 2018</w:t>
            </w:r>
          </w:p>
        </w:tc>
        <w:tc>
          <w:tcPr>
            <w:tcW w:w="20" w:type="dxa"/>
            <w:vAlign w:val="bottom"/>
            <w:shd w:val="clear" w:color="auto" w:fill="000000"/>
          </w:tcPr>
          <w:p>
            <w:pPr>
              <w:spacing w:after="0"/>
              <w:rPr>
                <w:sz w:val="14"/>
                <w:szCs w:val="14"/>
                <w:color w:val="auto"/>
              </w:rPr>
            </w:pPr>
          </w:p>
        </w:tc>
        <w:tc>
          <w:tcPr>
            <w:tcW w:w="340" w:type="dxa"/>
            <w:vAlign w:val="bottom"/>
            <w:gridSpan w:val="2"/>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70.</w:t>
            </w:r>
            <w:r>
              <w:rPr>
                <w:rFonts w:ascii="Arial" w:cs="Arial" w:eastAsia="Arial" w:hAnsi="Arial"/>
                <w:sz w:val="18"/>
                <w:szCs w:val="18"/>
                <w:u w:val="single" w:color="auto"/>
                <w:color w:val="auto"/>
                <w:w w:val="87"/>
              </w:rPr>
              <w:t>1×</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87"/>
              </w:rPr>
              <w:t>56.</w:t>
            </w:r>
            <w:r>
              <w:rPr>
                <w:rFonts w:ascii="Arial" w:cs="Arial" w:eastAsia="Arial" w:hAnsi="Arial"/>
                <w:sz w:val="18"/>
                <w:szCs w:val="18"/>
                <w:u w:val="single" w:color="auto"/>
                <w:color w:val="auto"/>
                <w:w w:val="87"/>
              </w:rPr>
              <w:t>4×</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92"/>
              </w:rPr>
              <w:t>43.</w:t>
            </w:r>
            <w:r>
              <w:rPr>
                <w:rFonts w:ascii="Arial" w:cs="Arial" w:eastAsia="Arial" w:hAnsi="Arial"/>
                <w:sz w:val="18"/>
                <w:szCs w:val="18"/>
                <w:u w:val="single" w:color="auto"/>
                <w:color w:val="auto"/>
                <w:w w:val="92"/>
              </w:rPr>
              <w:t>2×</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 active trading market for the Notes may not develop and any trading market for the Notes to the extent developed may not be maintained.</w:t>
      </w:r>
    </w:p>
    <w:p>
      <w:pPr>
        <w:spacing w:after="0" w:line="14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281"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3"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4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March 31, 2018, after giving effect to the repayment at maturity of our 1.00% Notes due May 1, 2018 and the issuance of $1.3 billion principal amount of Existing Notes on May 7, 2018, we had approximately $7.6 billion of total liabilities on a consolidated basis. Of this amount, subsidiaries of Texas Instruments Incorporated had approximately $0.9 billion of liabilities (including trade payables and excluding intercompany debt) to which the Notes will be effectively subordinated.</w:t>
      </w:r>
    </w:p>
    <w:p>
      <w:pPr>
        <w:spacing w:after="0" w:line="16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74" w:lineRule="exact"/>
        <w:rPr>
          <w:sz w:val="20"/>
          <w:szCs w:val="20"/>
          <w:color w:val="auto"/>
        </w:rPr>
      </w:pPr>
    </w:p>
    <w:p>
      <w:pPr>
        <w:ind w:left="240" w:right="60"/>
        <w:spacing w:after="0" w:line="259" w:lineRule="auto"/>
        <w:rPr>
          <w:sz w:val="20"/>
          <w:szCs w:val="20"/>
          <w:color w:val="auto"/>
        </w:rPr>
      </w:pPr>
      <w:r>
        <w:rPr>
          <w:rFonts w:ascii="Arial" w:cs="Arial" w:eastAsia="Arial" w:hAnsi="Arial"/>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an as adjusted basis after giving effect to the repayment at maturity of our 1.00% Notes due May 1, 2018, the issuance of $1.3 billion principal amount of Existing Notes on May 7, 2018 and this offering, as of March 31, 2018, Texas Instruments Incorporated would have had approximately $5.1 billion of total long-term indebtedness (including the Notes), all of which would have been unsecured and unsubordinated.</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7"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53" w:lineRule="exact"/>
        <w:rPr>
          <w:rFonts w:ascii="Arial" w:cs="Arial" w:eastAsia="Arial" w:hAnsi="Arial"/>
          <w:sz w:val="16"/>
          <w:szCs w:val="16"/>
          <w:color w:val="auto"/>
        </w:rPr>
      </w:pPr>
    </w:p>
    <w:p>
      <w:pPr>
        <w:ind w:left="660" w:right="20" w:hanging="20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anticipate that we will receive net proceeds of approximately $204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24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following table sets forth a summary of our consolidated cash, cash equivalents and short-term investments and our capitalization on an actual and as adjusted basis as of March 31, 2018. Our consolidated capitalization, as adjusted, gives effect to the repayment of $500 million aggregate principal amount of our 1.00% Notes due May 1, 2018 at maturity, the issuance of $1.3 billion principal amount of Existing Notes on May 7, 2018 and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As of March 31, 2018</w:t>
            </w:r>
          </w:p>
        </w:tc>
        <w:tc>
          <w:tcPr>
            <w:tcW w:w="0" w:type="dxa"/>
            <w:vAlign w:val="bottom"/>
          </w:tcPr>
          <w:p>
            <w:pPr>
              <w:spacing w:after="0"/>
              <w:rPr>
                <w:sz w:val="1"/>
                <w:szCs w:val="1"/>
                <w:color w:val="auto"/>
              </w:rPr>
            </w:pPr>
          </w:p>
        </w:tc>
      </w:tr>
      <w:tr>
        <w:trPr>
          <w:trHeight w:val="142"/>
        </w:trPr>
        <w:tc>
          <w:tcPr>
            <w:tcW w:w="8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93"/>
              </w:rPr>
              <w:t>Actual</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offered hereby and Existing Notes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1,486</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3"/>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Other long-term debt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3,578</w:t>
            </w:r>
            <w:r>
              <w:rPr>
                <w:rFonts w:ascii="Arial" w:cs="Arial" w:eastAsia="Arial" w:hAnsi="Arial"/>
                <w:sz w:val="15"/>
                <w:szCs w:val="15"/>
                <w:color w:val="auto"/>
              </w:rPr>
              <w:t>(3)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3,578</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ind w:left="72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ind w:left="720"/>
              <w:spacing w:after="0"/>
              <w:rPr>
                <w:sz w:val="20"/>
                <w:szCs w:val="20"/>
                <w:color w:val="auto"/>
              </w:rPr>
            </w:pPr>
            <w:r>
              <w:rPr>
                <w:rFonts w:ascii="Arial" w:cs="Arial" w:eastAsia="Arial" w:hAnsi="Arial"/>
                <w:sz w:val="18"/>
                <w:szCs w:val="18"/>
                <w:color w:val="auto"/>
              </w:rPr>
              <w:t>Shares issued–1,740,815,939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35,619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35,619</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(759,098,020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9"/>
              </w:rPr>
              <w:t>(28,096)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(28,096)</w:t>
            </w:r>
          </w:p>
        </w:tc>
        <w:tc>
          <w:tcPr>
            <w:tcW w:w="0" w:type="dxa"/>
            <w:vAlign w:val="bottom"/>
          </w:tcPr>
          <w:p>
            <w:pPr>
              <w:spacing w:after="0"/>
              <w:rPr>
                <w:sz w:val="1"/>
                <w:szCs w:val="1"/>
                <w:color w:val="auto"/>
              </w:rPr>
            </w:pPr>
          </w:p>
        </w:tc>
      </w:tr>
      <w:tr>
        <w:trPr>
          <w:trHeight w:val="223"/>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10,642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14,220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7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6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Notes offered hereby are shown at the amount of the public offering price, less offering expenses (including underwriting discounts). Gives effect to the repayment of $500 million aggregate principal amount of our 1.00% Notes due May 1, 2018 at maturity, the issuance of $1.3 billion principal amount of Existing Notes on May 7, 2018 and the issuance of Notes offered by this prospectus supplement. As adjusted cash, cash equivalents and short term investments excludes $0.7 million of accrued interest from May 7, 2018, that is payable as part of the public offering price of the Notes offered hereby.</w:t>
      </w:r>
    </w:p>
    <w:p>
      <w:pPr>
        <w:spacing w:after="0" w:line="3"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$1,282 million relating to the Existing Notes and $204 million relating to the Notes offered hereby, in each case net of unamortized discount and debt issuance costs.</w:t>
      </w:r>
    </w:p>
    <w:p>
      <w:pPr>
        <w:ind w:left="460" w:right="5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$4.1 billion of our existing outstanding notes less net unamortized discount and debt issuance costs of $22 million, less $500 million representing the current portion of long-term debt.</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$3.6 billion of our existing outstanding notes less net unamortized discount and debt issuance costs of $22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Notes will mature on May 15, 2048. The Notes will be issued in book-entry form only, in denominations of $2,000 and multiples of $1,000 thereafter. Interest on the Notes will accrue from May 7, 2018 at the rate per annum shown on the cover of this prospectus supplement. Interest on the Notes will be payable semi-annually on May 15 and November 15, commencing on November 15, 2018 to the persons in whose names the Notes are registered at the close of business on the preceding May 1 or November 1, as the case may be. Interest on the Notes will be paid to but excluding the relevant interest payment date. Interest on the Notes will be calculated on the basis of a 360-day year comprised of twelve 30-day months.</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previously issued, on May 7, 2018, $1.3 billion aggregate principal amount of the Existing Notes, all of which will remain outstanding following this offering. The Notes offered hereby will form a part of the same series and will have the same terms (other than issue date and price to public) and will vote together as a single class, with the same CUSIP number as, and be fungible with, the Existing Notes. Upon completion of this offering, we will have $1.5 billion aggregate principal amount of outstanding 4.150% Notes due 2048. Unless the context requires otherwise, for all purposes of the indenture and this “Description of the Notes,” references to the Notes include the Notes offered hereby and the Existing Notes.</w:t>
      </w:r>
    </w:p>
    <w:p>
      <w:pPr>
        <w:spacing w:after="0" w:line="17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4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(including the Existing Notes).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March 31, 2018, Texas Instruments Incorporated had approximately $4.1 billion of outstanding indebtedness (without giving effect to the issuance of the Existing Notes or the repayment of $500 million aggregate principal amount of 1.00% Notes due May 1, 2018 at maturity). As of March 31, 2018, we had approximately $6.9 billion of total liabilities on a consolidated basis. Of this amount, subsidiaries of Texas Instruments Incorporated had approximately $0.9 billion of liabilities (including trade payables and excluding intercompany debt) to which the Notes will be effectively subordinated.</w:t>
      </w:r>
    </w:p>
    <w:p>
      <w:pPr>
        <w:spacing w:after="0" w:line="18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an as adjusted basis after giving effect to the repayment at maturity of our 1.00% Notes due May 1, 2018, the issuance of $1.3 billion principal amount of Existing Notes on May 7, 2018 and the issuance of the Notes offered hereby, as of March 31, 2018:</w:t>
      </w:r>
    </w:p>
    <w:p>
      <w:pPr>
        <w:spacing w:after="0" w:line="76" w:lineRule="exact"/>
        <w:rPr>
          <w:sz w:val="20"/>
          <w:szCs w:val="20"/>
          <w:color w:val="auto"/>
        </w:rPr>
      </w:pPr>
    </w:p>
    <w:p>
      <w:pPr>
        <w:ind w:left="660" w:hanging="20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$5.1 billion of total long-term indebtedness (including the Notes), all of which would constitute senior and unsubordinated indebtedness;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would have had approximately $7.9 billion of total liabilities on a consolidated basis;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53" w:lineRule="exact"/>
        <w:rPr>
          <w:rFonts w:ascii="Arial" w:cs="Arial" w:eastAsia="Arial" w:hAnsi="Arial"/>
          <w:sz w:val="16"/>
          <w:szCs w:val="16"/>
          <w:color w:val="auto"/>
        </w:rPr>
      </w:pPr>
    </w:p>
    <w:p>
      <w:pPr>
        <w:ind w:left="660" w:right="480" w:hanging="20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$0.9 billion of liabilities (including trade payables but excluding intercompany debt) to which the Notes would have been structurally subordinated.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 the same CUSIP number as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additional Notes that are not fungible with the Notes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Prior to November 15, 2047 (the date that is six months prior to the maturity date of the Notes), the Notes will be redeemable, in whole or in part at any time, or from time to time, at Texas Instruments Incorporated’s option, at a “make-whole premium” redemption price calculated by Texas Instruments Incorporated equal to the greater of:</w:t>
      </w:r>
    </w:p>
    <w:p>
      <w:pPr>
        <w:spacing w:after="0" w:line="73" w:lineRule="exact"/>
        <w:rPr>
          <w:sz w:val="20"/>
          <w:szCs w:val="20"/>
          <w:color w:val="auto"/>
        </w:rPr>
      </w:pPr>
    </w:p>
    <w:p>
      <w:pPr>
        <w:ind w:left="1120" w:hanging="2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jc w:val="both"/>
        <w:ind w:left="460" w:firstLine="443"/>
        <w:spacing w:after="0" w:line="279" w:lineRule="auto"/>
        <w:tabs>
          <w:tab w:leader="none" w:pos="116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sum of the present values of the principal amount of such Notes and the scheduled payments of interest thereon (not including any portion of such payments of interest accrued as of the date of redemption) from the date of redemption to November 15, 2047 (the date that is six months prior to the maturity date of the Notes), in each case discounted to the date of redemption on a semi-annual basis (assuming a 360-day year consisting of twelve 30-day months) at the Treasury Rate (as defined below), plus 20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At any time on or after November 15, 2047 (the date that is six months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Treasury Dealer Quotations, or (ii) if the Quotation Agent obtains fewer than three such Reference Treasury Dealer Quotations, the average of all such quotations, or (iii) if only one Reference Treasury Dealer Quotation is received, such quotation.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“Reference Treasury Dealer” means (i) Citigroup Global Markets Inc., Mizuho Securities USA LLC and Morgan Stanley &amp; Co. LLC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660" w:right="160" w:hanging="206"/>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660" w:right="200" w:hanging="20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jc w:val="both"/>
        <w:ind w:left="660" w:right="80" w:hanging="206"/>
        <w:spacing w:after="0" w:line="30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5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 declaration of acceleration, the principal amount of and accrued interest, if any, on such debt securities shall be immediately due and payable.</w:t>
      </w:r>
    </w:p>
    <w:p>
      <w:pPr>
        <w:spacing w:after="0" w:line="24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99"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7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6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w:t>
      </w:r>
    </w:p>
    <w:p>
      <w:pPr>
        <w:spacing w:after="0" w:line="166"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for the Notes.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 An affiliate of the trustee was an underwriter of the offering of the Existing Notes, which were issued on May 7, 2018, and is an underwriter of this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i w:val="1"/>
          <w:iCs w:val="1"/>
          <w:color w:val="auto"/>
        </w:rPr>
        <w:t>The following are the material U.S. federal income tax consequences of owning and disposing of Notes purchased in this offering at the “public offering price” listed on the cover of this prospectus supplement, and held as capital assets for U.S. federal income tax purposes.</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76"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of a Note and are:</w:t>
      </w:r>
    </w:p>
    <w:p>
      <w:pPr>
        <w:spacing w:after="0" w:line="7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660" w:right="100" w:hanging="20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Stated interest on a Note (other than any portion of the first interest payment treated as a return of pre-acquisition accrued interest, as described under “—Pre-acquisition Accrued Interest” below)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Pre-acquisition Accrued Interest</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 portion of the price paid for a Note offered hereby will be allocable to interest that accrued prior to the date the Note is purchased (the “pre-acquisition accrued interest”). On the first interest payment date, you may generally treat a portion of the interest received in an amount equal to the pre-acquisition accrued interest as a return of the pre-acquisition accrued interest and not as a payment of interest on the Note. Amounts treated as a return of pre-acquisition accrued interest should not be taxable when received. It is not clear in such instance whether to exclude the amount attributable to pre-acquisition accrued interest from your initial basis, or to reduce your basis by the amount of pre-acquisition accrued interest when it is received.</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you purchase a Note for an amount that is greater than its principal amount (disregarding any amount paid in respect of pre-acquisition accrued interest), you will be considered to have purchased the Note with amortizable bond premium. In general, the amortizable bond premium with respect to any Note is the excess of your initial basis over the principal amount, and you may elect to amortize this bond premium, using a constant-yield method, over the remaining term of the Note. Because of the optional redemption feature of the Notes, however, special rules apply that may reduce, eliminate or defer the amount of bond premium that may be amortized. You generally may use the amortizable bond premium allocable to an accrual period to offset stated interest otherwise required to be included in income with respect to the Note in that accrual period. An election to amortize bond premium applies to all taxable debt obligations then owned or thereafter acquired and may be revoked only with the consent of the Internal Revenue Service (the “IRS”).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Upon the sale or other taxable disposition of a Note, you will recognize taxable gain or loss equal to the difference between the amount realized on the sale or other taxable disposition and your adjusted tax basis in the Note. Subject to the discussion above under “—Pre-acquisition Accrued Interest,” your adjusted tax basis in a Note will equal the cost of your Note, reduced by any bond premium previously amortized.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Information returns are required to be filed with the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2"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you do not own, actually or constructively, ten percent or more of the total combined voting power of all classes of our stock entitled to vote;</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660" w:hanging="206"/>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Provisions commonly referred to as “FATCA” impose withholding of 30% on payments of interest on the Notes and (for dispositions after December 31, 2018) of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Citigroup Global Markets Inc., Mizuho Securities USA LLC and Morgan Stanley &amp; Co.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Principal Amount of</w:t>
            </w:r>
          </w:p>
        </w:tc>
        <w:tc>
          <w:tcPr>
            <w:tcW w:w="0" w:type="dxa"/>
            <w:vAlign w:val="bottom"/>
          </w:tcPr>
          <w:p>
            <w:pPr>
              <w:spacing w:after="0"/>
              <w:rPr>
                <w:sz w:val="1"/>
                <w:szCs w:val="1"/>
                <w:color w:val="auto"/>
              </w:rPr>
            </w:pPr>
          </w:p>
        </w:tc>
      </w:tr>
      <w:tr>
        <w:trPr>
          <w:trHeight w:val="191"/>
        </w:trPr>
        <w:tc>
          <w:tcPr>
            <w:tcW w:w="10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ind w:left="22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190"/>
        </w:trPr>
        <w:tc>
          <w:tcPr>
            <w:tcW w:w="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Citigroup</w:t>
            </w:r>
          </w:p>
        </w:tc>
        <w:tc>
          <w:tcPr>
            <w:tcW w:w="9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Global Markets Inc.</w:t>
            </w:r>
          </w:p>
        </w:tc>
        <w:tc>
          <w:tcPr>
            <w:tcW w:w="24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38,000,000</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1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10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9320" w:type="dxa"/>
            <w:vAlign w:val="bottom"/>
          </w:tcPr>
          <w:p>
            <w:pPr>
              <w:ind w:left="180"/>
              <w:spacing w:after="0"/>
              <w:rPr>
                <w:sz w:val="20"/>
                <w:szCs w:val="20"/>
                <w:color w:val="auto"/>
              </w:rPr>
            </w:pPr>
            <w:r>
              <w:rPr>
                <w:rFonts w:ascii="Arial" w:cs="Arial" w:eastAsia="Arial" w:hAnsi="Arial"/>
                <w:sz w:val="18"/>
                <w:szCs w:val="18"/>
                <w:color w:val="auto"/>
              </w:rPr>
              <w:t>Incorporated</w:t>
            </w:r>
          </w:p>
        </w:tc>
        <w:tc>
          <w:tcPr>
            <w:tcW w:w="2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0.450% per Note. Any such securities dealers may resell any Notes purchased from the underwriters to certain other brokers or dealers at a discount from the initial public offering price not to exceed 0.300% per Note. If all the Notes are not sold at the initial offering price, the underwriters may change the offering price and the other selling terms.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89" w:lineRule="exact"/>
        <w:rPr>
          <w:sz w:val="20"/>
          <w:szCs w:val="20"/>
          <w:color w:val="auto"/>
        </w:rPr>
      </w:pPr>
    </w:p>
    <w:p>
      <w:pPr>
        <w:ind w:left="10360"/>
        <w:spacing w:after="0"/>
        <w:rPr>
          <w:sz w:val="20"/>
          <w:szCs w:val="20"/>
          <w:color w:val="auto"/>
        </w:rPr>
      </w:pPr>
      <w:r>
        <w:rPr>
          <w:rFonts w:ascii="Arial" w:cs="Arial" w:eastAsia="Arial" w:hAnsi="Arial"/>
          <w:sz w:val="14"/>
          <w:szCs w:val="14"/>
          <w:b w:val="1"/>
          <w:bCs w:val="1"/>
          <w:color w:val="auto"/>
        </w:rPr>
        <w:t>Paid by Texas</w:t>
      </w:r>
    </w:p>
    <w:p>
      <w:pPr>
        <w:ind w:left="10420"/>
        <w:spacing w:after="0" w:line="226" w:lineRule="auto"/>
        <w:rPr>
          <w:sz w:val="20"/>
          <w:szCs w:val="20"/>
          <w:color w:val="auto"/>
        </w:rPr>
      </w:pPr>
      <w:r>
        <w:rPr>
          <w:rFonts w:ascii="Arial" w:cs="Arial" w:eastAsia="Arial" w:hAnsi="Arial"/>
          <w:sz w:val="14"/>
          <w:szCs w:val="14"/>
          <w:b w:val="1"/>
          <w:bCs w:val="1"/>
          <w:color w:val="auto"/>
        </w:rPr>
        <w:t>Instruments</w:t>
      </w:r>
    </w:p>
    <w:p>
      <w:pPr>
        <w:ind w:left="10380"/>
        <w:spacing w:after="0" w:line="232" w:lineRule="auto"/>
        <w:rPr>
          <w:sz w:val="20"/>
          <w:szCs w:val="20"/>
          <w:color w:val="auto"/>
        </w:rPr>
      </w:pPr>
      <w:r>
        <w:rPr>
          <w:rFonts w:ascii="Arial" w:cs="Arial" w:eastAsia="Arial" w:hAnsi="Arial"/>
          <w:sz w:val="14"/>
          <w:szCs w:val="14"/>
          <w:b w:val="1"/>
          <w:bCs w:val="1"/>
          <w:color w:val="auto"/>
        </w:rPr>
        <w:t>Incorporated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360" w:type="dxa"/>
            <w:vAlign w:val="bottom"/>
            <w:vMerge w:val="continue"/>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0.750%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for this offering will be approximately $2 million, including underwriting discounts.</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153" w:lineRule="exact"/>
        <w:rPr>
          <w:rFonts w:ascii="Arial" w:cs="Arial" w:eastAsia="Arial" w:hAnsi="Arial"/>
          <w:sz w:val="16"/>
          <w:szCs w:val="16"/>
          <w:color w:val="auto"/>
        </w:rPr>
      </w:pPr>
    </w:p>
    <w:p>
      <w:pPr>
        <w:jc w:val="center"/>
        <w:ind w:left="5540" w:right="160" w:hanging="5086"/>
        <w:spacing w:after="0" w:line="449" w:lineRule="auto"/>
        <w:tabs>
          <w:tab w:leader="none" w:pos="6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 S-22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Stabilizing transactions involve bids to purchase the Notes so long as the stabilizing bids do not exceed a specified maximum.</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70"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1"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T+5, to specify alternative settlement arrangements to prevent a failed settlement.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 In addition, an affiliate of one of the underwriters is the trustee for the Notes and our other debt securities outstanding under the indenture.</w:t>
      </w:r>
    </w:p>
    <w:p>
      <w:pPr>
        <w:spacing w:after="0" w:line="17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For these purposes,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Directive from the requirement to publish a prospectus for offers of Notes. This prospectus is not a prospectus for the purposes of the Prospectus Directive.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who are (i) persons having professional experience in matters relating to investments falling within Article 19(5) of the Financial Services and Markets Act 2000 (Financial Promotion) Order 2005, as amended (the “Order”), or (ii) high net worth entities, companies or persons to whom it may otherwise be lawfully communicated, falling within Article 49(2)(a) to (d) of the Order, or (iii) persons to whom it would otherwise be lawful to distribute it, all such persons collectively being referred to as “relevant persons”. This document must not be acted on or relied on in the United Kingdom by persons who are not relevant persons. In the United Kingdom, any investment or investment activity to which this document relates is only available to, and any invitation, offer or agreement to subscribe, purchase or otherwise acquire such Notes will be engaged in only with, relevant persons. Any person in the United Kingdom that is not a relevant person should not act or rely on this document or its contents.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291"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(“NI 45-106”) or, in Ontario, as such term is defined in section 73.3(1) of the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(Ontario); and (iii) is a “permitted client” as such term is defined in section 1.1 of National Instrument 31-103</w:t>
      </w:r>
      <w:r>
        <w:rPr>
          <w:rFonts w:ascii="Arial" w:cs="Arial" w:eastAsia="Arial" w:hAnsi="Arial"/>
          <w:sz w:val="18"/>
          <w:szCs w:val="18"/>
          <w:i w:val="1"/>
          <w:iCs w:val="1"/>
          <w:color w:val="auto"/>
        </w:rPr>
        <w:t xml:space="preserve"> Registration Requirements, Exemptions and Ongoing Registrant Obligations</w:t>
      </w:r>
      <w:r>
        <w:rPr>
          <w:rFonts w:ascii="Arial" w:cs="Arial" w:eastAsia="Arial" w:hAnsi="Arial"/>
          <w:sz w:val="18"/>
          <w:szCs w:val="18"/>
          <w:color w:val="auto"/>
        </w:rPr>
        <w: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 Prospectus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8"/>
          <w:szCs w:val="18"/>
          <w:i w:val="1"/>
          <w:iCs w:val="1"/>
          <w:color w:val="auto"/>
        </w:rPr>
        <w:t>Par la réception de ce document, chaque investisseur canadien confirme par les présentes qu’il a expressément exigé que tous les documents faisant foi</w:t>
      </w:r>
      <w:r>
        <w:rPr>
          <w:rFonts w:ascii="Arial" w:cs="Arial" w:eastAsia="Arial" w:hAnsi="Arial"/>
          <w:sz w:val="18"/>
          <w:szCs w:val="18"/>
          <w:color w:val="auto"/>
        </w:rPr>
        <w:t xml:space="preserve"> </w:t>
      </w:r>
      <w:r>
        <w:rPr>
          <w:rFonts w:ascii="Arial" w:cs="Arial" w:eastAsia="Arial" w:hAnsi="Arial"/>
          <w:sz w:val="18"/>
          <w:szCs w:val="18"/>
          <w:i w:val="1"/>
          <w:iCs w:val="1"/>
          <w:color w:val="auto"/>
        </w:rPr>
        <w:t>ou se rapportant de quelque manière que ce soit à la vente des valeurs mobilières décrites aux présentes (incluant, pour plus de certitude, toute confirmation d’achat ou tout avis) soient rédigés en anglais seulement.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or of the competent authority of another member state of the European Economic Area and notified to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77" w:lineRule="exact"/>
        <w:rPr>
          <w:sz w:val="20"/>
          <w:szCs w:val="20"/>
          <w:color w:val="auto"/>
        </w:rPr>
      </w:pPr>
    </w:p>
    <w:p>
      <w:pPr>
        <w:ind w:left="5540" w:right="3540" w:hanging="5086"/>
        <w:spacing w:after="0" w:line="449" w:lineRule="auto"/>
        <w:tabs>
          <w:tab w:leader="none" w:pos="6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 S-25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used in connection with any offer for subscription or sale of the Notes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660" w:right="340" w:hanging="206"/>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660" w:right="40" w:hanging="206"/>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in a transaction that, in accordance with article L.411-2-II-1° -or-2° -or 3°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and article 211-2 of the General Regulations (</w:t>
      </w:r>
      <w:r>
        <w:rPr>
          <w:rFonts w:ascii="Arial" w:cs="Arial" w:eastAsia="Arial" w:hAnsi="Arial"/>
          <w:sz w:val="17"/>
          <w:szCs w:val="17"/>
          <w:i w:val="1"/>
          <w:iCs w:val="1"/>
          <w:color w:val="auto"/>
        </w:rPr>
        <w:t>Règlement Général</w:t>
      </w:r>
      <w:r>
        <w:rPr>
          <w:rFonts w:ascii="Arial" w:cs="Arial" w:eastAsia="Arial" w:hAnsi="Arial"/>
          <w:sz w:val="17"/>
          <w:szCs w:val="17"/>
          <w:color w:val="auto"/>
        </w:rPr>
        <w:t xml:space="preserve">)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does not constitute a public offer (</w:t>
      </w:r>
      <w:r>
        <w:rPr>
          <w:rFonts w:ascii="Arial" w:cs="Arial" w:eastAsia="Arial" w:hAnsi="Arial"/>
          <w:sz w:val="17"/>
          <w:szCs w:val="17"/>
          <w:i w:val="1"/>
          <w:iCs w:val="1"/>
          <w:color w:val="auto"/>
        </w:rPr>
        <w:t>appel public à l’épargne</w:t>
      </w:r>
      <w:r>
        <w:rPr>
          <w:rFonts w:ascii="Arial" w:cs="Arial" w:eastAsia="Arial" w:hAnsi="Arial"/>
          <w:sz w:val="17"/>
          <w:szCs w:val="17"/>
          <w:color w:val="auto"/>
        </w:rPr>
        <w:t>).</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660" w:right="22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660" w:right="24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9" w:lineRule="exact"/>
        <w:rPr>
          <w:sz w:val="20"/>
          <w:szCs w:val="20"/>
          <w:color w:val="auto"/>
        </w:rPr>
      </w:pPr>
    </w:p>
    <w:p>
      <w:pPr>
        <w:ind w:left="660" w:right="220" w:hanging="206"/>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Each purchaser of the Notes that is (1) an employee benefit plan subject to Title I of the Employee Retirement Income Security Act of 1974, as amended (“ERISA”), (2) a plan or account, including an individual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retirement account (an “IRA”), subject to Section 4975 of the Internal Revenue Code of 1986, as amended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87" w:lineRule="exact"/>
        <w:rPr>
          <w:sz w:val="20"/>
          <w:szCs w:val="20"/>
          <w:color w:val="auto"/>
        </w:rPr>
      </w:pPr>
    </w:p>
    <w:p>
      <w:pPr>
        <w:ind w:left="900" w:right="80" w:hanging="446"/>
        <w:spacing w:after="0" w:line="29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 a bank, an insurance carrier, a registered investment adviser, a registered broker-dealer or an independent fiduciary (other than a beneficiary of an IRA or a relative of such a beneficiary) with at least $50 million of assets under management or control as specified in 29 CFR</w:t>
      </w:r>
    </w:p>
    <w:p>
      <w:pPr>
        <w:ind w:left="900"/>
        <w:spacing w:after="0"/>
        <w:rPr>
          <w:rFonts w:ascii="Arial" w:cs="Arial" w:eastAsia="Arial" w:hAnsi="Arial"/>
          <w:sz w:val="16"/>
          <w:szCs w:val="16"/>
          <w:color w:val="auto"/>
        </w:rPr>
      </w:pPr>
      <w:r>
        <w:rPr>
          <w:rFonts w:ascii="Arial" w:cs="Arial" w:eastAsia="Arial" w:hAnsi="Arial"/>
          <w:sz w:val="18"/>
          <w:szCs w:val="18"/>
          <w:color w:val="auto"/>
        </w:rPr>
        <w:t>Section 2510.3-21(c)(1)(i);</w:t>
      </w:r>
    </w:p>
    <w:p>
      <w:pPr>
        <w:spacing w:after="0" w:line="116"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the issuer, each underwriter and their respective affiliates (the “Transaction Parties”);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75" w:lineRule="exact"/>
        <w:rPr>
          <w:rFonts w:ascii="Arial" w:cs="Arial" w:eastAsia="Arial" w:hAnsi="Arial"/>
          <w:sz w:val="18"/>
          <w:szCs w:val="18"/>
          <w:color w:val="auto"/>
        </w:rPr>
      </w:pPr>
    </w:p>
    <w:p>
      <w:pPr>
        <w:ind w:left="900" w:right="280" w:hanging="446"/>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29" w:lineRule="exact"/>
        <w:rPr>
          <w:rFonts w:ascii="Arial" w:cs="Arial" w:eastAsia="Arial" w:hAnsi="Arial"/>
          <w:sz w:val="16"/>
          <w:szCs w:val="16"/>
          <w:color w:val="auto"/>
        </w:rPr>
      </w:pPr>
    </w:p>
    <w:p>
      <w:pPr>
        <w:ind w:left="900" w:hanging="446"/>
        <w:spacing w:after="0" w:line="273"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2017, and the effectiveness of our internal control over financial reporting as of December 31, 2017, as set forth in their reports, which are incorporated by reference herein. Our financial statements are incorporated by reference in reliance on Ernst &amp; Young LLP’s reports, given on their authority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Form 10-K for the year ended December 31, 2017, filed on February 22, 2018, the Quarterly Report on Form 10-Q for the quarter ended March 31, 2018, filed on May 3, 2018, the sections of the Definitive Proxy Statement on Schedule 14A for the 2018 annual meeting of stockholders, filed on March 13, 2018 and incorporated by reference in the Annual Report on Form 10-K for the year ended December 31, 2017, the Current Reports on Form 8-K filed on January 22, 2018, April 13, 2018, May 1, 2018 and May 7, 2018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82"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Warrants</w:t>
      </w:r>
    </w:p>
    <w:p>
      <w:pPr>
        <w:spacing w:after="0" w:line="139" w:lineRule="exact"/>
        <w:rPr>
          <w:sz w:val="20"/>
          <w:szCs w:val="20"/>
          <w:color w:val="auto"/>
        </w:rPr>
      </w:pPr>
    </w:p>
    <w:p>
      <w:pPr>
        <w:sectPr>
          <w:pgSz w:w="11900" w:h="16838" w:orient="portrait"/>
          <w:cols w:equalWidth="0" w:num="4">
            <w:col w:w="80" w:space="280"/>
            <w:col w:w="4740" w:space="720"/>
            <w:col w:w="80" w:space="260"/>
            <w:col w:w="52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Units</w:t>
      </w:r>
    </w:p>
    <w:p>
      <w:pPr>
        <w:spacing w:after="0" w:line="139" w:lineRule="exact"/>
        <w:rPr>
          <w:sz w:val="20"/>
          <w:szCs w:val="20"/>
          <w:color w:val="auto"/>
        </w:rPr>
      </w:pPr>
    </w:p>
    <w:p>
      <w:pPr>
        <w:sectPr>
          <w:pgSz w:w="11900" w:h="16838" w:orient="portrait"/>
          <w:cols w:equalWidth="0" w:num="4">
            <w:col w:w="80" w:space="280"/>
            <w:col w:w="4740" w:space="720"/>
            <w:col w:w="80" w:space="280"/>
            <w:col w:w="5240"/>
          </w:cols>
          <w:pgMar w:left="240" w:top="459" w:right="239" w:bottom="1440" w:gutter="0" w:footer="0" w:header="0"/>
          <w:type w:val="continuous"/>
        </w:sect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20"/>
              <w:spacing w:after="0"/>
              <w:rPr>
                <w:sz w:val="20"/>
                <w:szCs w:val="20"/>
                <w:color w:val="auto"/>
              </w:rPr>
            </w:pPr>
            <w:r>
              <w:rPr>
                <w:rFonts w:ascii="Arial" w:cs="Arial" w:eastAsia="Arial" w:hAnsi="Arial"/>
                <w:sz w:val="18"/>
                <w:szCs w:val="18"/>
                <w:color w:val="auto"/>
              </w:rPr>
              <w:t>Amount payable at maturity</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23, 2016, the reported last sale price on The NASDAQ Global Select Market for our common stock was $52.24.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24, 2016</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8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040" w:type="dxa"/>
            <w:vAlign w:val="bottom"/>
            <w:gridSpan w:val="2"/>
            <w:vMerge w:val="restart"/>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The Company</w:t>
              </w:r>
            </w:hyperlink>
          </w:p>
        </w:tc>
        <w:tc>
          <w:tcPr>
            <w:tcW w:w="3060" w:type="dxa"/>
            <w:vAlign w:val="bottom"/>
            <w:gridSpan w:val="12"/>
            <w:vMerge w:val="restart"/>
          </w:tcPr>
          <w:p>
            <w:pPr>
              <w:spacing w:after="0"/>
              <w:rPr>
                <w:sz w:val="24"/>
                <w:szCs w:val="24"/>
                <w:color w:val="auto"/>
              </w:rPr>
            </w:pPr>
          </w:p>
        </w:tc>
        <w:tc>
          <w:tcPr>
            <w:tcW w:w="69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0000EE"/>
            </w:tcBorders>
            <w:gridSpan w:val="2"/>
            <w:vMerge w:val="continue"/>
          </w:tcPr>
          <w:p>
            <w:pPr>
              <w:spacing w:after="0"/>
              <w:rPr>
                <w:sz w:val="13"/>
                <w:szCs w:val="13"/>
                <w:color w:val="auto"/>
              </w:rPr>
            </w:pPr>
          </w:p>
        </w:tc>
        <w:tc>
          <w:tcPr>
            <w:tcW w:w="3060" w:type="dxa"/>
            <w:vAlign w:val="bottom"/>
            <w:gridSpan w:val="12"/>
            <w:vMerge w:val="continue"/>
          </w:tcPr>
          <w:p>
            <w:pPr>
              <w:spacing w:after="0"/>
              <w:rPr>
                <w:sz w:val="13"/>
                <w:szCs w:val="13"/>
                <w:color w:val="auto"/>
              </w:rPr>
            </w:pPr>
          </w:p>
        </w:tc>
        <w:tc>
          <w:tcPr>
            <w:tcW w:w="698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0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About this Prospectus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Where You Can Find More Information</w:t>
              </w:r>
            </w:hyperlink>
          </w:p>
        </w:tc>
        <w:tc>
          <w:tcPr>
            <w:tcW w:w="122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Notice Regarding Forward-Looking Statements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0"/>
          </w:tcPr>
          <w:p>
            <w:pPr>
              <w:spacing w:after="0"/>
              <w:rPr>
                <w:sz w:val="17"/>
                <w:szCs w:val="17"/>
                <w:color w:val="auto"/>
              </w:rPr>
            </w:pPr>
          </w:p>
        </w:tc>
        <w:tc>
          <w:tcPr>
            <w:tcW w:w="66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Ratios of Earnings to Fixed Charges</w:t>
              </w:r>
            </w:hyperlink>
          </w:p>
        </w:tc>
        <w:tc>
          <w:tcPr>
            <w:tcW w:w="148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Description of Debt Securities</w:t>
              </w:r>
            </w:hyperlink>
          </w:p>
        </w:tc>
        <w:tc>
          <w:tcPr>
            <w:tcW w:w="190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Description of Warrants</w:t>
              </w:r>
            </w:hyperlink>
          </w:p>
        </w:tc>
        <w:tc>
          <w:tcPr>
            <w:tcW w:w="236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Description of Units</w:t>
              </w:r>
            </w:hyperlink>
          </w:p>
        </w:tc>
        <w:tc>
          <w:tcPr>
            <w:tcW w:w="2620" w:type="dxa"/>
            <w:vAlign w:val="bottom"/>
            <w:gridSpan w:val="8"/>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Forms of Securities</w:t>
              </w:r>
            </w:hyperlink>
          </w:p>
        </w:tc>
        <w:tc>
          <w:tcPr>
            <w:tcW w:w="26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Plan of Distribution</w:t>
              </w:r>
            </w:hyperlink>
          </w:p>
        </w:tc>
        <w:tc>
          <w:tcPr>
            <w:tcW w:w="266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Validity of Securities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52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314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314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jc w:val="both"/>
        <w:ind w:left="200" w:right="640" w:firstLine="441"/>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Securities Exchange Act of 1934, as amended (the “Exchange Act”) prior to the termination of the offering under this prospectus.</w:t>
      </w:r>
    </w:p>
    <w:p>
      <w:pPr>
        <w:spacing w:after="0" w:line="17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5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we, our customers or our suppliers operate;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29"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Instability in the global credit and financial markets that affects our ability to fund our daily operations, invest in our business, make strategic acquisitions, repurchase outstanding shares of our common stock, or make principal and interest payments on our debt;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27.3x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55.9x</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January 31, 2016, there were 1,008,975,790 shares of common stock outstanding which were held of record by 15,458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2 North LaSalle Street, Chicago, Illinois 60602.</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2016,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is first made.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71"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5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Certain Definitions</w:t>
      </w:r>
      <w:r>
        <w:rPr>
          <w:rFonts w:ascii="Arial" w:cs="Arial" w:eastAsia="Arial" w:hAnsi="Arial"/>
          <w:sz w:val="17"/>
          <w:szCs w:val="17"/>
          <w:color w:val="auto"/>
        </w:rPr>
        <w:t>. The term “attributable debt” in respect of a sale and leaseback transaction means, at the time of determination, the lesser of (1)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 money borrowed (which, including guarantees of debt for borrowed money, we refer to as “debt”), if the debt is secured by a mortgage, pledge, lien or other encumbrance (which we refer to as a “mortgage”) upon any principal manufacturing property (whether such principal manufacturing property is now owned or subsequently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mortgages on property existing at the time of or within 120 days after acquisition of the property and certain purchase money mortgages;</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93"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Restrictions on Sale and Leaseback Transactions</w:t>
      </w:r>
      <w:r>
        <w:rPr>
          <w:rFonts w:ascii="Arial" w:cs="Arial" w:eastAsia="Arial" w:hAnsi="Arial"/>
          <w:sz w:val="17"/>
          <w:szCs w:val="17"/>
          <w:color w:val="auto"/>
        </w:rPr>
        <w:t>. The indenture provides that, unless as may otherwise be indicated by resolution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77" w:lineRule="exact"/>
        <w:rPr>
          <w:sz w:val="20"/>
          <w:szCs w:val="20"/>
          <w:color w:val="auto"/>
        </w:rPr>
      </w:pPr>
    </w:p>
    <w:p>
      <w:pPr>
        <w:ind w:left="900" w:right="14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and we elect to designate such amount as a credit against such transaction, or</w:t>
      </w:r>
    </w:p>
    <w:p>
      <w:pPr>
        <w:spacing w:after="0" w:line="142" w:lineRule="exact"/>
        <w:rPr>
          <w:rFonts w:ascii="Arial" w:cs="Arial" w:eastAsia="Arial" w:hAnsi="Arial"/>
          <w:sz w:val="17"/>
          <w:szCs w:val="17"/>
          <w:color w:val="auto"/>
        </w:rPr>
      </w:pPr>
    </w:p>
    <w:p>
      <w:pPr>
        <w:ind w:left="1460" w:right="260" w:hanging="547"/>
        <w:spacing w:after="0" w:line="277" w:lineRule="auto"/>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76" w:lineRule="exact"/>
        <w:rPr>
          <w:sz w:val="20"/>
          <w:szCs w:val="20"/>
          <w:color w:val="auto"/>
        </w:rPr>
      </w:pPr>
    </w:p>
    <w:p>
      <w:pPr>
        <w:ind w:left="900" w:hanging="446"/>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900" w:right="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900" w:right="440" w:hanging="446"/>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5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53" w:lineRule="exact"/>
        <w:rPr>
          <w:rFonts w:ascii="Arial" w:cs="Arial" w:eastAsia="Arial" w:hAnsi="Arial"/>
          <w:sz w:val="16"/>
          <w:szCs w:val="16"/>
          <w:color w:val="auto"/>
        </w:rPr>
      </w:pPr>
    </w:p>
    <w:p>
      <w:pPr>
        <w:ind w:left="1460" w:right="40" w:hanging="547"/>
        <w:spacing w:after="0" w:line="277"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7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4"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900" w:right="2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92" w:lineRule="exact"/>
        <w:rPr>
          <w:sz w:val="20"/>
          <w:szCs w:val="20"/>
          <w:color w:val="auto"/>
        </w:rPr>
      </w:pPr>
    </w:p>
    <w:p>
      <w:pPr>
        <w:ind w:left="900" w:hanging="446"/>
        <w:spacing w:after="0" w:line="290"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71"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extends the stated maturity of the principal of, or the time of payment of any installment of interest on, any debt securities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waives a default in respect of a covenant or provision which cannot be modified or amended without the consent of each affected holder.</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securities based on the value, rate or price of one or more specified commodities, currencies, securities or indices, or any combination of the</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Registered Global Securities</w:t>
      </w:r>
      <w:r>
        <w:rPr>
          <w:rFonts w:ascii="Arial" w:cs="Arial" w:eastAsia="Arial" w:hAnsi="Arial"/>
          <w:sz w:val="17"/>
          <w:szCs w:val="17"/>
          <w:color w:val="auto"/>
        </w:rPr>
        <w:t>. We may issue the registered debt securities, warrants and units in the form of one or more fully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54"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into this prospectus and elsewhere in the registration statement.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548640</wp:posOffset>
            </wp:positionV>
            <wp:extent cx="2864485" cy="660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$200,000,000 4.150% Notes due 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894715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317500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Citigroup</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580"/>
        <w:spacing w:after="0"/>
        <w:rPr>
          <w:sz w:val="20"/>
          <w:szCs w:val="20"/>
          <w:color w:val="auto"/>
        </w:rPr>
      </w:pPr>
      <w:r>
        <w:rPr>
          <w:rFonts w:ascii="Arial" w:cs="Arial" w:eastAsia="Arial" w:hAnsi="Arial"/>
          <w:sz w:val="32"/>
          <w:szCs w:val="32"/>
          <w:b w:val="1"/>
          <w:bCs w:val="1"/>
          <w:color w:val="auto"/>
        </w:rPr>
        <w:t>Mizuho Securities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Morgan Stanley</w:t>
      </w:r>
    </w:p>
    <w:p>
      <w:pPr>
        <w:spacing w:after="0" w:line="158" w:lineRule="exact"/>
        <w:rPr>
          <w:sz w:val="20"/>
          <w:szCs w:val="20"/>
          <w:color w:val="auto"/>
        </w:rPr>
      </w:pPr>
    </w:p>
    <w:p>
      <w:pPr>
        <w:sectPr>
          <w:pgSz w:w="11900" w:h="16838" w:orient="portrait"/>
          <w:cols w:equalWidth="0" w:num="3">
            <w:col w:w="3160" w:space="720"/>
            <w:col w:w="4360" w:space="720"/>
            <w:col w:w="2460"/>
          </w:cols>
          <w:pgMar w:left="240" w:top="459" w:right="239" w:bottom="1440" w:gutter="0" w:footer="0" w:header="0"/>
          <w:type w:val="continuous"/>
        </w:sectPr>
      </w:pPr>
    </w:p>
    <w:p>
      <w:pPr>
        <w:spacing w:after="0"/>
        <w:rPr>
          <w:sz w:val="20"/>
          <w:szCs w:val="20"/>
          <w:color w:val="auto"/>
        </w:rPr>
      </w:pPr>
      <w:r>
        <w:rPr>
          <w:rFonts w:ascii="Arial" w:cs="Arial" w:eastAsia="Arial" w:hAnsi="Arial"/>
          <w:sz w:val="28"/>
          <w:szCs w:val="28"/>
          <w:b w:val="1"/>
          <w:bCs w:val="1"/>
          <w:color w:val="auto"/>
        </w:rPr>
        <w:t>Barclays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0"/>
          <w:szCs w:val="30"/>
          <w:b w:val="1"/>
          <w:bCs w:val="1"/>
          <w:color w:val="auto"/>
        </w:rPr>
        <w:t>BofA Merrill Lynch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auto"/>
        </w:rPr>
        <w:t>MUFG</w:t>
      </w:r>
    </w:p>
    <w:p>
      <w:pPr>
        <w:spacing w:after="0" w:line="200" w:lineRule="exact"/>
        <w:rPr>
          <w:sz w:val="20"/>
          <w:szCs w:val="20"/>
          <w:color w:val="auto"/>
        </w:rPr>
      </w:pPr>
    </w:p>
    <w:p>
      <w:pPr>
        <w:sectPr>
          <w:pgSz w:w="11900" w:h="16838" w:orient="portrait"/>
          <w:cols w:equalWidth="0" w:num="4">
            <w:col w:w="2380" w:space="720"/>
            <w:col w:w="3580" w:space="720"/>
            <w:col w:w="2300" w:space="720"/>
            <w:col w:w="1000"/>
          </w:cols>
          <w:pgMar w:left="240" w:top="459" w:right="239" w:bottom="1440" w:gutter="0" w:footer="0" w:header="0"/>
          <w:type w:val="continuous"/>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Co-Managers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Bancorp</w:t>
      </w:r>
    </w:p>
    <w:p>
      <w:pPr>
        <w:spacing w:after="0" w:line="4"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The Williams Capital Group, L.P.</w:t>
      </w:r>
    </w:p>
    <w:p>
      <w:pPr>
        <w:ind w:left="7200"/>
        <w:spacing w:after="0" w:line="230" w:lineRule="auto"/>
        <w:rPr>
          <w:sz w:val="20"/>
          <w:szCs w:val="20"/>
          <w:color w:val="auto"/>
        </w:rPr>
      </w:pPr>
      <w:r>
        <w:rPr>
          <w:rFonts w:ascii="Arial" w:cs="Arial" w:eastAsia="Arial" w:hAnsi="Arial"/>
          <w:sz w:val="22"/>
          <w:szCs w:val="22"/>
          <w:b w:val="1"/>
          <w:bCs w:val="1"/>
          <w:color w:val="auto"/>
        </w:rPr>
        <w:t>BNP PARIBAS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759460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819150</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lowerRoman"/>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lvl w:ilvl="1">
      <w:lvlJc w:val="left"/>
      <w:lvlText w:val="(%2)"/>
      <w:numFmt w:val="decimal"/>
      <w:start w:val="1"/>
    </w:lvl>
  </w:abstractNum>
  <w:abstractNum w:abstractNumId="12">
    <w:nsid w:val="2901D82"/>
    <w:multiLevelType w:val="hybridMultilevel"/>
    <w:lvl w:ilvl="0">
      <w:lvlJc w:val="left"/>
      <w:lvlText w:val="•"/>
      <w:numFmt w:val="bullet"/>
      <w:start w:val="1"/>
    </w:lvl>
    <w:lvl w:ilvl="1">
      <w:lvlJc w:val="left"/>
      <w:lvlText w:val="(%2)"/>
      <w:numFmt w:val="decimal"/>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lowerRoman"/>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lvl w:ilvl="1">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lvl w:ilvl="1">
      <w:lvlJc w:val="left"/>
      <w:lvlText w:val="•"/>
      <w:numFmt w:val="bullet"/>
      <w:start w:val="1"/>
    </w:lvl>
  </w:abstractNum>
  <w:abstractNum w:abstractNumId="37">
    <w:nsid w:val="3855585C"/>
    <w:multiLevelType w:val="hybridMultilevel"/>
    <w:lvl w:ilvl="0">
      <w:lvlJc w:val="left"/>
      <w:lvlText w:val="•"/>
      <w:numFmt w:val="bullet"/>
      <w:start w:val="1"/>
    </w:lvl>
    <w:lvl w:ilvl="1">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2019-12-05T09:36:47Z</dcterms:created>
  <dcterms:modified xsi:type="dcterms:W3CDTF">2019-12-05T09:36:47Z</dcterms:modified>
</cp:coreProperties>
</file>