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19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197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51"/>
        <w:spacing w:after="0"/>
        <w:rPr>
          <w:sz w:val="20"/>
          <w:szCs w:val="20"/>
          <w:color w:val="auto"/>
        </w:rPr>
      </w:pPr>
      <w:r>
        <w:rPr>
          <w:rFonts w:ascii="Arial" w:cs="Arial" w:eastAsia="Arial" w:hAnsi="Arial"/>
          <w:sz w:val="17"/>
          <w:szCs w:val="17"/>
          <w:color w:val="0000FF"/>
        </w:rPr>
        <w:t>Sr. Vice President &amp; CFO</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01/28/2015</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95"/>
                <w:vertAlign w:val="subscript"/>
              </w:rPr>
              <w:t>A</w:t>
            </w:r>
            <w:r>
              <w:rPr>
                <w:rFonts w:ascii="Arial" w:cs="Arial" w:eastAsia="Arial" w:hAnsi="Arial"/>
                <w:sz w:val="11"/>
                <w:szCs w:val="11"/>
                <w:color w:val="008000"/>
                <w:w w:val="95"/>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25,028</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377,060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01/30/2015</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10,834</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54.2121</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366,226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43.11</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2,020.03</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 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19"/>
              <w:spacing w:after="0"/>
              <w:rPr>
                <w:sz w:val="20"/>
                <w:szCs w:val="20"/>
                <w:color w:val="auto"/>
              </w:rPr>
            </w:pPr>
            <w:r>
              <w:rPr>
                <w:rFonts w:ascii="Arial" w:cs="Arial" w:eastAsia="Arial" w:hAnsi="Arial"/>
                <w:sz w:val="12"/>
                <w:szCs w:val="12"/>
                <w:b w:val="1"/>
                <w:bCs w:val="1"/>
                <w:color w:val="auto"/>
                <w:w w:val="99"/>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Transaction</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19"/>
              <w:spacing w:after="0" w:line="133" w:lineRule="exact"/>
              <w:rPr>
                <w:sz w:val="20"/>
                <w:szCs w:val="20"/>
                <w:color w:val="auto"/>
              </w:rPr>
            </w:pPr>
            <w:r>
              <w:rPr>
                <w:rFonts w:ascii="Arial" w:cs="Arial" w:eastAsia="Arial" w:hAnsi="Arial"/>
                <w:sz w:val="12"/>
                <w:szCs w:val="12"/>
                <w:b w:val="1"/>
                <w:bCs w:val="1"/>
                <w:color w:val="auto"/>
                <w:w w:val="93"/>
              </w:rPr>
              <w:t>8)</w:t>
            </w: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53.94</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01/28/2015</w:t>
            </w:r>
          </w:p>
        </w:tc>
        <w:tc>
          <w:tcPr>
            <w:tcW w:w="1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180"/>
              <w:spacing w:after="0"/>
              <w:rPr>
                <w:sz w:val="20"/>
                <w:szCs w:val="20"/>
                <w:color w:val="auto"/>
              </w:rPr>
            </w:pPr>
            <w:r>
              <w:rPr>
                <w:rFonts w:ascii="Arial" w:cs="Arial" w:eastAsia="Arial" w:hAnsi="Arial"/>
                <w:sz w:val="13"/>
                <w:szCs w:val="13"/>
                <w:color w:val="0000FF"/>
              </w:rPr>
              <w:t>142,285</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20" w:type="dxa"/>
            <w:vAlign w:val="bottom"/>
          </w:tcPr>
          <w:p>
            <w:pPr>
              <w:ind w:left="40"/>
              <w:spacing w:after="0"/>
              <w:rPr>
                <w:sz w:val="20"/>
                <w:szCs w:val="20"/>
                <w:color w:val="auto"/>
              </w:rPr>
            </w:pPr>
            <w:r>
              <w:rPr>
                <w:rFonts w:ascii="Arial" w:cs="Arial" w:eastAsia="Arial" w:hAnsi="Arial"/>
                <w:sz w:val="13"/>
                <w:szCs w:val="13"/>
                <w:color w:val="0000FF"/>
              </w:rPr>
              <w:t>01/28/2025</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142,285</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142,285</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8" w:lineRule="exact"/>
        <w:rPr>
          <w:rFonts w:ascii="Arial" w:cs="Arial" w:eastAsia="Arial" w:hAnsi="Arial"/>
          <w:sz w:val="13"/>
          <w:szCs w:val="13"/>
          <w:color w:val="008000"/>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$53.99 to $54.57.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12-31-2014. (Interests in this account are denominated in units. Consequently, share amount shown is an estimate.) This statement does not include changes in beneficial ownership of shares held in this account occurring after 12-31-2014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12-31-2014. (Interests in this account are denominated in units. Consequently, share amount shown is an estimate.) This statement does not include changes in beneficial ownership of shares held in such account occurring after 12-31-2014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2016.</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2019-12-23T20:45:45Z</dcterms:created>
  <dcterms:modified xsi:type="dcterms:W3CDTF">2019-12-23T20:45:45Z</dcterms:modified>
</cp:coreProperties>
</file>