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960"/>
        <w:spacing w:after="0"/>
        <w:rPr>
          <w:sz w:val="20"/>
          <w:szCs w:val="20"/>
          <w:color w:val="auto"/>
        </w:rPr>
      </w:pPr>
      <w:r>
        <w:rPr>
          <w:rFonts w:ascii="Courier New" w:cs="Courier New" w:eastAsia="Courier New" w:hAnsi="Courier New"/>
          <w:sz w:val="18"/>
          <w:szCs w:val="18"/>
          <w:color w:val="auto"/>
        </w:rPr>
        <w:t>October 17, 1996</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Division of Corporate Finance</w:t>
      </w:r>
    </w:p>
    <w:p>
      <w:pPr>
        <w:spacing w:after="0"/>
        <w:rPr>
          <w:sz w:val="20"/>
          <w:szCs w:val="20"/>
          <w:color w:val="auto"/>
        </w:rPr>
      </w:pPr>
      <w:r>
        <w:rPr>
          <w:rFonts w:ascii="Courier New" w:cs="Courier New" w:eastAsia="Courier New" w:hAnsi="Courier New"/>
          <w:sz w:val="18"/>
          <w:szCs w:val="18"/>
          <w:color w:val="auto"/>
        </w:rPr>
        <w:t>Mail Stop 3-10</w:t>
      </w:r>
    </w:p>
    <w:p>
      <w:pPr>
        <w:spacing w:after="0" w:line="237" w:lineRule="auto"/>
        <w:rPr>
          <w:sz w:val="20"/>
          <w:szCs w:val="20"/>
          <w:color w:val="auto"/>
        </w:rPr>
      </w:pPr>
      <w:r>
        <w:rPr>
          <w:rFonts w:ascii="Courier New" w:cs="Courier New" w:eastAsia="Courier New" w:hAnsi="Courier New"/>
          <w:sz w:val="18"/>
          <w:szCs w:val="18"/>
          <w:color w:val="auto"/>
        </w:rPr>
        <w:t>450 Fifth Street, N.W.</w:t>
      </w:r>
    </w:p>
    <w:p>
      <w:pPr>
        <w:spacing w:after="0" w:line="238" w:lineRule="auto"/>
        <w:tabs>
          <w:tab w:leader="none" w:pos="1880" w:val="left"/>
        </w:tabs>
        <w:rPr>
          <w:sz w:val="20"/>
          <w:szCs w:val="20"/>
          <w:color w:val="auto"/>
        </w:rPr>
      </w:pPr>
      <w:r>
        <w:rPr>
          <w:rFonts w:ascii="Courier New" w:cs="Courier New" w:eastAsia="Courier New" w:hAnsi="Courier New"/>
          <w:sz w:val="18"/>
          <w:szCs w:val="18"/>
          <w:color w:val="auto"/>
        </w:rPr>
        <w:t>Washington, D.C.</w:t>
        <w:tab/>
        <w:t>20549</w:t>
      </w:r>
    </w:p>
    <w:p>
      <w:pPr>
        <w:spacing w:after="0" w:line="202"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Attention:</w:t>
        <w:tab/>
        <w:t>Steven Duvall</w:t>
      </w:r>
    </w:p>
    <w:p>
      <w:pPr>
        <w:ind w:left="1280"/>
        <w:spacing w:after="0" w:line="238" w:lineRule="auto"/>
        <w:rPr>
          <w:sz w:val="20"/>
          <w:szCs w:val="20"/>
          <w:color w:val="auto"/>
        </w:rPr>
      </w:pPr>
      <w:r>
        <w:rPr>
          <w:rFonts w:ascii="Courier New" w:cs="Courier New" w:eastAsia="Courier New" w:hAnsi="Courier New"/>
          <w:sz w:val="18"/>
          <w:szCs w:val="18"/>
          <w:color w:val="auto"/>
        </w:rPr>
        <w:t>Assistant Director</w:t>
      </w:r>
    </w:p>
    <w:p>
      <w:pPr>
        <w:spacing w:after="0" w:line="202" w:lineRule="exact"/>
        <w:rPr>
          <w:sz w:val="24"/>
          <w:szCs w:val="24"/>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Re:</w:t>
      </w:r>
      <w:r>
        <w:rPr>
          <w:sz w:val="20"/>
          <w:szCs w:val="20"/>
          <w:color w:val="auto"/>
        </w:rPr>
        <w:tab/>
      </w:r>
      <w:r>
        <w:rPr>
          <w:rFonts w:ascii="Courier New" w:cs="Courier New" w:eastAsia="Courier New" w:hAnsi="Courier New"/>
          <w:sz w:val="18"/>
          <w:szCs w:val="18"/>
          <w:color w:val="auto"/>
        </w:rPr>
        <w:t>Withdrawal of Texas Instruments Financial Trust</w:t>
      </w:r>
    </w:p>
    <w:p>
      <w:pPr>
        <w:ind w:left="640"/>
        <w:spacing w:after="0" w:line="238" w:lineRule="auto"/>
        <w:rPr>
          <w:sz w:val="20"/>
          <w:szCs w:val="20"/>
          <w:color w:val="auto"/>
        </w:rPr>
      </w:pPr>
      <w:r>
        <w:rPr>
          <w:rFonts w:ascii="Courier New" w:cs="Courier New" w:eastAsia="Courier New" w:hAnsi="Courier New"/>
          <w:sz w:val="18"/>
          <w:szCs w:val="18"/>
          <w:color w:val="auto"/>
        </w:rPr>
        <w:t>Form S-3 Registration Statement No. 333-07127</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Dear Mr. Duvall:</w:t>
      </w:r>
    </w:p>
    <w:p>
      <w:pPr>
        <w:spacing w:after="0" w:line="207"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Texas Instruments Financial Trust (the "Trust") hereby applies to withdraw the above referenced registration statement contemplating the issuance of preferred securities of the Trust, junior subordinated deferrable interest debentures of Texas Instruments Incorporated (the "Company"), and common stock of the Company issuable upon conversion of the debentures.</w:t>
      </w:r>
    </w:p>
    <w:p>
      <w:pPr>
        <w:spacing w:after="0" w:line="210" w:lineRule="exact"/>
        <w:rPr>
          <w:sz w:val="24"/>
          <w:szCs w:val="24"/>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Pursuant to an agreement with the Staff, the Company is amending its Form S-3 Registration Statement No. 333-07127 to convert the filing to cover shares of the Company's common stock to be issued under the Company's 1996 Long-Term Incentive Plan.</w:t>
      </w:r>
    </w:p>
    <w:p>
      <w:pPr>
        <w:spacing w:after="0" w:line="207" w:lineRule="exact"/>
        <w:rPr>
          <w:sz w:val="24"/>
          <w:szCs w:val="24"/>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The grounds upon which the Trust makes this application for withdrawal are as follows. The Trust and the Company had contemplated issuing equity-linked securities in connection with possible acquisitions by the Company. The Company did acquire Silicon Systems, Inc., in July. However, market conditions for an equity-linked security of Texas Instruments had deteriorated from the conditions envisioned at the time of filing of the registration statement and the Company issued debt under a previously existing shelf registration statement in order to finance the acquisition.</w:t>
      </w:r>
    </w:p>
    <w:p>
      <w:pPr>
        <w:spacing w:after="0" w:line="200" w:lineRule="exact"/>
        <w:rPr>
          <w:sz w:val="24"/>
          <w:szCs w:val="24"/>
          <w:color w:val="auto"/>
        </w:rPr>
      </w:pPr>
    </w:p>
    <w:p>
      <w:pPr>
        <w:spacing w:after="0" w:line="21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October 17, 1996</w:t>
      </w:r>
    </w:p>
    <w:p>
      <w:pPr>
        <w:spacing w:after="0"/>
        <w:rPr>
          <w:sz w:val="20"/>
          <w:szCs w:val="20"/>
          <w:color w:val="auto"/>
        </w:rPr>
      </w:pPr>
      <w:r>
        <w:rPr>
          <w:rFonts w:ascii="Courier New" w:cs="Courier New" w:eastAsia="Courier New" w:hAnsi="Courier New"/>
          <w:sz w:val="18"/>
          <w:szCs w:val="18"/>
          <w:color w:val="auto"/>
        </w:rPr>
        <w:t>Page 2</w:t>
      </w: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ind w:right="3479"/>
        <w:spacing w:after="0" w:line="290" w:lineRule="auto"/>
        <w:rPr>
          <w:sz w:val="20"/>
          <w:szCs w:val="20"/>
          <w:color w:val="auto"/>
        </w:rPr>
      </w:pPr>
      <w:r>
        <w:rPr>
          <w:rFonts w:ascii="Courier New" w:cs="Courier New" w:eastAsia="Courier New" w:hAnsi="Courier New"/>
          <w:sz w:val="16"/>
          <w:szCs w:val="16"/>
          <w:color w:val="auto"/>
        </w:rPr>
        <w:t>Accordingly, the Trust no longer intends to issue the securities contemplated by the above referenced registration statement.</w:t>
      </w:r>
    </w:p>
    <w:p>
      <w:pPr>
        <w:spacing w:after="0" w:line="170" w:lineRule="exact"/>
        <w:rPr>
          <w:sz w:val="24"/>
          <w:szCs w:val="24"/>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If you have any questions, please contact me at 972-995-1309 or John Gilhooly at 972-995-5871.</w:t>
      </w:r>
    </w:p>
    <w:p>
      <w:pPr>
        <w:spacing w:after="0" w:line="203"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/s/ DEBORAH E. BARTLETT</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ind w:left="3700"/>
        <w:spacing w:after="0"/>
        <w:rPr>
          <w:sz w:val="20"/>
          <w:szCs w:val="20"/>
          <w:color w:val="auto"/>
        </w:rPr>
      </w:pPr>
      <w:r>
        <w:rPr>
          <w:rFonts w:ascii="Courier New" w:cs="Courier New" w:eastAsia="Courier New" w:hAnsi="Courier New"/>
          <w:sz w:val="18"/>
          <w:szCs w:val="18"/>
          <w:color w:val="auto"/>
        </w:rPr>
        <w:t>Deborah E. Bartlett</w:t>
      </w:r>
    </w:p>
    <w:p>
      <w:pPr>
        <w:ind w:left="3700"/>
        <w:spacing w:after="0" w:line="237" w:lineRule="auto"/>
        <w:rPr>
          <w:sz w:val="20"/>
          <w:szCs w:val="20"/>
          <w:color w:val="auto"/>
        </w:rPr>
      </w:pPr>
      <w:r>
        <w:rPr>
          <w:rFonts w:ascii="Courier New" w:cs="Courier New" w:eastAsia="Courier New" w:hAnsi="Courier New"/>
          <w:sz w:val="18"/>
          <w:szCs w:val="18"/>
          <w:color w:val="auto"/>
        </w:rPr>
        <w:t>Legal Counsel</w:t>
      </w:r>
    </w:p>
    <w:p>
      <w:pPr>
        <w:spacing w:after="0" w:line="202" w:lineRule="exact"/>
        <w:rPr>
          <w:sz w:val="24"/>
          <w:szCs w:val="24"/>
          <w:color w:val="auto"/>
        </w:rPr>
      </w:pPr>
    </w:p>
    <w:p>
      <w:pPr>
        <w:ind w:left="540" w:hanging="532"/>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 Kathleen Haller</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Securities and Exchange Commission</w:t>
      </w:r>
    </w:p>
    <w:sectPr>
      <w:pgSz w:w="11900" w:h="16838" w:orient="portrait"/>
      <w:cols w:equalWidth="0" w:num="1">
        <w:col w:w="10219"/>
      </w:cols>
      <w:pgMar w:left="240" w:top="85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2019-12-13T07:45:38Z</dcterms:created>
  <dcterms:modified xsi:type="dcterms:W3CDTF">2019-12-13T07:45:38Z</dcterms:modified>
</cp:coreProperties>
</file>