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62"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143510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300"/>
        <w:spacing w:after="0" w:line="29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4" w:lineRule="exact"/>
        <w:rPr>
          <w:sz w:val="24"/>
          <w:szCs w:val="24"/>
          <w:color w:val="auto"/>
        </w:rPr>
      </w:pPr>
    </w:p>
    <w:p>
      <w:pPr>
        <w:ind w:right="4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12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280"/>
              <w:spacing w:after="0"/>
              <w:rPr>
                <w:sz w:val="20"/>
                <w:szCs w:val="20"/>
                <w:color w:val="auto"/>
              </w:rPr>
            </w:pPr>
            <w:r>
              <w:rPr>
                <w:rFonts w:ascii="Arial" w:cs="Arial" w:eastAsia="Arial" w:hAnsi="Arial"/>
                <w:sz w:val="18"/>
                <w:szCs w:val="18"/>
                <w:color w:val="auto"/>
              </w:rPr>
              <w:t>Accelerated filer</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08"/>
        </w:trPr>
        <w:tc>
          <w:tcPr>
            <w:tcW w:w="2220" w:type="dxa"/>
            <w:vAlign w:val="bottom"/>
            <w:vMerge w:val="continue"/>
          </w:tcPr>
          <w:p>
            <w:pPr>
              <w:spacing w:after="0"/>
              <w:rPr>
                <w:sz w:val="9"/>
                <w:szCs w:val="9"/>
                <w:color w:val="auto"/>
              </w:rPr>
            </w:pPr>
          </w:p>
        </w:tc>
        <w:tc>
          <w:tcPr>
            <w:tcW w:w="5120" w:type="dxa"/>
            <w:vAlign w:val="bottom"/>
            <w:vMerge w:val="continue"/>
          </w:tcPr>
          <w:p>
            <w:pPr>
              <w:spacing w:after="0"/>
              <w:rPr>
                <w:sz w:val="9"/>
                <w:szCs w:val="9"/>
                <w:color w:val="auto"/>
              </w:rPr>
            </w:pPr>
          </w:p>
        </w:tc>
        <w:tc>
          <w:tcPr>
            <w:tcW w:w="38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280"/>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1"/>
        </w:trPr>
        <w:tc>
          <w:tcPr>
            <w:tcW w:w="11180" w:type="dxa"/>
            <w:vAlign w:val="bottom"/>
            <w:gridSpan w:val="3"/>
          </w:tcPr>
          <w:p>
            <w:pPr>
              <w:ind w:left="4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 new</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0"/>
        </w:trPr>
        <w:tc>
          <w:tcPr>
            <w:tcW w:w="7340" w:type="dxa"/>
            <w:vAlign w:val="bottom"/>
            <w:gridSpan w:val="2"/>
          </w:tcPr>
          <w:p>
            <w:pPr>
              <w:ind w:left="40"/>
              <w:spacing w:after="0"/>
              <w:rPr>
                <w:sz w:val="20"/>
                <w:szCs w:val="20"/>
                <w:color w:val="auto"/>
              </w:rPr>
            </w:pPr>
            <w:r>
              <w:rPr>
                <w:rFonts w:ascii="Arial" w:cs="Arial" w:eastAsia="Arial" w:hAnsi="Arial"/>
                <w:sz w:val="18"/>
                <w:szCs w:val="18"/>
                <w:color w:val="auto"/>
                <w:w w:val="94"/>
              </w:rPr>
              <w:t>or revised financial accounting standards provided pursuant to Section 13(a) of the Exchange Act</w:t>
            </w: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5260" w:right="1980" w:hanging="5255"/>
        <w:spacing w:after="0" w:line="231"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8"/>
          <w:szCs w:val="18"/>
          <w:color w:val="auto"/>
        </w:rPr>
        <w:t>960,543,238</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October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4"/>
              </w:rPr>
              <w:t>For Three Months</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93"/>
              </w:rPr>
              <w:t>Ended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Nine Months Ended</w:t>
            </w:r>
          </w:p>
        </w:tc>
      </w:tr>
      <w:tr>
        <w:trPr>
          <w:trHeight w:val="219"/>
        </w:trPr>
        <w:tc>
          <w:tcPr>
            <w:tcW w:w="74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160" w:type="dxa"/>
            <w:vAlign w:val="bottom"/>
          </w:tcPr>
          <w:p>
            <w:pPr>
              <w:spacing w:after="0"/>
              <w:rPr>
                <w:sz w:val="19"/>
                <w:szCs w:val="19"/>
                <w:color w:val="auto"/>
              </w:rPr>
            </w:pPr>
          </w:p>
        </w:tc>
        <w:tc>
          <w:tcPr>
            <w:tcW w:w="19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9"/>
                <w:szCs w:val="19"/>
                <w:color w:val="auto"/>
              </w:rPr>
            </w:pPr>
          </w:p>
        </w:tc>
        <w:tc>
          <w:tcPr>
            <w:tcW w:w="1760" w:type="dxa"/>
            <w:vAlign w:val="bottom"/>
            <w:gridSpan w:val="5"/>
          </w:tcPr>
          <w:p>
            <w:pPr>
              <w:ind w:left="24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20" w:type="dxa"/>
            <w:vAlign w:val="bottom"/>
          </w:tcPr>
          <w:p>
            <w:pPr>
              <w:spacing w:after="0"/>
              <w:rPr>
                <w:sz w:val="18"/>
                <w:szCs w:val="18"/>
                <w:color w:val="auto"/>
              </w:rPr>
            </w:pPr>
          </w:p>
        </w:tc>
        <w:tc>
          <w:tcPr>
            <w:tcW w:w="720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3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2017</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2018</w:t>
            </w:r>
          </w:p>
        </w:tc>
        <w:tc>
          <w:tcPr>
            <w:tcW w:w="3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12,067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11,211</w:t>
            </w:r>
          </w:p>
        </w:tc>
        <w:tc>
          <w:tcPr>
            <w:tcW w:w="120" w:type="dxa"/>
            <w:vAlign w:val="bottom"/>
            <w:shd w:val="clear" w:color="auto" w:fill="CCEEFF"/>
          </w:tcPr>
          <w:p>
            <w:pPr>
              <w:spacing w:after="0"/>
              <w:rPr>
                <w:sz w:val="18"/>
                <w:szCs w:val="18"/>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1,457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4,197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4,037</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7,870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1,122</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1,270</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20" w:type="dxa"/>
            <w:vAlign w:val="bottom"/>
            <w:shd w:val="clear" w:color="auto" w:fill="CCEEFF"/>
          </w:tcPr>
          <w:p>
            <w:pPr>
              <w:spacing w:after="0"/>
              <w:rPr>
                <w:sz w:val="19"/>
                <w:szCs w:val="19"/>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r>
      <w:tr>
        <w:trPr>
          <w:trHeight w:val="207"/>
        </w:trPr>
        <w:tc>
          <w:tcPr>
            <w:tcW w:w="742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1,937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1,788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5,197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4,520</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5,183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742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842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1,192</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7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w:t>
            </w:r>
          </w:p>
        </w:tc>
        <w:tc>
          <w:tcPr>
            <w:tcW w:w="3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4.41</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7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4.32</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7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7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969</w:t>
            </w:r>
          </w:p>
        </w:tc>
        <w:tc>
          <w:tcPr>
            <w:tcW w:w="3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976</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7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989</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7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120" w:type="dxa"/>
            <w:vAlign w:val="bottom"/>
            <w:shd w:val="clear" w:color="auto" w:fill="CCEEFF"/>
          </w:tcPr>
          <w:p>
            <w:pPr>
              <w:spacing w:after="0"/>
              <w:rPr>
                <w:sz w:val="18"/>
                <w:szCs w:val="18"/>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(11)</w:t>
            </w: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(34)</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r>
      <w:tr>
        <w:trPr>
          <w:trHeight w:val="210"/>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4,307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94"/>
              </w:rPr>
              <w:t>For Three Months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left="319"/>
              <w:spacing w:after="0"/>
              <w:rPr>
                <w:sz w:val="20"/>
                <w:szCs w:val="20"/>
                <w:color w:val="auto"/>
              </w:rPr>
            </w:pPr>
            <w:r>
              <w:rPr>
                <w:rFonts w:ascii="Arial" w:cs="Arial" w:eastAsia="Arial" w:hAnsi="Arial"/>
                <w:sz w:val="16"/>
                <w:szCs w:val="16"/>
                <w:b w:val="1"/>
                <w:bCs w:val="1"/>
                <w:color w:val="auto"/>
                <w:w w:val="93"/>
              </w:rPr>
              <w:t>Ended</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Nine Months Ended</w:t>
            </w:r>
          </w:p>
        </w:tc>
      </w:tr>
      <w:tr>
        <w:trPr>
          <w:trHeight w:val="219"/>
        </w:trPr>
        <w:tc>
          <w:tcPr>
            <w:tcW w:w="73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60" w:type="dxa"/>
            <w:vAlign w:val="bottom"/>
          </w:tcPr>
          <w:p>
            <w:pPr>
              <w:spacing w:after="0"/>
              <w:rPr>
                <w:sz w:val="19"/>
                <w:szCs w:val="19"/>
                <w:color w:val="auto"/>
              </w:rPr>
            </w:pPr>
          </w:p>
        </w:tc>
        <w:tc>
          <w:tcPr>
            <w:tcW w:w="202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9"/>
                <w:szCs w:val="19"/>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2018</w:t>
            </w:r>
          </w:p>
        </w:tc>
        <w:tc>
          <w:tcPr>
            <w:tcW w:w="2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2017</w:t>
            </w:r>
          </w:p>
        </w:tc>
        <w:tc>
          <w:tcPr>
            <w:tcW w:w="4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100" w:type="dxa"/>
            <w:vAlign w:val="bottom"/>
            <w:shd w:val="clear" w:color="auto" w:fill="CCEEFF"/>
          </w:tcPr>
          <w:p>
            <w:pPr>
              <w:spacing w:after="0"/>
              <w:rPr>
                <w:sz w:val="18"/>
                <w:szCs w:val="18"/>
                <w:color w:val="auto"/>
              </w:rPr>
            </w:pPr>
          </w:p>
        </w:tc>
      </w:tr>
      <w:tr>
        <w:trPr>
          <w:trHeight w:val="213"/>
        </w:trPr>
        <w:tc>
          <w:tcPr>
            <w:tcW w:w="7380" w:type="dxa"/>
            <w:vAlign w:val="bottom"/>
            <w:gridSpan w:val="3"/>
          </w:tcPr>
          <w:p>
            <w:pPr>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losses of defined benefit plans: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Arial" w:cs="Arial" w:eastAsia="Arial" w:hAnsi="Arial"/>
                <w:sz w:val="16"/>
                <w:szCs w:val="16"/>
                <w:color w:val="auto"/>
              </w:rPr>
              <w:t>Prior service credit of defined benefit plans: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Change in fair value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7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3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1,587</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4,371</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9"/>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340" w:type="dxa"/>
            <w:vAlign w:val="bottom"/>
          </w:tcPr>
          <w:p>
            <w:pPr>
              <w:spacing w:after="0"/>
              <w:rPr>
                <w:sz w:val="19"/>
                <w:szCs w:val="19"/>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($13) and ($8)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887</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2,116</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654</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9,468</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5,250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(2,199)</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3,051</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assets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18,573</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613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2,382</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4,318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liabilities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1,228</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8,057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1,918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37,378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September 30, 2018 – 775,952,837; December 31, 2017 – 757,657,217</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(30,167)</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(27,458)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3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(354)</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10,516</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18,573</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w w:val="96"/>
              </w:rPr>
              <w:t>For Nine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60" w:type="dxa"/>
            <w:vAlign w:val="bottom"/>
          </w:tcPr>
          <w:p>
            <w:pPr>
              <w:spacing w:after="0"/>
              <w:rPr>
                <w:sz w:val="19"/>
                <w:szCs w:val="19"/>
                <w:color w:val="auto"/>
              </w:rPr>
            </w:pPr>
          </w:p>
        </w:tc>
        <w:tc>
          <w:tcPr>
            <w:tcW w:w="214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4,341</w:t>
            </w:r>
          </w:p>
        </w:tc>
        <w:tc>
          <w:tcPr>
            <w:tcW w:w="220" w:type="dxa"/>
            <w:vAlign w:val="bottom"/>
          </w:tcPr>
          <w:p>
            <w:pPr>
              <w:spacing w:after="0"/>
              <w:rPr>
                <w:sz w:val="18"/>
                <w:szCs w:val="18"/>
                <w:color w:val="auto"/>
              </w:rPr>
            </w:pP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Deferred taxes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Increase (decrease) from changes in:</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(181)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(121)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5,044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(808)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asset sales</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Purchases of short-term investments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(5,308)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short-term investments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4,545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(1,583)</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Repayment of debt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(1,819)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(3,091)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(3,615)</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3"/>
          <w:szCs w:val="13"/>
          <w:color w:val="auto"/>
        </w:rPr>
        <w:t>®</w:t>
      </w:r>
      <w:r>
        <w:rPr>
          <w:rFonts w:ascii="Arial" w:cs="Arial" w:eastAsia="Arial" w:hAnsi="Arial"/>
          <w:sz w:val="15"/>
          <w:szCs w:val="15"/>
          <w:color w:val="auto"/>
        </w:rPr>
        <w:t xml:space="preserve"> products, calculators and custom ASIC products.</w:t>
      </w:r>
    </w:p>
    <w:p>
      <w:pPr>
        <w:spacing w:after="0" w:line="10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For Three Months Ended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For 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Analog</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2,907</w:t>
            </w:r>
          </w:p>
        </w:tc>
        <w:tc>
          <w:tcPr>
            <w:tcW w:w="3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2,698</w:t>
            </w:r>
          </w:p>
        </w:tc>
        <w:tc>
          <w:tcPr>
            <w:tcW w:w="4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8,163</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2,763</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460</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1,141</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4,261</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4,116</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12,067</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Analog</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1,447</w:t>
            </w:r>
          </w:p>
        </w:tc>
        <w:tc>
          <w:tcPr>
            <w:tcW w:w="3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1,268</w:t>
            </w:r>
          </w:p>
        </w:tc>
        <w:tc>
          <w:tcPr>
            <w:tcW w:w="4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3,876</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971</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1,937</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5,197</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geographic area information includes revenue based on product shipment destination.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For Three Months Ended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For Nine Months Ended</w:t>
            </w:r>
          </w:p>
        </w:tc>
      </w:tr>
      <w:tr>
        <w:trPr>
          <w:trHeight w:val="219"/>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6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665</w:t>
            </w:r>
          </w:p>
        </w:tc>
        <w:tc>
          <w:tcPr>
            <w:tcW w:w="3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563</w:t>
            </w:r>
          </w:p>
        </w:tc>
        <w:tc>
          <w:tcPr>
            <w:tcW w:w="4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1,783</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18"/>
                <w:szCs w:val="18"/>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7,075</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6,561</w:t>
            </w:r>
          </w:p>
        </w:tc>
        <w:tc>
          <w:tcPr>
            <w:tcW w:w="100" w:type="dxa"/>
            <w:vAlign w:val="bottom"/>
            <w:shd w:val="clear" w:color="auto" w:fill="CCEEFF"/>
          </w:tcPr>
          <w:p>
            <w:pPr>
              <w:spacing w:after="0"/>
              <w:rPr>
                <w:sz w:val="19"/>
                <w:szCs w:val="19"/>
                <w:color w:val="auto"/>
              </w:rPr>
            </w:pP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2,228</w:t>
            </w:r>
          </w:p>
        </w:tc>
        <w:tc>
          <w:tcPr>
            <w:tcW w:w="100" w:type="dxa"/>
            <w:vAlign w:val="bottom"/>
          </w:tcPr>
          <w:p>
            <w:pPr>
              <w:spacing w:after="0"/>
              <w:rPr>
                <w:sz w:val="18"/>
                <w:szCs w:val="18"/>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656</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9"/>
                <w:szCs w:val="19"/>
                <w:color w:val="auto"/>
              </w:rPr>
            </w:pPr>
          </w:p>
        </w:tc>
      </w:tr>
      <w:tr>
        <w:trPr>
          <w:trHeight w:val="213"/>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4,261</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4,116</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12,067</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including Hong Kong, was $2.0 billion and $1.8 billion in the third quarters of 2018 and 2017, respectively, and $5.3 billion and $4.9 billion in the first nine months of 2018 and 2017,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consolidated financial statements have been prepared in accordance with accounting principles generally accepted in the United States (GAAP) and on the same basis as the audited financial statements included in our annual report on Form 10-K for the year ended December 31, 2017, except for the effects of adopting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Consolidated Statements of Income, Comprehensive Income and Cash Flows for the periods ended September 30, 2018 and 2017, and the Consolidated Balance Sheet as of September 30, 2018,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2017. The results for the three- and nine-month periods are not necessarily indicative of a full year’s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generate revenue primarily from the sale of semiconductor products, either directly to a customer or to a distributor, or at the conclusion of a consignment process. We have a variety of types of contracts with our customers and distributors. In determining whether a contract exists, we evaluate the terms of the agreement, the relationship with the customer or distributor and their ability to pay.</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 revenue from sales of our products, including sales to our distributors, at a point in time, generally upon shipment or delivery to the customer or distributor, depending upon the terms of the sales order. Control is considered transferred when title and risk of loss pass, when the customer becomes obligated to pay and, where required, when the customer has accepted the products. For sales to distributors, payment is due on our standard commercial terms and is not contingent upon resale of the products.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Revenue from sales of our products that is subject to inventory consignment agreements is recognized at a point in time, when the customer or distributor pulls product from consignment inventory that we store at designated locations. Transfer of control occurs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amount of revenue recognized is adjusted based on allowances, which are prepared on a portfolio basis using a most likely amount methodology based on analysis of historical data, current economic conditions and contractual terms. These allowances, which are not material, generally include adjustments for pricing arrangements, product returns and incentives. The length of time between invoicing and payment is not significant under any of our payment terms. In instances where the timing of revenue recognition differs from the timing of invoicing, we have determined our contracts generally do not include a significant financing component.</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accounts receivable aging. When collection is at risk, we assess the impact on amounts recorded for bad debts and, if necessary, record a charge in the period such determination is made.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recognize shipping fees, if any, received from customers in revenue. We include shipping and handling costs in COR. The majority of our customers pay these fees directly to third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6"/>
                <w:szCs w:val="16"/>
                <w:b w:val="1"/>
                <w:bCs w:val="1"/>
                <w:color w:val="auto"/>
                <w:w w:val="91"/>
              </w:rPr>
              <w:t>For Three Months Ended September 30,</w:t>
            </w: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Net</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2"/>
              </w:rPr>
              <w:t>Net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Income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2"/>
              </w:rPr>
              <w:t>Income</w:t>
            </w:r>
          </w:p>
        </w:tc>
        <w:tc>
          <w:tcPr>
            <w:tcW w:w="6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1,570</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 basic EPS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1,558</w:t>
            </w:r>
          </w:p>
        </w:tc>
        <w:tc>
          <w:tcPr>
            <w:tcW w:w="28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969</w:t>
            </w:r>
          </w:p>
        </w:tc>
        <w:tc>
          <w:tcPr>
            <w:tcW w:w="50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1.61</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988</w:t>
            </w:r>
          </w:p>
        </w:tc>
        <w:tc>
          <w:tcPr>
            <w:tcW w:w="5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1,570</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1,559</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w:t>
            </w:r>
          </w:p>
        </w:tc>
        <w:tc>
          <w:tcPr>
            <w:tcW w:w="20" w:type="dxa"/>
            <w:vAlign w:val="bottom"/>
            <w:tcBorders>
              <w:bottom w:val="single" w:sz="8" w:color="auto"/>
            </w:tcBorders>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6"/>
                <w:szCs w:val="16"/>
                <w:b w:val="1"/>
                <w:bCs w:val="1"/>
                <w:color w:val="auto"/>
                <w:w w:val="92"/>
              </w:rPr>
              <w:t>For Nine Months Ended September 30,</w:t>
            </w: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Net</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2"/>
              </w:rPr>
              <w:t>Net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Income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2"/>
              </w:rPr>
              <w:t>Income</w:t>
            </w:r>
          </w:p>
        </w:tc>
        <w:tc>
          <w:tcPr>
            <w:tcW w:w="6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4,341</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(34)</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 basic EPS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4,307</w:t>
            </w:r>
          </w:p>
        </w:tc>
        <w:tc>
          <w:tcPr>
            <w:tcW w:w="28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976</w:t>
            </w:r>
          </w:p>
        </w:tc>
        <w:tc>
          <w:tcPr>
            <w:tcW w:w="50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4.41</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3,306</w:t>
            </w:r>
          </w:p>
        </w:tc>
        <w:tc>
          <w:tcPr>
            <w:tcW w:w="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993</w:t>
            </w:r>
          </w:p>
        </w:tc>
        <w:tc>
          <w:tcPr>
            <w:tcW w:w="5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4,341</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(34)</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4,307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997</w:t>
            </w:r>
          </w:p>
        </w:tc>
        <w:tc>
          <w:tcPr>
            <w:tcW w:w="5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4.32</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1,014</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Potentially dilutive securities representing 4 million and 5 million shares of common stock that were outstanding during the third quarters of 2018 and 2017, and 4 million and 6 million shares outstanding during the first nine months of 2018 and 2017, respectively, were excluded from the computation of diluted earnings per common share for these periods because their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September 30, 2018.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4 for a description of fair value and the definition of Level 2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2014-09, Revenue from Contracts with Customers (Topic 606)</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This standard provides a single set of guidelines for revenue recognition to be used across all industries and requires additional disclosures. We adopted Accounting Standards Codification Topic 606 (ASC 606) as of January 1, 2018, using the modified retrospective transition method applied only to contracts that were not completed as of the adoption date. The reported results for 2018 reflect the application of the new accounting guidance, while the reported results for prior period amounts are not adjusted and continue to be reported in accordance with our historical accounting under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most significant impact from adopting the standard relates to our accounting for royalty income on licenses of intellectual property; however, the effect of such change during any individual reporting period will not materially impact our results of operations and financial position. Although royalty income is recorded within OI&amp;E, the new revenue guidance applies to these agreements by analogy, and therefore, such agreements have been evaluated for ASC transition considerations. Under ASC 606, royalty income for our fixed-rate royalty agreements is bifurcated between two performance obligations: providing a right to use our initial patent portfolio and the right to access our future patents when those patents are developed. We have determined that the value of these agreements is allocated more heavily to the initial performance obligation. As a result, income from these agreements is recognized predominately at the time of contract execution rather than ratably over the life of the agreements, accelerating the timing of when we recognize royalty income in OI&amp;E.</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timing of revenue recognition, billings and cash collections may result in billed accounts receivable, unbilled receivables (contract assets), and customer advances and deposits (contract liabilities). These items are included in other current and non-current assets and liabilities on the Consolidated Balance Sheets. Generally, we invoice customers for payment upon shipment or when goods are pulled from consignment inventory, which results in an unconditional right to consideration. The time frame between when the customer places an order for products and when it is shipped is less than 12 months. Our contract assets are primarily related to our rights to consideration for satisfied or partially satisfied performance obligations on our royalty agreements for which payment has not been received as of the reporting date.</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recognized an increase to opening retained earnings of $206 million, net of taxes, as of January 1, 2018, due to the cumulative impact of adopting ASC 606, primarily related to our fixed payment patent licensing agreements that were not completed as of the adoption date. A contract asset of $283 million and deferred tax liabilities of $55 million were recorded as of January 1, 2018, related to the transition period adjustments.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Occasionally, as of the end of a reporting period, some performance obligations associated with contracts are unsatisfied or only partially satisfied. In accordance with the practical expedients available in the guidance, we do not disclose the value of unsatisfied performance obligations for contracts with an original expected duration of one year or less. Similarly, we do not disclose information for variable-rate consideration on our sales-based or usage-based royalties for our patent licenses.</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royalty income from licensing our patent portfolios, income is allocated to performance obligations that have not yet been satisfied. The remaining performance obligations represent contracted income that has not yet been recognized, including amounts that will be invoiced and recognized as income in future periods. As of September 30, 2018, we had $68 million of remaining performance obligations that had not yet been satisfied. We expect to recognize 24 percent of our remaining performance obligations as income over the next 12 months and the remainder thereafter.</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September 30, 2018, we had contract assets of $265 million. During the nine months ended September 30, 2018, our contract assets were reduced by $18 million, due to $30 million of cash received offset by $12 million of income recognized.</w:t>
      </w:r>
    </w:p>
    <w:p>
      <w:pPr>
        <w:spacing w:after="0" w:line="17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incur commission expenses paid to internal sales personnel that are incremental to obtaining contracts with customers. We generally expense sales commissions when incurred because the amortization period would have been one year or less. These costs are included in SG&amp;A.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standards were adopted during the current period and did not have a material impact on our financial position and 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ASU</w:t>
            </w:r>
          </w:p>
        </w:tc>
        <w:tc>
          <w:tcPr>
            <w:tcW w:w="12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203"/>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2016-01</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w w:val="96"/>
              </w:rPr>
              <w:t>Financial Instruments – Overall (Subtopic 825-10): Recognition and Measurement of Financial Assets and Financial</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2018</w:t>
            </w:r>
          </w:p>
        </w:tc>
      </w:tr>
      <w:tr>
        <w:trPr>
          <w:trHeight w:val="212"/>
        </w:trPr>
        <w:tc>
          <w:tcPr>
            <w:tcW w:w="18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Liabilities</w:t>
            </w:r>
          </w:p>
        </w:tc>
        <w:tc>
          <w:tcPr>
            <w:tcW w:w="1600" w:type="dxa"/>
            <w:vAlign w:val="bottom"/>
            <w:shd w:val="clear" w:color="auto" w:fill="CCEEFF"/>
          </w:tcPr>
          <w:p>
            <w:pPr>
              <w:spacing w:after="0"/>
              <w:rPr>
                <w:sz w:val="18"/>
                <w:szCs w:val="18"/>
                <w:color w:val="auto"/>
              </w:rPr>
            </w:pPr>
          </w:p>
        </w:tc>
      </w:tr>
      <w:tr>
        <w:trPr>
          <w:trHeight w:val="213"/>
        </w:trPr>
        <w:tc>
          <w:tcPr>
            <w:tcW w:w="1800" w:type="dxa"/>
            <w:vAlign w:val="bottom"/>
          </w:tcPr>
          <w:p>
            <w:pPr>
              <w:spacing w:after="0"/>
              <w:rPr>
                <w:sz w:val="20"/>
                <w:szCs w:val="20"/>
                <w:color w:val="auto"/>
              </w:rPr>
            </w:pPr>
            <w:r>
              <w:rPr>
                <w:rFonts w:ascii="Arial" w:cs="Arial" w:eastAsia="Arial" w:hAnsi="Arial"/>
                <w:sz w:val="16"/>
                <w:szCs w:val="16"/>
                <w:color w:val="auto"/>
              </w:rPr>
              <w:t>ASU No. 2017-01</w:t>
            </w: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rPr>
              <w:t>Business Combinations (Topic 805): Clarifying the Definition of a Business</w:t>
            </w: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January 1, 2018</w:t>
            </w:r>
          </w:p>
        </w:tc>
      </w:tr>
      <w:tr>
        <w:trPr>
          <w:trHeight w:val="209"/>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2017-05</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w w:val="97"/>
              </w:rPr>
              <w:t>Other Income – Gains and Losses from the Derecognition of Nonfinancial Assets (Subtopic 610-20): Clarifying the</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2018</w:t>
            </w:r>
          </w:p>
        </w:tc>
      </w:tr>
      <w:tr>
        <w:trPr>
          <w:trHeight w:val="212"/>
        </w:trPr>
        <w:tc>
          <w:tcPr>
            <w:tcW w:w="18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Scope of Asset Derecognition Guidance and Accounting for Partial Sales of Nonfinancial Assets</w:t>
            </w:r>
          </w:p>
        </w:tc>
        <w:tc>
          <w:tcPr>
            <w:tcW w:w="16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2016-02, Leases (Topic 842)</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finance lease. We do not expect to have any finance leases at the time of adoption. This standard will be effective for our interim and annual periods beginning January 1, 2019. We will adopt the standard using the optional transition method and apply the guidance to leases existing at, or entered into after, the beginning of the period of adoption, as well as certain practical expedients permitted under the transition guidance. We are currently evaluating the potential impact of this standard on our financial position, but we do not expect it to have a material impact on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January 1, 2020, with early adoption permitted beginning January 1, 2019, and must be applied on a modified retrospective basis. We are currently evaluating the potential impact of this standard, but we do not expect it to have a material impact on our financial position and results of operations.</w:t>
      </w:r>
    </w:p>
    <w:p>
      <w:pPr>
        <w:spacing w:after="0" w:line="179"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i w:val="1"/>
          <w:iCs w:val="1"/>
          <w:u w:val="single" w:color="auto"/>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standard allows a reclassification of stranded tax effects as a result of the U.S. Tax Cuts and Jobs Act (the Tax Act) from accumulated other comprehensive income to retained earnings. The provisions from this guidance are effective for interim and annual periods beginning after January 1, 2019. Early adoption is permitted. This standard should be applied either in the period of adoption or retrospectively to each period (or periods) in which the effects of the Tax Act are recognized. We plan to adopt this standard during the interim period in which we complete our accounting for the tax effects of the enactment of the Tax Act, applying the guidance to the period of adoption. This standard will have no impact on our results of operations. We are currently evaluating the potential impact of this standard on our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currently evaluating the impact of the following standards, but we do not expect them to have a material impact on our financial position and results of operations. We currently plan to adopt these standards as of their effective dates.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ASU</w:t>
            </w:r>
          </w:p>
        </w:tc>
        <w:tc>
          <w:tcPr>
            <w:tcW w:w="12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Effective Date</w:t>
            </w:r>
          </w:p>
        </w:tc>
      </w:tr>
      <w:tr>
        <w:trPr>
          <w:trHeight w:val="203"/>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2018-13</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w w:val="93"/>
              </w:rPr>
              <w:t>Fair Value Measurement (Topic 820): Disclosure Framework – Changes to the Disclosure Requirements for Fair Value</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2020</w:t>
            </w:r>
          </w:p>
        </w:tc>
      </w:tr>
      <w:tr>
        <w:trPr>
          <w:trHeight w:val="212"/>
        </w:trPr>
        <w:tc>
          <w:tcPr>
            <w:tcW w:w="18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Measurement</w:t>
            </w:r>
          </w:p>
        </w:tc>
        <w:tc>
          <w:tcPr>
            <w:tcW w:w="1600" w:type="dxa"/>
            <w:vAlign w:val="bottom"/>
            <w:shd w:val="clear" w:color="auto" w:fill="CCEEFF"/>
          </w:tcPr>
          <w:p>
            <w:pPr>
              <w:spacing w:after="0"/>
              <w:rPr>
                <w:sz w:val="18"/>
                <w:szCs w:val="18"/>
                <w:color w:val="auto"/>
              </w:rPr>
            </w:pPr>
          </w:p>
        </w:tc>
      </w:tr>
      <w:tr>
        <w:trPr>
          <w:trHeight w:val="206"/>
        </w:trPr>
        <w:tc>
          <w:tcPr>
            <w:tcW w:w="1800" w:type="dxa"/>
            <w:vAlign w:val="bottom"/>
          </w:tcPr>
          <w:p>
            <w:pPr>
              <w:spacing w:after="0"/>
              <w:rPr>
                <w:sz w:val="20"/>
                <w:szCs w:val="20"/>
                <w:color w:val="auto"/>
              </w:rPr>
            </w:pPr>
            <w:r>
              <w:rPr>
                <w:rFonts w:ascii="Arial" w:cs="Arial" w:eastAsia="Arial" w:hAnsi="Arial"/>
                <w:sz w:val="16"/>
                <w:szCs w:val="16"/>
                <w:color w:val="auto"/>
              </w:rPr>
              <w:t>ASU No. 2018-14</w:t>
            </w: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w w:val="96"/>
              </w:rPr>
              <w:t>Compensation – Retirement Benefits – Defined Benefit Plans – General (Subtopic 715-20): Disclosure Framework –</w:t>
            </w: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January 1, 2020</w:t>
            </w:r>
          </w:p>
        </w:tc>
      </w:tr>
      <w:tr>
        <w:trPr>
          <w:trHeight w:val="209"/>
        </w:trPr>
        <w:tc>
          <w:tcPr>
            <w:tcW w:w="1800" w:type="dxa"/>
            <w:vAlign w:val="bottom"/>
          </w:tcPr>
          <w:p>
            <w:pPr>
              <w:spacing w:after="0"/>
              <w:rPr>
                <w:sz w:val="18"/>
                <w:szCs w:val="18"/>
                <w:color w:val="auto"/>
              </w:rPr>
            </w:pP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rPr>
              <w:t>Changes to the Disclosure Requirements for Defined Benefit Plans</w:t>
            </w:r>
          </w:p>
        </w:tc>
        <w:tc>
          <w:tcPr>
            <w:tcW w:w="1600" w:type="dxa"/>
            <w:vAlign w:val="bottom"/>
          </w:tcPr>
          <w:p>
            <w:pPr>
              <w:spacing w:after="0"/>
              <w:rPr>
                <w:sz w:val="18"/>
                <w:szCs w:val="18"/>
                <w:color w:val="auto"/>
              </w:rPr>
            </w:pPr>
          </w:p>
        </w:tc>
      </w:tr>
      <w:tr>
        <w:trPr>
          <w:trHeight w:val="209"/>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2018-15</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Intangibles – Goodwill and Other – Internal-Use Software (Subtopic 350-40): Customer’s Accounting for</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2020</w:t>
            </w:r>
          </w:p>
        </w:tc>
      </w:tr>
      <w:tr>
        <w:trPr>
          <w:trHeight w:val="212"/>
        </w:trPr>
        <w:tc>
          <w:tcPr>
            <w:tcW w:w="18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Implementation Costs Incurred in a Cloud Computing Arrangement That Is a Service Contract</w:t>
            </w:r>
          </w:p>
        </w:tc>
        <w:tc>
          <w:tcPr>
            <w:tcW w:w="16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Provision for income taxes was $354 million and $504 million for the third quarters of 2018 and 2017, respectively, and $842 million and $1.19 billion for the first nine months of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estimated annual effective tax rate is about 20 percent, which does not include discrete tax items. This differs from the 21 percent statutory corporate tax rate due to the effect of U.S. tax benefits, partially offset by a 2018 transitional tax effect.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have included the provisions of the Tax Act in the calculation of our estimated annual effective tax rate. The estimates could change when additional information on implementation of the provisions of the Tax Act becomes available.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Tax Act was enacted on December 22, 2017. We have not completed our accounting for the tax effects of enactment of the Tax Act. We have made reasonable estimates of the tax on indefinitely reinvested earnings and the effects on our existing deferred tax balances. This resulted in additional tax expense in 2017 of $773 million, consisting of $714 million related to the tax on indefinitely reinvested earnings and $59 million related to remeasuring our existing deferred tax balances.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tax on indefinitely reinvested earnings is based on our non-U.S. post-1986 earnings and profits that we previously deferred from U.S. income taxes. We have not yet completed our calculation of the total post-1986 earnings and profits for these non-U.S. subsidiaries.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first quarter of 2018, we reduced the amount of income tax expense recorded for indefinitely reinvested earnings to $669 million from $714 million recorded in 2017. In the second quarter of 2018, we reduced the amount of income tax expense recorded for the effects of the Tax Act on our deferred tax balances to $50 million from $59 million recorded in 2017. In the third quarter of 2018, we increased the amount of income tax expense recorded for indefinitely reinvested earnings to $678 million from $669 million, and we increased the amount of income tax expense recorded on our deferred tax balances to $51 million from $50 million. These adjustments did not affect the estimated annual effective tax rate for 2018.</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calculations of the tax effect of the Tax Act for both indefinitely reinvested earnings and deferred tax assets and liabilities will be completed in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2060" w:type="dxa"/>
            <w:vAlign w:val="bottom"/>
            <w:gridSpan w:val="5"/>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9"/>
              </w:rPr>
              <w:t>For Nine Months Ended</w:t>
            </w:r>
          </w:p>
        </w:tc>
        <w:tc>
          <w:tcPr>
            <w:tcW w:w="0" w:type="dxa"/>
            <w:vAlign w:val="bottom"/>
          </w:tcPr>
          <w:p>
            <w:pPr>
              <w:spacing w:after="0"/>
              <w:rPr>
                <w:sz w:val="1"/>
                <w:szCs w:val="1"/>
                <w:color w:val="auto"/>
              </w:rPr>
            </w:pPr>
          </w:p>
        </w:tc>
      </w:tr>
      <w:tr>
        <w:trPr>
          <w:trHeight w:val="219"/>
        </w:trPr>
        <w:tc>
          <w:tcPr>
            <w:tcW w:w="6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w w:val="89"/>
              </w:rPr>
              <w:t>September 30,</w:t>
            </w:r>
          </w:p>
        </w:tc>
        <w:tc>
          <w:tcPr>
            <w:tcW w:w="2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2017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Taxes calculated using the estimated annual effective tax rate</w:t>
            </w:r>
          </w:p>
        </w:tc>
        <w:tc>
          <w:tcPr>
            <w:tcW w:w="660" w:type="dxa"/>
            <w:vAlign w:val="bottom"/>
            <w:shd w:val="clear" w:color="auto" w:fill="CCEEFF"/>
          </w:tcPr>
          <w:p>
            <w:pPr>
              <w:jc w:val="right"/>
              <w:ind w:right="502"/>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542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spacing w:after="0"/>
              <w:rPr>
                <w:sz w:val="20"/>
                <w:szCs w:val="20"/>
                <w:color w:val="auto"/>
              </w:rPr>
            </w:pPr>
            <w:r>
              <w:rPr>
                <w:rFonts w:ascii="Arial" w:cs="Arial" w:eastAsia="Arial" w:hAnsi="Arial"/>
                <w:sz w:val="16"/>
                <w:szCs w:val="16"/>
                <w:color w:val="auto"/>
              </w:rPr>
              <w:t>Discrete tax items</w:t>
            </w:r>
          </w:p>
        </w:tc>
        <w:tc>
          <w:tcPr>
            <w:tcW w:w="6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(185)</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ind w:right="502"/>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Actual effective tax rate</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classify our investments as available for sale, trading, equity method or non-marketable equity. Most of our investments are debt securities, which are classified as available for sale.</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Available-for-sale and trading securities are stated at fair value, which is generally based on market prices or broker quotes. See </w:t>
      </w:r>
      <w:r>
        <w:rPr>
          <w:rFonts w:ascii="Arial" w:cs="Arial" w:eastAsia="Arial" w:hAnsi="Arial"/>
          <w:sz w:val="16"/>
          <w:szCs w:val="16"/>
          <w:i w:val="1"/>
          <w:iCs w:val="1"/>
          <w:color w:val="auto"/>
        </w:rPr>
        <w:t>Fair-value considerations</w:t>
      </w:r>
      <w:r>
        <w:rPr>
          <w:rFonts w:ascii="Arial" w:cs="Arial" w:eastAsia="Arial" w:hAnsi="Arial"/>
          <w:sz w:val="16"/>
          <w:szCs w:val="16"/>
          <w:color w:val="auto"/>
        </w:rPr>
        <w:t xml:space="preserve"> below. Unrealized gains and losses from available-for-sale debt securities are recorded as an increase or decrease, net of taxes, in AOCI on our Consolidated Balance Sheets. We record other-than-temporary impairments on available-for-sale debt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Cash and Cash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Short-Term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Long-Term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Cash and Cash</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Long-Term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Available-for-sale debt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U.S. government agency and Treasury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1,352</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3,611</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2,813</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1,502</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3,611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1,656</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2,813</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As of September 30, 2018, and December 31, 2017, unrealized gains and losses associated with our available-for-sale investments were not material. We did not recognize any credit losses related to available-for-sale investments for the first nine months of 2018 and 2017.</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Proceeds from sales, redemptions and maturities of short-term available-for-sale investments were $1.72 billion and $920 million for the third quarters of 2018 and 2017, respectively, and $4.55 billion and $3.31 billion for the first nine months of 2018 and 2017, respectively. Gross realized gains and losses from these sales were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investments as of September 30,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8"/>
                <w:szCs w:val="18"/>
                <w:color w:val="auto"/>
              </w:rPr>
            </w:pPr>
          </w:p>
        </w:tc>
      </w:tr>
      <w:tr>
        <w:trPr>
          <w:trHeight w:val="213"/>
        </w:trPr>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One year or less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20" w:type="dxa"/>
            <w:vAlign w:val="bottom"/>
            <w:shd w:val="clear" w:color="auto" w:fill="CCEEFF"/>
          </w:tcPr>
          <w:p>
            <w:pPr>
              <w:spacing w:after="0"/>
              <w:rPr>
                <w:sz w:val="18"/>
                <w:szCs w:val="18"/>
                <w:color w:val="auto"/>
              </w:rPr>
            </w:pPr>
          </w:p>
        </w:tc>
      </w:tr>
      <w:tr>
        <w:trPr>
          <w:trHeight w:val="210"/>
        </w:trPr>
        <w:tc>
          <w:tcPr>
            <w:tcW w:w="9880" w:type="dxa"/>
            <w:vAlign w:val="bottom"/>
          </w:tcPr>
          <w:p>
            <w:pPr>
              <w:spacing w:after="0"/>
              <w:rPr>
                <w:sz w:val="20"/>
                <w:szCs w:val="20"/>
                <w:color w:val="auto"/>
              </w:rPr>
            </w:pPr>
            <w:r>
              <w:rPr>
                <w:rFonts w:ascii="Arial" w:cs="Arial" w:eastAsia="Arial" w:hAnsi="Arial"/>
                <w:sz w:val="16"/>
                <w:szCs w:val="16"/>
                <w:color w:val="auto"/>
              </w:rPr>
              <w:t>One to two years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Other-than-temporary declines and impairments in the values of our available-for-sale investments, which were recognized in OI&amp;E, were not material in the first nine months of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43" w:lineRule="exact"/>
        <w:rPr>
          <w:sz w:val="20"/>
          <w:szCs w:val="20"/>
          <w:color w:val="auto"/>
        </w:rPr>
      </w:pPr>
    </w:p>
    <w:p>
      <w:pPr>
        <w:ind w:left="1040" w:right="140" w:hanging="519"/>
        <w:spacing w:after="0" w:line="31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September 30, 2018 and December 31, 2017, we had no Level 3 assets or liabilities, other than certain assets held by our postretirement plans.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December 31, 2017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475</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475</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2,847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3,575</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1,641</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5,216</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3,526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920</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271</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271</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Goodwill was $4.36 billion as of September 30, 2018, and December 31, 2017. There was no impairment of goodwill during the first nine months of 2018 or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Accumulated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r>
      <w:tr>
        <w:trPr>
          <w:trHeight w:val="213"/>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7 - 10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2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1380" w:type="dxa"/>
            <w:vAlign w:val="bottom"/>
            <w:tcBorders>
              <w:bottom w:val="single" w:sz="8" w:color="CCEEFF"/>
            </w:tcBorders>
          </w:tcPr>
          <w:p>
            <w:pPr>
              <w:jc w:val="right"/>
              <w:ind w:right="559"/>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r>
      <w:tr>
        <w:trPr>
          <w:trHeight w:val="210"/>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Amortization of acquisition-related intangibles was $80 million for the third quarters of both 2018 and 2017, and $239 million for the first nine months of both 2018 and 2017. Fully amortized assets are written off against accumulated amortization.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6"/>
              </w:rPr>
              <w:t>U.S.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6"/>
              </w:rPr>
              <w:t>U.S.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w w:val="91"/>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Retiree Health Care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91"/>
              </w:rPr>
              <w:t>Defined Benefit</w:t>
            </w:r>
          </w:p>
        </w:tc>
      </w:tr>
      <w:tr>
        <w:trPr>
          <w:trHeight w:val="21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w:t>
            </w: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3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580" w:type="dxa"/>
            <w:vAlign w:val="bottom"/>
            <w:tcBorders>
              <w:bottom w:val="single" w:sz="8" w:color="auto"/>
            </w:tcBorders>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6"/>
              </w:rPr>
              <w:t>U.S.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6"/>
              </w:rPr>
              <w:t>U.S.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w w:val="91"/>
              </w:rPr>
              <w:t>Non-U.S.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Retiree Health Care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91"/>
              </w:rPr>
              <w:t>Defined Benefit</w:t>
            </w:r>
          </w:p>
        </w:tc>
      </w:tr>
      <w:tr>
        <w:trPr>
          <w:trHeight w:val="21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Nine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(32)</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(13)</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(50)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w:t>
            </w: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3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7"/>
                <w:szCs w:val="17"/>
                <w:color w:val="auto"/>
              </w:rPr>
            </w:pPr>
          </w:p>
        </w:tc>
        <w:tc>
          <w:tcPr>
            <w:tcW w:w="580" w:type="dxa"/>
            <w:vAlign w:val="bottom"/>
            <w:tcBorders>
              <w:bottom w:val="single" w:sz="8" w:color="auto"/>
            </w:tcBorders>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32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September 30, 2018, we had a variable-rate revolving credit facility from a consortium of investment-grade banks that allows us to borrow up to $2 billion until March 2023. The interest rate on borrowings under this credit facility, if drawn, is indexed to the applicable London Interbank Offered Rate (LIBOR). As of September 30, 2018,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retired $500 million of maturing debt in May 2018.</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second quarter of 2018, we issued an aggregate principal amount of $1.5 billion of fixed-rate, long-term debt due in 2048, comprised of the issuance of $1.3 billion in May 2018 and an additional $200 million in June 2018. We incurred $16 million of issuance and other related costs. We received $1.5 billion in proceeds, net of the original issuance discount and premium, to be used for general corporate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7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2018 at 1.00%</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2019 at 1.65%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2020 at 1.75%</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2021 at 2.75%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2022 at 1.85%</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2023 at 2.25%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2024 at 2.625%</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2027 at 2.90%</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2048 at 4.15%</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w:t>
            </w:r>
          </w:p>
        </w:tc>
        <w:tc>
          <w:tcPr>
            <w:tcW w:w="1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5,100</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(33)</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 debt issuance costs</w:t>
            </w:r>
          </w:p>
        </w:tc>
        <w:tc>
          <w:tcPr>
            <w:tcW w:w="1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5,067</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(749)</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Long-term debt</w:t>
            </w:r>
          </w:p>
        </w:tc>
        <w:tc>
          <w:tcPr>
            <w:tcW w:w="14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4,318</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and debt expense was $36 million and $19 million for the third quarters of 2018 and 2017, respectively, and $89 million and $57 million for the first nine months of 2018 and 2017, respectively. This was net of the amortization of the debt discounts, premiums and debt issuance costs. Capitalized interest was not material.</w:t>
      </w:r>
    </w:p>
    <w:p>
      <w:pPr>
        <w:spacing w:after="0" w:line="37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6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 See Note 5 for additional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recognized $21 million of restructuring charges on a cumulative basis through September 30, 2018, for severance and benefit costs related to the previously reported reorganization of the product lines within our two reportable segments. We have paid $18 million to terminated employees for severance and benefits. Any further charges are not expected to be material.</w:t>
      </w:r>
    </w:p>
    <w:p>
      <w:pPr>
        <w:spacing w:after="0" w:line="18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We have recognized $37 million of restructuring charges on a cumulative basis through September 30, 2018, for severance and benefits costs, as well as accelerated depreciation, related to the phase out of a manufacturing facility in Greenock, Scotland. Total restructuring charges, primarily severance and benefit costs, are estimated to be about $40 million. The remaining charges are expected to be recognized through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Changes in accrued restructuring balances are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r>
      <w:tr>
        <w:trPr>
          <w:trHeight w:val="210"/>
        </w:trPr>
        <w:tc>
          <w:tcPr>
            <w:tcW w:w="1040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r>
      <w:tr>
        <w:trPr>
          <w:trHeight w:val="222"/>
        </w:trPr>
        <w:tc>
          <w:tcPr>
            <w:tcW w:w="10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items (a)</w:t>
            </w:r>
          </w:p>
        </w:tc>
        <w:tc>
          <w:tcPr>
            <w:tcW w:w="4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r>
      <w:tr>
        <w:trPr>
          <w:trHeight w:val="213"/>
        </w:trPr>
        <w:tc>
          <w:tcPr>
            <w:tcW w:w="10400" w:type="dxa"/>
            <w:vAlign w:val="bottom"/>
          </w:tcPr>
          <w:p>
            <w:pPr>
              <w:spacing w:after="0"/>
              <w:rPr>
                <w:sz w:val="20"/>
                <w:szCs w:val="20"/>
                <w:color w:val="auto"/>
              </w:rPr>
            </w:pPr>
            <w:r>
              <w:rPr>
                <w:rFonts w:ascii="Arial" w:cs="Arial" w:eastAsia="Arial" w:hAnsi="Arial"/>
                <w:sz w:val="16"/>
                <w:szCs w:val="16"/>
                <w:b w:val="1"/>
                <w:bCs w:val="1"/>
                <w:color w:val="auto"/>
              </w:rPr>
              <w:t>Payments</w:t>
            </w:r>
          </w:p>
        </w:tc>
        <w:tc>
          <w:tcPr>
            <w:tcW w:w="4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w:t>
            </w:r>
          </w:p>
        </w:tc>
      </w:tr>
      <w:tr>
        <w:trPr>
          <w:trHeight w:val="210"/>
        </w:trPr>
        <w:tc>
          <w:tcPr>
            <w:tcW w:w="10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September 30, 2018</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charges for impacts of accelerated depreciation and changes in exchange rates.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restructuring accrual balances are primarily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third quarters and first nine months of 2018 and 2017. The table below details where these transactions are recorded in our Consolidated Statements of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02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For Nine Months Ended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tcPr>
          <w:p>
            <w:pPr>
              <w:ind w:left="1020"/>
              <w:spacing w:after="0"/>
              <w:rPr>
                <w:sz w:val="20"/>
                <w:szCs w:val="20"/>
                <w:color w:val="auto"/>
              </w:rPr>
            </w:pPr>
            <w:r>
              <w:rPr>
                <w:rFonts w:ascii="Arial" w:cs="Arial" w:eastAsia="Arial" w:hAnsi="Arial"/>
                <w:sz w:val="16"/>
                <w:szCs w:val="16"/>
                <w:b w:val="1"/>
                <w:bCs w:val="1"/>
                <w:color w:val="auto"/>
              </w:rPr>
              <w:t>Impact to Related</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tcPr>
          <w:p>
            <w:pPr>
              <w:ind w:left="700"/>
              <w:spacing w:after="0"/>
              <w:rPr>
                <w:sz w:val="20"/>
                <w:szCs w:val="20"/>
                <w:color w:val="auto"/>
              </w:rPr>
            </w:pPr>
            <w:r>
              <w:rPr>
                <w:rFonts w:ascii="Arial" w:cs="Arial" w:eastAsia="Arial" w:hAnsi="Arial"/>
                <w:sz w:val="16"/>
                <w:szCs w:val="16"/>
                <w:b w:val="1"/>
                <w:bCs w:val="1"/>
                <w:color w:val="auto"/>
              </w:rPr>
              <w:t>Statement of Income Lines</w:t>
            </w: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actuarial losses of defined benefit plans:</w:t>
            </w: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w:t>
            </w:r>
          </w:p>
        </w:tc>
        <w:tc>
          <w:tcPr>
            <w:tcW w:w="760" w:type="dxa"/>
            <w:vAlign w:val="bottom"/>
            <w:vMerge w:val="restart"/>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vMerge w:val="restart"/>
          </w:tcPr>
          <w:p>
            <w:pPr>
              <w:jc w:val="right"/>
              <w:ind w:right="24"/>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140"/>
              <w:spacing w:after="0"/>
              <w:rPr>
                <w:sz w:val="20"/>
                <w:szCs w:val="20"/>
                <w:color w:val="auto"/>
              </w:rPr>
            </w:pPr>
            <w:r>
              <w:rPr>
                <w:rFonts w:ascii="Arial" w:cs="Arial" w:eastAsia="Arial" w:hAnsi="Arial"/>
                <w:sz w:val="16"/>
                <w:szCs w:val="16"/>
                <w:color w:val="auto"/>
              </w:rPr>
              <w:t>losses (a)</w:t>
            </w: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25</w:t>
            </w: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w:t>
            </w: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vMerge w:val="restart"/>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47"/>
        </w:trPr>
        <w:tc>
          <w:tcPr>
            <w:tcW w:w="3380" w:type="dxa"/>
            <w:vAlign w:val="bottom"/>
            <w:vMerge w:val="continue"/>
          </w:tcPr>
          <w:p>
            <w:pPr>
              <w:spacing w:after="0"/>
              <w:rPr>
                <w:sz w:val="21"/>
                <w:szCs w:val="21"/>
                <w:color w:val="auto"/>
              </w:rPr>
            </w:pPr>
          </w:p>
        </w:tc>
        <w:tc>
          <w:tcPr>
            <w:tcW w:w="760" w:type="dxa"/>
            <w:vAlign w:val="bottom"/>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21"/>
                <w:szCs w:val="21"/>
                <w:color w:val="auto"/>
              </w:rPr>
            </w:pPr>
          </w:p>
        </w:tc>
        <w:tc>
          <w:tcPr>
            <w:tcW w:w="8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17</w:t>
            </w:r>
          </w:p>
        </w:tc>
        <w:tc>
          <w:tcPr>
            <w:tcW w:w="10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60" w:type="dxa"/>
            <w:vAlign w:val="bottom"/>
          </w:tcPr>
          <w:p>
            <w:pPr>
              <w:spacing w:after="0"/>
              <w:rPr>
                <w:sz w:val="21"/>
                <w:szCs w:val="21"/>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21"/>
                <w:szCs w:val="21"/>
                <w:color w:val="auto"/>
              </w:rPr>
            </w:pPr>
          </w:p>
        </w:tc>
        <w:tc>
          <w:tcPr>
            <w:tcW w:w="3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Prior service credit of defined benefit plans: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c>
          <w:tcPr>
            <w:tcW w:w="8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2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c>
          <w:tcPr>
            <w:tcW w:w="8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60" w:hanging="852"/>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Detailed in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Total shares of 1,279,482 and 10,308,301 were issued from treasury shares during the third quarter and first nine months of 2018, respectively, related to stock compensation.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designed around the following four sustainable competitive advantages, that we believe, in combination, put us in a unique class of companies:</w:t>
      </w:r>
    </w:p>
    <w:p>
      <w:pPr>
        <w:spacing w:after="0" w:line="170" w:lineRule="exact"/>
        <w:rPr>
          <w:sz w:val="20"/>
          <w:szCs w:val="20"/>
          <w:color w:val="auto"/>
        </w:rPr>
      </w:pPr>
    </w:p>
    <w:p>
      <w:pPr>
        <w:ind w:left="1040" w:hanging="519"/>
        <w:spacing w:after="0" w:line="293"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 strong foundation of manufacturing and technology. </w:t>
      </w:r>
      <w:r>
        <w:rPr>
          <w:rFonts w:ascii="Arial" w:cs="Arial" w:eastAsia="Arial" w:hAnsi="Arial"/>
          <w:sz w:val="16"/>
          <w:szCs w:val="16"/>
          <w:color w:val="auto"/>
        </w:rPr>
        <w:t>We invest in manufacturing technologies and do most of our manufacturing in-house.</w:t>
      </w:r>
      <w:r>
        <w:rPr>
          <w:rFonts w:ascii="Arial" w:cs="Arial" w:eastAsia="Arial" w:hAnsi="Arial"/>
          <w:sz w:val="16"/>
          <w:szCs w:val="16"/>
          <w:i w:val="1"/>
          <w:iCs w:val="1"/>
          <w:color w:val="auto"/>
        </w:rPr>
        <w:t xml:space="preserve"> </w:t>
      </w:r>
      <w:r>
        <w:rPr>
          <w:rFonts w:ascii="Arial" w:cs="Arial" w:eastAsia="Arial" w:hAnsi="Arial"/>
          <w:sz w:val="16"/>
          <w:szCs w:val="16"/>
          <w:color w:val="auto"/>
        </w:rPr>
        <w:t>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increasing factory loadings of our advanced analog 300-millimeter wafers, which have about a 40 percent cost advantage per unpackaged chip over 200-millimeter wafers. 300-millimeter wafers will support the majority of our Analog growth going forward. Additionally, we keep our manufacturing costs low by using mature assets acquired ahead of demand when their prices are most attractive.</w:t>
      </w:r>
    </w:p>
    <w:p>
      <w:pPr>
        <w:spacing w:after="0" w:line="56" w:lineRule="exact"/>
        <w:rPr>
          <w:rFonts w:ascii="Arial" w:cs="Arial" w:eastAsia="Arial" w:hAnsi="Arial"/>
          <w:sz w:val="16"/>
          <w:szCs w:val="16"/>
          <w:color w:val="auto"/>
        </w:rPr>
      </w:pPr>
    </w:p>
    <w:p>
      <w:pPr>
        <w:ind w:left="1040" w:right="22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semiconductors. </w:t>
      </w:r>
      <w:r>
        <w:rPr>
          <w:rFonts w:ascii="Arial" w:cs="Arial" w:eastAsia="Arial" w:hAnsi="Arial"/>
          <w:sz w:val="18"/>
          <w:szCs w:val="18"/>
          <w:color w:val="auto"/>
        </w:rPr>
        <w:t>Our customers need multiple chips for their systems.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means we can solve more of these needs than our competitors,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jc w:val="both"/>
        <w:ind w:left="1040" w:right="8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Broadest reach of market channels. </w:t>
      </w:r>
      <w:r>
        <w:rPr>
          <w:rFonts w:ascii="Arial" w:cs="Arial" w:eastAsia="Arial" w:hAnsi="Arial"/>
          <w:sz w:val="18"/>
          <w:szCs w:val="18"/>
          <w:color w:val="auto"/>
        </w:rPr>
        <w:t>Customers often begin their initial product selection process and design-in journey on our website,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attracts more customers to our website than any of our competitors. Our web presence, combined with our global sales force that is also greater in size than those of our competitors, are advantages that give us unique access to about 100,000 customers designing TI semiconductors into their end products.</w:t>
      </w:r>
    </w:p>
    <w:p>
      <w:pPr>
        <w:spacing w:after="0" w:line="78" w:lineRule="exact"/>
        <w:rPr>
          <w:rFonts w:ascii="Arial" w:cs="Arial" w:eastAsia="Arial" w:hAnsi="Arial"/>
          <w:sz w:val="18"/>
          <w:szCs w:val="18"/>
          <w:color w:val="auto"/>
        </w:rPr>
      </w:pPr>
    </w:p>
    <w:p>
      <w:pPr>
        <w:ind w:left="1040" w:right="10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of our products, markets and customer positions. </w:t>
      </w:r>
      <w:r>
        <w:rPr>
          <w:rFonts w:ascii="Arial" w:cs="Arial" w:eastAsia="Arial" w:hAnsi="Arial"/>
          <w:sz w:val="18"/>
          <w:szCs w:val="18"/>
          <w:color w:val="auto"/>
        </w:rPr>
        <w:t>Together, the attributes above result in diverse and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 share basis, is important for maximizing shareholder value over the long term. We also believe that free cash flow will be valued only if it is productively invested in the business or returned to shareholders.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free cash flow. Our business model puts us in a unique class of companies with the ability to grow, generate cash, and return that cash to shareholders.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1040" w:right="12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sz w:val="20"/>
          <w:szCs w:val="20"/>
          <w:color w:val="auto"/>
        </w:rPr>
      </w:pPr>
    </w:p>
    <w:p>
      <w:pPr>
        <w:ind w:left="1520" w:right="120" w:hanging="378"/>
        <w:spacing w:after="0" w:line="259" w:lineRule="auto"/>
        <w:tabs>
          <w:tab w:leader="none" w:pos="152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76" w:lineRule="exact"/>
        <w:rPr>
          <w:rFonts w:ascii="Courier New" w:cs="Courier New" w:eastAsia="Courier New" w:hAnsi="Courier New"/>
          <w:sz w:val="18"/>
          <w:szCs w:val="18"/>
          <w:color w:val="auto"/>
        </w:rPr>
      </w:pPr>
    </w:p>
    <w:p>
      <w:pPr>
        <w:ind w:left="1520" w:hanging="378"/>
        <w:spacing w:after="0"/>
        <w:tabs>
          <w:tab w:leader="none" w:pos="1520" w:val="left"/>
        </w:tabs>
        <w:numPr>
          <w:ilvl w:val="0"/>
          <w:numId w:val="19"/>
        </w:numPr>
        <w:rPr>
          <w:rFonts w:ascii="Courier New" w:cs="Courier New" w:eastAsia="Courier New" w:hAnsi="Courier New"/>
          <w:sz w:val="16"/>
          <w:szCs w:val="16"/>
          <w:color w:val="auto"/>
        </w:rPr>
      </w:pP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ind w:left="1520" w:right="40" w:hanging="378"/>
        <w:spacing w:after="0" w:line="259" w:lineRule="auto"/>
        <w:tabs>
          <w:tab w:leader="none" w:pos="152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76" w:lineRule="exact"/>
        <w:rPr>
          <w:rFonts w:ascii="Courier New" w:cs="Courier New" w:eastAsia="Courier New" w:hAnsi="Courier New"/>
          <w:sz w:val="18"/>
          <w:szCs w:val="18"/>
          <w:color w:val="auto"/>
        </w:rPr>
      </w:pPr>
    </w:p>
    <w:p>
      <w:pPr>
        <w:ind w:left="1520" w:right="140" w:hanging="378"/>
        <w:spacing w:after="0" w:line="272" w:lineRule="auto"/>
        <w:tabs>
          <w:tab w:leader="none" w:pos="1520" w:val="left"/>
        </w:tabs>
        <w:numPr>
          <w:ilvl w:val="1"/>
          <w:numId w:val="20"/>
        </w:numPr>
        <w:rPr>
          <w:rFonts w:ascii="Courier New" w:cs="Courier New" w:eastAsia="Courier New" w:hAnsi="Courier New"/>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9" w:lineRule="exact"/>
        <w:rPr>
          <w:rFonts w:ascii="Courier New" w:cs="Courier New" w:eastAsia="Courier New" w:hAnsi="Courier New"/>
          <w:sz w:val="17"/>
          <w:szCs w:val="17"/>
          <w:color w:val="auto"/>
        </w:rPr>
      </w:pPr>
    </w:p>
    <w:p>
      <w:pPr>
        <w:ind w:left="1520" w:hanging="378"/>
        <w:spacing w:after="0"/>
        <w:tabs>
          <w:tab w:leader="none" w:pos="152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Over time, we have been allocating resources from areas like manufacturing support and SG&amp;A into R&amp;D activities.</w:t>
      </w:r>
    </w:p>
    <w:p>
      <w:pPr>
        <w:spacing w:after="0" w:line="101" w:lineRule="exact"/>
        <w:rPr>
          <w:rFonts w:ascii="Courier New" w:cs="Courier New" w:eastAsia="Courier New" w:hAnsi="Courier New"/>
          <w:sz w:val="18"/>
          <w:szCs w:val="18"/>
          <w:color w:val="auto"/>
        </w:rPr>
      </w:pPr>
    </w:p>
    <w:p>
      <w:pPr>
        <w:ind w:left="1040" w:right="2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believe we are heading into a period of weaker demand. We plan to be disciplined with our operating plan and expenses, yet continue our long-term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third-quarter revenue was $4.26 billion, net income was $1.57 billion and earnings per share (EPS) were $1.58.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 percent from the same quarter a year ago; however, demand for our products slowed across most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our core businesses, Analog revenue grew 8 percent and Embedded Processing declined 4 percent from the same quarter a year ago.</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cash flow from operations of $7.0 billion for the trailing 12 months again underscored the strength of our business model. Free cash flow for the trailing 12 months was $5.9 billion, or 37.5 percent of revenue. This reflects the quality of our product portfolio, as well as the efficiency of our manufacturing strategy, including the benefit of 300-millimeter Analog production.</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returned $6.2 billion to owners in the past 12 months through stock repurchases and dividends, and our strategy to return to owners all of our free cash flow remains consistent. Over the last 12 months, our dividends represented 41 percent of free cash flow, emphasizing their sustainability.</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September, we announced we would increase our dividend by 24 percent and also increased our share repurchase authorizations by $12 billion, which together reflect our commitment to return all free cash flow to our owners.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expect our ongoing annual operating tax rate to be about 20 percent in 2018 and about 16 percent starting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third-quarter 2018 compared with third-quarter 2017</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Revenue of $4.26 billion increased $145 million, or 4 percent, due to higher revenue from Analog, partially offset by lower revenue from Embedded Processing.</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profit of $2.80 billion was up $148 million, or 6 percent, primarily due to higher revenue. As a percentage of revenue, gross profit increased to 65.8 percent from 64.5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$786 million compared with $787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$80 million were non-cash. See Note 9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$1.94 billion, or 45.5 percent of revenue, compared with $1.79 billion, or 43.4 percent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$23 million of income compared with $20 million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$36 million increased $17 million due to the issuance of additional long-term debt.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Provision for income taxes was $354 million compared with $504 million, which includes discrete tax benefits of $13 million and $38 million, respectively. The decrease in our tax provision was due to a lower U.S. statutory corporate tax rate and other net benefits resulting from the U.S. Tax Cuts and Jobs Act (the Tax Act), partially offset by higher income before income taxes and a lower discrete tax benefit.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jc w:val="both"/>
        <w:ind w:right="20"/>
        <w:spacing w:after="0" w:line="264" w:lineRule="auto"/>
        <w:rPr>
          <w:sz w:val="20"/>
          <w:szCs w:val="20"/>
          <w:color w:val="auto"/>
        </w:rPr>
      </w:pPr>
      <w:r>
        <w:rPr>
          <w:rFonts w:ascii="Arial" w:cs="Arial" w:eastAsia="Arial" w:hAnsi="Arial"/>
          <w:sz w:val="18"/>
          <w:szCs w:val="18"/>
          <w:color w:val="auto"/>
        </w:rPr>
        <w:t>Our annual operating tax rate, which does not include discrete tax items, is about 20 percent compared with 31 percent in 2017. We use “annual operating tax rate” to describe the estimated annual effective tax rate. The 2018 rate differs from the 21 percent U.S. statutory corporate tax rate due to the effect of U.S. tax benefits, partially offset by a transitional non-cash tax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w w:val="97"/>
              </w:rPr>
              <w:t>Net income was $1.57 billion compared with $1.29 billion. EPS was $1.58 compared with $1.26.</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20" w:type="dxa"/>
            <w:vAlign w:val="bottom"/>
            <w:gridSpan w:val="2"/>
          </w:tcPr>
          <w:p>
            <w:pPr>
              <w:spacing w:after="0"/>
              <w:rPr>
                <w:sz w:val="20"/>
                <w:szCs w:val="20"/>
                <w:color w:val="auto"/>
              </w:rPr>
            </w:pPr>
            <w:r>
              <w:rPr>
                <w:rFonts w:ascii="Arial" w:cs="Arial" w:eastAsia="Arial" w:hAnsi="Arial"/>
                <w:sz w:val="18"/>
                <w:szCs w:val="18"/>
                <w:color w:val="auto"/>
              </w:rPr>
              <w:t>Third-quarter 2018 segment results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20" w:type="dxa"/>
            <w:vAlign w:val="bottom"/>
            <w:gridSpan w:val="2"/>
          </w:tcPr>
          <w:p>
            <w:pPr>
              <w:spacing w:after="0"/>
              <w:rPr>
                <w:sz w:val="20"/>
                <w:szCs w:val="20"/>
                <w:color w:val="auto"/>
              </w:rPr>
            </w:pPr>
            <w:r>
              <w:rPr>
                <w:rFonts w:ascii="Arial" w:cs="Arial" w:eastAsia="Arial" w:hAnsi="Arial"/>
                <w:sz w:val="18"/>
                <w:szCs w:val="18"/>
                <w:color w:val="auto"/>
              </w:rPr>
              <w:t>Our segment results compared with the year-ago quarter are as follows: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tc>
        <w:tc>
          <w:tcPr>
            <w:tcW w:w="240" w:type="dxa"/>
            <w:vAlign w:val="bottom"/>
          </w:tcPr>
          <w:p>
            <w:pPr>
              <w:spacing w:after="0"/>
              <w:rPr>
                <w:sz w:val="24"/>
                <w:szCs w:val="24"/>
                <w:color w:val="auto"/>
              </w:rPr>
            </w:pPr>
          </w:p>
        </w:tc>
        <w:tc>
          <w:tcPr>
            <w:tcW w:w="800" w:type="dxa"/>
            <w:vAlign w:val="bottom"/>
            <w:vMerge w:val="restart"/>
          </w:tcPr>
          <w:p>
            <w:pPr>
              <w:jc w:val="right"/>
              <w:ind w:right="237"/>
              <w:spacing w:after="0"/>
              <w:rPr>
                <w:sz w:val="20"/>
                <w:szCs w:val="20"/>
                <w:color w:val="auto"/>
              </w:rPr>
            </w:pPr>
            <w:r>
              <w:rPr>
                <w:rFonts w:ascii="Arial" w:cs="Arial" w:eastAsia="Arial" w:hAnsi="Arial"/>
                <w:sz w:val="18"/>
                <w:szCs w:val="18"/>
                <w:b w:val="1"/>
                <w:bCs w:val="1"/>
                <w:color w:val="auto"/>
              </w:rPr>
              <w:t>3Q18</w:t>
            </w:r>
          </w:p>
        </w:tc>
        <w:tc>
          <w:tcPr>
            <w:tcW w:w="36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3Q17</w:t>
            </w:r>
          </w:p>
        </w:tc>
        <w:tc>
          <w:tcPr>
            <w:tcW w:w="380" w:type="dxa"/>
            <w:vAlign w:val="bottom"/>
            <w:vMerge w:val="restart"/>
          </w:tcPr>
          <w:p>
            <w:pPr>
              <w:spacing w:after="0"/>
              <w:rPr>
                <w:sz w:val="24"/>
                <w:szCs w:val="24"/>
                <w:color w:val="auto"/>
              </w:rPr>
            </w:pPr>
          </w:p>
        </w:tc>
        <w:tc>
          <w:tcPr>
            <w:tcW w:w="10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Change</w:t>
            </w:r>
          </w:p>
        </w:tc>
        <w:tc>
          <w:tcPr>
            <w:tcW w:w="1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2,907</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1,447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1,268</w:t>
            </w:r>
          </w:p>
        </w:tc>
        <w:tc>
          <w:tcPr>
            <w:tcW w:w="3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49.8%</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Analog revenue increased due to Power and Signal Chain. High Volume revenue decreased. Operating profit increased primarily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3Q18</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3Q17</w:t>
            </w:r>
          </w:p>
        </w:tc>
        <w:tc>
          <w:tcPr>
            <w:tcW w:w="360" w:type="dxa"/>
            <w:vAlign w:val="bottom"/>
            <w:vMerge w:val="restart"/>
          </w:tcPr>
          <w:p>
            <w:pPr>
              <w:spacing w:after="0"/>
              <w:rPr>
                <w:sz w:val="20"/>
                <w:szCs w:val="20"/>
                <w:color w:val="auto"/>
              </w:rPr>
            </w:pPr>
          </w:p>
        </w:tc>
        <w:tc>
          <w:tcPr>
            <w:tcW w:w="10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Change</w:t>
            </w:r>
          </w:p>
        </w:tc>
        <w:tc>
          <w:tcPr>
            <w:tcW w:w="2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jc w:val="right"/>
              <w:ind w:right="474"/>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Operating profit</w:t>
            </w: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34.6%</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Embedded Processing revenue decreased due to Processors. Connected Microcontrollers revenue was about even. Operating profit decreased primarily due to lower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3Q18</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3Q17</w:t>
            </w:r>
          </w:p>
        </w:tc>
        <w:tc>
          <w:tcPr>
            <w:tcW w:w="360" w:type="dxa"/>
            <w:vAlign w:val="bottom"/>
            <w:vMerge w:val="restart"/>
          </w:tcPr>
          <w:p>
            <w:pPr>
              <w:spacing w:after="0"/>
              <w:rPr>
                <w:sz w:val="20"/>
                <w:szCs w:val="20"/>
                <w:color w:val="auto"/>
              </w:rPr>
            </w:pPr>
          </w:p>
        </w:tc>
        <w:tc>
          <w:tcPr>
            <w:tcW w:w="10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Change</w:t>
            </w:r>
          </w:p>
        </w:tc>
        <w:tc>
          <w:tcPr>
            <w:tcW w:w="2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jc w:val="right"/>
              <w:ind w:right="474"/>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460</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Operating profit*</w:t>
            </w: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39.3%</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$27 million, and operating profit declined by $14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first nine months of 2018 compared with first nine months of 2017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Revenue of $12.07 billion increased $856 million, or 8 percent, due to higher revenue from Analog and, to a lesser extent, Embedded Processing.</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of $7.87 billion was up $696 million, or 10 percent, primarily due to higher revenue. As a percentage of revenue, gross profit increased to 65.2 percent from 64.0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$2.43 billion compared with $2.41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$239 million were non-cash. See Note 9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$5.20 billion, or 43.1 percent of revenue, compared with $4.52 billion, or 40.3 percent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$75 million of income compared with $67 million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$89 million increased $32 million due to the issuance of additional long-term debt.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right="80"/>
        <w:spacing w:after="0" w:line="264" w:lineRule="auto"/>
        <w:rPr>
          <w:sz w:val="20"/>
          <w:szCs w:val="20"/>
          <w:color w:val="auto"/>
        </w:rPr>
      </w:pPr>
      <w:r>
        <w:rPr>
          <w:rFonts w:ascii="Arial" w:cs="Arial" w:eastAsia="Arial" w:hAnsi="Arial"/>
          <w:sz w:val="18"/>
          <w:szCs w:val="18"/>
          <w:color w:val="auto"/>
        </w:rPr>
        <w:t>Our Provision for income taxes was $842 million compared with $1.19 billion, which includes discrete tax benefits of $185 million and $190 million, respectively. The decrease in our tax provision was due to a lower U.S. statutory corporate tax rate and other net benefits resulting from the Tax Act, partially offset by higher income before income taxes.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w w:val="97"/>
              </w:rPr>
              <w:t>Net income was $4.34 billion compared with $3.34 billion. EPS was $4.32 compared with $3.26.</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Year-to-date segment results</w:t>
            </w:r>
          </w:p>
        </w:tc>
        <w:tc>
          <w:tcPr>
            <w:tcW w:w="5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3"/>
        </w:trPr>
        <w:tc>
          <w:tcPr>
            <w:tcW w:w="7420" w:type="dxa"/>
            <w:vAlign w:val="bottom"/>
            <w:gridSpan w:val="2"/>
          </w:tcPr>
          <w:p>
            <w:pPr>
              <w:spacing w:after="0"/>
              <w:rPr>
                <w:sz w:val="20"/>
                <w:szCs w:val="20"/>
                <w:color w:val="auto"/>
              </w:rPr>
            </w:pPr>
            <w:r>
              <w:rPr>
                <w:rFonts w:ascii="Arial" w:cs="Arial" w:eastAsia="Arial" w:hAnsi="Arial"/>
                <w:sz w:val="18"/>
                <w:szCs w:val="18"/>
                <w:color w:val="auto"/>
              </w:rPr>
              <w:t>Our segment results compared with the year-ago period are as follows:</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206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b w:val="1"/>
                <w:bCs w:val="1"/>
                <w:color w:val="auto"/>
              </w:rPr>
              <w:t>YTD 2018</w:t>
            </w:r>
          </w:p>
        </w:tc>
        <w:tc>
          <w:tcPr>
            <w:tcW w:w="3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YTD 2017</w:t>
            </w:r>
          </w:p>
        </w:tc>
        <w:tc>
          <w:tcPr>
            <w:tcW w:w="3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140" w:type="dxa"/>
            <w:vAlign w:val="bottom"/>
            <w:tcBorders>
              <w:bottom w:val="single" w:sz="8" w:color="CCEEFF"/>
            </w:tcBorders>
          </w:tcPr>
          <w:p>
            <w:pPr>
              <w:spacing w:after="0"/>
              <w:rPr>
                <w:sz w:val="24"/>
                <w:szCs w:val="24"/>
                <w:color w:val="auto"/>
              </w:rPr>
            </w:pPr>
          </w:p>
        </w:tc>
      </w:tr>
      <w:tr>
        <w:trPr>
          <w:trHeight w:val="22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8,163</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3,876</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3,280</w:t>
            </w:r>
          </w:p>
        </w:tc>
        <w:tc>
          <w:tcPr>
            <w:tcW w:w="3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230"/>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47.5%</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Analog revenue increased due to Power and, to a lesser extent, Signal Chain. High Volume revenue decreased due to the mix of products shipped. Operating profit increased primarily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6"/>
        </w:trPr>
        <w:tc>
          <w:tcPr>
            <w:tcW w:w="74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YTD 2018</w:t>
            </w:r>
          </w:p>
        </w:tc>
        <w:tc>
          <w:tcPr>
            <w:tcW w:w="3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YTD 2017</w:t>
            </w:r>
          </w:p>
        </w:tc>
        <w:tc>
          <w:tcPr>
            <w:tcW w:w="3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140" w:type="dxa"/>
            <w:vAlign w:val="bottom"/>
            <w:tcBorders>
              <w:bottom w:val="single" w:sz="8" w:color="CCEEFF"/>
            </w:tcBorders>
          </w:tcPr>
          <w:p>
            <w:pPr>
              <w:spacing w:after="0"/>
              <w:rPr>
                <w:sz w:val="24"/>
                <w:szCs w:val="24"/>
                <w:color w:val="auto"/>
              </w:rPr>
            </w:pPr>
          </w:p>
        </w:tc>
      </w:tr>
      <w:tr>
        <w:trPr>
          <w:trHeight w:val="223"/>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2,763</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971</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w:t>
            </w:r>
          </w:p>
        </w:tc>
        <w:tc>
          <w:tcPr>
            <w:tcW w:w="3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3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35.1%</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Embedded Processing revenue increased in both product lines about equally. Operating profit increased primarily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6"/>
        </w:trPr>
        <w:tc>
          <w:tcPr>
            <w:tcW w:w="73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YTD 2018</w:t>
            </w:r>
          </w:p>
        </w:tc>
        <w:tc>
          <w:tcPr>
            <w:tcW w:w="3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YTD 2017</w:t>
            </w:r>
          </w:p>
        </w:tc>
        <w:tc>
          <w:tcPr>
            <w:tcW w:w="3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CEEFF"/>
            </w:tcBorders>
          </w:tcPr>
          <w:p>
            <w:pPr>
              <w:spacing w:after="0"/>
              <w:rPr>
                <w:sz w:val="24"/>
                <w:szCs w:val="24"/>
                <w:color w:val="auto"/>
              </w:rPr>
            </w:pPr>
          </w:p>
        </w:tc>
      </w:tr>
      <w:tr>
        <w:trPr>
          <w:trHeight w:val="22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1,141</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w:t>
            </w:r>
          </w:p>
        </w:tc>
        <w:tc>
          <w:tcPr>
            <w:tcW w:w="3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30.7%</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$103 million, and operating profit declined by $54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the third quarter of 2018, total cash (Cash and cash equivalents plus Short-term investments) was $5.11 billion, an increase of $644 million from the end of 2017.</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Accounts receivable were $1.59 billion, an increase of $307 million compared with the end of 2017. Days sales outstanding at the end of the third quarter of 2018 were 33 compared with 31 at the end of 2017.</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Inventory was $2.12 billion, an increase of $159 million from the end of 2017. Days of inventory at the end of the third quarter of 2018 were 131 compared with 134 at the end of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nine months of 2018 were $5.04 billion, an increase of $1.61 billion from the year-ago period. This increase was due to higher Net income and a reduction in cash used for working capital, both of which benefited from a lower tax rate.</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2023. This credit facility also serves as support for the issuance of commercial paper. As of September 30, 2018, our credit facility was undrawn, and we had no commercial paper outstanding.</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Investing activities for the first nine months of 2018 used $1.58 billion compared with $229 million in the year-ago period. Capital expenditures were $808 million compared with $464 million in the year-ago period and were primarily for semiconductor manufacturing equipment in both periods. We had purchases of short-term investments, net of sales, that used cash of $763 million compared with proceeds from sales of short-term investments, net of purchases, that provided cash of $200 million in the year-ago period.</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Financing activities for the first nine months of 2018 used $3.62 billion compared with $3.06 billion in the year-ago period. In 2018, we received net proceeds of $1.50 billion from the issuance of fixed-rate, long-term debt and retired maturing debt of $500 million. In the year-ago period, we received net proceeds of $605 million from the issuance of fixed-rate, long-term debt and retired maturing debt of $625 million. Dividends paid were $1.82 billion compared with $1.49 billion in the year-ago period, reflecting an increase in the dividend rate, partially offset by fewer shares outstanding. We used $3.09 billion to repurchase 28.6 million shares of our common stock compared with $1.85 billion used in the year-ago period to repurchase 23.2 million shares. Employee exercises of stock options provided cash proceeds of $335 million compared with $321 million in the year-ago period.</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had $1.50 billion of Cash and cash equivalents and $3.61 billion of Short-term investments as of September 30, 2018.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For 12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74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(GAAP)</w:t>
            </w: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6,973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4,821</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8"/>
                <w:szCs w:val="18"/>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color w:val="auto"/>
              </w:rPr>
              <w:t>Capital expenditures</w:t>
            </w:r>
          </w:p>
        </w:tc>
        <w:tc>
          <w:tcPr>
            <w:tcW w:w="2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8"/>
              </w:rPr>
              <w:t>(1,039)</w:t>
            </w:r>
          </w:p>
        </w:tc>
        <w:tc>
          <w:tcPr>
            <w:tcW w:w="7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(574)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Free cash flow (non-GAAP)</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5,934</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474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15,817</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14,625</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4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as a percent of revenue (GAAP)</w:t>
            </w: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44.1%</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6"/>
                <w:szCs w:val="16"/>
                <w:color w:val="auto"/>
              </w:rPr>
              <w:t>Free cash flow as a percent of revenue (non-GAAP)</w:t>
            </w:r>
          </w:p>
        </w:tc>
        <w:tc>
          <w:tcPr>
            <w:tcW w:w="2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37.5%</w:t>
            </w:r>
          </w:p>
        </w:tc>
        <w:tc>
          <w:tcPr>
            <w:tcW w:w="7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29.0%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8"/>
        </w:trPr>
        <w:tc>
          <w:tcPr>
            <w:tcW w:w="4740" w:type="dxa"/>
            <w:vAlign w:val="bottom"/>
          </w:tcPr>
          <w:p>
            <w:pPr>
              <w:spacing w:after="0"/>
              <w:rPr>
                <w:sz w:val="24"/>
                <w:szCs w:val="24"/>
                <w:color w:val="auto"/>
              </w:rPr>
            </w:pPr>
          </w:p>
        </w:tc>
        <w:tc>
          <w:tcPr>
            <w:tcW w:w="2280" w:type="dxa"/>
            <w:vAlign w:val="bottom"/>
          </w:tcPr>
          <w:p>
            <w:pPr>
              <w:jc w:val="right"/>
              <w:ind w:right="1130"/>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1" w:name="page22"/>
    <w:bookmarkEnd w:id="21"/>
    <w:p>
      <w:pPr>
        <w:ind w:right="40"/>
        <w:spacing w:after="0" w:line="259"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2017. Additionally, in the first nine months of 2018, we issued $1.50 billion principal amount of 4.15 percent notes maturing in 2048 and retired $500 million of maturing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Our critical accounting policies are described in </w:t>
      </w:r>
      <w:r>
        <w:rPr>
          <w:rFonts w:ascii="Arial" w:cs="Arial" w:eastAsia="Arial" w:hAnsi="Arial"/>
          <w:sz w:val="18"/>
          <w:szCs w:val="18"/>
          <w:i w:val="1"/>
          <w:iCs w:val="1"/>
          <w:color w:val="auto"/>
        </w:rPr>
        <w:t>Management’s Discussion and Analysis of Financial Condition and Results of Operations – 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our Annual Report on Form 10-K for the year ended December 31, 2017.</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On January 1, 2018, we adopted Accounting Standards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is discussed in Note 2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2017,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7"/>
                <w:szCs w:val="17"/>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4"/>
          </w:tcPr>
          <w:p>
            <w:pPr>
              <w:ind w:left="140"/>
              <w:spacing w:after="0"/>
              <w:rPr>
                <w:sz w:val="20"/>
                <w:szCs w:val="20"/>
                <w:color w:val="auto"/>
              </w:rPr>
            </w:pPr>
            <w:r>
              <w:rPr>
                <w:rFonts w:ascii="Arial" w:cs="Arial" w:eastAsia="Arial" w:hAnsi="Arial"/>
                <w:sz w:val="16"/>
                <w:szCs w:val="16"/>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Arial" w:cs="Arial" w:eastAsia="Arial" w:hAnsi="Arial"/>
                <w:sz w:val="16"/>
                <w:szCs w:val="16"/>
                <w:b w:val="1"/>
                <w:bCs w:val="1"/>
                <w:color w:val="auto"/>
                <w:w w:val="92"/>
              </w:rPr>
              <w:t>Under the Plans or</w:t>
            </w:r>
          </w:p>
        </w:tc>
      </w:tr>
      <w:tr>
        <w:trPr>
          <w:trHeight w:val="216"/>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 Purchased</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Paid per Share</w:t>
            </w:r>
          </w:p>
        </w:tc>
        <w:tc>
          <w:tcPr>
            <w:tcW w:w="120" w:type="dxa"/>
            <w:vAlign w:val="bottom"/>
            <w:tcBorders>
              <w:bottom w:val="single" w:sz="8" w:color="CFF0FC"/>
            </w:tcBorders>
          </w:tcPr>
          <w:p>
            <w:pPr>
              <w:spacing w:after="0"/>
              <w:rPr>
                <w:sz w:val="18"/>
                <w:szCs w:val="18"/>
                <w:color w:val="auto"/>
              </w:rPr>
            </w:pPr>
          </w:p>
        </w:tc>
        <w:tc>
          <w:tcPr>
            <w:tcW w:w="17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93"/>
              </w:rPr>
              <w:t xml:space="preserve">Plans or Programs </w:t>
            </w:r>
            <w:r>
              <w:rPr>
                <w:rFonts w:ascii="Arial" w:cs="Arial" w:eastAsia="Arial" w:hAnsi="Arial"/>
                <w:sz w:val="25"/>
                <w:szCs w:val="25"/>
                <w:color w:val="auto"/>
                <w:w w:val="93"/>
                <w:vertAlign w:val="superscript"/>
              </w:rPr>
              <w:t>(a)</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01"/>
              <w:spacing w:after="0" w:line="216" w:lineRule="exact"/>
              <w:rPr>
                <w:sz w:val="20"/>
                <w:szCs w:val="20"/>
                <w:color w:val="auto"/>
              </w:rPr>
            </w:pPr>
            <w:r>
              <w:rPr>
                <w:rFonts w:ascii="Arial" w:cs="Arial" w:eastAsia="Arial" w:hAnsi="Arial"/>
                <w:sz w:val="15"/>
                <w:szCs w:val="15"/>
                <w:b w:val="1"/>
                <w:bCs w:val="1"/>
                <w:color w:val="auto"/>
                <w:w w:val="93"/>
              </w:rPr>
              <w:t xml:space="preserve">Programs </w:t>
            </w:r>
            <w:r>
              <w:rPr>
                <w:rFonts w:ascii="Arial" w:cs="Arial" w:eastAsia="Arial" w:hAnsi="Arial"/>
                <w:sz w:val="25"/>
                <w:szCs w:val="25"/>
                <w:color w:val="auto"/>
                <w:w w:val="93"/>
                <w:vertAlign w:val="superscript"/>
              </w:rPr>
              <w:t>(a)</w:t>
            </w:r>
          </w:p>
        </w:tc>
      </w:tr>
      <w:tr>
        <w:trPr>
          <w:trHeight w:val="210"/>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July 1, 2018 through July 31, 2018</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4,109,527</w:t>
            </w: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rPr>
              <w:t>4,071,862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301"/>
              <w:spacing w:after="0"/>
              <w:rPr>
                <w:sz w:val="20"/>
                <w:szCs w:val="20"/>
                <w:color w:val="auto"/>
              </w:rPr>
            </w:pPr>
            <w:r>
              <w:rPr>
                <w:rFonts w:ascii="Arial" w:cs="Arial" w:eastAsia="Arial" w:hAnsi="Arial"/>
                <w:sz w:val="16"/>
                <w:szCs w:val="16"/>
                <w:color w:val="auto"/>
              </w:rPr>
              <w:t>6.89 billion</w:t>
            </w:r>
          </w:p>
        </w:tc>
      </w:tr>
      <w:tr>
        <w:trPr>
          <w:trHeight w:val="213"/>
        </w:trPr>
        <w:tc>
          <w:tcPr>
            <w:tcW w:w="4700" w:type="dxa"/>
            <w:vAlign w:val="bottom"/>
            <w:gridSpan w:val="2"/>
          </w:tcPr>
          <w:p>
            <w:pPr>
              <w:spacing w:after="0"/>
              <w:rPr>
                <w:sz w:val="20"/>
                <w:szCs w:val="20"/>
                <w:color w:val="auto"/>
              </w:rPr>
            </w:pPr>
            <w:r>
              <w:rPr>
                <w:rFonts w:ascii="Arial" w:cs="Arial" w:eastAsia="Arial" w:hAnsi="Arial"/>
                <w:sz w:val="16"/>
                <w:szCs w:val="16"/>
                <w:color w:val="auto"/>
              </w:rPr>
              <w:t>August 1, 2018 through August 31, 2018</w:t>
            </w:r>
          </w:p>
        </w:tc>
        <w:tc>
          <w:tcPr>
            <w:tcW w:w="1420" w:type="dxa"/>
            <w:vAlign w:val="bottom"/>
          </w:tcPr>
          <w:p>
            <w:pPr>
              <w:jc w:val="right"/>
              <w:spacing w:after="0"/>
              <w:rPr>
                <w:sz w:val="20"/>
                <w:szCs w:val="20"/>
                <w:color w:val="auto"/>
              </w:rPr>
            </w:pPr>
            <w:r>
              <w:rPr>
                <w:rFonts w:ascii="Arial" w:cs="Arial" w:eastAsia="Arial" w:hAnsi="Arial"/>
                <w:sz w:val="16"/>
                <w:szCs w:val="16"/>
                <w:color w:val="auto"/>
              </w:rPr>
              <w:t>4,275,466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20"/>
              <w:spacing w:after="0"/>
              <w:rPr>
                <w:sz w:val="20"/>
                <w:szCs w:val="20"/>
                <w:color w:val="auto"/>
              </w:rPr>
            </w:pPr>
            <w:r>
              <w:rPr>
                <w:rFonts w:ascii="Arial" w:cs="Arial" w:eastAsia="Arial" w:hAnsi="Arial"/>
                <w:sz w:val="16"/>
                <w:szCs w:val="16"/>
                <w:color w:val="auto"/>
              </w:rPr>
              <w:t>4,275,466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301"/>
              <w:spacing w:after="0"/>
              <w:rPr>
                <w:sz w:val="20"/>
                <w:szCs w:val="20"/>
                <w:color w:val="auto"/>
              </w:rPr>
            </w:pPr>
            <w:r>
              <w:rPr>
                <w:rFonts w:ascii="Arial" w:cs="Arial" w:eastAsia="Arial" w:hAnsi="Arial"/>
                <w:sz w:val="16"/>
                <w:szCs w:val="16"/>
                <w:color w:val="auto"/>
              </w:rPr>
              <w:t>6.41 billion</w:t>
            </w:r>
          </w:p>
        </w:tc>
      </w:tr>
      <w:tr>
        <w:trPr>
          <w:trHeight w:val="21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September 1, 2018 through September 30, 2018</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2,434,574</w:t>
            </w: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120"/>
              <w:spacing w:after="0"/>
              <w:rPr>
                <w:sz w:val="20"/>
                <w:szCs w:val="20"/>
                <w:color w:val="auto"/>
              </w:rPr>
            </w:pPr>
            <w:r>
              <w:rPr>
                <w:rFonts w:ascii="Arial" w:cs="Arial" w:eastAsia="Arial" w:hAnsi="Arial"/>
                <w:sz w:val="16"/>
                <w:szCs w:val="16"/>
                <w:color w:val="auto"/>
              </w:rPr>
              <w:t>2,434,574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01"/>
              <w:spacing w:after="0"/>
              <w:rPr>
                <w:sz w:val="20"/>
                <w:szCs w:val="20"/>
                <w:color w:val="auto"/>
              </w:rPr>
            </w:pPr>
            <w:r>
              <w:rPr>
                <w:rFonts w:ascii="Arial" w:cs="Arial" w:eastAsia="Arial" w:hAnsi="Arial"/>
                <w:sz w:val="16"/>
                <w:szCs w:val="16"/>
                <w:color w:val="auto"/>
              </w:rPr>
              <w:t>18.15 billion</w:t>
            </w:r>
          </w:p>
        </w:tc>
      </w:tr>
      <w:tr>
        <w:trPr>
          <w:trHeight w:val="210"/>
        </w:trPr>
        <w:tc>
          <w:tcPr>
            <w:tcW w:w="4700" w:type="dxa"/>
            <w:vAlign w:val="bottom"/>
            <w:gridSpan w:val="2"/>
          </w:tcPr>
          <w:p>
            <w:pPr>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10,819,567</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w:t>
            </w:r>
          </w:p>
        </w:tc>
        <w:tc>
          <w:tcPr>
            <w:tcW w:w="5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111.30</w:t>
            </w:r>
          </w:p>
        </w:tc>
        <w:tc>
          <w:tcPr>
            <w:tcW w:w="320" w:type="dxa"/>
            <w:vAlign w:val="bottom"/>
            <w:gridSpan w:val="2"/>
          </w:tcPr>
          <w:p>
            <w:pPr>
              <w:spacing w:after="0"/>
              <w:rPr>
                <w:sz w:val="20"/>
                <w:szCs w:val="20"/>
                <w:color w:val="auto"/>
              </w:rPr>
            </w:pPr>
            <w:r>
              <w:rPr>
                <w:rFonts w:ascii="Arial" w:cs="Arial" w:eastAsia="Arial" w:hAnsi="Arial"/>
                <w:sz w:val="14"/>
                <w:szCs w:val="14"/>
                <w:color w:val="auto"/>
              </w:rPr>
              <w:t>(b)</w:t>
            </w:r>
          </w:p>
        </w:tc>
        <w:tc>
          <w:tcPr>
            <w:tcW w:w="17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10,781,902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01"/>
              <w:spacing w:after="0" w:line="210" w:lineRule="exact"/>
              <w:rPr>
                <w:sz w:val="20"/>
                <w:szCs w:val="20"/>
                <w:color w:val="auto"/>
              </w:rPr>
            </w:pPr>
            <w:r>
              <w:rPr>
                <w:rFonts w:ascii="Arial" w:cs="Arial" w:eastAsia="Arial" w:hAnsi="Arial"/>
                <w:sz w:val="15"/>
                <w:szCs w:val="15"/>
                <w:color w:val="auto"/>
              </w:rPr>
              <w:t xml:space="preserve">18.15 billion </w:t>
            </w:r>
            <w:r>
              <w:rPr>
                <w:rFonts w:ascii="Arial" w:cs="Arial" w:eastAsia="Arial" w:hAnsi="Arial"/>
                <w:sz w:val="24"/>
                <w:szCs w:val="24"/>
                <w:color w:val="auto"/>
                <w:vertAlign w:val="superscript"/>
              </w:rPr>
              <w:t>(c)</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$7.5 billion of additional shares of TI common stock announced September 17, 2015. On September 21, 2017, our board of directors authorized the purchase of an additional $6.0 billion of our common stock, and on September 20, 2018, our board of directors authorized the purchase of an additional $12.0 billion of our common stock.</w:t>
      </w:r>
    </w:p>
    <w:p>
      <w:pPr>
        <w:spacing w:after="0" w:line="78"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open-market purchases, 37,665 shares of common stock were surrendered by employees to satisfy tax withholding obligations in connection with the vesting of restricted stock units.</w:t>
      </w:r>
    </w:p>
    <w:p>
      <w:pPr>
        <w:spacing w:after="0" w:line="62" w:lineRule="exact"/>
        <w:rPr>
          <w:rFonts w:ascii="Arial" w:cs="Arial" w:eastAsia="Arial" w:hAnsi="Arial"/>
          <w:sz w:val="18"/>
          <w:szCs w:val="18"/>
          <w:color w:val="auto"/>
        </w:rPr>
      </w:pPr>
    </w:p>
    <w:p>
      <w:pPr>
        <w:ind w:left="460" w:right="80" w:hanging="452"/>
        <w:spacing w:after="0" w:line="34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September 30, 2018, this amount consisted of the remaining portion of the $7.5 billion authorized in September 2015, the $6.0 billion authorized in September 2017 and the $12.0 billion authorized in September 2018. No expiration date has been specified for these authorizations.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Designation of Exhibits</w:t>
            </w:r>
          </w:p>
        </w:tc>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in This Report</w:t>
            </w:r>
          </w:p>
        </w:tc>
        <w:tc>
          <w:tcPr>
            <w:tcW w:w="9720" w:type="dxa"/>
            <w:vAlign w:val="bottom"/>
            <w:gridSpan w:val="9"/>
          </w:tcPr>
          <w:p>
            <w:pPr>
              <w:ind w:left="2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9"/>
        </w:trPr>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3(a)</w:t>
            </w:r>
          </w:p>
        </w:tc>
        <w:tc>
          <w:tcPr>
            <w:tcW w:w="20" w:type="dxa"/>
            <w:vAlign w:val="bottom"/>
            <w:shd w:val="clear" w:color="auto" w:fill="CCEEFF"/>
          </w:tcPr>
          <w:p>
            <w:pPr>
              <w:spacing w:after="0"/>
              <w:rPr>
                <w:sz w:val="15"/>
                <w:szCs w:val="15"/>
                <w:color w:val="auto"/>
              </w:rPr>
            </w:pPr>
          </w:p>
        </w:tc>
        <w:tc>
          <w:tcPr>
            <w:tcW w:w="9700" w:type="dxa"/>
            <w:vAlign w:val="bottom"/>
            <w:gridSpan w:val="8"/>
            <w:shd w:val="clear" w:color="auto" w:fill="CCEEFF"/>
          </w:tcPr>
          <w:p>
            <w:pPr>
              <w:spacing w:after="0" w:line="178" w:lineRule="exact"/>
              <w:rPr>
                <w:rFonts w:ascii="Arial" w:cs="Arial" w:eastAsia="Arial" w:hAnsi="Arial"/>
                <w:sz w:val="16"/>
                <w:szCs w:val="16"/>
                <w:color w:val="0000EE"/>
              </w:rPr>
            </w:pPr>
            <w:hyperlink r:id="rId39">
              <w:r>
                <w:rPr>
                  <w:rFonts w:ascii="Arial" w:cs="Arial" w:eastAsia="Arial" w:hAnsi="Arial"/>
                  <w:sz w:val="16"/>
                  <w:szCs w:val="16"/>
                  <w:color w:val="0000EE"/>
                </w:rPr>
                <w:t>Restated Certificate of Incorporation of the Registrant, dated April 18, 1985, as amended (incorporated by reference to Exhibit 3(a) of the</w:t>
              </w:r>
            </w:hyperlink>
          </w:p>
        </w:tc>
        <w:tc>
          <w:tcPr>
            <w:tcW w:w="0" w:type="dxa"/>
            <w:vAlign w:val="bottom"/>
          </w:tcPr>
          <w:p>
            <w:pPr>
              <w:spacing w:after="0"/>
              <w:rPr>
                <w:sz w:val="1"/>
                <w:szCs w:val="1"/>
                <w:color w:val="auto"/>
              </w:rPr>
            </w:pPr>
          </w:p>
        </w:tc>
      </w:tr>
      <w:tr>
        <w:trPr>
          <w:trHeight w:val="109"/>
        </w:trPr>
        <w:tc>
          <w:tcPr>
            <w:tcW w:w="1700" w:type="dxa"/>
            <w:vAlign w:val="bottom"/>
            <w:tcBorders>
              <w:top w:val="single" w:sz="8" w:color="CCEEFF"/>
            </w:tcBorders>
            <w:vMerge w:val="continue"/>
            <w:shd w:val="clear" w:color="auto" w:fill="CCEEFF"/>
          </w:tcPr>
          <w:p>
            <w:pPr>
              <w:spacing w:after="0"/>
              <w:rPr>
                <w:sz w:val="9"/>
                <w:szCs w:val="9"/>
                <w:color w:val="auto"/>
              </w:rPr>
            </w:pPr>
          </w:p>
        </w:tc>
        <w:tc>
          <w:tcPr>
            <w:tcW w:w="20" w:type="dxa"/>
            <w:vAlign w:val="bottom"/>
            <w:tcBorders>
              <w:top w:val="single" w:sz="8" w:color="CCEEFF"/>
            </w:tcBorders>
            <w:vMerge w:val="restart"/>
            <w:shd w:val="clear" w:color="auto" w:fill="CCEEFF"/>
          </w:tcPr>
          <w:p>
            <w:pPr>
              <w:spacing w:after="0"/>
              <w:rPr>
                <w:sz w:val="9"/>
                <w:szCs w:val="9"/>
                <w:color w:val="auto"/>
              </w:rPr>
            </w:pPr>
          </w:p>
        </w:tc>
        <w:tc>
          <w:tcPr>
            <w:tcW w:w="5360" w:type="dxa"/>
            <w:vAlign w:val="bottom"/>
            <w:tcBorders>
              <w:top w:val="single" w:sz="8" w:color="0000EE"/>
            </w:tcBorders>
            <w:vMerge w:val="restart"/>
            <w:shd w:val="clear" w:color="auto" w:fill="CCEEFF"/>
          </w:tcPr>
          <w:p>
            <w:pPr>
              <w:spacing w:after="0" w:line="183" w:lineRule="exact"/>
              <w:rPr>
                <w:rFonts w:ascii="Arial" w:cs="Arial" w:eastAsia="Arial" w:hAnsi="Arial"/>
                <w:sz w:val="16"/>
                <w:szCs w:val="16"/>
                <w:color w:val="0000EE"/>
                <w:w w:val="91"/>
              </w:rPr>
            </w:pPr>
            <w:hyperlink r:id="rId39">
              <w:r>
                <w:rPr>
                  <w:rFonts w:ascii="Arial" w:cs="Arial" w:eastAsia="Arial" w:hAnsi="Arial"/>
                  <w:sz w:val="16"/>
                  <w:szCs w:val="16"/>
                  <w:color w:val="0000EE"/>
                  <w:w w:val="91"/>
                </w:rPr>
                <w:t>Registrant's Annual Report on Form 10-K for the year ended December 31, 2014).</w:t>
              </w:r>
            </w:hyperlink>
          </w:p>
        </w:tc>
        <w:tc>
          <w:tcPr>
            <w:tcW w:w="3560" w:type="dxa"/>
            <w:vAlign w:val="bottom"/>
            <w:tcBorders>
              <w:top w:val="single" w:sz="8" w:color="0000EE"/>
            </w:tcBorders>
            <w:gridSpan w:val="5"/>
            <w:vMerge w:val="restart"/>
            <w:shd w:val="clear" w:color="auto" w:fill="CCEEFF"/>
          </w:tcPr>
          <w:p>
            <w:pPr>
              <w:spacing w:after="0"/>
              <w:rPr>
                <w:sz w:val="9"/>
                <w:szCs w:val="9"/>
                <w:color w:val="auto"/>
              </w:rPr>
            </w:pPr>
          </w:p>
        </w:tc>
        <w:tc>
          <w:tcPr>
            <w:tcW w:w="780" w:type="dxa"/>
            <w:vAlign w:val="bottom"/>
            <w:tcBorders>
              <w:top w:val="single" w:sz="8" w:color="CCEEFF"/>
            </w:tcBorders>
            <w:gridSpan w:val="2"/>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5360" w:type="dxa"/>
            <w:vAlign w:val="bottom"/>
            <w:tcBorders>
              <w:bottom w:val="single" w:sz="8" w:color="0000EE"/>
            </w:tcBorders>
            <w:vMerge w:val="continue"/>
            <w:shd w:val="clear" w:color="auto" w:fill="CCEEFF"/>
          </w:tcPr>
          <w:p>
            <w:pPr>
              <w:spacing w:after="0"/>
              <w:rPr>
                <w:sz w:val="8"/>
                <w:szCs w:val="8"/>
                <w:color w:val="auto"/>
              </w:rPr>
            </w:pPr>
          </w:p>
        </w:tc>
        <w:tc>
          <w:tcPr>
            <w:tcW w:w="3560" w:type="dxa"/>
            <w:vAlign w:val="bottom"/>
            <w:tcBorders>
              <w:bottom w:val="single" w:sz="8" w:color="CCEEFF"/>
            </w:tcBorders>
            <w:gridSpan w:val="5"/>
            <w:vMerge w:val="continue"/>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6"/>
                <w:szCs w:val="16"/>
                <w:color w:val="auto"/>
                <w:w w:val="98"/>
              </w:rPr>
              <w:t>3(b)</w:t>
            </w:r>
          </w:p>
        </w:tc>
        <w:tc>
          <w:tcPr>
            <w:tcW w:w="9720" w:type="dxa"/>
            <w:vAlign w:val="bottom"/>
            <w:gridSpan w:val="9"/>
          </w:tcPr>
          <w:p>
            <w:pPr>
              <w:ind w:left="20"/>
              <w:spacing w:after="0" w:line="176" w:lineRule="exact"/>
              <w:rPr>
                <w:rFonts w:ascii="Arial" w:cs="Arial" w:eastAsia="Arial" w:hAnsi="Arial"/>
                <w:sz w:val="16"/>
                <w:szCs w:val="16"/>
                <w:color w:val="0000EE"/>
                <w:w w:val="98"/>
              </w:rPr>
            </w:pPr>
            <w:hyperlink r:id="rId40">
              <w:r>
                <w:rPr>
                  <w:rFonts w:ascii="Arial" w:cs="Arial" w:eastAsia="Arial" w:hAnsi="Arial"/>
                  <w:sz w:val="16"/>
                  <w:szCs w:val="16"/>
                  <w:color w:val="0000EE"/>
                  <w:w w:val="98"/>
                </w:rPr>
                <w:t>By-Laws of the Registrant (incorporated by reference to Exhibit 3 of the Registrant's Current Report on Form 8-K filed December 12, 2016).</w:t>
              </w:r>
            </w:hyperlink>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90"/>
              </w:rPr>
              <w:t>31(a)</w:t>
            </w:r>
          </w:p>
        </w:tc>
        <w:tc>
          <w:tcPr>
            <w:tcW w:w="20" w:type="dxa"/>
            <w:vAlign w:val="bottom"/>
            <w:shd w:val="clear" w:color="auto" w:fill="CCEEFF"/>
          </w:tcPr>
          <w:p>
            <w:pPr>
              <w:spacing w:after="0"/>
              <w:rPr>
                <w:sz w:val="17"/>
                <w:szCs w:val="17"/>
                <w:color w:val="auto"/>
              </w:rPr>
            </w:pPr>
          </w:p>
        </w:tc>
        <w:tc>
          <w:tcPr>
            <w:tcW w:w="9700" w:type="dxa"/>
            <w:vAlign w:val="bottom"/>
            <w:gridSpan w:val="8"/>
            <w:shd w:val="clear" w:color="auto" w:fill="CCEEFF"/>
          </w:tcPr>
          <w:p>
            <w:pPr>
              <w:spacing w:after="0" w:line="176" w:lineRule="exact"/>
              <w:rPr>
                <w:rFonts w:ascii="Arial" w:cs="Arial" w:eastAsia="Arial" w:hAnsi="Arial"/>
                <w:sz w:val="16"/>
                <w:szCs w:val="16"/>
                <w:color w:val="0000EE"/>
              </w:rPr>
            </w:pPr>
            <w:hyperlink w:anchor="page28">
              <w:r>
                <w:rPr>
                  <w:rFonts w:ascii="Arial" w:cs="Arial" w:eastAsia="Arial" w:hAnsi="Arial"/>
                  <w:sz w:val="16"/>
                  <w:szCs w:val="16"/>
                  <w:color w:val="0000EE"/>
                </w:rPr>
                <w:t>Certification of Chief Executive Officer of Periodic Report Pursuant to Rule 13a-14(a) or Rule 15d-14(a).†</w:t>
              </w:r>
            </w:hyperlink>
          </w:p>
        </w:tc>
        <w:tc>
          <w:tcPr>
            <w:tcW w:w="0" w:type="dxa"/>
            <w:vAlign w:val="bottom"/>
          </w:tcPr>
          <w:p>
            <w:pPr>
              <w:spacing w:after="0"/>
              <w:rPr>
                <w:sz w:val="1"/>
                <w:szCs w:val="1"/>
                <w:color w:val="auto"/>
              </w:rPr>
            </w:pPr>
          </w:p>
        </w:tc>
      </w:tr>
      <w:tr>
        <w:trPr>
          <w:trHeight w:val="176"/>
        </w:trPr>
        <w:tc>
          <w:tcPr>
            <w:tcW w:w="17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6"/>
                <w:szCs w:val="16"/>
                <w:color w:val="auto"/>
                <w:w w:val="96"/>
              </w:rPr>
              <w:t>31(b)</w:t>
            </w:r>
          </w:p>
        </w:tc>
        <w:tc>
          <w:tcPr>
            <w:tcW w:w="20" w:type="dxa"/>
            <w:vAlign w:val="bottom"/>
            <w:tcBorders>
              <w:top w:val="single" w:sz="8" w:color="CCEEFF"/>
            </w:tcBorders>
          </w:tcPr>
          <w:p>
            <w:pPr>
              <w:spacing w:after="0"/>
              <w:rPr>
                <w:sz w:val="15"/>
                <w:szCs w:val="15"/>
                <w:color w:val="auto"/>
              </w:rPr>
            </w:pPr>
          </w:p>
        </w:tc>
        <w:tc>
          <w:tcPr>
            <w:tcW w:w="6940" w:type="dxa"/>
            <w:vAlign w:val="bottom"/>
            <w:tcBorders>
              <w:top w:val="single" w:sz="8" w:color="0000EE"/>
            </w:tcBorders>
            <w:gridSpan w:val="5"/>
          </w:tcPr>
          <w:p>
            <w:pPr>
              <w:spacing w:after="0" w:line="176" w:lineRule="exact"/>
              <w:rPr>
                <w:rFonts w:ascii="Arial" w:cs="Arial" w:eastAsia="Arial" w:hAnsi="Arial"/>
                <w:sz w:val="16"/>
                <w:szCs w:val="16"/>
                <w:color w:val="0000EE"/>
                <w:w w:val="93"/>
              </w:rPr>
            </w:pPr>
            <w:hyperlink w:anchor="page29">
              <w:r>
                <w:rPr>
                  <w:rFonts w:ascii="Arial" w:cs="Arial" w:eastAsia="Arial" w:hAnsi="Arial"/>
                  <w:sz w:val="16"/>
                  <w:szCs w:val="16"/>
                  <w:color w:val="0000EE"/>
                  <w:w w:val="93"/>
                </w:rPr>
                <w:t>Certification of Chief Financial Officer of Periodic Report Pursuant to Rule 13a-14(a) or Rule 15d-14(a).†</w:t>
              </w:r>
            </w:hyperlink>
          </w:p>
        </w:tc>
        <w:tc>
          <w:tcPr>
            <w:tcW w:w="2760" w:type="dxa"/>
            <w:vAlign w:val="bottom"/>
            <w:tcBorders>
              <w:top w:val="single" w:sz="8" w:color="CCEEFF"/>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90"/>
              </w:rPr>
              <w:t>32(a)</w:t>
            </w:r>
          </w:p>
        </w:tc>
        <w:tc>
          <w:tcPr>
            <w:tcW w:w="20" w:type="dxa"/>
            <w:vAlign w:val="bottom"/>
            <w:shd w:val="clear" w:color="auto" w:fill="CCEEFF"/>
          </w:tcPr>
          <w:p>
            <w:pPr>
              <w:spacing w:after="0"/>
              <w:rPr>
                <w:sz w:val="17"/>
                <w:szCs w:val="17"/>
                <w:color w:val="auto"/>
              </w:rPr>
            </w:pPr>
          </w:p>
        </w:tc>
        <w:tc>
          <w:tcPr>
            <w:tcW w:w="9700" w:type="dxa"/>
            <w:vAlign w:val="bottom"/>
            <w:gridSpan w:val="8"/>
            <w:shd w:val="clear" w:color="auto" w:fill="CCEEFF"/>
          </w:tcPr>
          <w:p>
            <w:pPr>
              <w:spacing w:after="0" w:line="176" w:lineRule="exact"/>
              <w:rPr>
                <w:rFonts w:ascii="Arial" w:cs="Arial" w:eastAsia="Arial" w:hAnsi="Arial"/>
                <w:sz w:val="16"/>
                <w:szCs w:val="16"/>
                <w:color w:val="0000EE"/>
              </w:rPr>
            </w:pPr>
            <w:hyperlink w:anchor="page30">
              <w:r>
                <w:rPr>
                  <w:rFonts w:ascii="Arial" w:cs="Arial" w:eastAsia="Arial" w:hAnsi="Arial"/>
                  <w:sz w:val="16"/>
                  <w:szCs w:val="16"/>
                  <w:color w:val="0000EE"/>
                </w:rPr>
                <w:t>Certification by Chief Executive Officer of Periodic Report Pursuant to 18 U.S.C. Section 1350.†</w:t>
              </w:r>
            </w:hyperlink>
          </w:p>
        </w:tc>
        <w:tc>
          <w:tcPr>
            <w:tcW w:w="0" w:type="dxa"/>
            <w:vAlign w:val="bottom"/>
          </w:tcPr>
          <w:p>
            <w:pPr>
              <w:spacing w:after="0"/>
              <w:rPr>
                <w:sz w:val="1"/>
                <w:szCs w:val="1"/>
                <w:color w:val="auto"/>
              </w:rPr>
            </w:pPr>
          </w:p>
        </w:tc>
      </w:tr>
      <w:tr>
        <w:trPr>
          <w:trHeight w:val="176"/>
        </w:trPr>
        <w:tc>
          <w:tcPr>
            <w:tcW w:w="17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6"/>
                <w:szCs w:val="16"/>
                <w:color w:val="auto"/>
                <w:w w:val="96"/>
              </w:rPr>
              <w:t>32(b)</w:t>
            </w:r>
          </w:p>
        </w:tc>
        <w:tc>
          <w:tcPr>
            <w:tcW w:w="20" w:type="dxa"/>
            <w:vAlign w:val="bottom"/>
            <w:tcBorders>
              <w:top w:val="single" w:sz="8" w:color="CCEEFF"/>
            </w:tcBorders>
          </w:tcPr>
          <w:p>
            <w:pPr>
              <w:spacing w:after="0"/>
              <w:rPr>
                <w:sz w:val="15"/>
                <w:szCs w:val="15"/>
                <w:color w:val="auto"/>
              </w:rPr>
            </w:pPr>
          </w:p>
        </w:tc>
        <w:tc>
          <w:tcPr>
            <w:tcW w:w="6320" w:type="dxa"/>
            <w:vAlign w:val="bottom"/>
            <w:tcBorders>
              <w:top w:val="single" w:sz="8" w:color="0000EE"/>
            </w:tcBorders>
            <w:gridSpan w:val="3"/>
          </w:tcPr>
          <w:p>
            <w:pPr>
              <w:spacing w:after="0" w:line="176" w:lineRule="exact"/>
              <w:rPr>
                <w:rFonts w:ascii="Arial" w:cs="Arial" w:eastAsia="Arial" w:hAnsi="Arial"/>
                <w:sz w:val="16"/>
                <w:szCs w:val="16"/>
                <w:color w:val="0000EE"/>
                <w:w w:val="93"/>
              </w:rPr>
            </w:pPr>
            <w:hyperlink w:anchor="page31">
              <w:r>
                <w:rPr>
                  <w:rFonts w:ascii="Arial" w:cs="Arial" w:eastAsia="Arial" w:hAnsi="Arial"/>
                  <w:sz w:val="16"/>
                  <w:szCs w:val="16"/>
                  <w:color w:val="0000EE"/>
                  <w:w w:val="93"/>
                </w:rPr>
                <w:t>Certification by Chief Financial Officer of Periodic Report Pursuant to 18 U.S.C. Section 1350.†</w:t>
              </w:r>
            </w:hyperlink>
          </w:p>
        </w:tc>
        <w:tc>
          <w:tcPr>
            <w:tcW w:w="3380" w:type="dxa"/>
            <w:vAlign w:val="bottom"/>
            <w:tcBorders>
              <w:top w:val="single" w:sz="8" w:color="CCEEFF"/>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101.ins</w:t>
            </w:r>
          </w:p>
        </w:tc>
        <w:tc>
          <w:tcPr>
            <w:tcW w:w="972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13"/>
        </w:trPr>
        <w:tc>
          <w:tcPr>
            <w:tcW w:w="1700" w:type="dxa"/>
            <w:vAlign w:val="bottom"/>
          </w:tcPr>
          <w:p>
            <w:pPr>
              <w:jc w:val="center"/>
              <w:spacing w:after="0"/>
              <w:rPr>
                <w:sz w:val="20"/>
                <w:szCs w:val="20"/>
                <w:color w:val="auto"/>
              </w:rPr>
            </w:pPr>
            <w:r>
              <w:rPr>
                <w:rFonts w:ascii="Arial" w:cs="Arial" w:eastAsia="Arial" w:hAnsi="Arial"/>
                <w:sz w:val="16"/>
                <w:szCs w:val="16"/>
                <w:color w:val="auto"/>
                <w:w w:val="89"/>
              </w:rPr>
              <w:t>101.def</w:t>
            </w:r>
          </w:p>
        </w:tc>
        <w:tc>
          <w:tcPr>
            <w:tcW w:w="9720" w:type="dxa"/>
            <w:vAlign w:val="bottom"/>
            <w:gridSpan w:val="9"/>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101.sch</w:t>
            </w:r>
          </w:p>
        </w:tc>
        <w:tc>
          <w:tcPr>
            <w:tcW w:w="972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3"/>
        </w:trPr>
        <w:tc>
          <w:tcPr>
            <w:tcW w:w="1700" w:type="dxa"/>
            <w:vAlign w:val="bottom"/>
          </w:tcPr>
          <w:p>
            <w:pPr>
              <w:jc w:val="center"/>
              <w:spacing w:after="0"/>
              <w:rPr>
                <w:sz w:val="20"/>
                <w:szCs w:val="20"/>
                <w:color w:val="auto"/>
              </w:rPr>
            </w:pPr>
            <w:r>
              <w:rPr>
                <w:rFonts w:ascii="Arial" w:cs="Arial" w:eastAsia="Arial" w:hAnsi="Arial"/>
                <w:sz w:val="16"/>
                <w:szCs w:val="16"/>
                <w:color w:val="auto"/>
                <w:w w:val="92"/>
              </w:rPr>
              <w:t>101.cal</w:t>
            </w:r>
          </w:p>
        </w:tc>
        <w:tc>
          <w:tcPr>
            <w:tcW w:w="9720" w:type="dxa"/>
            <w:vAlign w:val="bottom"/>
            <w:gridSpan w:val="9"/>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101.lab</w:t>
            </w:r>
          </w:p>
        </w:tc>
        <w:tc>
          <w:tcPr>
            <w:tcW w:w="972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10"/>
        </w:trPr>
        <w:tc>
          <w:tcPr>
            <w:tcW w:w="1700" w:type="dxa"/>
            <w:vAlign w:val="bottom"/>
          </w:tcPr>
          <w:p>
            <w:pPr>
              <w:jc w:val="center"/>
              <w:spacing w:after="0"/>
              <w:rPr>
                <w:sz w:val="20"/>
                <w:szCs w:val="20"/>
                <w:color w:val="auto"/>
              </w:rPr>
            </w:pPr>
            <w:r>
              <w:rPr>
                <w:rFonts w:ascii="Arial" w:cs="Arial" w:eastAsia="Arial" w:hAnsi="Arial"/>
                <w:sz w:val="16"/>
                <w:szCs w:val="16"/>
                <w:color w:val="auto"/>
                <w:w w:val="88"/>
              </w:rPr>
              <w:t>101.pre</w:t>
            </w:r>
          </w:p>
        </w:tc>
        <w:tc>
          <w:tcPr>
            <w:tcW w:w="9720" w:type="dxa"/>
            <w:vAlign w:val="bottom"/>
            <w:gridSpan w:val="9"/>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 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8"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1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63"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86" w:lineRule="exact"/>
        <w:rPr>
          <w:rFonts w:ascii="Arial" w:cs="Arial" w:eastAsia="Arial" w:hAnsi="Arial"/>
          <w:sz w:val="16"/>
          <w:szCs w:val="16"/>
          <w:color w:val="auto"/>
        </w:rPr>
      </w:pPr>
    </w:p>
    <w:p>
      <w:pPr>
        <w:ind w:left="1040" w:right="2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9"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8" w:lineRule="exact"/>
        <w:rPr>
          <w:rFonts w:ascii="Arial" w:cs="Arial" w:eastAsia="Arial" w:hAnsi="Arial"/>
          <w:sz w:val="18"/>
          <w:szCs w:val="18"/>
          <w:color w:val="auto"/>
        </w:rPr>
      </w:pPr>
    </w:p>
    <w:p>
      <w:pPr>
        <w:ind w:left="1040" w:hanging="519"/>
        <w:spacing w:after="0" w:line="29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63"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86" w:lineRule="exact"/>
        <w:rPr>
          <w:rFonts w:ascii="Arial" w:cs="Arial" w:eastAsia="Arial" w:hAnsi="Arial"/>
          <w:sz w:val="16"/>
          <w:szCs w:val="16"/>
          <w:color w:val="auto"/>
        </w:rPr>
      </w:pPr>
    </w:p>
    <w:p>
      <w:pPr>
        <w:ind w:left="1040" w:right="240" w:hanging="519"/>
        <w:spacing w:after="0" w:line="29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ind w:left="1040" w:right="3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8"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63"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tbl>
      <w:tblPr>
        <w:tblLayout w:type="fixed"/>
        <w:tblInd w:w="74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R. Lizardi</w:t>
            </w:r>
          </w:p>
        </w:tc>
      </w:tr>
      <w:tr>
        <w:trPr>
          <w:trHeight w:val="195"/>
        </w:trPr>
        <w:tc>
          <w:tcPr>
            <w:tcW w:w="520" w:type="dxa"/>
            <w:vAlign w:val="bottom"/>
          </w:tcPr>
          <w:p>
            <w:pPr>
              <w:spacing w:after="0"/>
              <w:rPr>
                <w:sz w:val="16"/>
                <w:szCs w:val="16"/>
                <w:color w:val="auto"/>
              </w:rPr>
            </w:pPr>
          </w:p>
        </w:tc>
        <w:tc>
          <w:tcPr>
            <w:tcW w:w="3460" w:type="dxa"/>
            <w:vAlign w:val="bottom"/>
          </w:tcPr>
          <w:p>
            <w:pPr>
              <w:ind w:left="220"/>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52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Senior Vice President and</w:t>
            </w:r>
          </w:p>
        </w:tc>
      </w:tr>
      <w:tr>
        <w:trPr>
          <w:trHeight w:val="230"/>
        </w:trPr>
        <w:tc>
          <w:tcPr>
            <w:tcW w:w="520" w:type="dxa"/>
            <w:vAlign w:val="bottom"/>
          </w:tcPr>
          <w:p>
            <w:pPr>
              <w:spacing w:after="0"/>
              <w:rPr>
                <w:sz w:val="20"/>
                <w:szCs w:val="20"/>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320"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2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80" w:hanging="5"/>
        <w:spacing w:after="0" w:line="264" w:lineRule="auto"/>
        <w:tabs>
          <w:tab w:leader="none" w:pos="7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2018, as filed with the Securities and Exchange Commission on the date hereof (the “Report”) fully complies with the requirements of Section 13(a) or 15(d) of the Securities Exchange Act of 1934; and</w:t>
      </w:r>
    </w:p>
    <w:p>
      <w:pPr>
        <w:spacing w:after="0" w:line="73" w:lineRule="exact"/>
        <w:rPr>
          <w:rFonts w:ascii="Arial" w:cs="Arial" w:eastAsia="Arial" w:hAnsi="Arial"/>
          <w:sz w:val="18"/>
          <w:szCs w:val="18"/>
          <w:color w:val="auto"/>
        </w:rPr>
      </w:pPr>
    </w:p>
    <w:p>
      <w:pPr>
        <w:ind w:left="820" w:hanging="265"/>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2018</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220" w:firstLine="547"/>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38" w:lineRule="exact"/>
        <w:rPr>
          <w:sz w:val="20"/>
          <w:szCs w:val="20"/>
          <w:color w:val="auto"/>
        </w:rPr>
      </w:pPr>
    </w:p>
    <w:p>
      <w:pPr>
        <w:ind w:left="560" w:right="80" w:hanging="5"/>
        <w:spacing w:after="0" w:line="264" w:lineRule="auto"/>
        <w:tabs>
          <w:tab w:leader="none" w:pos="7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2018, as filed with the Securities and Exchange Commission on the date hereof (the “Report”) fully complies with the requirements of Section 13(a) or 15(d) of the Securities Exchange Act of 1934; and</w:t>
      </w:r>
    </w:p>
    <w:p>
      <w:pPr>
        <w:spacing w:after="0" w:line="73" w:lineRule="exact"/>
        <w:rPr>
          <w:rFonts w:ascii="Arial" w:cs="Arial" w:eastAsia="Arial" w:hAnsi="Arial"/>
          <w:sz w:val="18"/>
          <w:szCs w:val="18"/>
          <w:color w:val="auto"/>
        </w:rPr>
      </w:pPr>
    </w:p>
    <w:p>
      <w:pPr>
        <w:ind w:left="820" w:hanging="265"/>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2018</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5"/>
    </w:lvl>
  </w:abstractNum>
  <w:abstractNum w:abstractNumId="10">
    <w:nsid w:val="3F2DBA31"/>
    <w:multiLevelType w:val="hybridMultilevel"/>
    <w:lvl w:ilvl="0">
      <w:lvlJc w:val="left"/>
      <w:lvlText w:val="%1."/>
      <w:numFmt w:val="decimal"/>
      <w:start w:val="6"/>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o"/>
      <w:numFmt w:val="bullet"/>
      <w:start w:val="1"/>
    </w:lvl>
  </w:abstractNum>
  <w:abstractNum w:abstractNumId="19">
    <w:nsid w:val="2D1D5AE9"/>
    <w:multiLevelType w:val="hybridMultilevel"/>
    <w:lvl w:ilvl="0">
      <w:lvlJc w:val="left"/>
      <w:lvlText w:val="•"/>
      <w:numFmt w:val="bullet"/>
      <w:start w:val="1"/>
    </w:lvl>
    <w:lvl w:ilvl="1">
      <w:lvlJc w:val="left"/>
      <w:lvlText w:val="o"/>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39" Type="http://schemas.openxmlformats.org/officeDocument/2006/relationships/hyperlink" Target="http://www.sec.gov/Archives/edgar/data/97476/000009747615000003/txn-12312014xexhibit3a.htm" TargetMode="External"/><Relationship Id="rId40" Type="http://schemas.openxmlformats.org/officeDocument/2006/relationships/hyperlink" Target="http://www.sec.gov/Archives/edgar/data/97476/000156459016030135/txn-ex3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2019-12-28T18:46:12Z</dcterms:created>
  <dcterms:modified xsi:type="dcterms:W3CDTF">2019-12-28T18:46:12Z</dcterms:modified>
</cp:coreProperties>
</file>