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21590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05"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-160020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ind w:left="520"/>
        <w:spacing w:after="0"/>
        <w:rPr>
          <w:sz w:val="20"/>
          <w:szCs w:val="20"/>
          <w:color w:val="auto"/>
        </w:rPr>
      </w:pPr>
      <w:r>
        <w:rPr>
          <w:rFonts w:ascii="Arial" w:cs="Arial" w:eastAsia="Arial" w:hAnsi="Arial"/>
          <w:sz w:val="22"/>
          <w:szCs w:val="22"/>
          <w:b w:val="1"/>
          <w:bCs w:val="1"/>
          <w:color w:val="auto"/>
        </w:rPr>
        <w:t>1934</w:t>
      </w:r>
    </w:p>
    <w:p>
      <w:pPr>
        <w:jc w:val="center"/>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196" w:lineRule="exact"/>
        <w:rPr>
          <w:sz w:val="24"/>
          <w:szCs w:val="24"/>
          <w:color w:val="auto"/>
        </w:rPr>
      </w:pPr>
    </w:p>
    <w:p>
      <w:pPr>
        <w:ind w:left="520" w:right="380" w:hanging="512"/>
        <w:spacing w:after="0" w:line="256" w:lineRule="auto"/>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18"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For the transition period from ___________ to ___________</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001-03761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60325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38735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18" w:lineRule="exact"/>
        <w:rPr>
          <w:sz w:val="24"/>
          <w:szCs w:val="24"/>
          <w:color w:val="auto"/>
        </w:rPr>
      </w:pPr>
    </w:p>
    <w:tbl>
      <w:tblPr>
        <w:tblLayout w:type="fixed"/>
        <w:tblInd w:w="1560" w:type="dxa"/>
        <w:tblCellMar>
          <w:top w:w="0" w:type="dxa"/>
          <w:left w:w="0" w:type="dxa"/>
          <w:bottom w:w="0" w:type="dxa"/>
          <w:right w:w="0" w:type="dxa"/>
        </w:tblCellMar>
      </w:tblPr>
      <w:tr>
        <w:trPr>
          <w:trHeight w:val="212"/>
        </w:trPr>
        <w:tc>
          <w:tcPr>
            <w:tcW w:w="4280" w:type="dxa"/>
            <w:vAlign w:val="bottom"/>
          </w:tcPr>
          <w:p>
            <w:pPr>
              <w:jc w:val="center"/>
              <w:ind w:right="1599"/>
              <w:spacing w:after="0"/>
              <w:rPr>
                <w:sz w:val="20"/>
                <w:szCs w:val="20"/>
                <w:color w:val="auto"/>
              </w:rPr>
            </w:pPr>
            <w:r>
              <w:rPr>
                <w:rFonts w:ascii="Arial" w:cs="Arial" w:eastAsia="Arial" w:hAnsi="Arial"/>
                <w:sz w:val="18"/>
                <w:szCs w:val="18"/>
                <w:b w:val="1"/>
                <w:bCs w:val="1"/>
                <w:color w:val="auto"/>
                <w:w w:val="91"/>
              </w:rPr>
              <w:t>Delaware</w:t>
            </w:r>
          </w:p>
        </w:tc>
        <w:tc>
          <w:tcPr>
            <w:tcW w:w="3840" w:type="dxa"/>
            <w:vAlign w:val="bottom"/>
          </w:tcPr>
          <w:p>
            <w:pPr>
              <w:jc w:val="right"/>
              <w:ind w:right="579"/>
              <w:spacing w:after="0"/>
              <w:rPr>
                <w:sz w:val="20"/>
                <w:szCs w:val="20"/>
                <w:color w:val="auto"/>
              </w:rPr>
            </w:pPr>
            <w:r>
              <w:rPr>
                <w:rFonts w:ascii="Arial" w:cs="Arial" w:eastAsia="Arial" w:hAnsi="Arial"/>
                <w:sz w:val="18"/>
                <w:szCs w:val="18"/>
                <w:b w:val="1"/>
                <w:bCs w:val="1"/>
                <w:color w:val="auto"/>
              </w:rPr>
              <w:t>75-0289970</w:t>
            </w:r>
          </w:p>
        </w:tc>
      </w:tr>
      <w:tr>
        <w:trPr>
          <w:trHeight w:val="186"/>
        </w:trPr>
        <w:tc>
          <w:tcPr>
            <w:tcW w:w="4280" w:type="dxa"/>
            <w:vAlign w:val="bottom"/>
          </w:tcPr>
          <w:p>
            <w:pPr>
              <w:jc w:val="center"/>
              <w:ind w:right="1579"/>
              <w:spacing w:after="0"/>
              <w:rPr>
                <w:sz w:val="20"/>
                <w:szCs w:val="20"/>
                <w:color w:val="auto"/>
              </w:rPr>
            </w:pPr>
            <w:r>
              <w:rPr>
                <w:rFonts w:ascii="Arial" w:cs="Arial" w:eastAsia="Arial" w:hAnsi="Arial"/>
                <w:sz w:val="14"/>
                <w:szCs w:val="14"/>
                <w:b w:val="1"/>
                <w:bCs w:val="1"/>
                <w:color w:val="auto"/>
                <w:w w:val="94"/>
              </w:rPr>
              <w:t>(State of Incorporation)</w:t>
            </w:r>
          </w:p>
        </w:tc>
        <w:tc>
          <w:tcPr>
            <w:tcW w:w="3840" w:type="dxa"/>
            <w:vAlign w:val="bottom"/>
          </w:tcPr>
          <w:p>
            <w:pPr>
              <w:jc w:val="center"/>
              <w:ind w:left="155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81"/>
        </w:trPr>
        <w:tc>
          <w:tcPr>
            <w:tcW w:w="4280" w:type="dxa"/>
            <w:vAlign w:val="bottom"/>
          </w:tcPr>
          <w:p>
            <w:pPr>
              <w:jc w:val="center"/>
              <w:ind w:right="1579"/>
              <w:spacing w:after="0"/>
              <w:rPr>
                <w:sz w:val="20"/>
                <w:szCs w:val="20"/>
                <w:color w:val="auto"/>
              </w:rPr>
            </w:pPr>
            <w:r>
              <w:rPr>
                <w:rFonts w:ascii="Arial" w:cs="Arial" w:eastAsia="Arial" w:hAnsi="Arial"/>
                <w:sz w:val="18"/>
                <w:szCs w:val="18"/>
                <w:b w:val="1"/>
                <w:bCs w:val="1"/>
                <w:color w:val="auto"/>
                <w:w w:val="90"/>
              </w:rPr>
              <w:t>12500 TI Boulevard, Dallas, Texas</w:t>
            </w:r>
          </w:p>
        </w:tc>
        <w:tc>
          <w:tcPr>
            <w:tcW w:w="3840" w:type="dxa"/>
            <w:vAlign w:val="bottom"/>
          </w:tcPr>
          <w:p>
            <w:pPr>
              <w:jc w:val="right"/>
              <w:ind w:right="799"/>
              <w:spacing w:after="0"/>
              <w:rPr>
                <w:sz w:val="20"/>
                <w:szCs w:val="20"/>
                <w:color w:val="auto"/>
              </w:rPr>
            </w:pPr>
            <w:r>
              <w:rPr>
                <w:rFonts w:ascii="Arial" w:cs="Arial" w:eastAsia="Arial" w:hAnsi="Arial"/>
                <w:sz w:val="18"/>
                <w:szCs w:val="18"/>
                <w:b w:val="1"/>
                <w:bCs w:val="1"/>
                <w:color w:val="auto"/>
              </w:rPr>
              <w:t>75243</w:t>
            </w:r>
          </w:p>
        </w:tc>
      </w:tr>
      <w:tr>
        <w:trPr>
          <w:trHeight w:val="186"/>
        </w:trPr>
        <w:tc>
          <w:tcPr>
            <w:tcW w:w="4280" w:type="dxa"/>
            <w:vAlign w:val="bottom"/>
          </w:tcPr>
          <w:p>
            <w:pPr>
              <w:jc w:val="center"/>
              <w:ind w:right="15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840" w:type="dxa"/>
            <w:vAlign w:val="bottom"/>
          </w:tcPr>
          <w:p>
            <w:pPr>
              <w:jc w:val="center"/>
              <w:ind w:left="1579"/>
              <w:spacing w:after="0"/>
              <w:rPr>
                <w:sz w:val="20"/>
                <w:szCs w:val="20"/>
                <w:color w:val="auto"/>
              </w:rPr>
            </w:pPr>
            <w:r>
              <w:rPr>
                <w:rFonts w:ascii="Arial" w:cs="Arial" w:eastAsia="Arial" w:hAnsi="Arial"/>
                <w:sz w:val="14"/>
                <w:szCs w:val="14"/>
                <w:b w:val="1"/>
                <w:bCs w:val="1"/>
                <w:color w:val="auto"/>
                <w:w w:val="95"/>
              </w:rPr>
              <w:t>(Zip Code)</w:t>
            </w:r>
          </w:p>
        </w:tc>
      </w:tr>
    </w:tbl>
    <w:p>
      <w:pPr>
        <w:spacing w:after="0" w:line="12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214-479-3773</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-130175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78" w:lineRule="exact"/>
        <w:rPr>
          <w:sz w:val="24"/>
          <w:szCs w:val="24"/>
          <w:color w:val="auto"/>
        </w:rPr>
      </w:pPr>
    </w:p>
    <w:tbl>
      <w:tblPr>
        <w:tblLayout w:type="fixed"/>
        <w:tblInd w:w="1670" w:type="dxa"/>
        <w:tblCellMar>
          <w:top w:w="0" w:type="dxa"/>
          <w:left w:w="0" w:type="dxa"/>
          <w:bottom w:w="0" w:type="dxa"/>
          <w:right w:w="0" w:type="dxa"/>
        </w:tblCellMar>
      </w:tblPr>
      <w:tr>
        <w:trPr>
          <w:trHeight w:val="373"/>
        </w:trPr>
        <w:tc>
          <w:tcPr>
            <w:tcW w:w="26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3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2680" w:type="dxa"/>
            <w:vAlign w:val="bottom"/>
            <w:tcBorders>
              <w:left w:val="single" w:sz="8" w:color="auto"/>
              <w:bottom w:val="single" w:sz="8" w:color="auto"/>
              <w:right w:val="single" w:sz="8" w:color="auto"/>
            </w:tcBorders>
          </w:tcPr>
          <w:p>
            <w:pPr>
              <w:spacing w:after="0"/>
              <w:rPr>
                <w:sz w:val="20"/>
                <w:szCs w:val="20"/>
                <w:color w:val="auto"/>
              </w:rPr>
            </w:pPr>
          </w:p>
        </w:tc>
        <w:tc>
          <w:tcPr>
            <w:tcW w:w="184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registered</w:t>
            </w:r>
          </w:p>
        </w:tc>
      </w:tr>
      <w:tr>
        <w:trPr>
          <w:trHeight w:val="372"/>
        </w:trPr>
        <w:tc>
          <w:tcPr>
            <w:tcW w:w="26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$1.00</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TXN</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Global Select Market</w:t>
            </w:r>
          </w:p>
        </w:tc>
      </w:tr>
    </w:tbl>
    <w:p>
      <w:pPr>
        <w:spacing w:after="0" w:line="148" w:lineRule="exact"/>
        <w:rPr>
          <w:sz w:val="24"/>
          <w:szCs w:val="24"/>
          <w:color w:val="auto"/>
        </w:rPr>
      </w:pPr>
    </w:p>
    <w:p>
      <w:pPr>
        <w:ind w:right="42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6"/>
          <w:szCs w:val="16"/>
          <w:color w:val="auto"/>
        </w:rPr>
        <w:t>Yes</w:t>
      </w:r>
      <w:r>
        <w:rPr>
          <w:rFonts w:ascii="Arial" w:cs="Arial" w:eastAsia="Arial" w:hAnsi="Arial"/>
          <w:sz w:val="18"/>
          <w:szCs w:val="18"/>
          <w:color w:val="auto"/>
        </w:rPr>
        <w:t xml:space="preserve"> </w:t>
      </w:r>
      <w:r>
        <w:rPr>
          <w:rFonts w:ascii="MS PGothic" w:cs="MS PGothic" w:eastAsia="MS PGothic" w:hAnsi="MS PGothic"/>
          <w:sz w:val="16"/>
          <w:szCs w:val="16"/>
          <w:color w:val="auto"/>
        </w:rPr>
        <w:t>☒</w:t>
      </w:r>
      <w:r>
        <w:rPr>
          <w:rFonts w:ascii="Arial" w:cs="Arial" w:eastAsia="Arial" w:hAnsi="Arial"/>
          <w:sz w:val="18"/>
          <w:szCs w:val="18"/>
          <w:color w:val="auto"/>
        </w:rPr>
        <w:t xml:space="preserve"> </w:t>
      </w:r>
      <w:r>
        <w:rPr>
          <w:rFonts w:ascii="Arial" w:cs="Arial" w:eastAsia="Arial" w:hAnsi="Arial"/>
          <w:sz w:val="16"/>
          <w:szCs w:val="16"/>
          <w:color w:val="auto"/>
        </w:rPr>
        <w:t>No</w:t>
      </w:r>
      <w:r>
        <w:rPr>
          <w:rFonts w:ascii="Arial" w:cs="Arial" w:eastAsia="Arial" w:hAnsi="Arial"/>
          <w:sz w:val="18"/>
          <w:szCs w:val="18"/>
          <w:color w:val="auto"/>
        </w:rPr>
        <w:t xml:space="preserve"> </w:t>
      </w:r>
      <w:r>
        <w:rPr>
          <w:rFonts w:ascii="MS PGothic" w:cs="MS PGothic" w:eastAsia="MS PGothic" w:hAnsi="MS PGothic"/>
          <w:sz w:val="16"/>
          <w:szCs w:val="16"/>
          <w:color w:val="auto"/>
        </w:rPr>
        <w:t>☐</w:t>
      </w:r>
    </w:p>
    <w:p>
      <w:pPr>
        <w:spacing w:after="0" w:line="84" w:lineRule="exact"/>
        <w:rPr>
          <w:sz w:val="24"/>
          <w:szCs w:val="24"/>
          <w:color w:val="auto"/>
        </w:rPr>
      </w:pPr>
    </w:p>
    <w:p>
      <w:pPr>
        <w:ind w:right="240"/>
        <w:spacing w:after="0" w:line="290"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6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14" w:lineRule="exact"/>
        <w:rPr>
          <w:sz w:val="24"/>
          <w:szCs w:val="24"/>
          <w:color w:val="auto"/>
        </w:rPr>
      </w:pPr>
    </w:p>
    <w:p>
      <w:pPr>
        <w:ind w:right="40"/>
        <w:spacing w:after="0" w:line="260"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220" w:type="dxa"/>
            <w:vAlign w:val="bottom"/>
            <w:vMerge w:val="restart"/>
          </w:tcPr>
          <w:p>
            <w:pPr>
              <w:spacing w:after="0"/>
              <w:rPr>
                <w:sz w:val="20"/>
                <w:szCs w:val="20"/>
                <w:color w:val="auto"/>
              </w:rPr>
            </w:pPr>
            <w:r>
              <w:rPr>
                <w:rFonts w:ascii="Arial" w:cs="Arial" w:eastAsia="Arial" w:hAnsi="Arial"/>
                <w:sz w:val="18"/>
                <w:szCs w:val="18"/>
                <w:color w:val="auto"/>
              </w:rPr>
              <w:t>Large accelerated filer</w:t>
            </w:r>
          </w:p>
        </w:tc>
        <w:tc>
          <w:tcPr>
            <w:tcW w:w="5100" w:type="dxa"/>
            <w:vAlign w:val="bottom"/>
            <w:vMerge w:val="restart"/>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3880" w:type="dxa"/>
            <w:vAlign w:val="bottom"/>
          </w:tcPr>
          <w:p>
            <w:pPr>
              <w:ind w:left="300"/>
              <w:spacing w:after="0"/>
              <w:rPr>
                <w:sz w:val="20"/>
                <w:szCs w:val="20"/>
                <w:color w:val="auto"/>
              </w:rPr>
            </w:pPr>
            <w:r>
              <w:rPr>
                <w:rFonts w:ascii="Arial" w:cs="Arial" w:eastAsia="Arial" w:hAnsi="Arial"/>
                <w:sz w:val="18"/>
                <w:szCs w:val="18"/>
                <w:color w:val="auto"/>
              </w:rPr>
              <w:t>Accelerated filer</w:t>
            </w:r>
          </w:p>
        </w:tc>
        <w:tc>
          <w:tcPr>
            <w:tcW w:w="220" w:type="dxa"/>
            <w:vAlign w:val="bottom"/>
            <w:vMerge w:val="restart"/>
          </w:tcPr>
          <w:p>
            <w:pPr>
              <w:ind w:left="8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08"/>
        </w:trPr>
        <w:tc>
          <w:tcPr>
            <w:tcW w:w="2220" w:type="dxa"/>
            <w:vAlign w:val="bottom"/>
            <w:vMerge w:val="continue"/>
          </w:tcPr>
          <w:p>
            <w:pPr>
              <w:spacing w:after="0"/>
              <w:rPr>
                <w:sz w:val="9"/>
                <w:szCs w:val="9"/>
                <w:color w:val="auto"/>
              </w:rPr>
            </w:pPr>
          </w:p>
        </w:tc>
        <w:tc>
          <w:tcPr>
            <w:tcW w:w="5100" w:type="dxa"/>
            <w:vAlign w:val="bottom"/>
            <w:vMerge w:val="continue"/>
          </w:tcPr>
          <w:p>
            <w:pPr>
              <w:spacing w:after="0"/>
              <w:rPr>
                <w:sz w:val="9"/>
                <w:szCs w:val="9"/>
                <w:color w:val="auto"/>
              </w:rPr>
            </w:pPr>
          </w:p>
        </w:tc>
        <w:tc>
          <w:tcPr>
            <w:tcW w:w="388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1"/>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51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3880" w:type="dxa"/>
            <w:vAlign w:val="bottom"/>
          </w:tcPr>
          <w:p>
            <w:pPr>
              <w:ind w:left="300"/>
              <w:spacing w:after="0"/>
              <w:rPr>
                <w:sz w:val="20"/>
                <w:szCs w:val="20"/>
                <w:color w:val="auto"/>
              </w:rPr>
            </w:pPr>
            <w:r>
              <w:rPr>
                <w:rFonts w:ascii="Arial" w:cs="Arial" w:eastAsia="Arial" w:hAnsi="Arial"/>
                <w:sz w:val="18"/>
                <w:szCs w:val="18"/>
                <w:color w:val="auto"/>
              </w:rPr>
              <w:t>Smaller reporting company</w:t>
            </w:r>
          </w:p>
        </w:tc>
        <w:tc>
          <w:tcPr>
            <w:tcW w:w="220" w:type="dxa"/>
            <w:vAlign w:val="bottom"/>
          </w:tcPr>
          <w:p>
            <w:pPr>
              <w:ind w:left="8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56"/>
        </w:trPr>
        <w:tc>
          <w:tcPr>
            <w:tcW w:w="22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51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3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1"/>
        </w:trPr>
        <w:tc>
          <w:tcPr>
            <w:tcW w:w="11200" w:type="dxa"/>
            <w:vAlign w:val="bottom"/>
            <w:gridSpan w:val="3"/>
          </w:tcPr>
          <w:p>
            <w:pPr>
              <w:spacing w:after="0"/>
              <w:rPr>
                <w:sz w:val="20"/>
                <w:szCs w:val="20"/>
                <w:color w:val="auto"/>
              </w:rPr>
            </w:pPr>
            <w:r>
              <w:rPr>
                <w:rFonts w:ascii="Arial" w:cs="Arial" w:eastAsia="Arial" w:hAnsi="Arial"/>
                <w:sz w:val="18"/>
                <w:szCs w:val="18"/>
                <w:color w:val="auto"/>
                <w:w w:val="91"/>
              </w:rPr>
              <w:t>If an emerging growth company, indicate by check mark if the Registrant has elected not to use the extended transition period for complying with any new</w:t>
            </w:r>
          </w:p>
        </w:tc>
        <w:tc>
          <w:tcPr>
            <w:tcW w:w="220" w:type="dxa"/>
            <w:vAlign w:val="bottom"/>
          </w:tcPr>
          <w:p>
            <w:pPr>
              <w:ind w:left="8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30"/>
        </w:trPr>
        <w:tc>
          <w:tcPr>
            <w:tcW w:w="7320" w:type="dxa"/>
            <w:vAlign w:val="bottom"/>
            <w:gridSpan w:val="2"/>
          </w:tcPr>
          <w:p>
            <w:pPr>
              <w:spacing w:after="0"/>
              <w:rPr>
                <w:sz w:val="20"/>
                <w:szCs w:val="20"/>
                <w:color w:val="auto"/>
              </w:rPr>
            </w:pPr>
            <w:r>
              <w:rPr>
                <w:rFonts w:ascii="Arial" w:cs="Arial" w:eastAsia="Arial" w:hAnsi="Arial"/>
                <w:sz w:val="18"/>
                <w:szCs w:val="18"/>
                <w:color w:val="auto"/>
                <w:w w:val="94"/>
              </w:rPr>
              <w:t>or revised financial accounting standards provided pursuant to Section 13(a) of the Exchange Act</w:t>
            </w:r>
          </w:p>
        </w:tc>
        <w:tc>
          <w:tcPr>
            <w:tcW w:w="3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 w:lineRule="exact"/>
        <w:rPr>
          <w:sz w:val="24"/>
          <w:szCs w:val="24"/>
          <w:color w:val="auto"/>
        </w:rPr>
      </w:pPr>
    </w:p>
    <w:p>
      <w:pPr>
        <w:ind w:left="5260" w:right="1920" w:hanging="5255"/>
        <w:spacing w:after="0" w:line="231" w:lineRule="exact"/>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 xml:space="preserve"> </w:t>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18"/>
          <w:szCs w:val="18"/>
          <w:color w:val="auto"/>
        </w:rPr>
        <w:t>933,619,937</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Number of shares of Registrant’s common stock outstanding as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July 24,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9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Financial statements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80" w:type="dxa"/>
            <w:vAlign w:val="bottom"/>
            <w:gridSpan w:val="5"/>
          </w:tcPr>
          <w:p>
            <w:pPr>
              <w:ind w:left="20"/>
              <w:spacing w:after="0"/>
              <w:rPr>
                <w:sz w:val="20"/>
                <w:szCs w:val="20"/>
                <w:color w:val="auto"/>
              </w:rPr>
            </w:pPr>
            <w:r>
              <w:rPr>
                <w:rFonts w:ascii="Arial" w:cs="Arial" w:eastAsia="Arial" w:hAnsi="Arial"/>
                <w:sz w:val="16"/>
                <w:szCs w:val="16"/>
                <w:b w:val="1"/>
                <w:bCs w:val="1"/>
                <w:color w:val="auto"/>
              </w:rPr>
              <w:t>For Three Months Ended</w:t>
            </w:r>
          </w:p>
        </w:tc>
        <w:tc>
          <w:tcPr>
            <w:tcW w:w="220" w:type="dxa"/>
            <w:vAlign w:val="bottom"/>
          </w:tcPr>
          <w:p>
            <w:pPr>
              <w:spacing w:after="0"/>
              <w:rPr>
                <w:sz w:val="18"/>
                <w:szCs w:val="18"/>
                <w:color w:val="auto"/>
              </w:rPr>
            </w:pPr>
          </w:p>
        </w:tc>
        <w:tc>
          <w:tcPr>
            <w:tcW w:w="2120" w:type="dxa"/>
            <w:vAlign w:val="bottom"/>
            <w:gridSpan w:val="5"/>
          </w:tcPr>
          <w:p>
            <w:pPr>
              <w:ind w:left="100"/>
              <w:spacing w:after="0"/>
              <w:rPr>
                <w:sz w:val="20"/>
                <w:szCs w:val="20"/>
                <w:color w:val="auto"/>
              </w:rPr>
            </w:pPr>
            <w:r>
              <w:rPr>
                <w:rFonts w:ascii="Arial" w:cs="Arial" w:eastAsia="Arial" w:hAnsi="Arial"/>
                <w:sz w:val="16"/>
                <w:szCs w:val="16"/>
                <w:b w:val="1"/>
                <w:bCs w:val="1"/>
                <w:color w:val="auto"/>
              </w:rPr>
              <w:t>For Six Months Ended</w:t>
            </w:r>
          </w:p>
        </w:tc>
      </w:tr>
      <w:tr>
        <w:trPr>
          <w:trHeight w:val="219"/>
        </w:trPr>
        <w:tc>
          <w:tcPr>
            <w:tcW w:w="6500" w:type="dxa"/>
            <w:vAlign w:val="bottom"/>
            <w:gridSpan w:val="3"/>
          </w:tcPr>
          <w:p>
            <w:pPr>
              <w:spacing w:after="0"/>
              <w:rPr>
                <w:sz w:val="20"/>
                <w:szCs w:val="20"/>
                <w:color w:val="auto"/>
              </w:rPr>
            </w:pPr>
            <w:r>
              <w:rPr>
                <w:rFonts w:ascii="Arial" w:cs="Arial" w:eastAsia="Arial" w:hAnsi="Arial"/>
                <w:sz w:val="16"/>
                <w:szCs w:val="16"/>
                <w:b w:val="1"/>
                <w:bCs w:val="1"/>
                <w:color w:val="auto"/>
              </w:rPr>
              <w:t>Consolidated Statements of Income</w:t>
            </w:r>
          </w:p>
        </w:tc>
        <w:tc>
          <w:tcPr>
            <w:tcW w:w="200" w:type="dxa"/>
            <w:vAlign w:val="bottom"/>
          </w:tcPr>
          <w:p>
            <w:pPr>
              <w:spacing w:after="0"/>
              <w:rPr>
                <w:sz w:val="19"/>
                <w:szCs w:val="19"/>
                <w:color w:val="auto"/>
              </w:rPr>
            </w:pPr>
          </w:p>
        </w:tc>
        <w:tc>
          <w:tcPr>
            <w:tcW w:w="130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6240" w:type="dxa"/>
            <w:vAlign w:val="bottom"/>
            <w:tcBorders>
              <w:top w:val="single" w:sz="8" w:color="auto"/>
              <w:bottom w:val="single" w:sz="8" w:color="CCEEFF"/>
            </w:tcBorders>
          </w:tcPr>
          <w:p>
            <w:pPr>
              <w:spacing w:after="0"/>
              <w:rPr>
                <w:sz w:val="20"/>
                <w:szCs w:val="20"/>
                <w:color w:val="auto"/>
              </w:rPr>
            </w:pPr>
            <w:r>
              <w:rPr>
                <w:rFonts w:ascii="Arial" w:cs="Arial" w:eastAsia="Arial" w:hAnsi="Arial"/>
                <w:sz w:val="16"/>
                <w:szCs w:val="16"/>
                <w:b w:val="1"/>
                <w:bCs w:val="1"/>
                <w:color w:val="auto"/>
              </w:rPr>
              <w:t>(Millions of dollars, except share and per-share amounts)</w:t>
            </w:r>
          </w:p>
        </w:tc>
        <w:tc>
          <w:tcPr>
            <w:tcW w:w="2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2019</w:t>
            </w:r>
          </w:p>
        </w:tc>
        <w:tc>
          <w:tcPr>
            <w:tcW w:w="36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3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2019</w:t>
            </w:r>
          </w:p>
        </w:tc>
        <w:tc>
          <w:tcPr>
            <w:tcW w:w="34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3,668</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4,017</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7,262</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7,806</w:t>
            </w:r>
          </w:p>
        </w:tc>
        <w:tc>
          <w:tcPr>
            <w:tcW w:w="120" w:type="dxa"/>
            <w:vAlign w:val="bottom"/>
            <w:shd w:val="clear" w:color="auto" w:fill="CCEEFF"/>
          </w:tcPr>
          <w:p>
            <w:pPr>
              <w:spacing w:after="0"/>
              <w:rPr>
                <w:sz w:val="18"/>
                <w:szCs w:val="18"/>
                <w:color w:val="auto"/>
              </w:rPr>
            </w:pPr>
          </w:p>
        </w:tc>
      </w:tr>
      <w:tr>
        <w:trPr>
          <w:trHeight w:val="213"/>
        </w:trPr>
        <w:tc>
          <w:tcPr>
            <w:tcW w:w="6500" w:type="dxa"/>
            <w:vAlign w:val="bottom"/>
            <w:gridSpan w:val="3"/>
          </w:tcPr>
          <w:p>
            <w:pPr>
              <w:spacing w:after="0"/>
              <w:rPr>
                <w:sz w:val="20"/>
                <w:szCs w:val="20"/>
                <w:color w:val="auto"/>
              </w:rPr>
            </w:pPr>
            <w:r>
              <w:rPr>
                <w:rFonts w:ascii="Arial" w:cs="Arial" w:eastAsia="Arial" w:hAnsi="Arial"/>
                <w:sz w:val="16"/>
                <w:szCs w:val="16"/>
                <w:color w:val="auto"/>
              </w:rPr>
              <w:t>Cost of revenue (COR)</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1,308</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1,398</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2,641</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2,740</w:t>
            </w:r>
          </w:p>
        </w:tc>
        <w:tc>
          <w:tcPr>
            <w:tcW w:w="1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Gross profit</w:t>
            </w: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2,360</w:t>
            </w: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2,619</w:t>
            </w: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4,621</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5,066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3"/>
        </w:trPr>
        <w:tc>
          <w:tcPr>
            <w:tcW w:w="6500" w:type="dxa"/>
            <w:vAlign w:val="bottom"/>
            <w:gridSpan w:val="3"/>
          </w:tcPr>
          <w:p>
            <w:pPr>
              <w:spacing w:after="0"/>
              <w:rPr>
                <w:sz w:val="20"/>
                <w:szCs w:val="20"/>
                <w:color w:val="auto"/>
              </w:rPr>
            </w:pPr>
            <w:r>
              <w:rPr>
                <w:rFonts w:ascii="Arial" w:cs="Arial" w:eastAsia="Arial" w:hAnsi="Arial"/>
                <w:sz w:val="16"/>
                <w:szCs w:val="16"/>
                <w:color w:val="auto"/>
              </w:rPr>
              <w:t>Research and development (R&amp;D)</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390</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384</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779</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769</w:t>
            </w:r>
          </w:p>
        </w:tc>
        <w:tc>
          <w:tcPr>
            <w:tcW w:w="1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Selling, general and administrative (SG&amp;A)</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420</w:t>
            </w: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834</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w:t>
            </w:r>
          </w:p>
        </w:tc>
        <w:tc>
          <w:tcPr>
            <w:tcW w:w="120" w:type="dxa"/>
            <w:vAlign w:val="bottom"/>
            <w:shd w:val="clear" w:color="auto" w:fill="CCEEFF"/>
          </w:tcPr>
          <w:p>
            <w:pPr>
              <w:spacing w:after="0"/>
              <w:rPr>
                <w:sz w:val="19"/>
                <w:szCs w:val="19"/>
                <w:color w:val="auto"/>
              </w:rPr>
            </w:pPr>
          </w:p>
        </w:tc>
      </w:tr>
      <w:tr>
        <w:trPr>
          <w:trHeight w:val="213"/>
        </w:trPr>
        <w:tc>
          <w:tcPr>
            <w:tcW w:w="6500" w:type="dxa"/>
            <w:vAlign w:val="bottom"/>
            <w:gridSpan w:val="3"/>
          </w:tcPr>
          <w:p>
            <w:pPr>
              <w:spacing w:after="0"/>
              <w:rPr>
                <w:sz w:val="20"/>
                <w:szCs w:val="20"/>
                <w:color w:val="auto"/>
              </w:rPr>
            </w:pPr>
            <w:r>
              <w:rPr>
                <w:rFonts w:ascii="Arial" w:cs="Arial" w:eastAsia="Arial" w:hAnsi="Arial"/>
                <w:sz w:val="16"/>
                <w:szCs w:val="16"/>
                <w:color w:val="auto"/>
              </w:rPr>
              <w:t>Acquisition charges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80</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79</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159</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Restructuring charges/other</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(36)</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(36)</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r>
      <w:tr>
        <w:trPr>
          <w:trHeight w:val="207"/>
        </w:trPr>
        <w:tc>
          <w:tcPr>
            <w:tcW w:w="6500" w:type="dxa"/>
            <w:vAlign w:val="bottom"/>
            <w:gridSpan w:val="3"/>
          </w:tcPr>
          <w:p>
            <w:pPr>
              <w:spacing w:after="0"/>
              <w:rPr>
                <w:sz w:val="20"/>
                <w:szCs w:val="20"/>
                <w:color w:val="auto"/>
              </w:rPr>
            </w:pPr>
            <w:r>
              <w:rPr>
                <w:rFonts w:ascii="Arial" w:cs="Arial" w:eastAsia="Arial" w:hAnsi="Arial"/>
                <w:sz w:val="16"/>
                <w:szCs w:val="16"/>
                <w:color w:val="auto"/>
              </w:rPr>
              <w:t>Operating profit</w:t>
            </w: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1,506</w:t>
            </w:r>
          </w:p>
        </w:tc>
        <w:tc>
          <w:tcPr>
            <w:tcW w:w="3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1,712</w:t>
            </w:r>
          </w:p>
        </w:tc>
        <w:tc>
          <w:tcPr>
            <w:tcW w:w="3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2,885</w:t>
            </w:r>
          </w:p>
        </w:tc>
        <w:tc>
          <w:tcPr>
            <w:tcW w:w="3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3,260</w:t>
            </w:r>
          </w:p>
        </w:tc>
        <w:tc>
          <w:tcPr>
            <w:tcW w:w="120" w:type="dxa"/>
            <w:vAlign w:val="bottom"/>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income (expense), net (OI&amp;E)</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52</w:t>
            </w: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88</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19"/>
                <w:szCs w:val="19"/>
                <w:color w:val="auto"/>
              </w:rPr>
            </w:pPr>
          </w:p>
        </w:tc>
      </w:tr>
      <w:tr>
        <w:trPr>
          <w:trHeight w:val="213"/>
        </w:trPr>
        <w:tc>
          <w:tcPr>
            <w:tcW w:w="6500" w:type="dxa"/>
            <w:vAlign w:val="bottom"/>
            <w:gridSpan w:val="3"/>
          </w:tcPr>
          <w:p>
            <w:pPr>
              <w:spacing w:after="0"/>
              <w:rPr>
                <w:sz w:val="20"/>
                <w:szCs w:val="20"/>
                <w:color w:val="auto"/>
              </w:rPr>
            </w:pPr>
            <w:r>
              <w:rPr>
                <w:rFonts w:ascii="Arial" w:cs="Arial" w:eastAsia="Arial" w:hAnsi="Arial"/>
                <w:sz w:val="16"/>
                <w:szCs w:val="16"/>
                <w:color w:val="auto"/>
              </w:rPr>
              <w:t>Interest and debt expense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44</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82</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Income before income taxes</w:t>
            </w: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1,514</w:t>
            </w: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1,706</w:t>
            </w: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2,891</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3"/>
        </w:trPr>
        <w:tc>
          <w:tcPr>
            <w:tcW w:w="6500" w:type="dxa"/>
            <w:vAlign w:val="bottom"/>
            <w:gridSpan w:val="3"/>
          </w:tcPr>
          <w:p>
            <w:pPr>
              <w:spacing w:after="0"/>
              <w:rPr>
                <w:sz w:val="20"/>
                <w:szCs w:val="20"/>
                <w:color w:val="auto"/>
              </w:rPr>
            </w:pPr>
            <w:r>
              <w:rPr>
                <w:rFonts w:ascii="Arial" w:cs="Arial" w:eastAsia="Arial" w:hAnsi="Arial"/>
                <w:sz w:val="16"/>
                <w:szCs w:val="16"/>
                <w:color w:val="auto"/>
              </w:rPr>
              <w:t>Provision for income taxes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209</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301</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369</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488</w:t>
            </w:r>
          </w:p>
        </w:tc>
        <w:tc>
          <w:tcPr>
            <w:tcW w:w="1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4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income</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1,305</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1,405</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2,522</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Earnings per common share (EPS):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53"/>
        </w:trPr>
        <w:tc>
          <w:tcPr>
            <w:tcW w:w="20" w:type="dxa"/>
            <w:vAlign w:val="bottom"/>
          </w:tcPr>
          <w:p>
            <w:pPr>
              <w:spacing w:after="0"/>
              <w:rPr>
                <w:sz w:val="22"/>
                <w:szCs w:val="22"/>
                <w:color w:val="auto"/>
              </w:rPr>
            </w:pPr>
          </w:p>
        </w:tc>
        <w:tc>
          <w:tcPr>
            <w:tcW w:w="64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1.38</w:t>
            </w:r>
          </w:p>
        </w:tc>
        <w:tc>
          <w:tcPr>
            <w:tcW w:w="3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3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2.67</w:t>
            </w:r>
          </w:p>
        </w:tc>
        <w:tc>
          <w:tcPr>
            <w:tcW w:w="3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w:t>
            </w:r>
          </w:p>
        </w:tc>
        <w:tc>
          <w:tcPr>
            <w:tcW w:w="120" w:type="dxa"/>
            <w:vAlign w:val="bottom"/>
            <w:tcBorders>
              <w:bottom w:val="single" w:sz="8" w:color="CCEEFF"/>
            </w:tcBorders>
          </w:tcPr>
          <w:p>
            <w:pPr>
              <w:spacing w:after="0"/>
              <w:rPr>
                <w:sz w:val="22"/>
                <w:szCs w:val="22"/>
                <w:color w:val="auto"/>
              </w:rPr>
            </w:pPr>
          </w:p>
        </w:tc>
      </w:tr>
      <w:tr>
        <w:trPr>
          <w:trHeight w:val="197"/>
        </w:trPr>
        <w:tc>
          <w:tcPr>
            <w:tcW w:w="20" w:type="dxa"/>
            <w:vAlign w:val="bottom"/>
          </w:tcPr>
          <w:p>
            <w:pPr>
              <w:spacing w:after="0"/>
              <w:rPr>
                <w:sz w:val="17"/>
                <w:szCs w:val="17"/>
                <w:color w:val="auto"/>
              </w:rPr>
            </w:pPr>
          </w:p>
        </w:tc>
        <w:tc>
          <w:tcPr>
            <w:tcW w:w="6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1.36</w:t>
            </w:r>
          </w:p>
        </w:tc>
        <w:tc>
          <w:tcPr>
            <w:tcW w:w="3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3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2.63</w:t>
            </w:r>
          </w:p>
        </w:tc>
        <w:tc>
          <w:tcPr>
            <w:tcW w:w="3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0"/>
        </w:trPr>
        <w:tc>
          <w:tcPr>
            <w:tcW w:w="6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Average shares outstanding (millions):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53"/>
        </w:trPr>
        <w:tc>
          <w:tcPr>
            <w:tcW w:w="20" w:type="dxa"/>
            <w:vAlign w:val="bottom"/>
          </w:tcPr>
          <w:p>
            <w:pPr>
              <w:spacing w:after="0"/>
              <w:rPr>
                <w:sz w:val="22"/>
                <w:szCs w:val="22"/>
                <w:color w:val="auto"/>
              </w:rPr>
            </w:pPr>
          </w:p>
        </w:tc>
        <w:tc>
          <w:tcPr>
            <w:tcW w:w="64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937</w:t>
            </w:r>
          </w:p>
        </w:tc>
        <w:tc>
          <w:tcPr>
            <w:tcW w:w="3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977</w:t>
            </w:r>
          </w:p>
        </w:tc>
        <w:tc>
          <w:tcPr>
            <w:tcW w:w="3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938</w:t>
            </w:r>
          </w:p>
        </w:tc>
        <w:tc>
          <w:tcPr>
            <w:tcW w:w="3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980</w:t>
            </w:r>
          </w:p>
        </w:tc>
        <w:tc>
          <w:tcPr>
            <w:tcW w:w="120" w:type="dxa"/>
            <w:vAlign w:val="bottom"/>
            <w:tcBorders>
              <w:bottom w:val="single" w:sz="8" w:color="CCEEFF"/>
            </w:tcBorders>
          </w:tcPr>
          <w:p>
            <w:pPr>
              <w:spacing w:after="0"/>
              <w:rPr>
                <w:sz w:val="22"/>
                <w:szCs w:val="22"/>
                <w:color w:val="auto"/>
              </w:rPr>
            </w:pPr>
          </w:p>
        </w:tc>
      </w:tr>
      <w:tr>
        <w:trPr>
          <w:trHeight w:val="197"/>
        </w:trPr>
        <w:tc>
          <w:tcPr>
            <w:tcW w:w="20" w:type="dxa"/>
            <w:vAlign w:val="bottom"/>
          </w:tcPr>
          <w:p>
            <w:pPr>
              <w:spacing w:after="0"/>
              <w:rPr>
                <w:sz w:val="17"/>
                <w:szCs w:val="17"/>
                <w:color w:val="auto"/>
              </w:rPr>
            </w:pPr>
          </w:p>
        </w:tc>
        <w:tc>
          <w:tcPr>
            <w:tcW w:w="6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953</w:t>
            </w:r>
          </w:p>
        </w:tc>
        <w:tc>
          <w:tcPr>
            <w:tcW w:w="3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997</w:t>
            </w:r>
          </w:p>
        </w:tc>
        <w:tc>
          <w:tcPr>
            <w:tcW w:w="3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954</w:t>
            </w:r>
          </w:p>
        </w:tc>
        <w:tc>
          <w:tcPr>
            <w:tcW w:w="3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1,001</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auto"/>
        </w:rPr>
        <w:t>A portion of net income is allocated to unvested restricted stock units (RSUs) on which we pay dividend equivalents. Diluted EPS is calculated using the following:</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36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1,305</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1,405</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2,522</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2,771</w:t>
            </w:r>
          </w:p>
        </w:tc>
        <w:tc>
          <w:tcPr>
            <w:tcW w:w="120" w:type="dxa"/>
            <w:vAlign w:val="bottom"/>
            <w:shd w:val="clear" w:color="auto" w:fill="CCEEFF"/>
          </w:tcPr>
          <w:p>
            <w:pPr>
              <w:spacing w:after="0"/>
              <w:rPr>
                <w:sz w:val="18"/>
                <w:szCs w:val="18"/>
                <w:color w:val="auto"/>
              </w:rPr>
            </w:pPr>
          </w:p>
        </w:tc>
      </w:tr>
      <w:tr>
        <w:trPr>
          <w:trHeight w:val="213"/>
        </w:trPr>
        <w:tc>
          <w:tcPr>
            <w:tcW w:w="6500" w:type="dxa"/>
            <w:vAlign w:val="bottom"/>
          </w:tcPr>
          <w:p>
            <w:pPr>
              <w:spacing w:after="0"/>
              <w:rPr>
                <w:sz w:val="20"/>
                <w:szCs w:val="20"/>
                <w:color w:val="auto"/>
              </w:rPr>
            </w:pPr>
            <w:r>
              <w:rPr>
                <w:rFonts w:ascii="Arial" w:cs="Arial" w:eastAsia="Arial" w:hAnsi="Arial"/>
                <w:sz w:val="16"/>
                <w:szCs w:val="16"/>
                <w:color w:val="auto"/>
              </w:rPr>
              <w:t>Income allocated to RSUs</w:t>
            </w:r>
          </w:p>
        </w:tc>
        <w:tc>
          <w:tcPr>
            <w:tcW w:w="3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(8)</w:t>
            </w:r>
          </w:p>
        </w:tc>
        <w:tc>
          <w:tcPr>
            <w:tcW w:w="3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6"/>
                <w:szCs w:val="16"/>
                <w:color w:val="auto"/>
              </w:rPr>
              <w:t>(11)</w:t>
            </w:r>
          </w:p>
        </w:tc>
        <w:tc>
          <w:tcPr>
            <w:tcW w:w="36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(16)</w:t>
            </w:r>
          </w:p>
        </w:tc>
        <w:tc>
          <w:tcPr>
            <w:tcW w:w="3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(22)</w:t>
            </w:r>
          </w:p>
        </w:tc>
      </w:tr>
      <w:tr>
        <w:trPr>
          <w:trHeight w:val="210"/>
        </w:trPr>
        <w:tc>
          <w:tcPr>
            <w:tcW w:w="6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Income allocated to common stock for diluted EPS</w:t>
            </w:r>
          </w:p>
        </w:tc>
        <w:tc>
          <w:tcPr>
            <w:tcW w:w="36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1,297</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1,394</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2,506</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gridSpan w:val="5"/>
          </w:tcPr>
          <w:p>
            <w:pPr>
              <w:jc w:val="center"/>
              <w:ind w:right="580"/>
              <w:spacing w:after="0"/>
              <w:rPr>
                <w:sz w:val="20"/>
                <w:szCs w:val="20"/>
                <w:color w:val="auto"/>
              </w:rPr>
            </w:pPr>
            <w:r>
              <w:rPr>
                <w:rFonts w:ascii="Arial" w:cs="Arial" w:eastAsia="Arial" w:hAnsi="Arial"/>
                <w:sz w:val="16"/>
                <w:szCs w:val="16"/>
                <w:b w:val="1"/>
                <w:bCs w:val="1"/>
                <w:color w:val="auto"/>
                <w:w w:val="94"/>
              </w:rPr>
              <w:t>For Three Months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center"/>
              <w:ind w:left="299"/>
              <w:spacing w:after="0"/>
              <w:rPr>
                <w:sz w:val="20"/>
                <w:szCs w:val="20"/>
                <w:color w:val="auto"/>
              </w:rPr>
            </w:pPr>
            <w:r>
              <w:rPr>
                <w:rFonts w:ascii="Arial" w:cs="Arial" w:eastAsia="Arial" w:hAnsi="Arial"/>
                <w:sz w:val="16"/>
                <w:szCs w:val="16"/>
                <w:b w:val="1"/>
                <w:bCs w:val="1"/>
                <w:color w:val="auto"/>
                <w:w w:val="93"/>
              </w:rPr>
              <w:t>Ended</w:t>
            </w: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60" w:type="dxa"/>
            <w:vAlign w:val="bottom"/>
            <w:gridSpan w:val="6"/>
          </w:tcPr>
          <w:p>
            <w:pPr>
              <w:jc w:val="right"/>
              <w:ind w:right="200"/>
              <w:spacing w:after="0"/>
              <w:rPr>
                <w:sz w:val="20"/>
                <w:szCs w:val="20"/>
                <w:color w:val="auto"/>
              </w:rPr>
            </w:pPr>
            <w:r>
              <w:rPr>
                <w:rFonts w:ascii="Arial" w:cs="Arial" w:eastAsia="Arial" w:hAnsi="Arial"/>
                <w:sz w:val="16"/>
                <w:szCs w:val="16"/>
                <w:b w:val="1"/>
                <w:bCs w:val="1"/>
                <w:color w:val="auto"/>
                <w:w w:val="97"/>
              </w:rPr>
              <w:t>For Six Months Ended</w:t>
            </w:r>
          </w:p>
        </w:tc>
      </w:tr>
      <w:tr>
        <w:trPr>
          <w:trHeight w:val="219"/>
        </w:trPr>
        <w:tc>
          <w:tcPr>
            <w:tcW w:w="7380" w:type="dxa"/>
            <w:vAlign w:val="bottom"/>
            <w:gridSpan w:val="3"/>
          </w:tcPr>
          <w:p>
            <w:pPr>
              <w:spacing w:after="0"/>
              <w:rPr>
                <w:sz w:val="20"/>
                <w:szCs w:val="20"/>
                <w:color w:val="auto"/>
              </w:rPr>
            </w:pPr>
            <w:r>
              <w:rPr>
                <w:rFonts w:ascii="Arial" w:cs="Arial" w:eastAsia="Arial" w:hAnsi="Arial"/>
                <w:sz w:val="16"/>
                <w:szCs w:val="16"/>
                <w:b w:val="1"/>
                <w:bCs w:val="1"/>
                <w:color w:val="auto"/>
              </w:rPr>
              <w:t>Consolidated Statements of Comprehensive Income</w:t>
            </w:r>
          </w:p>
        </w:tc>
        <w:tc>
          <w:tcPr>
            <w:tcW w:w="160" w:type="dxa"/>
            <w:vAlign w:val="bottom"/>
          </w:tcPr>
          <w:p>
            <w:pPr>
              <w:spacing w:after="0"/>
              <w:rPr>
                <w:sz w:val="19"/>
                <w:szCs w:val="19"/>
                <w:color w:val="auto"/>
              </w:rPr>
            </w:pPr>
          </w:p>
        </w:tc>
        <w:tc>
          <w:tcPr>
            <w:tcW w:w="1040" w:type="dxa"/>
            <w:vAlign w:val="bottom"/>
            <w:gridSpan w:val="3"/>
          </w:tcPr>
          <w:p>
            <w:pPr>
              <w:jc w:val="center"/>
              <w:ind w:left="299"/>
              <w:spacing w:after="0"/>
              <w:rPr>
                <w:sz w:val="20"/>
                <w:szCs w:val="20"/>
                <w:color w:val="auto"/>
              </w:rPr>
            </w:pPr>
            <w:r>
              <w:rPr>
                <w:rFonts w:ascii="Arial" w:cs="Arial" w:eastAsia="Arial" w:hAnsi="Arial"/>
                <w:sz w:val="16"/>
                <w:szCs w:val="16"/>
                <w:b w:val="1"/>
                <w:bCs w:val="1"/>
                <w:color w:val="auto"/>
                <w:w w:val="90"/>
              </w:rPr>
              <w:t>June 30,</w:t>
            </w: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auto"/>
              <w:bottom w:val="single" w:sz="8" w:color="CCEEFF"/>
            </w:tcBorders>
          </w:tcPr>
          <w:p>
            <w:pPr>
              <w:spacing w:after="0"/>
              <w:rPr>
                <w:sz w:val="20"/>
                <w:szCs w:val="20"/>
                <w:color w:val="auto"/>
              </w:rPr>
            </w:pPr>
            <w:r>
              <w:rPr>
                <w:rFonts w:ascii="Arial" w:cs="Arial" w:eastAsia="Arial" w:hAnsi="Arial"/>
                <w:sz w:val="16"/>
                <w:szCs w:val="16"/>
                <w:b w:val="1"/>
                <w:bCs w:val="1"/>
                <w:color w:val="auto"/>
              </w:rPr>
              <w:t>(Millions of dollars)</w:t>
            </w:r>
          </w:p>
        </w:tc>
        <w:tc>
          <w:tcPr>
            <w:tcW w:w="3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5"/>
              </w:rPr>
              <w:t>2019</w:t>
            </w:r>
          </w:p>
        </w:tc>
        <w:tc>
          <w:tcPr>
            <w:tcW w:w="28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2018</w:t>
            </w:r>
          </w:p>
        </w:tc>
        <w:tc>
          <w:tcPr>
            <w:tcW w:w="4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5"/>
              </w:rPr>
              <w:t>2019</w:t>
            </w:r>
          </w:p>
        </w:tc>
        <w:tc>
          <w:tcPr>
            <w:tcW w:w="3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5"/>
              </w:rPr>
              <w:t>2018</w:t>
            </w:r>
          </w:p>
        </w:tc>
        <w:tc>
          <w:tcPr>
            <w:tcW w:w="100" w:type="dxa"/>
            <w:vAlign w:val="bottom"/>
            <w:tcBorders>
              <w:bottom w:val="single" w:sz="8" w:color="CCEEFF"/>
            </w:tcBorders>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1,305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1,405</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2,522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2,771</w:t>
            </w:r>
          </w:p>
        </w:tc>
        <w:tc>
          <w:tcPr>
            <w:tcW w:w="100" w:type="dxa"/>
            <w:vAlign w:val="bottom"/>
            <w:shd w:val="clear" w:color="auto" w:fill="CCEEFF"/>
          </w:tcPr>
          <w:p>
            <w:pPr>
              <w:spacing w:after="0"/>
              <w:rPr>
                <w:sz w:val="18"/>
                <w:szCs w:val="18"/>
                <w:color w:val="auto"/>
              </w:rPr>
            </w:pPr>
          </w:p>
        </w:tc>
      </w:tr>
      <w:tr>
        <w:trPr>
          <w:trHeight w:val="213"/>
        </w:trPr>
        <w:tc>
          <w:tcPr>
            <w:tcW w:w="7380" w:type="dxa"/>
            <w:vAlign w:val="bottom"/>
            <w:gridSpan w:val="3"/>
          </w:tcPr>
          <w:p>
            <w:pPr>
              <w:spacing w:after="0"/>
              <w:rPr>
                <w:sz w:val="20"/>
                <w:szCs w:val="20"/>
                <w:color w:val="auto"/>
              </w:rPr>
            </w:pPr>
            <w:r>
              <w:rPr>
                <w:rFonts w:ascii="Arial" w:cs="Arial" w:eastAsia="Arial" w:hAnsi="Arial"/>
                <w:sz w:val="16"/>
                <w:szCs w:val="16"/>
                <w:color w:val="auto"/>
              </w:rPr>
              <w:t>Other comprehensive income (loss), net of taxes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73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Net actuarial losses of defined benefit plans:</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360" w:type="dxa"/>
            <w:vAlign w:val="bottom"/>
            <w:gridSpan w:val="2"/>
          </w:tcPr>
          <w:p>
            <w:pPr>
              <w:ind w:left="240"/>
              <w:spacing w:after="0"/>
              <w:rPr>
                <w:sz w:val="20"/>
                <w:szCs w:val="20"/>
                <w:color w:val="auto"/>
              </w:rPr>
            </w:pPr>
            <w:r>
              <w:rPr>
                <w:rFonts w:ascii="Arial" w:cs="Arial" w:eastAsia="Arial" w:hAnsi="Arial"/>
                <w:sz w:val="16"/>
                <w:szCs w:val="16"/>
                <w:color w:val="auto"/>
              </w:rPr>
              <w:t>Adjustments</w:t>
            </w:r>
          </w:p>
        </w:tc>
        <w:tc>
          <w:tcPr>
            <w:tcW w:w="1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(3)</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(5)</w:t>
            </w: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r>
      <w:tr>
        <w:trPr>
          <w:trHeight w:val="219"/>
        </w:trPr>
        <w:tc>
          <w:tcPr>
            <w:tcW w:w="20" w:type="dxa"/>
            <w:vAlign w:val="bottom"/>
          </w:tcPr>
          <w:p>
            <w:pPr>
              <w:spacing w:after="0"/>
              <w:rPr>
                <w:sz w:val="19"/>
                <w:szCs w:val="19"/>
                <w:color w:val="auto"/>
              </w:rPr>
            </w:pPr>
          </w:p>
        </w:tc>
        <w:tc>
          <w:tcPr>
            <w:tcW w:w="73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Recognized within net income</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360" w:type="dxa"/>
            <w:vAlign w:val="bottom"/>
            <w:gridSpan w:val="2"/>
          </w:tcPr>
          <w:p>
            <w:pPr>
              <w:ind w:left="120"/>
              <w:spacing w:after="0"/>
              <w:rPr>
                <w:sz w:val="20"/>
                <w:szCs w:val="20"/>
                <w:color w:val="auto"/>
              </w:rPr>
            </w:pPr>
            <w:r>
              <w:rPr>
                <w:rFonts w:ascii="Arial" w:cs="Arial" w:eastAsia="Arial" w:hAnsi="Arial"/>
                <w:sz w:val="16"/>
                <w:szCs w:val="16"/>
                <w:color w:val="auto"/>
              </w:rPr>
              <w:t>Prior service credit of defined benefit plans: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73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Recognized within net income</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w:t>
            </w:r>
          </w:p>
        </w:tc>
      </w:tr>
      <w:tr>
        <w:trPr>
          <w:trHeight w:val="213"/>
        </w:trPr>
        <w:tc>
          <w:tcPr>
            <w:tcW w:w="20" w:type="dxa"/>
            <w:vAlign w:val="bottom"/>
          </w:tcPr>
          <w:p>
            <w:pPr>
              <w:spacing w:after="0"/>
              <w:rPr>
                <w:sz w:val="18"/>
                <w:szCs w:val="18"/>
                <w:color w:val="auto"/>
              </w:rPr>
            </w:pPr>
          </w:p>
        </w:tc>
        <w:tc>
          <w:tcPr>
            <w:tcW w:w="7360" w:type="dxa"/>
            <w:vAlign w:val="bottom"/>
            <w:gridSpan w:val="2"/>
          </w:tcPr>
          <w:p>
            <w:pPr>
              <w:ind w:left="120"/>
              <w:spacing w:after="0"/>
              <w:rPr>
                <w:sz w:val="20"/>
                <w:szCs w:val="20"/>
                <w:color w:val="auto"/>
              </w:rPr>
            </w:pPr>
            <w:r>
              <w:rPr>
                <w:rFonts w:ascii="Arial" w:cs="Arial" w:eastAsia="Arial" w:hAnsi="Arial"/>
                <w:sz w:val="16"/>
                <w:szCs w:val="16"/>
                <w:color w:val="auto"/>
              </w:rPr>
              <w:t>Derivative instruments: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73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Change in fair value</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(2)</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w:t>
            </w:r>
          </w:p>
        </w:tc>
      </w:tr>
      <w:tr>
        <w:trPr>
          <w:trHeight w:val="207"/>
        </w:trPr>
        <w:tc>
          <w:tcPr>
            <w:tcW w:w="20" w:type="dxa"/>
            <w:vAlign w:val="bottom"/>
          </w:tcPr>
          <w:p>
            <w:pPr>
              <w:spacing w:after="0"/>
              <w:rPr>
                <w:sz w:val="17"/>
                <w:szCs w:val="17"/>
                <w:color w:val="auto"/>
              </w:rPr>
            </w:pPr>
          </w:p>
        </w:tc>
        <w:tc>
          <w:tcPr>
            <w:tcW w:w="736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 comprehensive income (loss)</w:t>
            </w:r>
          </w:p>
        </w:tc>
        <w:tc>
          <w:tcPr>
            <w:tcW w:w="1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w:t>
            </w:r>
          </w:p>
        </w:tc>
        <w:tc>
          <w:tcPr>
            <w:tcW w:w="2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4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w:t>
            </w:r>
          </w:p>
        </w:tc>
        <w:tc>
          <w:tcPr>
            <w:tcW w:w="3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7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comprehensive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1,313</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1,426</w:t>
            </w:r>
          </w:p>
        </w:tc>
        <w:tc>
          <w:tcPr>
            <w:tcW w:w="4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2,538</w:t>
            </w:r>
          </w:p>
        </w:tc>
        <w:tc>
          <w:tcPr>
            <w:tcW w:w="3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740"/>
              <w:spacing w:after="0"/>
              <w:rPr>
                <w:sz w:val="20"/>
                <w:szCs w:val="20"/>
                <w:color w:val="auto"/>
              </w:rPr>
            </w:pPr>
            <w:r>
              <w:rPr>
                <w:rFonts w:ascii="Arial" w:cs="Arial" w:eastAsia="Arial" w:hAnsi="Arial"/>
                <w:sz w:val="16"/>
                <w:szCs w:val="16"/>
                <w:b w:val="1"/>
                <w:bCs w:val="1"/>
                <w:color w:val="auto"/>
                <w:w w:val="99"/>
              </w:rPr>
              <w:t>June 30,</w:t>
            </w:r>
          </w:p>
        </w:tc>
        <w:tc>
          <w:tcPr>
            <w:tcW w:w="18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88"/>
              </w:rPr>
              <w:t>December 31,</w:t>
            </w:r>
          </w:p>
        </w:tc>
        <w:tc>
          <w:tcPr>
            <w:tcW w:w="0" w:type="dxa"/>
            <w:vAlign w:val="bottom"/>
          </w:tcPr>
          <w:p>
            <w:pPr>
              <w:spacing w:after="0"/>
              <w:rPr>
                <w:sz w:val="1"/>
                <w:szCs w:val="1"/>
                <w:color w:val="auto"/>
              </w:rPr>
            </w:pPr>
          </w:p>
        </w:tc>
      </w:tr>
      <w:tr>
        <w:trPr>
          <w:trHeight w:val="219"/>
        </w:trPr>
        <w:tc>
          <w:tcPr>
            <w:tcW w:w="8300" w:type="dxa"/>
            <w:vAlign w:val="bottom"/>
            <w:gridSpan w:val="3"/>
          </w:tcPr>
          <w:p>
            <w:pPr>
              <w:spacing w:after="0"/>
              <w:rPr>
                <w:sz w:val="20"/>
                <w:szCs w:val="20"/>
                <w:color w:val="auto"/>
              </w:rPr>
            </w:pPr>
            <w:r>
              <w:rPr>
                <w:rFonts w:ascii="Arial" w:cs="Arial" w:eastAsia="Arial" w:hAnsi="Arial"/>
                <w:sz w:val="16"/>
                <w:szCs w:val="16"/>
                <w:b w:val="1"/>
                <w:bCs w:val="1"/>
                <w:color w:val="auto"/>
              </w:rPr>
              <w:t>Consolidated Balance Sheets</w:t>
            </w:r>
          </w:p>
        </w:tc>
        <w:tc>
          <w:tcPr>
            <w:tcW w:w="280" w:type="dxa"/>
            <w:vAlign w:val="bottom"/>
          </w:tcPr>
          <w:p>
            <w:pPr>
              <w:spacing w:after="0"/>
              <w:rPr>
                <w:sz w:val="19"/>
                <w:szCs w:val="19"/>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9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(Millions of dollars, except share amounts)</w:t>
            </w:r>
          </w:p>
        </w:tc>
        <w:tc>
          <w:tcPr>
            <w:tcW w:w="3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00" w:type="dxa"/>
            <w:vAlign w:val="bottom"/>
            <w:gridSpan w:val="3"/>
          </w:tcPr>
          <w:p>
            <w:pPr>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3,813</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Short-term investments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405</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Accounts receivable, net of allowances of ($15) and ($19)</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1,419</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240"/>
              <w:spacing w:after="0"/>
              <w:rPr>
                <w:sz w:val="20"/>
                <w:szCs w:val="20"/>
                <w:color w:val="auto"/>
              </w:rPr>
            </w:pPr>
            <w:r>
              <w:rPr>
                <w:rFonts w:ascii="Arial" w:cs="Arial" w:eastAsia="Arial" w:hAnsi="Arial"/>
                <w:sz w:val="16"/>
                <w:szCs w:val="16"/>
                <w:color w:val="auto"/>
              </w:rPr>
              <w:t>Raw materials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176</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Work in process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958</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Finished goods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945</w:t>
            </w:r>
          </w:p>
        </w:tc>
        <w:tc>
          <w:tcPr>
            <w:tcW w:w="3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966</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Inventories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2,079</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2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240</w:t>
            </w:r>
          </w:p>
        </w:tc>
        <w:tc>
          <w:tcPr>
            <w:tcW w:w="3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Total 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7,956</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300" w:type="dxa"/>
            <w:vAlign w:val="bottom"/>
            <w:gridSpan w:val="3"/>
          </w:tcPr>
          <w:p>
            <w:pPr>
              <w:spacing w:after="0"/>
              <w:rPr>
                <w:sz w:val="20"/>
                <w:szCs w:val="20"/>
                <w:color w:val="auto"/>
              </w:rPr>
            </w:pPr>
            <w:r>
              <w:rPr>
                <w:rFonts w:ascii="Arial" w:cs="Arial" w:eastAsia="Arial" w:hAnsi="Arial"/>
                <w:sz w:val="16"/>
                <w:szCs w:val="16"/>
                <w:color w:val="auto"/>
              </w:rPr>
              <w:t>Property, plant and equipment at cost</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5,706</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5,425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Accumulated depreciation</w:t>
            </w:r>
          </w:p>
        </w:tc>
        <w:tc>
          <w:tcPr>
            <w:tcW w:w="2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(2,341)</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(2,242)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2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Property, plant and equipment</w:t>
            </w: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3,365</w:t>
            </w:r>
          </w:p>
        </w:tc>
        <w:tc>
          <w:tcPr>
            <w:tcW w:w="36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3,183</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investments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00" w:type="dxa"/>
            <w:vAlign w:val="bottom"/>
            <w:gridSpan w:val="3"/>
          </w:tcPr>
          <w:p>
            <w:pPr>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4,362</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Acquisition-related intangibles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469</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00" w:type="dxa"/>
            <w:vAlign w:val="bottom"/>
            <w:gridSpan w:val="3"/>
          </w:tcPr>
          <w:p>
            <w:pPr>
              <w:spacing w:after="0"/>
              <w:rPr>
                <w:sz w:val="20"/>
                <w:szCs w:val="20"/>
                <w:color w:val="auto"/>
              </w:rPr>
            </w:pPr>
            <w:r>
              <w:rPr>
                <w:rFonts w:ascii="Arial" w:cs="Arial" w:eastAsia="Arial" w:hAnsi="Arial"/>
                <w:sz w:val="16"/>
                <w:szCs w:val="16"/>
                <w:color w:val="auto"/>
              </w:rPr>
              <w:t>Deferred tax assets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261</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Capitalized software licenses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88</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00" w:type="dxa"/>
            <w:vAlign w:val="bottom"/>
            <w:gridSpan w:val="3"/>
          </w:tcPr>
          <w:p>
            <w:pPr>
              <w:spacing w:after="0"/>
              <w:rPr>
                <w:sz w:val="20"/>
                <w:szCs w:val="20"/>
                <w:color w:val="auto"/>
              </w:rPr>
            </w:pPr>
            <w:r>
              <w:rPr>
                <w:rFonts w:ascii="Arial" w:cs="Arial" w:eastAsia="Arial" w:hAnsi="Arial"/>
                <w:sz w:val="16"/>
                <w:szCs w:val="16"/>
                <w:color w:val="auto"/>
              </w:rPr>
              <w:t>Overfunded retirement plans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104</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long-term assets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479</w:t>
            </w:r>
          </w:p>
        </w:tc>
        <w:tc>
          <w:tcPr>
            <w:tcW w:w="3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8300" w:type="dxa"/>
            <w:vAlign w:val="bottom"/>
            <w:gridSpan w:val="3"/>
          </w:tcPr>
          <w:p>
            <w:pPr>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17,384</w:t>
            </w:r>
          </w:p>
        </w:tc>
        <w:tc>
          <w:tcPr>
            <w:tcW w:w="36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17,137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79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8280" w:type="dxa"/>
            <w:vAlign w:val="bottom"/>
            <w:gridSpan w:val="2"/>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Current portion of long-term debt</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1,249</w:t>
            </w:r>
          </w:p>
        </w:tc>
        <w:tc>
          <w:tcPr>
            <w:tcW w:w="3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412</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Accrued compensation</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476</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Income taxes payable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87</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Accrued expenses and other liabilities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422</w:t>
            </w:r>
          </w:p>
        </w:tc>
        <w:tc>
          <w:tcPr>
            <w:tcW w:w="3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2,646</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300" w:type="dxa"/>
            <w:vAlign w:val="bottom"/>
            <w:gridSpan w:val="3"/>
          </w:tcPr>
          <w:p>
            <w:pPr>
              <w:spacing w:after="0"/>
              <w:rPr>
                <w:sz w:val="20"/>
                <w:szCs w:val="20"/>
                <w:color w:val="auto"/>
              </w:rPr>
            </w:pPr>
            <w:r>
              <w:rPr>
                <w:rFonts w:ascii="Arial" w:cs="Arial" w:eastAsia="Arial" w:hAnsi="Arial"/>
                <w:sz w:val="16"/>
                <w:szCs w:val="16"/>
                <w:color w:val="auto"/>
              </w:rPr>
              <w:t>Long-term debt</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4,558</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4,319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Underfunded retirement plans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121</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00" w:type="dxa"/>
            <w:vAlign w:val="bottom"/>
            <w:gridSpan w:val="3"/>
          </w:tcPr>
          <w:p>
            <w:pPr>
              <w:spacing w:after="0"/>
              <w:rPr>
                <w:sz w:val="20"/>
                <w:szCs w:val="20"/>
                <w:color w:val="auto"/>
              </w:rPr>
            </w:pPr>
            <w:r>
              <w:rPr>
                <w:rFonts w:ascii="Arial" w:cs="Arial" w:eastAsia="Arial" w:hAnsi="Arial"/>
                <w:sz w:val="16"/>
                <w:szCs w:val="16"/>
                <w:color w:val="auto"/>
              </w:rPr>
              <w:t>Deferred tax liabilities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49</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long-term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1,524</w:t>
            </w:r>
          </w:p>
        </w:tc>
        <w:tc>
          <w:tcPr>
            <w:tcW w:w="3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300" w:type="dxa"/>
            <w:vAlign w:val="bottom"/>
            <w:gridSpan w:val="3"/>
          </w:tcPr>
          <w:p>
            <w:pPr>
              <w:spacing w:after="0"/>
              <w:rPr>
                <w:sz w:val="20"/>
                <w:szCs w:val="20"/>
                <w:color w:val="auto"/>
              </w:rPr>
            </w:pPr>
            <w:r>
              <w:rPr>
                <w:rFonts w:ascii="Arial" w:cs="Arial" w:eastAsia="Arial" w:hAnsi="Arial"/>
                <w:sz w:val="16"/>
                <w:szCs w:val="16"/>
                <w:color w:val="auto"/>
              </w:rPr>
              <w:t>Total liabilities</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8,898</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8,143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Preferred stock, $25 par value. Authorized – 10,000,000 shares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Participating cumulative preferred – None issued</w:t>
            </w:r>
          </w:p>
        </w:tc>
        <w:tc>
          <w:tcPr>
            <w:tcW w:w="2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Common stock, $1 par value. Authorized – 2,400,000,000 shares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Shares issued – 1,740,815,939</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1,741</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Paid-in capital</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2,003</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Retained earnings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38,974</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37,906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Treasury common stock at cost</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Shares: June 30, 2019 – 806,251,136; December 31, 2018 – 795,665,646</w:t>
            </w:r>
          </w:p>
        </w:tc>
        <w:tc>
          <w:tcPr>
            <w:tcW w:w="2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(33,775)</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(32,130)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gridSpan w:val="2"/>
          </w:tcPr>
          <w:p>
            <w:pPr>
              <w:ind w:left="120"/>
              <w:spacing w:after="0"/>
              <w:rPr>
                <w:sz w:val="20"/>
                <w:szCs w:val="20"/>
                <w:color w:val="auto"/>
              </w:rPr>
            </w:pPr>
            <w:r>
              <w:rPr>
                <w:rFonts w:ascii="Arial" w:cs="Arial" w:eastAsia="Arial" w:hAnsi="Arial"/>
                <w:sz w:val="16"/>
                <w:szCs w:val="16"/>
                <w:color w:val="auto"/>
              </w:rPr>
              <w:t>Accumulated other comprehensive income (loss), net of taxes (AOCI)</w:t>
            </w:r>
          </w:p>
        </w:tc>
        <w:tc>
          <w:tcPr>
            <w:tcW w:w="28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(457)</w:t>
            </w:r>
          </w:p>
        </w:tc>
        <w:tc>
          <w:tcPr>
            <w:tcW w:w="1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(473)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8,486</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8,994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300" w:type="dxa"/>
            <w:vAlign w:val="bottom"/>
            <w:gridSpan w:val="3"/>
          </w:tcPr>
          <w:p>
            <w:pPr>
              <w:spacing w:after="0"/>
              <w:rPr>
                <w:sz w:val="20"/>
                <w:szCs w:val="20"/>
                <w:color w:val="auto"/>
              </w:rPr>
            </w:pPr>
            <w:r>
              <w:rPr>
                <w:rFonts w:ascii="Arial" w:cs="Arial" w:eastAsia="Arial" w:hAnsi="Arial"/>
                <w:sz w:val="16"/>
                <w:szCs w:val="16"/>
                <w:color w:val="auto"/>
              </w:rPr>
              <w:t>Total liabilities and stockholders’ equity</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17,384</w:t>
            </w:r>
          </w:p>
        </w:tc>
        <w:tc>
          <w:tcPr>
            <w:tcW w:w="36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17,137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5"/>
          </w:tcPr>
          <w:p>
            <w:pPr>
              <w:jc w:val="right"/>
              <w:ind w:right="440"/>
              <w:spacing w:after="0"/>
              <w:rPr>
                <w:sz w:val="20"/>
                <w:szCs w:val="20"/>
                <w:color w:val="auto"/>
              </w:rPr>
            </w:pPr>
            <w:r>
              <w:rPr>
                <w:rFonts w:ascii="Arial" w:cs="Arial" w:eastAsia="Arial" w:hAnsi="Arial"/>
                <w:sz w:val="16"/>
                <w:szCs w:val="16"/>
                <w:b w:val="1"/>
                <w:bCs w:val="1"/>
                <w:color w:val="auto"/>
                <w:w w:val="98"/>
              </w:rPr>
              <w:t>For Six Months Ended</w:t>
            </w:r>
          </w:p>
        </w:tc>
        <w:tc>
          <w:tcPr>
            <w:tcW w:w="0" w:type="dxa"/>
            <w:vAlign w:val="bottom"/>
          </w:tcPr>
          <w:p>
            <w:pPr>
              <w:spacing w:after="0"/>
              <w:rPr>
                <w:sz w:val="1"/>
                <w:szCs w:val="1"/>
                <w:color w:val="auto"/>
              </w:rPr>
            </w:pPr>
          </w:p>
        </w:tc>
      </w:tr>
      <w:tr>
        <w:trPr>
          <w:trHeight w:val="219"/>
        </w:trPr>
        <w:tc>
          <w:tcPr>
            <w:tcW w:w="9120" w:type="dxa"/>
            <w:vAlign w:val="bottom"/>
            <w:gridSpan w:val="3"/>
          </w:tcPr>
          <w:p>
            <w:pPr>
              <w:spacing w:after="0"/>
              <w:rPr>
                <w:sz w:val="20"/>
                <w:szCs w:val="20"/>
                <w:color w:val="auto"/>
              </w:rPr>
            </w:pPr>
            <w:r>
              <w:rPr>
                <w:rFonts w:ascii="Arial" w:cs="Arial" w:eastAsia="Arial" w:hAnsi="Arial"/>
                <w:sz w:val="16"/>
                <w:szCs w:val="16"/>
                <w:b w:val="1"/>
                <w:bCs w:val="1"/>
                <w:color w:val="auto"/>
              </w:rPr>
              <w:t>Consolidated Statements of Cash Flows</w:t>
            </w:r>
          </w:p>
        </w:tc>
        <w:tc>
          <w:tcPr>
            <w:tcW w:w="180" w:type="dxa"/>
            <w:vAlign w:val="bottom"/>
          </w:tcPr>
          <w:p>
            <w:pPr>
              <w:spacing w:after="0"/>
              <w:rPr>
                <w:sz w:val="19"/>
                <w:szCs w:val="19"/>
                <w:color w:val="auto"/>
              </w:rPr>
            </w:pPr>
          </w:p>
        </w:tc>
        <w:tc>
          <w:tcPr>
            <w:tcW w:w="1280" w:type="dxa"/>
            <w:vAlign w:val="bottom"/>
            <w:gridSpan w:val="3"/>
          </w:tcPr>
          <w:p>
            <w:pPr>
              <w:jc w:val="right"/>
              <w:ind w:right="24"/>
              <w:spacing w:after="0"/>
              <w:rPr>
                <w:sz w:val="20"/>
                <w:szCs w:val="20"/>
                <w:color w:val="auto"/>
              </w:rPr>
            </w:pPr>
            <w:r>
              <w:rPr>
                <w:rFonts w:ascii="Arial" w:cs="Arial" w:eastAsia="Arial" w:hAnsi="Arial"/>
                <w:sz w:val="16"/>
                <w:szCs w:val="16"/>
                <w:b w:val="1"/>
                <w:bCs w:val="1"/>
                <w:color w:val="auto"/>
              </w:rPr>
              <w:t>June 30,</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tcBorders>
              <w:top w:val="single" w:sz="8" w:color="auto"/>
              <w:bottom w:val="single" w:sz="8" w:color="CCEEFF"/>
            </w:tcBorders>
          </w:tcPr>
          <w:p>
            <w:pPr>
              <w:spacing w:after="0"/>
              <w:rPr>
                <w:sz w:val="20"/>
                <w:szCs w:val="20"/>
                <w:color w:val="auto"/>
              </w:rPr>
            </w:pPr>
            <w:r>
              <w:rPr>
                <w:rFonts w:ascii="Arial" w:cs="Arial" w:eastAsia="Arial" w:hAnsi="Arial"/>
                <w:sz w:val="16"/>
                <w:szCs w:val="16"/>
                <w:b w:val="1"/>
                <w:bCs w:val="1"/>
                <w:color w:val="auto"/>
              </w:rPr>
              <w:t>(Millions of dollars)</w:t>
            </w:r>
          </w:p>
        </w:tc>
        <w:tc>
          <w:tcPr>
            <w:tcW w:w="3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2019</w:t>
            </w:r>
          </w:p>
        </w:tc>
        <w:tc>
          <w:tcPr>
            <w:tcW w:w="36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2,522</w:t>
            </w:r>
          </w:p>
        </w:tc>
        <w:tc>
          <w:tcPr>
            <w:tcW w:w="36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2,771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Adjustments to net income:</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240"/>
              <w:spacing w:after="0"/>
              <w:rPr>
                <w:sz w:val="20"/>
                <w:szCs w:val="20"/>
                <w:color w:val="auto"/>
              </w:rPr>
            </w:pPr>
            <w:r>
              <w:rPr>
                <w:rFonts w:ascii="Arial" w:cs="Arial" w:eastAsia="Arial" w:hAnsi="Arial"/>
                <w:sz w:val="16"/>
                <w:szCs w:val="16"/>
                <w:color w:val="auto"/>
              </w:rPr>
              <w:t>Depreciation</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339</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Amortization of acquisition-related intangibles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159</w:t>
            </w: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240"/>
              <w:spacing w:after="0"/>
              <w:rPr>
                <w:sz w:val="20"/>
                <w:szCs w:val="20"/>
                <w:color w:val="auto"/>
              </w:rPr>
            </w:pPr>
            <w:r>
              <w:rPr>
                <w:rFonts w:ascii="Arial" w:cs="Arial" w:eastAsia="Arial" w:hAnsi="Arial"/>
                <w:sz w:val="16"/>
                <w:szCs w:val="16"/>
                <w:color w:val="auto"/>
              </w:rPr>
              <w:t>Amortization of capitalized software</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27</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Stock compensation</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128</w:t>
            </w: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240"/>
              <w:spacing w:after="0"/>
              <w:rPr>
                <w:sz w:val="20"/>
                <w:szCs w:val="20"/>
                <w:color w:val="auto"/>
              </w:rPr>
            </w:pPr>
            <w:r>
              <w:rPr>
                <w:rFonts w:ascii="Arial" w:cs="Arial" w:eastAsia="Arial" w:hAnsi="Arial"/>
                <w:sz w:val="16"/>
                <w:szCs w:val="16"/>
                <w:color w:val="auto"/>
              </w:rPr>
              <w:t>Gains on sales of assets</w:t>
            </w:r>
          </w:p>
        </w:tc>
        <w:tc>
          <w:tcPr>
            <w:tcW w:w="1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(23)</w:t>
            </w:r>
          </w:p>
        </w:tc>
        <w:tc>
          <w:tcPr>
            <w:tcW w:w="2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Deferred taxes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w:t>
            </w: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Increase (decrease) from changes in:</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Accounts receivable</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(212)</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240"/>
              <w:spacing w:after="0"/>
              <w:rPr>
                <w:sz w:val="20"/>
                <w:szCs w:val="20"/>
                <w:color w:val="auto"/>
              </w:rPr>
            </w:pPr>
            <w:r>
              <w:rPr>
                <w:rFonts w:ascii="Arial" w:cs="Arial" w:eastAsia="Arial" w:hAnsi="Arial"/>
                <w:sz w:val="16"/>
                <w:szCs w:val="16"/>
                <w:color w:val="auto"/>
              </w:rPr>
              <w:t>Inventories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138</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241</w:t>
            </w: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240"/>
              <w:spacing w:after="0"/>
              <w:rPr>
                <w:sz w:val="20"/>
                <w:szCs w:val="20"/>
                <w:color w:val="auto"/>
              </w:rPr>
            </w:pPr>
            <w:r>
              <w:rPr>
                <w:rFonts w:ascii="Arial" w:cs="Arial" w:eastAsia="Arial" w:hAnsi="Arial"/>
                <w:sz w:val="16"/>
                <w:szCs w:val="16"/>
                <w:color w:val="auto"/>
              </w:rPr>
              <w:t>Accounts payable and accrued expenses</w:t>
            </w:r>
          </w:p>
        </w:tc>
        <w:tc>
          <w:tcPr>
            <w:tcW w:w="1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(93)</w:t>
            </w: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Accrued compensation</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(244)</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240"/>
              <w:spacing w:after="0"/>
              <w:rPr>
                <w:sz w:val="20"/>
                <w:szCs w:val="20"/>
                <w:color w:val="auto"/>
              </w:rPr>
            </w:pPr>
            <w:r>
              <w:rPr>
                <w:rFonts w:ascii="Arial" w:cs="Arial" w:eastAsia="Arial" w:hAnsi="Arial"/>
                <w:sz w:val="16"/>
                <w:szCs w:val="16"/>
                <w:color w:val="auto"/>
              </w:rPr>
              <w:t>Income taxes payable</w:t>
            </w:r>
          </w:p>
        </w:tc>
        <w:tc>
          <w:tcPr>
            <w:tcW w:w="1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(107)</w:t>
            </w: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Changes in funded status of retirement plans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w:t>
            </w: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(16)</w:t>
            </w: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2,903</w:t>
            </w:r>
          </w:p>
        </w:tc>
        <w:tc>
          <w:tcPr>
            <w:tcW w:w="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Capital expenditures</w:t>
            </w:r>
          </w:p>
        </w:tc>
        <w:tc>
          <w:tcPr>
            <w:tcW w:w="1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(535)</w:t>
            </w: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(438)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Proceeds from asset sales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w:t>
            </w: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Purchases of short-term investments</w:t>
            </w:r>
          </w:p>
        </w:tc>
        <w:tc>
          <w:tcPr>
            <w:tcW w:w="1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(388)</w:t>
            </w: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(2,209)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Proceeds from short-term investments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1,784</w:t>
            </w: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w:t>
            </w:r>
          </w:p>
        </w:tc>
        <w:tc>
          <w:tcPr>
            <w:tcW w:w="3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915</w:t>
            </w:r>
          </w:p>
        </w:tc>
        <w:tc>
          <w:tcPr>
            <w:tcW w:w="3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Proceeds from issuance of long-term debt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743</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Repayment of debt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Dividends paid</w:t>
            </w:r>
          </w:p>
        </w:tc>
        <w:tc>
          <w:tcPr>
            <w:tcW w:w="1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(1,446)</w:t>
            </w: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(1,217)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Stock repurchases</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(2,015)</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(1,891)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Proceeds from common stock transactions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297</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(22)</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
        </w:trPr>
        <w:tc>
          <w:tcPr>
            <w:tcW w:w="9120" w:type="dxa"/>
            <w:vAlign w:val="bottom"/>
            <w:gridSpan w:val="3"/>
            <w:vMerge w:val="restart"/>
          </w:tcPr>
          <w:p>
            <w:pPr>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12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(2,443)</w:t>
            </w:r>
          </w:p>
        </w:tc>
        <w:tc>
          <w:tcPr>
            <w:tcW w:w="3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(1,860)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120" w:type="dxa"/>
            <w:vAlign w:val="bottom"/>
            <w:gridSpan w:val="3"/>
          </w:tcPr>
          <w:p>
            <w:pPr>
              <w:spacing w:after="0"/>
              <w:rPr>
                <w:sz w:val="20"/>
                <w:szCs w:val="20"/>
                <w:color w:val="auto"/>
              </w:rPr>
            </w:pPr>
            <w:r>
              <w:rPr>
                <w:rFonts w:ascii="Arial" w:cs="Arial" w:eastAsia="Arial" w:hAnsi="Arial"/>
                <w:sz w:val="16"/>
                <w:szCs w:val="16"/>
                <w:color w:val="auto"/>
              </w:rPr>
              <w:t>Net change in cash and cash equivalents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1,375</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and cash equivalents at beginning of period</w:t>
            </w: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2,438</w:t>
            </w:r>
          </w:p>
        </w:tc>
        <w:tc>
          <w:tcPr>
            <w:tcW w:w="3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9120" w:type="dxa"/>
            <w:vAlign w:val="bottom"/>
            <w:gridSpan w:val="3"/>
          </w:tcPr>
          <w:p>
            <w:pPr>
              <w:spacing w:after="0"/>
              <w:rPr>
                <w:sz w:val="20"/>
                <w:szCs w:val="20"/>
                <w:color w:val="auto"/>
              </w:rPr>
            </w:pPr>
            <w:r>
              <w:rPr>
                <w:rFonts w:ascii="Arial" w:cs="Arial" w:eastAsia="Arial" w:hAnsi="Arial"/>
                <w:sz w:val="16"/>
                <w:szCs w:val="16"/>
                <w:color w:val="auto"/>
              </w:rPr>
              <w:t>Cash and cash equivalents at end of period</w:t>
            </w: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3,813</w:t>
            </w:r>
          </w:p>
        </w:tc>
        <w:tc>
          <w:tcPr>
            <w:tcW w:w="360" w:type="dxa"/>
            <w:vAlign w:val="bottom"/>
          </w:tcPr>
          <w:p>
            <w:pPr>
              <w:spacing w:after="0"/>
              <w:rPr>
                <w:sz w:val="17"/>
                <w:szCs w:val="17"/>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21"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Description of business, including segment and geographic area information</w:t>
      </w:r>
    </w:p>
    <w:p>
      <w:pPr>
        <w:spacing w:after="0" w:line="22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design, make and sell semiconductors to electronics designers and manufacturers all over the world. We have two reportable segments, which are established along major categories of products as follows:</w:t>
      </w:r>
    </w:p>
    <w:p>
      <w:pPr>
        <w:spacing w:after="0" w:line="170" w:lineRule="exact"/>
        <w:rPr>
          <w:sz w:val="20"/>
          <w:szCs w:val="20"/>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Analog </w:t>
      </w:r>
      <w:r>
        <w:rPr>
          <w:rFonts w:ascii="Arial" w:cs="Arial" w:eastAsia="Arial" w:hAnsi="Arial"/>
          <w:sz w:val="18"/>
          <w:szCs w:val="18"/>
          <w:color w:val="auto"/>
        </w:rPr>
        <w:t>– consisting of the following product lines: Power, Signal Chain and High Volume.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Embedded Processing </w:t>
      </w:r>
      <w:r>
        <w:rPr>
          <w:rFonts w:ascii="Arial" w:cs="Arial" w:eastAsia="Arial" w:hAnsi="Arial"/>
          <w:sz w:val="18"/>
          <w:szCs w:val="18"/>
          <w:color w:val="auto"/>
        </w:rPr>
        <w:t>– consisting of the following product lines: Connected Microcontrollers and Processors.</w:t>
      </w:r>
    </w:p>
    <w:p>
      <w:pPr>
        <w:spacing w:after="0" w:line="225" w:lineRule="exact"/>
        <w:rPr>
          <w:sz w:val="20"/>
          <w:szCs w:val="20"/>
          <w:color w:val="auto"/>
        </w:rPr>
      </w:pPr>
    </w:p>
    <w:p>
      <w:pPr>
        <w:ind w:right="80"/>
        <w:spacing w:after="0" w:line="381" w:lineRule="auto"/>
        <w:rPr>
          <w:sz w:val="20"/>
          <w:szCs w:val="20"/>
          <w:color w:val="auto"/>
        </w:rPr>
      </w:pPr>
      <w:r>
        <w:rPr>
          <w:rFonts w:ascii="Arial" w:cs="Arial" w:eastAsia="Arial" w:hAnsi="Arial"/>
          <w:sz w:val="15"/>
          <w:szCs w:val="15"/>
          <w:color w:val="auto"/>
        </w:rPr>
        <w:t>We report the results of our remaining business activities in Other. Other includes operating segments that do not meet the quantitative thresholds for individually reportable segments and cannot be aggregated with other operating segments. Other includes DLP</w:t>
      </w:r>
      <w:r>
        <w:rPr>
          <w:rFonts w:ascii="Arial" w:cs="Arial" w:eastAsia="Arial" w:hAnsi="Arial"/>
          <w:sz w:val="13"/>
          <w:szCs w:val="13"/>
          <w:color w:val="auto"/>
        </w:rPr>
        <w:t>®</w:t>
      </w:r>
      <w:r>
        <w:rPr>
          <w:rFonts w:ascii="Arial" w:cs="Arial" w:eastAsia="Arial" w:hAnsi="Arial"/>
          <w:sz w:val="15"/>
          <w:szCs w:val="15"/>
          <w:color w:val="auto"/>
        </w:rPr>
        <w:t xml:space="preserve"> products, calculators and custom ASIC products.</w:t>
      </w:r>
    </w:p>
    <w:p>
      <w:pPr>
        <w:spacing w:after="0" w:line="10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Our centralized manufacturing and support organizations, such as facilities, procurement and logistics, provide support to our operating segments, including those in Other. Costs incurred by these organizations, including depreciation, are charged to the segments on a per-unit basis. Consequently, depreciation expense is not an independently identifiable component within the segments’ results and, therefore, is not provided.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w w:val="96"/>
              </w:rPr>
              <w:t>For Three Months Ended</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5"/>
          </w:tcPr>
          <w:p>
            <w:pPr>
              <w:ind w:left="160"/>
              <w:spacing w:after="0"/>
              <w:rPr>
                <w:sz w:val="20"/>
                <w:szCs w:val="20"/>
                <w:color w:val="auto"/>
              </w:rPr>
            </w:pPr>
            <w:r>
              <w:rPr>
                <w:rFonts w:ascii="Arial" w:cs="Arial" w:eastAsia="Arial" w:hAnsi="Arial"/>
                <w:sz w:val="16"/>
                <w:szCs w:val="16"/>
                <w:b w:val="1"/>
                <w:bCs w:val="1"/>
                <w:color w:val="auto"/>
              </w:rPr>
              <w:t>For Six Months Ended</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6"/>
                <w:szCs w:val="16"/>
                <w:b w:val="1"/>
                <w:bCs w:val="1"/>
                <w:color w:val="auto"/>
              </w:rPr>
              <w:t>June 30,</w:t>
            </w:r>
          </w:p>
        </w:tc>
        <w:tc>
          <w:tcPr>
            <w:tcW w:w="7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6"/>
                <w:szCs w:val="16"/>
                <w:b w:val="1"/>
                <w:bCs w:val="1"/>
                <w:color w:val="auto"/>
              </w:rPr>
              <w:t>June 30,</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3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Revenue:</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80" w:type="dxa"/>
            <w:vAlign w:val="bottom"/>
          </w:tcPr>
          <w:p>
            <w:pPr>
              <w:ind w:left="120"/>
              <w:spacing w:after="0"/>
              <w:rPr>
                <w:sz w:val="20"/>
                <w:szCs w:val="20"/>
                <w:color w:val="auto"/>
              </w:rPr>
            </w:pPr>
            <w:r>
              <w:rPr>
                <w:rFonts w:ascii="Arial" w:cs="Arial" w:eastAsia="Arial" w:hAnsi="Arial"/>
                <w:sz w:val="16"/>
                <w:szCs w:val="16"/>
                <w:color w:val="auto"/>
              </w:rPr>
              <w:t>Analog</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2,534</w:t>
            </w:r>
          </w:p>
        </w:tc>
        <w:tc>
          <w:tcPr>
            <w:tcW w:w="30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2,690</w:t>
            </w:r>
          </w:p>
        </w:tc>
        <w:tc>
          <w:tcPr>
            <w:tcW w:w="50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5,052</w:t>
            </w:r>
          </w:p>
        </w:tc>
        <w:tc>
          <w:tcPr>
            <w:tcW w:w="30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5,256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Embedded Processing</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790</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1,586</w:t>
            </w: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344</w:t>
            </w:r>
          </w:p>
        </w:tc>
        <w:tc>
          <w:tcPr>
            <w:tcW w:w="3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624</w:t>
            </w:r>
          </w:p>
        </w:tc>
        <w:tc>
          <w:tcPr>
            <w:tcW w:w="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3,668</w:t>
            </w:r>
          </w:p>
        </w:tc>
        <w:tc>
          <w:tcPr>
            <w:tcW w:w="3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4,017</w:t>
            </w:r>
          </w:p>
        </w:tc>
        <w:tc>
          <w:tcPr>
            <w:tcW w:w="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7,262</w:t>
            </w:r>
          </w:p>
        </w:tc>
        <w:tc>
          <w:tcPr>
            <w:tcW w:w="3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7,806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restart"/>
          </w:tcPr>
          <w:p>
            <w:pPr>
              <w:spacing w:after="0"/>
              <w:rPr>
                <w:sz w:val="17"/>
                <w:szCs w:val="17"/>
                <w:color w:val="auto"/>
              </w:rPr>
            </w:pPr>
          </w:p>
        </w:tc>
        <w:tc>
          <w:tcPr>
            <w:tcW w:w="6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profit: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80" w:type="dxa"/>
            <w:vAlign w:val="bottom"/>
          </w:tcPr>
          <w:p>
            <w:pPr>
              <w:ind w:left="120"/>
              <w:spacing w:after="0"/>
              <w:rPr>
                <w:sz w:val="20"/>
                <w:szCs w:val="20"/>
                <w:color w:val="auto"/>
              </w:rPr>
            </w:pPr>
            <w:r>
              <w:rPr>
                <w:rFonts w:ascii="Arial" w:cs="Arial" w:eastAsia="Arial" w:hAnsi="Arial"/>
                <w:sz w:val="16"/>
                <w:szCs w:val="16"/>
                <w:color w:val="auto"/>
              </w:rPr>
              <w:t>Analog</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1,108</w:t>
            </w:r>
          </w:p>
        </w:tc>
        <w:tc>
          <w:tcPr>
            <w:tcW w:w="30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1,263</w:t>
            </w:r>
          </w:p>
        </w:tc>
        <w:tc>
          <w:tcPr>
            <w:tcW w:w="50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2,196</w:t>
            </w:r>
          </w:p>
        </w:tc>
        <w:tc>
          <w:tcPr>
            <w:tcW w:w="30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2,429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Embedded Processing</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265</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514</w:t>
            </w: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133</w:t>
            </w:r>
          </w:p>
        </w:tc>
        <w:tc>
          <w:tcPr>
            <w:tcW w:w="3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175</w:t>
            </w:r>
          </w:p>
        </w:tc>
        <w:tc>
          <w:tcPr>
            <w:tcW w:w="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operating profit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1,506</w:t>
            </w:r>
          </w:p>
        </w:tc>
        <w:tc>
          <w:tcPr>
            <w:tcW w:w="3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1,712</w:t>
            </w:r>
          </w:p>
        </w:tc>
        <w:tc>
          <w:tcPr>
            <w:tcW w:w="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2,885</w:t>
            </w:r>
          </w:p>
        </w:tc>
        <w:tc>
          <w:tcPr>
            <w:tcW w:w="3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area information</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following geographic area information includes revenue based on product shipment destination. The revenue information is not necessarily indicative of the geographic area in which the end applications containing our products are ultimately consumed because our products tend to be shipped to the locations where our customers manufacture their products. Specifically, many of our products are shipped to our customers in China who may include these parts in the manufacture of their own end products, which they may in turn export to their customers around the world.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w w:val="96"/>
              </w:rPr>
              <w:t>For Three Months Ended</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5"/>
          </w:tcPr>
          <w:p>
            <w:pPr>
              <w:ind w:left="160"/>
              <w:spacing w:after="0"/>
              <w:rPr>
                <w:sz w:val="20"/>
                <w:szCs w:val="20"/>
                <w:color w:val="auto"/>
              </w:rPr>
            </w:pPr>
            <w:r>
              <w:rPr>
                <w:rFonts w:ascii="Arial" w:cs="Arial" w:eastAsia="Arial" w:hAnsi="Arial"/>
                <w:sz w:val="16"/>
                <w:szCs w:val="16"/>
                <w:b w:val="1"/>
                <w:bCs w:val="1"/>
                <w:color w:val="auto"/>
              </w:rPr>
              <w:t>For Six Months Ended</w:t>
            </w:r>
          </w:p>
        </w:tc>
      </w:tr>
      <w:tr>
        <w:trPr>
          <w:trHeight w:val="219"/>
        </w:trPr>
        <w:tc>
          <w:tcPr>
            <w:tcW w:w="6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6"/>
                <w:szCs w:val="16"/>
                <w:b w:val="1"/>
                <w:bCs w:val="1"/>
                <w:color w:val="auto"/>
              </w:rPr>
              <w:t>June 30,</w:t>
            </w:r>
          </w:p>
        </w:tc>
        <w:tc>
          <w:tcPr>
            <w:tcW w:w="7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6"/>
                <w:szCs w:val="16"/>
                <w:b w:val="1"/>
                <w:bCs w:val="1"/>
                <w:color w:val="auto"/>
              </w:rPr>
              <w:t>June 30,</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64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3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8"/>
                <w:szCs w:val="18"/>
                <w:color w:val="auto"/>
              </w:rPr>
            </w:pPr>
          </w:p>
        </w:tc>
      </w:tr>
      <w:tr>
        <w:trPr>
          <w:trHeight w:val="212"/>
        </w:trPr>
        <w:tc>
          <w:tcPr>
            <w:tcW w:w="6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Revenue:</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6400" w:type="dxa"/>
            <w:vAlign w:val="bottom"/>
          </w:tcPr>
          <w:p>
            <w:pPr>
              <w:ind w:left="140"/>
              <w:spacing w:after="0"/>
              <w:rPr>
                <w:sz w:val="20"/>
                <w:szCs w:val="20"/>
                <w:color w:val="auto"/>
              </w:rPr>
            </w:pPr>
            <w:r>
              <w:rPr>
                <w:rFonts w:ascii="Arial" w:cs="Arial" w:eastAsia="Arial" w:hAnsi="Arial"/>
                <w:sz w:val="16"/>
                <w:szCs w:val="16"/>
                <w:color w:val="auto"/>
              </w:rPr>
              <w:t>United States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487</w:t>
            </w:r>
          </w:p>
        </w:tc>
        <w:tc>
          <w:tcPr>
            <w:tcW w:w="30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614</w:t>
            </w:r>
          </w:p>
        </w:tc>
        <w:tc>
          <w:tcPr>
            <w:tcW w:w="50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964</w:t>
            </w:r>
          </w:p>
        </w:tc>
        <w:tc>
          <w:tcPr>
            <w:tcW w:w="30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1,118</w:t>
            </w:r>
          </w:p>
        </w:tc>
        <w:tc>
          <w:tcPr>
            <w:tcW w:w="100" w:type="dxa"/>
            <w:vAlign w:val="bottom"/>
          </w:tcPr>
          <w:p>
            <w:pPr>
              <w:spacing w:after="0"/>
              <w:rPr>
                <w:sz w:val="18"/>
                <w:szCs w:val="18"/>
                <w:color w:val="auto"/>
              </w:rPr>
            </w:pPr>
          </w:p>
        </w:tc>
      </w:tr>
      <w:tr>
        <w:trPr>
          <w:trHeight w:val="219"/>
        </w:trPr>
        <w:tc>
          <w:tcPr>
            <w:tcW w:w="6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Asia (a)</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2,157</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2,340</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4,249</w:t>
            </w: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4,555</w:t>
            </w:r>
          </w:p>
        </w:tc>
        <w:tc>
          <w:tcPr>
            <w:tcW w:w="100" w:type="dxa"/>
            <w:vAlign w:val="bottom"/>
            <w:shd w:val="clear" w:color="auto" w:fill="CCEEFF"/>
          </w:tcPr>
          <w:p>
            <w:pPr>
              <w:spacing w:after="0"/>
              <w:rPr>
                <w:sz w:val="19"/>
                <w:szCs w:val="19"/>
                <w:color w:val="auto"/>
              </w:rPr>
            </w:pPr>
          </w:p>
        </w:tc>
      </w:tr>
      <w:tr>
        <w:trPr>
          <w:trHeight w:val="213"/>
        </w:trPr>
        <w:tc>
          <w:tcPr>
            <w:tcW w:w="6400" w:type="dxa"/>
            <w:vAlign w:val="bottom"/>
          </w:tcPr>
          <w:p>
            <w:pPr>
              <w:ind w:left="140"/>
              <w:spacing w:after="0"/>
              <w:rPr>
                <w:sz w:val="20"/>
                <w:szCs w:val="20"/>
                <w:color w:val="auto"/>
              </w:rPr>
            </w:pPr>
            <w:r>
              <w:rPr>
                <w:rFonts w:ascii="Arial" w:cs="Arial" w:eastAsia="Arial" w:hAnsi="Arial"/>
                <w:sz w:val="16"/>
                <w:szCs w:val="16"/>
                <w:color w:val="auto"/>
              </w:rPr>
              <w:t>Europe, Middle East and Africa</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709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764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1,452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1,535</w:t>
            </w:r>
          </w:p>
        </w:tc>
        <w:tc>
          <w:tcPr>
            <w:tcW w:w="100" w:type="dxa"/>
            <w:vAlign w:val="bottom"/>
          </w:tcPr>
          <w:p>
            <w:pPr>
              <w:spacing w:after="0"/>
              <w:rPr>
                <w:sz w:val="18"/>
                <w:szCs w:val="18"/>
                <w:color w:val="auto"/>
              </w:rPr>
            </w:pPr>
          </w:p>
        </w:tc>
      </w:tr>
      <w:tr>
        <w:trPr>
          <w:trHeight w:val="219"/>
        </w:trPr>
        <w:tc>
          <w:tcPr>
            <w:tcW w:w="6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Japan</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218</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409</w:t>
            </w: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100" w:type="dxa"/>
            <w:vAlign w:val="bottom"/>
            <w:shd w:val="clear" w:color="auto" w:fill="CCEEFF"/>
          </w:tcPr>
          <w:p>
            <w:pPr>
              <w:spacing w:after="0"/>
              <w:rPr>
                <w:sz w:val="19"/>
                <w:szCs w:val="19"/>
                <w:color w:val="auto"/>
              </w:rPr>
            </w:pPr>
          </w:p>
        </w:tc>
      </w:tr>
      <w:tr>
        <w:trPr>
          <w:trHeight w:val="213"/>
        </w:trPr>
        <w:tc>
          <w:tcPr>
            <w:tcW w:w="6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Rest of world</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w:t>
            </w:r>
          </w:p>
        </w:tc>
        <w:tc>
          <w:tcPr>
            <w:tcW w:w="3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188</w:t>
            </w:r>
          </w:p>
        </w:tc>
        <w:tc>
          <w:tcPr>
            <w:tcW w:w="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Borders>
              <w:bottom w:val="single" w:sz="8" w:color="CCEEFF"/>
            </w:tcBorders>
          </w:tcPr>
          <w:p>
            <w:pPr>
              <w:spacing w:after="0"/>
              <w:rPr>
                <w:sz w:val="18"/>
                <w:szCs w:val="18"/>
                <w:color w:val="auto"/>
              </w:rPr>
            </w:pPr>
          </w:p>
        </w:tc>
      </w:tr>
      <w:tr>
        <w:trPr>
          <w:trHeight w:val="210"/>
        </w:trPr>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3,668</w:t>
            </w:r>
          </w:p>
        </w:tc>
        <w:tc>
          <w:tcPr>
            <w:tcW w:w="3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4,017</w:t>
            </w:r>
          </w:p>
        </w:tc>
        <w:tc>
          <w:tcPr>
            <w:tcW w:w="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7,262</w:t>
            </w:r>
          </w:p>
        </w:tc>
        <w:tc>
          <w:tcPr>
            <w:tcW w:w="3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7,806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6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right="8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from products shipped into China was $1.8 billion and $1.7 billion in the second quarters of 2019 and 2018, respectively, and $3.5 billion and $3.3 billion in the first six months of 2019 and 2018, respectively.</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35"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Basis of presentation and significant accounting policies and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The consolidated financial statements have been prepared in accordance with accounting principles generally accepted in the United States (GAAP) and on the same basis as the audited financial statements included in our annual report on Form 10-K for the year ended December 31, 2018, except for the effects of adopting Accounting Standards Update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The Consolidated Statements of Income, Comprehensive Income and Cash Flows for the periods ended June 30, 2019 and 2018, and the Consolidated Balance Sheet as of June 30, 2019, are not audited but reflect all adjustments that are of a normal recurring nature and are necessary for a fair statement of the results of the periods shown. Certain information and note disclosures normally included in annual consolidated financial statements have been omitted pursuant to the rules and regulations of the U.S. Securities and Exchange Commission. Because the consolidated interim financial statements do not include all of the information and notes required by GAAP for a complete set of financial statements, they should be read in conjunction with the audited consolidated financial statements and notes included in our annual report on Form 10-K for the year ended December 31, 2018. The results for the three- and six-month periods are not necessarily indicative of a full year’s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 and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Leases</w:t>
      </w:r>
    </w:p>
    <w:p>
      <w:pPr>
        <w:spacing w:after="0" w:line="23"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We determine if an arrangement is a lease at inception. Leases are included in other long-term assets, accrued expenses and other liabilities, and other long-term liabilities on our Consolidated Balance Sheets.</w:t>
      </w:r>
    </w:p>
    <w:p>
      <w:pPr>
        <w:spacing w:after="0" w:line="143"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Lease assets represent our right to use underlying assets for the lease term, and lease liabilities represent our obligations to make lease payments over the lease term. On the commencement date, leases are evaluated for classification, and assets and liabilities are recognized based on the present value of lease payments over the lease term. We use our incremental borrowing rate based on the information available at commencement in determining the present value of lease payments. Operating lease expense is generally recognized on a straight-line basis over the lease term. Our lease values include options to extend or not to terminate the lease when it is reasonably certain that we will exercise such options.</w:t>
      </w:r>
    </w:p>
    <w:p>
      <w:pPr>
        <w:spacing w:after="0" w:line="146"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We have agreements with lease and non-lease components, which are accounted for as a single lease component. Leases with a lease term of 12 months or less are not recorded on the balance sheet; we recognize lease expense for these leases on a straight-line basis over the lease term.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Earnings per share (EPS)</w:t>
      </w:r>
    </w:p>
    <w:p>
      <w:pPr>
        <w:spacing w:after="0" w:line="2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use the two-class method for calculating EPS because the restricted stock units (RSUs) we grant are participating securities containing non-forfeitable rights to receive dividend equivalents. Under the two-class method, a portion of net income is allocated to RSUs and excluded from the calculation of income allocated to common stock, as shown in the table below.</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Computation and reconciliation of earnings per common share are as follows (shares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6"/>
                <w:szCs w:val="16"/>
                <w:b w:val="1"/>
                <w:bCs w:val="1"/>
                <w:color w:val="auto"/>
                <w:w w:val="99"/>
              </w:rPr>
              <w:t>For Three Months Ended June 30,</w:t>
            </w:r>
          </w:p>
        </w:tc>
        <w:tc>
          <w:tcPr>
            <w:tcW w:w="7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2019</w:t>
            </w:r>
          </w:p>
        </w:tc>
        <w:tc>
          <w:tcPr>
            <w:tcW w:w="2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3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rPr>
              <w:t>Net</w:t>
            </w: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rPr>
              <w:t>Net</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w w:val="99"/>
              </w:rPr>
              <w:t>Income</w:t>
            </w:r>
          </w:p>
        </w:tc>
        <w:tc>
          <w:tcPr>
            <w:tcW w:w="760" w:type="dxa"/>
            <w:vAlign w:val="bottom"/>
          </w:tcPr>
          <w:p>
            <w:pPr>
              <w:jc w:val="right"/>
              <w:ind w:right="79"/>
              <w:spacing w:after="0"/>
              <w:rPr>
                <w:sz w:val="20"/>
                <w:szCs w:val="20"/>
                <w:color w:val="auto"/>
              </w:rPr>
            </w:pPr>
            <w:r>
              <w:rPr>
                <w:rFonts w:ascii="Arial" w:cs="Arial" w:eastAsia="Arial" w:hAnsi="Arial"/>
                <w:sz w:val="16"/>
                <w:szCs w:val="16"/>
                <w:b w:val="1"/>
                <w:bCs w:val="1"/>
                <w:color w:val="auto"/>
              </w:rPr>
              <w:t>Shares</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ind w:left="120"/>
              <w:spacing w:after="0"/>
              <w:rPr>
                <w:sz w:val="20"/>
                <w:szCs w:val="20"/>
                <w:color w:val="auto"/>
              </w:rPr>
            </w:pPr>
            <w:r>
              <w:rPr>
                <w:rFonts w:ascii="Arial" w:cs="Arial" w:eastAsia="Arial" w:hAnsi="Arial"/>
                <w:sz w:val="16"/>
                <w:szCs w:val="16"/>
                <w:b w:val="1"/>
                <w:bCs w:val="1"/>
                <w:color w:val="auto"/>
              </w:rPr>
              <w:t>EPS</w:t>
            </w:r>
          </w:p>
        </w:tc>
        <w:tc>
          <w:tcPr>
            <w:tcW w:w="140" w:type="dxa"/>
            <w:vAlign w:val="bottom"/>
          </w:tcPr>
          <w:p>
            <w:pPr>
              <w:spacing w:after="0"/>
              <w:rPr>
                <w:sz w:val="19"/>
                <w:szCs w:val="19"/>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w w:val="99"/>
              </w:rPr>
              <w:t>Income</w:t>
            </w:r>
          </w:p>
        </w:tc>
        <w:tc>
          <w:tcPr>
            <w:tcW w:w="760" w:type="dxa"/>
            <w:vAlign w:val="bottom"/>
          </w:tcPr>
          <w:p>
            <w:pPr>
              <w:jc w:val="right"/>
              <w:ind w:right="59"/>
              <w:spacing w:after="0"/>
              <w:rPr>
                <w:sz w:val="20"/>
                <w:szCs w:val="20"/>
                <w:color w:val="auto"/>
              </w:rPr>
            </w:pPr>
            <w:r>
              <w:rPr>
                <w:rFonts w:ascii="Arial" w:cs="Arial" w:eastAsia="Arial" w:hAnsi="Arial"/>
                <w:sz w:val="16"/>
                <w:szCs w:val="16"/>
                <w:b w:val="1"/>
                <w:bCs w:val="1"/>
                <w:color w:val="auto"/>
              </w:rPr>
              <w:t>Shares</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ind w:left="140"/>
              <w:spacing w:after="0"/>
              <w:rPr>
                <w:sz w:val="20"/>
                <w:szCs w:val="20"/>
                <w:color w:val="auto"/>
              </w:rPr>
            </w:pPr>
            <w:r>
              <w:rPr>
                <w:rFonts w:ascii="Arial" w:cs="Arial" w:eastAsia="Arial" w:hAnsi="Arial"/>
                <w:sz w:val="16"/>
                <w:szCs w:val="16"/>
                <w:b w:val="1"/>
                <w:bCs w:val="1"/>
                <w:color w:val="auto"/>
              </w:rPr>
              <w:t>EPS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Basic EPS:</w:t>
            </w: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6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1,305</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1,405</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rPr>
              <w:t>Income allocated to RSUs</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(9)</w:t>
            </w: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w:t>
            </w: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560" w:type="dxa"/>
            <w:vAlign w:val="bottom"/>
            <w:gridSpan w:val="2"/>
          </w:tcPr>
          <w:p>
            <w:pPr>
              <w:spacing w:after="0"/>
              <w:rPr>
                <w:sz w:val="20"/>
                <w:szCs w:val="20"/>
                <w:color w:val="auto"/>
              </w:rPr>
            </w:pPr>
            <w:r>
              <w:rPr>
                <w:rFonts w:ascii="Arial" w:cs="Arial" w:eastAsia="Arial" w:hAnsi="Arial"/>
                <w:sz w:val="16"/>
                <w:szCs w:val="16"/>
                <w:color w:val="auto"/>
              </w:rPr>
              <w:t>Income allocated to common stock</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1,296</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937</w:t>
            </w:r>
          </w:p>
        </w:tc>
        <w:tc>
          <w:tcPr>
            <w:tcW w:w="4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1.38</w:t>
            </w:r>
          </w:p>
        </w:tc>
        <w:tc>
          <w:tcPr>
            <w:tcW w:w="3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1,394</w:t>
            </w: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977</w:t>
            </w:r>
          </w:p>
        </w:tc>
        <w:tc>
          <w:tcPr>
            <w:tcW w:w="5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Dilutive effect of stock compensation plans</w:t>
            </w: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w:t>
            </w: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Diluted EPS: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6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1,305</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1,405</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rPr>
              <w:t>Income allocated to RSUs</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(8)</w:t>
            </w: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w:t>
            </w: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560" w:type="dxa"/>
            <w:vAlign w:val="bottom"/>
            <w:gridSpan w:val="2"/>
          </w:tcPr>
          <w:p>
            <w:pPr>
              <w:spacing w:after="0"/>
              <w:rPr>
                <w:sz w:val="20"/>
                <w:szCs w:val="20"/>
                <w:color w:val="auto"/>
              </w:rPr>
            </w:pPr>
            <w:r>
              <w:rPr>
                <w:rFonts w:ascii="Arial" w:cs="Arial" w:eastAsia="Arial" w:hAnsi="Arial"/>
                <w:sz w:val="16"/>
                <w:szCs w:val="16"/>
                <w:color w:val="auto"/>
              </w:rPr>
              <w:t>Income allocated to common stock</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1,297</w:t>
            </w:r>
          </w:p>
        </w:tc>
        <w:tc>
          <w:tcPr>
            <w:tcW w:w="28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953</w:t>
            </w:r>
          </w:p>
        </w:tc>
        <w:tc>
          <w:tcPr>
            <w:tcW w:w="4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1.36</w:t>
            </w:r>
          </w:p>
        </w:tc>
        <w:tc>
          <w:tcPr>
            <w:tcW w:w="3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1,394</w:t>
            </w:r>
          </w:p>
        </w:tc>
        <w:tc>
          <w:tcPr>
            <w:tcW w:w="30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997</w:t>
            </w:r>
          </w:p>
        </w:tc>
        <w:tc>
          <w:tcPr>
            <w:tcW w:w="5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b w:val="1"/>
                <w:bCs w:val="1"/>
                <w:color w:val="auto"/>
              </w:rPr>
              <w:t>For Six Months Ended June 30,</w:t>
            </w:r>
          </w:p>
        </w:tc>
        <w:tc>
          <w:tcPr>
            <w:tcW w:w="7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2019</w:t>
            </w:r>
          </w:p>
        </w:tc>
        <w:tc>
          <w:tcPr>
            <w:tcW w:w="2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3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rPr>
              <w:t>Net</w:t>
            </w: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rPr>
              <w:t>Net</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w w:val="99"/>
              </w:rPr>
              <w:t>Income</w:t>
            </w:r>
          </w:p>
        </w:tc>
        <w:tc>
          <w:tcPr>
            <w:tcW w:w="760" w:type="dxa"/>
            <w:vAlign w:val="bottom"/>
          </w:tcPr>
          <w:p>
            <w:pPr>
              <w:jc w:val="right"/>
              <w:ind w:right="79"/>
              <w:spacing w:after="0"/>
              <w:rPr>
                <w:sz w:val="20"/>
                <w:szCs w:val="20"/>
                <w:color w:val="auto"/>
              </w:rPr>
            </w:pPr>
            <w:r>
              <w:rPr>
                <w:rFonts w:ascii="Arial" w:cs="Arial" w:eastAsia="Arial" w:hAnsi="Arial"/>
                <w:sz w:val="16"/>
                <w:szCs w:val="16"/>
                <w:b w:val="1"/>
                <w:bCs w:val="1"/>
                <w:color w:val="auto"/>
              </w:rPr>
              <w:t>Shares</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ind w:left="120"/>
              <w:spacing w:after="0"/>
              <w:rPr>
                <w:sz w:val="20"/>
                <w:szCs w:val="20"/>
                <w:color w:val="auto"/>
              </w:rPr>
            </w:pPr>
            <w:r>
              <w:rPr>
                <w:rFonts w:ascii="Arial" w:cs="Arial" w:eastAsia="Arial" w:hAnsi="Arial"/>
                <w:sz w:val="16"/>
                <w:szCs w:val="16"/>
                <w:b w:val="1"/>
                <w:bCs w:val="1"/>
                <w:color w:val="auto"/>
              </w:rPr>
              <w:t>EPS</w:t>
            </w:r>
          </w:p>
        </w:tc>
        <w:tc>
          <w:tcPr>
            <w:tcW w:w="140" w:type="dxa"/>
            <w:vAlign w:val="bottom"/>
          </w:tcPr>
          <w:p>
            <w:pPr>
              <w:spacing w:after="0"/>
              <w:rPr>
                <w:sz w:val="19"/>
                <w:szCs w:val="19"/>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w w:val="99"/>
              </w:rPr>
              <w:t>Income</w:t>
            </w:r>
          </w:p>
        </w:tc>
        <w:tc>
          <w:tcPr>
            <w:tcW w:w="760" w:type="dxa"/>
            <w:vAlign w:val="bottom"/>
          </w:tcPr>
          <w:p>
            <w:pPr>
              <w:jc w:val="right"/>
              <w:ind w:right="59"/>
              <w:spacing w:after="0"/>
              <w:rPr>
                <w:sz w:val="20"/>
                <w:szCs w:val="20"/>
                <w:color w:val="auto"/>
              </w:rPr>
            </w:pPr>
            <w:r>
              <w:rPr>
                <w:rFonts w:ascii="Arial" w:cs="Arial" w:eastAsia="Arial" w:hAnsi="Arial"/>
                <w:sz w:val="16"/>
                <w:szCs w:val="16"/>
                <w:b w:val="1"/>
                <w:bCs w:val="1"/>
                <w:color w:val="auto"/>
              </w:rPr>
              <w:t>Shares</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ind w:left="140"/>
              <w:spacing w:after="0"/>
              <w:rPr>
                <w:sz w:val="20"/>
                <w:szCs w:val="20"/>
                <w:color w:val="auto"/>
              </w:rPr>
            </w:pPr>
            <w:r>
              <w:rPr>
                <w:rFonts w:ascii="Arial" w:cs="Arial" w:eastAsia="Arial" w:hAnsi="Arial"/>
                <w:sz w:val="16"/>
                <w:szCs w:val="16"/>
                <w:b w:val="1"/>
                <w:bCs w:val="1"/>
                <w:color w:val="auto"/>
              </w:rPr>
              <w:t>EPS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Basic EPS:</w:t>
            </w: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6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2,522</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2,771</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rPr>
              <w:t>Income allocated to RSUs</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(17)</w:t>
            </w: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(23)</w:t>
            </w: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560" w:type="dxa"/>
            <w:vAlign w:val="bottom"/>
            <w:gridSpan w:val="2"/>
          </w:tcPr>
          <w:p>
            <w:pPr>
              <w:spacing w:after="0"/>
              <w:rPr>
                <w:sz w:val="20"/>
                <w:szCs w:val="20"/>
                <w:color w:val="auto"/>
              </w:rPr>
            </w:pPr>
            <w:r>
              <w:rPr>
                <w:rFonts w:ascii="Arial" w:cs="Arial" w:eastAsia="Arial" w:hAnsi="Arial"/>
                <w:sz w:val="16"/>
                <w:szCs w:val="16"/>
                <w:color w:val="auto"/>
              </w:rPr>
              <w:t>Income allocated to common stock</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2,505</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938</w:t>
            </w:r>
          </w:p>
        </w:tc>
        <w:tc>
          <w:tcPr>
            <w:tcW w:w="480" w:type="dxa"/>
            <w:vAlign w:val="bottom"/>
            <w:gridSpan w:val="2"/>
          </w:tcPr>
          <w:p>
            <w:pPr>
              <w:ind w:left="280"/>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2.67</w:t>
            </w:r>
          </w:p>
        </w:tc>
        <w:tc>
          <w:tcPr>
            <w:tcW w:w="3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2,748</w:t>
            </w: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980</w:t>
            </w:r>
          </w:p>
        </w:tc>
        <w:tc>
          <w:tcPr>
            <w:tcW w:w="5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Dilutive effect of stock compensation plans</w:t>
            </w: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w:t>
            </w: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Diluted EPS: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6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2,522</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2,771</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rPr>
              <w:t>Income allocated to RSUs</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(16)</w:t>
            </w: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(22)</w:t>
            </w: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560" w:type="dxa"/>
            <w:vAlign w:val="bottom"/>
            <w:gridSpan w:val="2"/>
          </w:tcPr>
          <w:p>
            <w:pPr>
              <w:spacing w:after="0"/>
              <w:rPr>
                <w:sz w:val="20"/>
                <w:szCs w:val="20"/>
                <w:color w:val="auto"/>
              </w:rPr>
            </w:pPr>
            <w:r>
              <w:rPr>
                <w:rFonts w:ascii="Arial" w:cs="Arial" w:eastAsia="Arial" w:hAnsi="Arial"/>
                <w:sz w:val="16"/>
                <w:szCs w:val="16"/>
                <w:color w:val="auto"/>
              </w:rPr>
              <w:t>Income allocated to common stock</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2,506</w:t>
            </w:r>
          </w:p>
        </w:tc>
        <w:tc>
          <w:tcPr>
            <w:tcW w:w="28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954</w:t>
            </w:r>
          </w:p>
        </w:tc>
        <w:tc>
          <w:tcPr>
            <w:tcW w:w="480" w:type="dxa"/>
            <w:vAlign w:val="bottom"/>
            <w:gridSpan w:val="2"/>
          </w:tcPr>
          <w:p>
            <w:pPr>
              <w:ind w:left="280"/>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2.63</w:t>
            </w:r>
          </w:p>
        </w:tc>
        <w:tc>
          <w:tcPr>
            <w:tcW w:w="3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2,749</w:t>
            </w:r>
          </w:p>
        </w:tc>
        <w:tc>
          <w:tcPr>
            <w:tcW w:w="30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1,001</w:t>
            </w:r>
          </w:p>
        </w:tc>
        <w:tc>
          <w:tcPr>
            <w:tcW w:w="5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40"/>
        <w:spacing w:after="0" w:line="286" w:lineRule="auto"/>
        <w:rPr>
          <w:sz w:val="20"/>
          <w:szCs w:val="20"/>
          <w:color w:val="auto"/>
        </w:rPr>
      </w:pPr>
      <w:r>
        <w:rPr>
          <w:rFonts w:ascii="Arial" w:cs="Arial" w:eastAsia="Arial" w:hAnsi="Arial"/>
          <w:sz w:val="17"/>
          <w:szCs w:val="17"/>
          <w:color w:val="auto"/>
        </w:rPr>
        <w:t>Potentially dilutive securities representing 7 million and 5 million shares of common stock that were outstanding during the second quarters of 2019 and 2018, and 9 million and 5 million shares outstanding during the first six months of 2019 and 2018, respectively, were excluded from the computation of diluted earnings per common share during these periods because their effect would have been anti-dilutive.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Derivatives and hedging</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use derivative financial instruments to manage exposure to foreign exchange risk. These instruments are primarily forward foreign currency exchange contracts, which are used as economic hedges to reduce the earnings impact that exchange rate fluctuations may have on our non-U.S. dollar net balance sheet exposures. Gains and losses from changes in the fair value of these forward foreign currency exchange contracts are credited or charged to OI&amp;E. We do not apply hedge accounting to our foreign currency derivative instruments.</w:t>
      </w:r>
    </w:p>
    <w:p>
      <w:pPr>
        <w:spacing w:after="0" w:line="19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connection with the issuance of long-term debt, we may use financial derivatives such as treasury-rate lock agreements that are recognized in AOCI and amortized over the life of the related debt. The results of these derivative transactions have not been 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do not use derivatives for speculative or trading purposes.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values of financial instruments</w:t>
      </w:r>
    </w:p>
    <w:p>
      <w:pPr>
        <w:spacing w:after="0" w:line="23"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The fair values of our derivative financial instruments were not material as of June 30, 2019. Our investments in cash equivalents, short-term investments and certain long-term investments, as well as our deferred compensation liabilities, are carried at fair value. The carrying values for other current financial assets and liabilities, such as accounts receivable and accounts payable, approximate fair value due to the short maturity of such instruments. As of June 30, 2019, the carrying value of long-term debt, including the current portion, was $5.81 billion, and the estimated fair value was $6.14 billion. The estimated fair value is measured using broker-dealer quotes, which are Level 2 inputs. See Note 4 for a description of fair value and the definition of Level 2 inputs.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standards – adopted standards for current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ASU No. 2016-02, Leases (Topic 842)</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We adopted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 effective January 1, 2019, using the modified retrospective transition method applied to leases existing at, or entered into after, the adoption date. The reported results for 2019 reflect the application of the new accounting guidance, while the reported results for prior periods are not adjusted and continue to be reported in accordance with our historical accounting under ASC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In addition, we elected the package of practical expedients permitted under the transition guidance that allowed us to apply prior conclusions related to lease definition, classification and initial direct costs.</w:t>
      </w:r>
    </w:p>
    <w:p>
      <w:pPr>
        <w:spacing w:after="0" w:line="19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adoption of the new standard resulted in the recognition of $229 million of lease liabilities with corresponding lease assets as of January 1, 2019. The standard did not materially impact our results of operations and had no impact on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standards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standards were also adopted: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780" w:type="dxa"/>
            <w:vAlign w:val="bottom"/>
            <w:tcBorders>
              <w:bottom w:val="single" w:sz="8" w:color="auto"/>
            </w:tcBorders>
          </w:tcPr>
          <w:p>
            <w:pPr>
              <w:ind w:left="720"/>
              <w:spacing w:after="0"/>
              <w:rPr>
                <w:sz w:val="20"/>
                <w:szCs w:val="20"/>
                <w:color w:val="auto"/>
              </w:rPr>
            </w:pPr>
            <w:r>
              <w:rPr>
                <w:rFonts w:ascii="Arial" w:cs="Arial" w:eastAsia="Arial" w:hAnsi="Arial"/>
                <w:sz w:val="16"/>
                <w:szCs w:val="16"/>
                <w:b w:val="1"/>
                <w:bCs w:val="1"/>
                <w:color w:val="auto"/>
              </w:rPr>
              <w:t>ASU</w:t>
            </w:r>
          </w:p>
        </w:tc>
        <w:tc>
          <w:tcPr>
            <w:tcW w:w="60" w:type="dxa"/>
            <w:vAlign w:val="bottom"/>
            <w:tcBorders>
              <w:bottom w:val="single" w:sz="8" w:color="CCEEFF"/>
            </w:tcBorders>
          </w:tcPr>
          <w:p>
            <w:pPr>
              <w:spacing w:after="0"/>
              <w:rPr>
                <w:sz w:val="18"/>
                <w:szCs w:val="18"/>
                <w:color w:val="auto"/>
              </w:rPr>
            </w:pPr>
          </w:p>
        </w:tc>
        <w:tc>
          <w:tcPr>
            <w:tcW w:w="7800" w:type="dxa"/>
            <w:vAlign w:val="bottom"/>
            <w:tcBorders>
              <w:bottom w:val="single" w:sz="8" w:color="auto"/>
            </w:tcBorders>
          </w:tcPr>
          <w:p>
            <w:pPr>
              <w:ind w:left="3480"/>
              <w:spacing w:after="0"/>
              <w:rPr>
                <w:sz w:val="20"/>
                <w:szCs w:val="20"/>
                <w:color w:val="auto"/>
              </w:rPr>
            </w:pPr>
            <w:r>
              <w:rPr>
                <w:rFonts w:ascii="Arial" w:cs="Arial" w:eastAsia="Arial" w:hAnsi="Arial"/>
                <w:sz w:val="16"/>
                <w:szCs w:val="16"/>
                <w:b w:val="1"/>
                <w:bCs w:val="1"/>
                <w:color w:val="auto"/>
              </w:rPr>
              <w:t>Description</w:t>
            </w:r>
          </w:p>
        </w:tc>
        <w:tc>
          <w:tcPr>
            <w:tcW w:w="6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Adopted Date</w:t>
            </w:r>
          </w:p>
        </w:tc>
      </w:tr>
      <w:tr>
        <w:trPr>
          <w:trHeight w:val="213"/>
        </w:trPr>
        <w:tc>
          <w:tcPr>
            <w:tcW w:w="1780" w:type="dxa"/>
            <w:vAlign w:val="bottom"/>
            <w:shd w:val="clear" w:color="auto" w:fill="CCEEFF"/>
          </w:tcPr>
          <w:p>
            <w:pPr>
              <w:spacing w:after="0"/>
              <w:rPr>
                <w:sz w:val="20"/>
                <w:szCs w:val="20"/>
                <w:color w:val="auto"/>
              </w:rPr>
            </w:pPr>
            <w:r>
              <w:rPr>
                <w:rFonts w:ascii="Arial" w:cs="Arial" w:eastAsia="Arial" w:hAnsi="Arial"/>
                <w:sz w:val="16"/>
                <w:szCs w:val="16"/>
                <w:color w:val="auto"/>
              </w:rPr>
              <w:t>ASU No. 2017-12</w:t>
            </w:r>
          </w:p>
        </w:tc>
        <w:tc>
          <w:tcPr>
            <w:tcW w:w="7920" w:type="dxa"/>
            <w:vAlign w:val="bottom"/>
            <w:gridSpan w:val="3"/>
            <w:shd w:val="clear" w:color="auto" w:fill="CCEEFF"/>
          </w:tcPr>
          <w:p>
            <w:pPr>
              <w:ind w:left="60"/>
              <w:spacing w:after="0"/>
              <w:rPr>
                <w:sz w:val="20"/>
                <w:szCs w:val="20"/>
                <w:color w:val="auto"/>
              </w:rPr>
            </w:pPr>
            <w:r>
              <w:rPr>
                <w:rFonts w:ascii="Arial" w:cs="Arial" w:eastAsia="Arial" w:hAnsi="Arial"/>
                <w:sz w:val="16"/>
                <w:szCs w:val="16"/>
                <w:i w:val="1"/>
                <w:iCs w:val="1"/>
                <w:color w:val="auto"/>
              </w:rPr>
              <w:t>Derivatives and Hedging (Topic 815): Targeted Improvements to Accounting for Hedging Activities</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January 1, 2019</w:t>
            </w:r>
          </w:p>
        </w:tc>
      </w:tr>
      <w:tr>
        <w:trPr>
          <w:trHeight w:val="206"/>
        </w:trPr>
        <w:tc>
          <w:tcPr>
            <w:tcW w:w="1780" w:type="dxa"/>
            <w:vAlign w:val="bottom"/>
          </w:tcPr>
          <w:p>
            <w:pPr>
              <w:spacing w:after="0"/>
              <w:rPr>
                <w:sz w:val="20"/>
                <w:szCs w:val="20"/>
                <w:color w:val="auto"/>
              </w:rPr>
            </w:pPr>
            <w:r>
              <w:rPr>
                <w:rFonts w:ascii="Arial" w:cs="Arial" w:eastAsia="Arial" w:hAnsi="Arial"/>
                <w:sz w:val="16"/>
                <w:szCs w:val="16"/>
                <w:color w:val="auto"/>
              </w:rPr>
              <w:t>ASU No. 2018-14</w:t>
            </w:r>
          </w:p>
        </w:tc>
        <w:tc>
          <w:tcPr>
            <w:tcW w:w="7920" w:type="dxa"/>
            <w:vAlign w:val="bottom"/>
            <w:gridSpan w:val="3"/>
          </w:tcPr>
          <w:p>
            <w:pPr>
              <w:ind w:left="60"/>
              <w:spacing w:after="0"/>
              <w:rPr>
                <w:sz w:val="20"/>
                <w:szCs w:val="20"/>
                <w:color w:val="auto"/>
              </w:rPr>
            </w:pPr>
            <w:r>
              <w:rPr>
                <w:rFonts w:ascii="Arial" w:cs="Arial" w:eastAsia="Arial" w:hAnsi="Arial"/>
                <w:sz w:val="16"/>
                <w:szCs w:val="16"/>
                <w:i w:val="1"/>
                <w:iCs w:val="1"/>
                <w:color w:val="auto"/>
                <w:w w:val="95"/>
              </w:rPr>
              <w:t>Compensation – Retirement Benefits – Defined Benefit Plans – General (Subtopic 715-20): Disclosure Framework –</w:t>
            </w:r>
          </w:p>
        </w:tc>
        <w:tc>
          <w:tcPr>
            <w:tcW w:w="1720" w:type="dxa"/>
            <w:vAlign w:val="bottom"/>
          </w:tcPr>
          <w:p>
            <w:pPr>
              <w:jc w:val="center"/>
              <w:spacing w:after="0"/>
              <w:rPr>
                <w:sz w:val="20"/>
                <w:szCs w:val="20"/>
                <w:color w:val="auto"/>
              </w:rPr>
            </w:pPr>
            <w:r>
              <w:rPr>
                <w:rFonts w:ascii="Arial" w:cs="Arial" w:eastAsia="Arial" w:hAnsi="Arial"/>
                <w:sz w:val="16"/>
                <w:szCs w:val="16"/>
                <w:color w:val="auto"/>
                <w:w w:val="88"/>
              </w:rPr>
              <w:t>January 1, 2019</w:t>
            </w:r>
          </w:p>
        </w:tc>
      </w:tr>
      <w:tr>
        <w:trPr>
          <w:trHeight w:val="206"/>
        </w:trPr>
        <w:tc>
          <w:tcPr>
            <w:tcW w:w="1780" w:type="dxa"/>
            <w:vAlign w:val="bottom"/>
          </w:tcPr>
          <w:p>
            <w:pPr>
              <w:spacing w:after="0"/>
              <w:rPr>
                <w:sz w:val="17"/>
                <w:szCs w:val="17"/>
                <w:color w:val="auto"/>
              </w:rPr>
            </w:pPr>
          </w:p>
        </w:tc>
        <w:tc>
          <w:tcPr>
            <w:tcW w:w="7920" w:type="dxa"/>
            <w:vAlign w:val="bottom"/>
            <w:gridSpan w:val="3"/>
          </w:tcPr>
          <w:p>
            <w:pPr>
              <w:ind w:left="60"/>
              <w:spacing w:after="0"/>
              <w:rPr>
                <w:sz w:val="20"/>
                <w:szCs w:val="20"/>
                <w:color w:val="auto"/>
              </w:rPr>
            </w:pPr>
            <w:r>
              <w:rPr>
                <w:rFonts w:ascii="Arial" w:cs="Arial" w:eastAsia="Arial" w:hAnsi="Arial"/>
                <w:sz w:val="16"/>
                <w:szCs w:val="16"/>
                <w:i w:val="1"/>
                <w:iCs w:val="1"/>
                <w:color w:val="auto"/>
              </w:rPr>
              <w:t>Changes to the Disclosure Requirements for Defined Benefit Plans</w:t>
            </w:r>
          </w:p>
        </w:tc>
        <w:tc>
          <w:tcPr>
            <w:tcW w:w="1720" w:type="dxa"/>
            <w:vAlign w:val="bottom"/>
          </w:tcPr>
          <w:p>
            <w:pPr>
              <w:spacing w:after="0"/>
              <w:rPr>
                <w:sz w:val="17"/>
                <w:szCs w:val="17"/>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standards – standards not yet adopted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ASU No. 2016-13, Financial Instruments – Credit Losses (Topic 326): Measurement of Credit Losses on Financial Instruments</w:t>
      </w:r>
    </w:p>
    <w:p>
      <w:pPr>
        <w:spacing w:after="0" w:line="23"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This standard requires entities to use a current lifetime expected credit loss methodology to measure impairments of certain financial assets. Using this methodology will result in earlier recognition of losses than under the current incurred loss approach, which requires waiting to recognize a loss until it is probable of being incurred. Credit losses relating to available-for-sale debt securities will be recorded through an allowance for credit losses rather than as a reduction to the amortized cost basis of the securities. We plan to adopt this standard when effective, beginning January 1, 2020, applying the guidance on a modified retrospective basis. We are currently evaluating the potential impact of this standard, but we do not expect it to have a material impact on our financial position or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standards</w:t>
      </w:r>
    </w:p>
    <w:p>
      <w:pPr>
        <w:spacing w:after="0" w:line="23" w:lineRule="exact"/>
        <w:rPr>
          <w:sz w:val="20"/>
          <w:szCs w:val="20"/>
          <w:color w:val="auto"/>
        </w:rPr>
      </w:pPr>
    </w:p>
    <w:p>
      <w:pPr>
        <w:ind w:right="820"/>
        <w:spacing w:after="0" w:line="261" w:lineRule="auto"/>
        <w:rPr>
          <w:sz w:val="20"/>
          <w:szCs w:val="20"/>
          <w:color w:val="auto"/>
        </w:rPr>
      </w:pPr>
      <w:r>
        <w:rPr>
          <w:rFonts w:ascii="Arial" w:cs="Arial" w:eastAsia="Arial" w:hAnsi="Arial"/>
          <w:sz w:val="18"/>
          <w:szCs w:val="18"/>
          <w:color w:val="auto"/>
        </w:rPr>
        <w:t>We are evaluating the impact of the following standards, but we do not expect them to have a material impact on our financial position or results of operations. We plan to adopt these standards as of their effective dates.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780" w:type="dxa"/>
            <w:vAlign w:val="bottom"/>
            <w:tcBorders>
              <w:bottom w:val="single" w:sz="8" w:color="auto"/>
            </w:tcBorders>
          </w:tcPr>
          <w:p>
            <w:pPr>
              <w:ind w:left="720"/>
              <w:spacing w:after="0"/>
              <w:rPr>
                <w:sz w:val="20"/>
                <w:szCs w:val="20"/>
                <w:color w:val="auto"/>
              </w:rPr>
            </w:pPr>
            <w:r>
              <w:rPr>
                <w:rFonts w:ascii="Arial" w:cs="Arial" w:eastAsia="Arial" w:hAnsi="Arial"/>
                <w:sz w:val="16"/>
                <w:szCs w:val="16"/>
                <w:b w:val="1"/>
                <w:bCs w:val="1"/>
                <w:color w:val="auto"/>
              </w:rPr>
              <w:t>ASU</w:t>
            </w:r>
          </w:p>
        </w:tc>
        <w:tc>
          <w:tcPr>
            <w:tcW w:w="60" w:type="dxa"/>
            <w:vAlign w:val="bottom"/>
            <w:tcBorders>
              <w:bottom w:val="single" w:sz="8" w:color="CCEEFF"/>
            </w:tcBorders>
          </w:tcPr>
          <w:p>
            <w:pPr>
              <w:spacing w:after="0"/>
              <w:rPr>
                <w:sz w:val="18"/>
                <w:szCs w:val="18"/>
                <w:color w:val="auto"/>
              </w:rPr>
            </w:pPr>
          </w:p>
        </w:tc>
        <w:tc>
          <w:tcPr>
            <w:tcW w:w="7800" w:type="dxa"/>
            <w:vAlign w:val="bottom"/>
            <w:tcBorders>
              <w:bottom w:val="single" w:sz="8" w:color="auto"/>
            </w:tcBorders>
          </w:tcPr>
          <w:p>
            <w:pPr>
              <w:ind w:left="3480"/>
              <w:spacing w:after="0"/>
              <w:rPr>
                <w:sz w:val="20"/>
                <w:szCs w:val="20"/>
                <w:color w:val="auto"/>
              </w:rPr>
            </w:pPr>
            <w:r>
              <w:rPr>
                <w:rFonts w:ascii="Arial" w:cs="Arial" w:eastAsia="Arial" w:hAnsi="Arial"/>
                <w:sz w:val="16"/>
                <w:szCs w:val="16"/>
                <w:b w:val="1"/>
                <w:bCs w:val="1"/>
                <w:color w:val="auto"/>
              </w:rPr>
              <w:t>Description</w:t>
            </w:r>
          </w:p>
        </w:tc>
        <w:tc>
          <w:tcPr>
            <w:tcW w:w="6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Effective Date</w:t>
            </w:r>
          </w:p>
        </w:tc>
      </w:tr>
      <w:tr>
        <w:trPr>
          <w:trHeight w:val="203"/>
        </w:trPr>
        <w:tc>
          <w:tcPr>
            <w:tcW w:w="1780" w:type="dxa"/>
            <w:vAlign w:val="bottom"/>
            <w:shd w:val="clear" w:color="auto" w:fill="CCEEFF"/>
          </w:tcPr>
          <w:p>
            <w:pPr>
              <w:spacing w:after="0"/>
              <w:rPr>
                <w:sz w:val="20"/>
                <w:szCs w:val="20"/>
                <w:color w:val="auto"/>
              </w:rPr>
            </w:pPr>
            <w:r>
              <w:rPr>
                <w:rFonts w:ascii="Arial" w:cs="Arial" w:eastAsia="Arial" w:hAnsi="Arial"/>
                <w:sz w:val="16"/>
                <w:szCs w:val="16"/>
                <w:color w:val="auto"/>
              </w:rPr>
              <w:t>ASU No. 2018-13</w:t>
            </w:r>
          </w:p>
        </w:tc>
        <w:tc>
          <w:tcPr>
            <w:tcW w:w="7920" w:type="dxa"/>
            <w:vAlign w:val="bottom"/>
            <w:gridSpan w:val="3"/>
            <w:shd w:val="clear" w:color="auto" w:fill="CCEEFF"/>
          </w:tcPr>
          <w:p>
            <w:pPr>
              <w:ind w:left="60"/>
              <w:spacing w:after="0"/>
              <w:rPr>
                <w:sz w:val="20"/>
                <w:szCs w:val="20"/>
                <w:color w:val="auto"/>
              </w:rPr>
            </w:pPr>
            <w:r>
              <w:rPr>
                <w:rFonts w:ascii="Arial" w:cs="Arial" w:eastAsia="Arial" w:hAnsi="Arial"/>
                <w:sz w:val="16"/>
                <w:szCs w:val="16"/>
                <w:i w:val="1"/>
                <w:iCs w:val="1"/>
                <w:color w:val="auto"/>
                <w:w w:val="93"/>
              </w:rPr>
              <w:t>Fair Value Measurement (Topic 820): Disclosure Framework – Changes to the Disclosure Requirements for Fair Value</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January 1, 2020</w:t>
            </w:r>
          </w:p>
        </w:tc>
      </w:tr>
      <w:tr>
        <w:trPr>
          <w:trHeight w:val="212"/>
        </w:trPr>
        <w:tc>
          <w:tcPr>
            <w:tcW w:w="1780" w:type="dxa"/>
            <w:vAlign w:val="bottom"/>
            <w:shd w:val="clear" w:color="auto" w:fill="CCEEFF"/>
          </w:tcPr>
          <w:p>
            <w:pPr>
              <w:spacing w:after="0"/>
              <w:rPr>
                <w:sz w:val="18"/>
                <w:szCs w:val="18"/>
                <w:color w:val="auto"/>
              </w:rPr>
            </w:pPr>
          </w:p>
        </w:tc>
        <w:tc>
          <w:tcPr>
            <w:tcW w:w="7920" w:type="dxa"/>
            <w:vAlign w:val="bottom"/>
            <w:gridSpan w:val="3"/>
            <w:shd w:val="clear" w:color="auto" w:fill="CCEEFF"/>
          </w:tcPr>
          <w:p>
            <w:pPr>
              <w:ind w:left="60"/>
              <w:spacing w:after="0"/>
              <w:rPr>
                <w:sz w:val="20"/>
                <w:szCs w:val="20"/>
                <w:color w:val="auto"/>
              </w:rPr>
            </w:pPr>
            <w:r>
              <w:rPr>
                <w:rFonts w:ascii="Arial" w:cs="Arial" w:eastAsia="Arial" w:hAnsi="Arial"/>
                <w:sz w:val="16"/>
                <w:szCs w:val="16"/>
                <w:i w:val="1"/>
                <w:iCs w:val="1"/>
                <w:color w:val="auto"/>
              </w:rPr>
              <w:t>Measurement</w:t>
            </w:r>
          </w:p>
        </w:tc>
        <w:tc>
          <w:tcPr>
            <w:tcW w:w="1720" w:type="dxa"/>
            <w:vAlign w:val="bottom"/>
            <w:shd w:val="clear" w:color="auto" w:fill="CCEEFF"/>
          </w:tcPr>
          <w:p>
            <w:pPr>
              <w:spacing w:after="0"/>
              <w:rPr>
                <w:sz w:val="18"/>
                <w:szCs w:val="18"/>
                <w:color w:val="auto"/>
              </w:rPr>
            </w:pPr>
          </w:p>
        </w:tc>
      </w:tr>
      <w:tr>
        <w:trPr>
          <w:trHeight w:val="206"/>
        </w:trPr>
        <w:tc>
          <w:tcPr>
            <w:tcW w:w="1780" w:type="dxa"/>
            <w:vAlign w:val="bottom"/>
          </w:tcPr>
          <w:p>
            <w:pPr>
              <w:spacing w:after="0"/>
              <w:rPr>
                <w:sz w:val="20"/>
                <w:szCs w:val="20"/>
                <w:color w:val="auto"/>
              </w:rPr>
            </w:pPr>
            <w:r>
              <w:rPr>
                <w:rFonts w:ascii="Arial" w:cs="Arial" w:eastAsia="Arial" w:hAnsi="Arial"/>
                <w:sz w:val="16"/>
                <w:szCs w:val="16"/>
                <w:color w:val="auto"/>
              </w:rPr>
              <w:t>ASU No. 2018-15</w:t>
            </w:r>
          </w:p>
        </w:tc>
        <w:tc>
          <w:tcPr>
            <w:tcW w:w="7920" w:type="dxa"/>
            <w:vAlign w:val="bottom"/>
            <w:gridSpan w:val="3"/>
          </w:tcPr>
          <w:p>
            <w:pPr>
              <w:ind w:left="60"/>
              <w:spacing w:after="0"/>
              <w:rPr>
                <w:sz w:val="20"/>
                <w:szCs w:val="20"/>
                <w:color w:val="auto"/>
              </w:rPr>
            </w:pPr>
            <w:r>
              <w:rPr>
                <w:rFonts w:ascii="Arial" w:cs="Arial" w:eastAsia="Arial" w:hAnsi="Arial"/>
                <w:sz w:val="16"/>
                <w:szCs w:val="16"/>
                <w:i w:val="1"/>
                <w:iCs w:val="1"/>
                <w:color w:val="auto"/>
              </w:rPr>
              <w:t>Intangibles – Goodwill and Other – Internal-Use Software (Subtopic 350-40): Customer’s Accounting for</w:t>
            </w:r>
          </w:p>
        </w:tc>
        <w:tc>
          <w:tcPr>
            <w:tcW w:w="1720" w:type="dxa"/>
            <w:vAlign w:val="bottom"/>
          </w:tcPr>
          <w:p>
            <w:pPr>
              <w:jc w:val="center"/>
              <w:spacing w:after="0"/>
              <w:rPr>
                <w:sz w:val="20"/>
                <w:szCs w:val="20"/>
                <w:color w:val="auto"/>
              </w:rPr>
            </w:pPr>
            <w:r>
              <w:rPr>
                <w:rFonts w:ascii="Arial" w:cs="Arial" w:eastAsia="Arial" w:hAnsi="Arial"/>
                <w:sz w:val="16"/>
                <w:szCs w:val="16"/>
                <w:color w:val="auto"/>
                <w:w w:val="88"/>
              </w:rPr>
              <w:t>January 1, 2020</w:t>
            </w:r>
          </w:p>
        </w:tc>
      </w:tr>
      <w:tr>
        <w:trPr>
          <w:trHeight w:val="206"/>
        </w:trPr>
        <w:tc>
          <w:tcPr>
            <w:tcW w:w="1780" w:type="dxa"/>
            <w:vAlign w:val="bottom"/>
          </w:tcPr>
          <w:p>
            <w:pPr>
              <w:spacing w:after="0"/>
              <w:rPr>
                <w:sz w:val="17"/>
                <w:szCs w:val="17"/>
                <w:color w:val="auto"/>
              </w:rPr>
            </w:pPr>
          </w:p>
        </w:tc>
        <w:tc>
          <w:tcPr>
            <w:tcW w:w="7920" w:type="dxa"/>
            <w:vAlign w:val="bottom"/>
            <w:gridSpan w:val="3"/>
          </w:tcPr>
          <w:p>
            <w:pPr>
              <w:ind w:left="60"/>
              <w:spacing w:after="0"/>
              <w:rPr>
                <w:sz w:val="20"/>
                <w:szCs w:val="20"/>
                <w:color w:val="auto"/>
              </w:rPr>
            </w:pPr>
            <w:r>
              <w:rPr>
                <w:rFonts w:ascii="Arial" w:cs="Arial" w:eastAsia="Arial" w:hAnsi="Arial"/>
                <w:sz w:val="16"/>
                <w:szCs w:val="16"/>
                <w:i w:val="1"/>
                <w:iCs w:val="1"/>
                <w:color w:val="auto"/>
              </w:rPr>
              <w:t>Implementation Costs Incurred in a Cloud Computing Arrangement That Is a Service Contract</w:t>
            </w:r>
          </w:p>
        </w:tc>
        <w:tc>
          <w:tcPr>
            <w:tcW w:w="1720" w:type="dxa"/>
            <w:vAlign w:val="bottom"/>
          </w:tcPr>
          <w:p>
            <w:pPr>
              <w:spacing w:after="0"/>
              <w:rPr>
                <w:sz w:val="17"/>
                <w:szCs w:val="17"/>
                <w:color w:val="auto"/>
              </w:rPr>
            </w:pPr>
          </w:p>
        </w:tc>
      </w:tr>
    </w:tbl>
    <w:p>
      <w:pPr>
        <w:spacing w:after="0" w:line="208"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estimated annual effective tax rate is about 16%, which does not include discrete tax items. This differs from the 21% statutory corporate tax rate due to the effect of U.S. tax benefits.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 is based on the following:</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60" w:type="dxa"/>
            <w:vAlign w:val="bottom"/>
          </w:tcPr>
          <w:p>
            <w:pPr>
              <w:spacing w:after="0"/>
              <w:rPr>
                <w:sz w:val="18"/>
                <w:szCs w:val="18"/>
                <w:color w:val="auto"/>
              </w:rPr>
            </w:pPr>
          </w:p>
        </w:tc>
        <w:tc>
          <w:tcPr>
            <w:tcW w:w="2060" w:type="dxa"/>
            <w:vAlign w:val="bottom"/>
            <w:gridSpan w:val="5"/>
          </w:tcPr>
          <w:p>
            <w:pPr>
              <w:jc w:val="right"/>
              <w:spacing w:after="0"/>
              <w:rPr>
                <w:sz w:val="20"/>
                <w:szCs w:val="20"/>
                <w:color w:val="auto"/>
              </w:rPr>
            </w:pPr>
            <w:r>
              <w:rPr>
                <w:rFonts w:ascii="Arial" w:cs="Arial" w:eastAsia="Arial" w:hAnsi="Arial"/>
                <w:sz w:val="16"/>
                <w:szCs w:val="16"/>
                <w:b w:val="1"/>
                <w:bCs w:val="1"/>
                <w:color w:val="auto"/>
              </w:rPr>
              <w:t>For Three Months Ended</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gridSpan w:val="5"/>
          </w:tcPr>
          <w:p>
            <w:pPr>
              <w:jc w:val="right"/>
              <w:ind w:right="540"/>
              <w:spacing w:after="0"/>
              <w:rPr>
                <w:sz w:val="20"/>
                <w:szCs w:val="20"/>
                <w:color w:val="auto"/>
              </w:rPr>
            </w:pPr>
            <w:r>
              <w:rPr>
                <w:rFonts w:ascii="Arial" w:cs="Arial" w:eastAsia="Arial" w:hAnsi="Arial"/>
                <w:sz w:val="16"/>
                <w:szCs w:val="16"/>
                <w:b w:val="1"/>
                <w:bCs w:val="1"/>
                <w:color w:val="auto"/>
              </w:rPr>
              <w:t>For Six Months Ended</w:t>
            </w:r>
          </w:p>
        </w:tc>
        <w:tc>
          <w:tcPr>
            <w:tcW w:w="0" w:type="dxa"/>
            <w:vAlign w:val="bottom"/>
          </w:tcPr>
          <w:p>
            <w:pPr>
              <w:spacing w:after="0"/>
              <w:rPr>
                <w:sz w:val="1"/>
                <w:szCs w:val="1"/>
                <w:color w:val="auto"/>
              </w:rPr>
            </w:pPr>
          </w:p>
        </w:tc>
      </w:tr>
      <w:tr>
        <w:trPr>
          <w:trHeight w:val="219"/>
        </w:trPr>
        <w:tc>
          <w:tcPr>
            <w:tcW w:w="626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6"/>
                <w:szCs w:val="16"/>
                <w:b w:val="1"/>
                <w:bCs w:val="1"/>
                <w:color w:val="auto"/>
              </w:rPr>
              <w:t>June 30,</w:t>
            </w:r>
          </w:p>
        </w:tc>
        <w:tc>
          <w:tcPr>
            <w:tcW w:w="28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44"/>
              <w:spacing w:after="0"/>
              <w:rPr>
                <w:sz w:val="20"/>
                <w:szCs w:val="20"/>
                <w:color w:val="auto"/>
              </w:rPr>
            </w:pPr>
            <w:r>
              <w:rPr>
                <w:rFonts w:ascii="Arial" w:cs="Arial" w:eastAsia="Arial" w:hAnsi="Arial"/>
                <w:sz w:val="16"/>
                <w:szCs w:val="16"/>
                <w:b w:val="1"/>
                <w:bCs w:val="1"/>
                <w:color w:val="auto"/>
              </w:rPr>
              <w:t>June 30,</w:t>
            </w:r>
          </w:p>
        </w:tc>
        <w:tc>
          <w:tcPr>
            <w:tcW w:w="7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300" w:type="dxa"/>
            <w:vAlign w:val="bottom"/>
            <w:tcBorders>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280" w:type="dxa"/>
            <w:vAlign w:val="bottom"/>
            <w:tcBorders>
              <w:bottom w:val="single" w:sz="8" w:color="auto"/>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3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260" w:type="dxa"/>
            <w:vAlign w:val="bottom"/>
            <w:shd w:val="clear" w:color="auto" w:fill="CCEEFF"/>
          </w:tcPr>
          <w:p>
            <w:pPr>
              <w:spacing w:after="0"/>
              <w:rPr>
                <w:sz w:val="20"/>
                <w:szCs w:val="20"/>
                <w:color w:val="auto"/>
              </w:rPr>
            </w:pPr>
            <w:r>
              <w:rPr>
                <w:rFonts w:ascii="Arial" w:cs="Arial" w:eastAsia="Arial" w:hAnsi="Arial"/>
                <w:sz w:val="16"/>
                <w:szCs w:val="16"/>
                <w:color w:val="auto"/>
              </w:rPr>
              <w:t>Taxes calculated using the estimated annual effective tax rate</w:t>
            </w:r>
          </w:p>
        </w:tc>
        <w:tc>
          <w:tcPr>
            <w:tcW w:w="680" w:type="dxa"/>
            <w:vAlign w:val="bottom"/>
            <w:shd w:val="clear" w:color="auto" w:fill="CCEEFF"/>
          </w:tcPr>
          <w:p>
            <w:pPr>
              <w:jc w:val="right"/>
              <w:ind w:right="522"/>
              <w:spacing w:after="0"/>
              <w:rPr>
                <w:sz w:val="20"/>
                <w:szCs w:val="20"/>
                <w:color w:val="auto"/>
              </w:rPr>
            </w:pPr>
            <w:r>
              <w:rPr>
                <w:rFonts w:ascii="Arial" w:cs="Arial" w:eastAsia="Arial" w:hAnsi="Arial"/>
                <w:sz w:val="15"/>
                <w:szCs w:val="15"/>
                <w:b w:val="1"/>
                <w:bCs w:val="1"/>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238</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344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458</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60" w:type="dxa"/>
            <w:vAlign w:val="bottom"/>
          </w:tcPr>
          <w:p>
            <w:pPr>
              <w:spacing w:after="0"/>
              <w:rPr>
                <w:sz w:val="20"/>
                <w:szCs w:val="20"/>
                <w:color w:val="auto"/>
              </w:rPr>
            </w:pPr>
            <w:r>
              <w:rPr>
                <w:rFonts w:ascii="Arial" w:cs="Arial" w:eastAsia="Arial" w:hAnsi="Arial"/>
                <w:sz w:val="16"/>
                <w:szCs w:val="16"/>
                <w:color w:val="auto"/>
              </w:rPr>
              <w:t>Discrete tax items</w:t>
            </w:r>
          </w:p>
        </w:tc>
        <w:tc>
          <w:tcPr>
            <w:tcW w:w="68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(29)</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6"/>
                <w:szCs w:val="16"/>
                <w:color w:val="auto"/>
              </w:rPr>
              <w:t>(43)</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(89)</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0"/>
        </w:trPr>
        <w:tc>
          <w:tcPr>
            <w:tcW w:w="626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Provision for income taxes</w:t>
            </w: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6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right"/>
              <w:ind w:right="522"/>
              <w:spacing w:after="0"/>
              <w:rPr>
                <w:sz w:val="20"/>
                <w:szCs w:val="20"/>
                <w:color w:val="auto"/>
              </w:rPr>
            </w:pPr>
            <w:r>
              <w:rPr>
                <w:rFonts w:ascii="Arial" w:cs="Arial" w:eastAsia="Arial" w:hAnsi="Arial"/>
                <w:sz w:val="15"/>
                <w:szCs w:val="15"/>
                <w:b w:val="1"/>
                <w:bCs w:val="1"/>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209</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301</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369</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6"/>
                <w:szCs w:val="16"/>
                <w:color w:val="auto"/>
              </w:rPr>
              <w:t>Actual effective tax rate</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13%</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Valuation of debt and equity investments and certain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and equity investments measured at fair value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Available-for-sale debt investments and trading securities are stated at fair value, which is generally based on market prices or broker quotes. See </w:t>
      </w:r>
      <w:r>
        <w:rPr>
          <w:rFonts w:ascii="Arial" w:cs="Arial" w:eastAsia="Arial" w:hAnsi="Arial"/>
          <w:sz w:val="18"/>
          <w:szCs w:val="18"/>
          <w:i w:val="1"/>
          <w:iCs w:val="1"/>
          <w:color w:val="auto"/>
        </w:rPr>
        <w:t>Fair-value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considerations </w:t>
      </w:r>
      <w:r>
        <w:rPr>
          <w:rFonts w:ascii="Arial" w:cs="Arial" w:eastAsia="Arial" w:hAnsi="Arial"/>
          <w:sz w:val="18"/>
          <w:szCs w:val="18"/>
          <w:color w:val="auto"/>
        </w:rPr>
        <w:t>below. Unrealized gains and losses from available-for-sale debt securities are recorded as an increase or decrease, net of taxes, in AOCI on our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Balance Sheets. Other-than-temporary impairments on available-for-sale debt securities are recorded in OI&amp;E in our Consolidated Statements of Income.</w:t>
      </w:r>
    </w:p>
    <w:p>
      <w:pPr>
        <w:spacing w:after="0" w:line="18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classify certain mutual funds as trading securities. These mutual funds hold a variety of debt and equity investments intended to generate returns that offset changes in certain deferred compensation liabilities. We record changes in the fair value of these mutual funds and the related deferred compensation liabilities in SG&amp;A.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equity investments</w:t>
      </w:r>
    </w:p>
    <w:p>
      <w:pPr>
        <w:spacing w:after="0" w:line="225"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Our other investments include equity-method investments and non-marketable equity investments, which are not measured at fair value. These investments consist of interests in venture capital funds and other non-marketable equity securities. Gains and losses from equity-method investments are recognized in OI&amp;E based on our ownership share of the investee’s financial results.</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Non-marketable equity securities are measured at cost with adjustments for observable changes in price or impairments. Gains and losses on non-marketable equity investments are recognized in OI&amp;E.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Details of our investments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June 30, 2019</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rPr>
              <w:t>December 31, 2018</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Cash and Cash</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b w:val="1"/>
                <w:bCs w:val="1"/>
                <w:color w:val="auto"/>
                <w:w w:val="99"/>
              </w:rPr>
              <w:t>Short-Term</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b w:val="1"/>
                <w:bCs w:val="1"/>
                <w:color w:val="auto"/>
              </w:rPr>
              <w:t>Long-Term</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ind w:right="99"/>
              <w:spacing w:after="0"/>
              <w:rPr>
                <w:sz w:val="20"/>
                <w:szCs w:val="20"/>
                <w:color w:val="auto"/>
              </w:rPr>
            </w:pPr>
            <w:r>
              <w:rPr>
                <w:rFonts w:ascii="Arial" w:cs="Arial" w:eastAsia="Arial" w:hAnsi="Arial"/>
                <w:sz w:val="16"/>
                <w:szCs w:val="16"/>
                <w:b w:val="1"/>
                <w:bCs w:val="1"/>
                <w:color w:val="auto"/>
                <w:w w:val="93"/>
              </w:rPr>
              <w:t>Cash and Cash</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b w:val="1"/>
                <w:bCs w:val="1"/>
                <w:color w:val="auto"/>
              </w:rPr>
              <w:t>Short-Term</w:t>
            </w:r>
          </w:p>
        </w:tc>
        <w:tc>
          <w:tcPr>
            <w:tcW w:w="140" w:type="dxa"/>
            <w:vAlign w:val="bottom"/>
          </w:tcPr>
          <w:p>
            <w:pPr>
              <w:spacing w:after="0"/>
              <w:rPr>
                <w:sz w:val="17"/>
                <w:szCs w:val="17"/>
                <w:color w:val="auto"/>
              </w:rPr>
            </w:pPr>
          </w:p>
        </w:tc>
        <w:tc>
          <w:tcPr>
            <w:tcW w:w="110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Long-Term</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219"/>
              <w:spacing w:after="0"/>
              <w:rPr>
                <w:sz w:val="20"/>
                <w:szCs w:val="20"/>
                <w:color w:val="auto"/>
              </w:rPr>
            </w:pPr>
            <w:r>
              <w:rPr>
                <w:rFonts w:ascii="Arial" w:cs="Arial" w:eastAsia="Arial" w:hAnsi="Arial"/>
                <w:sz w:val="16"/>
                <w:szCs w:val="16"/>
                <w:b w:val="1"/>
                <w:bCs w:val="1"/>
                <w:color w:val="auto"/>
              </w:rPr>
              <w:t>Equivalents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b w:val="1"/>
                <w:bCs w:val="1"/>
                <w:color w:val="auto"/>
                <w:w w:val="92"/>
              </w:rPr>
              <w:t>Investments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b w:val="1"/>
                <w:bCs w:val="1"/>
                <w:color w:val="auto"/>
                <w:w w:val="92"/>
              </w:rPr>
              <w:t>Investments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219"/>
              <w:spacing w:after="0"/>
              <w:rPr>
                <w:sz w:val="20"/>
                <w:szCs w:val="20"/>
                <w:color w:val="auto"/>
              </w:rPr>
            </w:pPr>
            <w:r>
              <w:rPr>
                <w:rFonts w:ascii="Arial" w:cs="Arial" w:eastAsia="Arial" w:hAnsi="Arial"/>
                <w:sz w:val="16"/>
                <w:szCs w:val="16"/>
                <w:b w:val="1"/>
                <w:bCs w:val="1"/>
                <w:color w:val="auto"/>
              </w:rPr>
              <w:t>Equivalents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ind w:left="40"/>
              <w:spacing w:after="0"/>
              <w:rPr>
                <w:sz w:val="20"/>
                <w:szCs w:val="20"/>
                <w:color w:val="auto"/>
              </w:rPr>
            </w:pPr>
            <w:r>
              <w:rPr>
                <w:rFonts w:ascii="Arial" w:cs="Arial" w:eastAsia="Arial" w:hAnsi="Arial"/>
                <w:sz w:val="16"/>
                <w:szCs w:val="16"/>
                <w:b w:val="1"/>
                <w:bCs w:val="1"/>
                <w:color w:val="auto"/>
              </w:rPr>
              <w:t>Investments</w:t>
            </w:r>
          </w:p>
        </w:tc>
        <w:tc>
          <w:tcPr>
            <w:tcW w:w="14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Investments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Measured at fair value:</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80" w:type="dxa"/>
            <w:vAlign w:val="bottom"/>
            <w:gridSpan w:val="2"/>
          </w:tcPr>
          <w:p>
            <w:pPr>
              <w:spacing w:after="0"/>
              <w:rPr>
                <w:sz w:val="20"/>
                <w:szCs w:val="20"/>
                <w:color w:val="auto"/>
              </w:rPr>
            </w:pPr>
            <w:r>
              <w:rPr>
                <w:rFonts w:ascii="Arial" w:cs="Arial" w:eastAsia="Arial" w:hAnsi="Arial"/>
                <w:sz w:val="16"/>
                <w:szCs w:val="16"/>
                <w:color w:val="auto"/>
              </w:rPr>
              <w:t>Available-for-sale debt securities: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Money market funds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709</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60" w:type="dxa"/>
            <w:vAlign w:val="bottom"/>
          </w:tcPr>
          <w:p>
            <w:pPr>
              <w:ind w:left="120"/>
              <w:spacing w:after="0"/>
              <w:rPr>
                <w:sz w:val="20"/>
                <w:szCs w:val="20"/>
                <w:color w:val="auto"/>
              </w:rPr>
            </w:pPr>
            <w:r>
              <w:rPr>
                <w:rFonts w:ascii="Arial" w:cs="Arial" w:eastAsia="Arial" w:hAnsi="Arial"/>
                <w:sz w:val="16"/>
                <w:szCs w:val="16"/>
                <w:color w:val="auto"/>
              </w:rPr>
              <w:t>Corporate obligations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591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256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473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748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6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1"/>
              </w:rPr>
              <w:t>U.S. government agency and Treasury</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2,101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149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securities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680" w:type="dxa"/>
            <w:vAlign w:val="bottom"/>
            <w:gridSpan w:val="2"/>
          </w:tcPr>
          <w:p>
            <w:pPr>
              <w:spacing w:after="0"/>
              <w:rPr>
                <w:sz w:val="20"/>
                <w:szCs w:val="20"/>
                <w:color w:val="auto"/>
              </w:rPr>
            </w:pPr>
            <w:r>
              <w:rPr>
                <w:rFonts w:ascii="Arial" w:cs="Arial" w:eastAsia="Arial" w:hAnsi="Arial"/>
                <w:sz w:val="16"/>
                <w:szCs w:val="16"/>
                <w:color w:val="auto"/>
              </w:rPr>
              <w:t>Trading securities: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Mutual funds</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259</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680" w:type="dxa"/>
            <w:vAlign w:val="bottom"/>
            <w:gridSpan w:val="2"/>
          </w:tcPr>
          <w:p>
            <w:pPr>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3,401</w:t>
            </w: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405</w:t>
            </w: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259</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2,208</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1,795</w:t>
            </w: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6"/>
                <w:szCs w:val="16"/>
                <w:b w:val="1"/>
                <w:bCs w:val="1"/>
                <w:color w:val="auto"/>
              </w:rPr>
              <w:t>Other measurement basis: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Equity-method investments</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60" w:type="dxa"/>
            <w:vAlign w:val="bottom"/>
          </w:tcPr>
          <w:p>
            <w:pPr>
              <w:ind w:left="120"/>
              <w:spacing w:after="0"/>
              <w:rPr>
                <w:sz w:val="20"/>
                <w:szCs w:val="20"/>
                <w:color w:val="auto"/>
              </w:rPr>
            </w:pPr>
            <w:r>
              <w:rPr>
                <w:rFonts w:ascii="Arial" w:cs="Arial" w:eastAsia="Arial" w:hAnsi="Arial"/>
                <w:sz w:val="16"/>
                <w:szCs w:val="16"/>
                <w:color w:val="auto"/>
              </w:rPr>
              <w:t>Non-marketable equity investments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6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on hand</w:t>
            </w: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412</w:t>
            </w: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680" w:type="dxa"/>
            <w:vAlign w:val="bottom"/>
            <w:gridSpan w:val="2"/>
          </w:tcPr>
          <w:p>
            <w:pPr>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3,813</w:t>
            </w:r>
          </w:p>
        </w:tc>
        <w:tc>
          <w:tcPr>
            <w:tcW w:w="18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405</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300</w:t>
            </w:r>
          </w:p>
        </w:tc>
        <w:tc>
          <w:tcPr>
            <w:tcW w:w="3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2,438</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1,795</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of June 30, 2019 and December 31, 2018, unrealized gains and losses associated with our available-for-sale investments were not material. We did not recognize any credit losses related to available-for-sale investments for the first six months of 2019 and 2018.</w:t>
      </w:r>
    </w:p>
    <w:p>
      <w:pPr>
        <w:spacing w:after="0" w:line="17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Proceeds from sales, redemptions and maturities of short-term available-for-sale investments were $200 million and $1.38 billion for the second quarters of 2019 and 2018, respectively, and $1.78 billion and $2.83 billion for the first six months of 2019 and 2018, respectively. Gross realized gains and losses from these sales were not material.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aggregate maturities of our available-for-sale debt investments as of June 30, 2019:</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20" w:type="dxa"/>
            <w:vAlign w:val="bottom"/>
            <w:tcBorders>
              <w:bottom w:val="single" w:sz="8" w:color="CCEEFF"/>
            </w:tcBorders>
          </w:tcPr>
          <w:p>
            <w:pPr>
              <w:spacing w:after="0"/>
              <w:rPr>
                <w:sz w:val="18"/>
                <w:szCs w:val="18"/>
                <w:color w:val="auto"/>
              </w:rPr>
            </w:pPr>
          </w:p>
        </w:tc>
        <w:tc>
          <w:tcPr>
            <w:tcW w:w="45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9"/>
              </w:rPr>
              <w:t>Fair Value</w:t>
            </w:r>
          </w:p>
        </w:tc>
        <w:tc>
          <w:tcPr>
            <w:tcW w:w="120" w:type="dxa"/>
            <w:vAlign w:val="bottom"/>
            <w:tcBorders>
              <w:bottom w:val="single" w:sz="8" w:color="CCEEFF"/>
            </w:tcBorders>
          </w:tcPr>
          <w:p>
            <w:pPr>
              <w:spacing w:after="0"/>
              <w:rPr>
                <w:sz w:val="18"/>
                <w:szCs w:val="18"/>
                <w:color w:val="auto"/>
              </w:rPr>
            </w:pPr>
          </w:p>
        </w:tc>
      </w:tr>
      <w:tr>
        <w:trPr>
          <w:trHeight w:val="213"/>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One year or less</w:t>
            </w:r>
          </w:p>
        </w:tc>
        <w:tc>
          <w:tcPr>
            <w:tcW w:w="4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3,695</w:t>
            </w:r>
          </w:p>
        </w:tc>
        <w:tc>
          <w:tcPr>
            <w:tcW w:w="120" w:type="dxa"/>
            <w:vAlign w:val="bottom"/>
            <w:shd w:val="clear" w:color="auto" w:fill="CCEEFF"/>
          </w:tcPr>
          <w:p>
            <w:pPr>
              <w:spacing w:after="0"/>
              <w:rPr>
                <w:sz w:val="18"/>
                <w:szCs w:val="18"/>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6"/>
                <w:szCs w:val="16"/>
                <w:color w:val="auto"/>
              </w:rPr>
              <w:t>One to two years</w:t>
            </w:r>
          </w:p>
        </w:tc>
        <w:tc>
          <w:tcPr>
            <w:tcW w:w="4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18"/>
                <w:szCs w:val="18"/>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other-than-temporary declines and impairments in the values of our debt investments in the first six months of 2019 or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Fair-value considerations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measure and report certain financial assets and liabilities at fair value on a recurring basis. Fair value is defined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three-level hierarchy discussed below indicates the extent and level of judgment used to estimate fair-value measurements.</w:t>
      </w:r>
    </w:p>
    <w:p>
      <w:pPr>
        <w:spacing w:after="0" w:line="225" w:lineRule="exact"/>
        <w:rPr>
          <w:sz w:val="20"/>
          <w:szCs w:val="20"/>
          <w:color w:val="auto"/>
        </w:rPr>
      </w:pPr>
    </w:p>
    <w:p>
      <w:pPr>
        <w:ind w:left="1040" w:hanging="519"/>
        <w:spacing w:after="0"/>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 Uses unadjusted quoted prices that are available in active markets for identical assets or liabilities as of the reporting date.</w:t>
      </w:r>
    </w:p>
    <w:p>
      <w:pPr>
        <w:spacing w:after="0" w:line="128" w:lineRule="exact"/>
        <w:rPr>
          <w:rFonts w:ascii="Arial" w:cs="Arial" w:eastAsia="Arial" w:hAnsi="Arial"/>
          <w:sz w:val="17"/>
          <w:szCs w:val="17"/>
          <w:color w:val="auto"/>
        </w:rPr>
      </w:pPr>
    </w:p>
    <w:p>
      <w:pPr>
        <w:ind w:left="1040" w:right="20" w:hanging="519"/>
        <w:spacing w:after="0" w:line="273" w:lineRule="auto"/>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 Uses inputs other than Level 1 that are either directly or indirectly observable as of the reporting date through correlation with market</w:t>
      </w:r>
      <w:r>
        <w:rPr>
          <w:rFonts w:ascii="Arial" w:cs="Arial" w:eastAsia="Arial" w:hAnsi="Arial"/>
          <w:sz w:val="17"/>
          <w:szCs w:val="17"/>
          <w:i w:val="1"/>
          <w:iCs w:val="1"/>
          <w:color w:val="auto"/>
        </w:rPr>
        <w:t xml:space="preserve"> </w:t>
      </w:r>
      <w:r>
        <w:rPr>
          <w:rFonts w:ascii="Arial" w:cs="Arial" w:eastAsia="Arial" w:hAnsi="Arial"/>
          <w:sz w:val="17"/>
          <w:szCs w:val="17"/>
          <w:color w:val="auto"/>
        </w:rPr>
        <w:t>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We utilize a third-party data service to provide Level 2 valuations. We verify these valuations for reasonableness relative to unadjusted quotes obtained from brokers or dealers based on observable prices for similar assets in active markets.</w:t>
      </w:r>
    </w:p>
    <w:p>
      <w:pPr>
        <w:spacing w:after="0" w:line="70" w:lineRule="exact"/>
        <w:rPr>
          <w:rFonts w:ascii="Arial" w:cs="Arial" w:eastAsia="Arial" w:hAnsi="Arial"/>
          <w:sz w:val="17"/>
          <w:szCs w:val="17"/>
          <w:color w:val="auto"/>
        </w:rPr>
      </w:pPr>
    </w:p>
    <w:p>
      <w:pPr>
        <w:jc w:val="both"/>
        <w:ind w:left="1040" w:right="220" w:hanging="519"/>
        <w:spacing w:after="0" w:line="264"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Uses inputs that are unobservable, supported by little or no market activity and reflect the use of significant management judgment.</w:t>
      </w:r>
      <w:r>
        <w:rPr>
          <w:rFonts w:ascii="Arial" w:cs="Arial" w:eastAsia="Arial" w:hAnsi="Arial"/>
          <w:sz w:val="18"/>
          <w:szCs w:val="18"/>
          <w:i w:val="1"/>
          <w:iCs w:val="1"/>
          <w:color w:val="auto"/>
        </w:rPr>
        <w:t xml:space="preserve"> </w:t>
      </w:r>
      <w:r>
        <w:rPr>
          <w:rFonts w:ascii="Arial" w:cs="Arial" w:eastAsia="Arial" w:hAnsi="Arial"/>
          <w:sz w:val="18"/>
          <w:szCs w:val="18"/>
          <w:color w:val="auto"/>
        </w:rPr>
        <w:t>These values are generally determined using pricing models that utilize management estimates of market participant assumptions. As of June 30, 2019 and December 31, 2018, we had no Level 3 assets or liabilities.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5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are our assets and liabilities that were accounted for at fair value on a recurring basis. These tables do not include cash on hand, assets held by our postretirement plans, or assets and liabilities that are measured at historical cost or any basis other than fair value.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June 30, 2019</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ind w:left="100"/>
              <w:spacing w:after="0"/>
              <w:rPr>
                <w:sz w:val="20"/>
                <w:szCs w:val="20"/>
                <w:color w:val="auto"/>
              </w:rPr>
            </w:pPr>
            <w:r>
              <w:rPr>
                <w:rFonts w:ascii="Arial" w:cs="Arial" w:eastAsia="Arial" w:hAnsi="Arial"/>
                <w:sz w:val="16"/>
                <w:szCs w:val="16"/>
                <w:b w:val="1"/>
                <w:bCs w:val="1"/>
                <w:color w:val="auto"/>
                <w:w w:val="94"/>
              </w:rPr>
              <w:t>December 31, 2018</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99"/>
              <w:spacing w:after="0"/>
              <w:rPr>
                <w:sz w:val="20"/>
                <w:szCs w:val="20"/>
                <w:color w:val="auto"/>
              </w:rPr>
            </w:pPr>
            <w:r>
              <w:rPr>
                <w:rFonts w:ascii="Arial" w:cs="Arial" w:eastAsia="Arial" w:hAnsi="Arial"/>
                <w:sz w:val="16"/>
                <w:szCs w:val="16"/>
                <w:b w:val="1"/>
                <w:bCs w:val="1"/>
                <w:color w:val="auto"/>
                <w:w w:val="95"/>
              </w:rPr>
              <w:t>Level 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Level 2</w:t>
            </w:r>
          </w:p>
        </w:tc>
        <w:tc>
          <w:tcPr>
            <w:tcW w:w="180" w:type="dxa"/>
            <w:vAlign w:val="bottom"/>
          </w:tcPr>
          <w:p>
            <w:pPr>
              <w:spacing w:after="0"/>
              <w:rPr>
                <w:sz w:val="18"/>
                <w:szCs w:val="18"/>
                <w:color w:val="auto"/>
              </w:rPr>
            </w:pPr>
          </w:p>
        </w:tc>
        <w:tc>
          <w:tcPr>
            <w:tcW w:w="680" w:type="dxa"/>
            <w:vAlign w:val="bottom"/>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99"/>
              <w:spacing w:after="0"/>
              <w:rPr>
                <w:sz w:val="20"/>
                <w:szCs w:val="20"/>
                <w:color w:val="auto"/>
              </w:rPr>
            </w:pPr>
            <w:r>
              <w:rPr>
                <w:rFonts w:ascii="Arial" w:cs="Arial" w:eastAsia="Arial" w:hAnsi="Arial"/>
                <w:sz w:val="16"/>
                <w:szCs w:val="16"/>
                <w:b w:val="1"/>
                <w:bCs w:val="1"/>
                <w:color w:val="auto"/>
                <w:w w:val="95"/>
              </w:rPr>
              <w:t>Level 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ind w:left="4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18"/>
                <w:szCs w:val="18"/>
                <w:color w:val="auto"/>
              </w:rPr>
            </w:pPr>
          </w:p>
        </w:tc>
        <w:tc>
          <w:tcPr>
            <w:tcW w:w="720" w:type="dxa"/>
            <w:vAlign w:val="bottom"/>
          </w:tcPr>
          <w:p>
            <w:pPr>
              <w:jc w:val="right"/>
              <w:ind w:right="199"/>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40" w:type="dxa"/>
            <w:vAlign w:val="bottom"/>
          </w:tcPr>
          <w:p>
            <w:pPr>
              <w:ind w:left="120"/>
              <w:spacing w:after="0"/>
              <w:rPr>
                <w:sz w:val="20"/>
                <w:szCs w:val="20"/>
                <w:color w:val="auto"/>
              </w:rPr>
            </w:pPr>
            <w:r>
              <w:rPr>
                <w:rFonts w:ascii="Arial" w:cs="Arial" w:eastAsia="Arial" w:hAnsi="Arial"/>
                <w:sz w:val="16"/>
                <w:szCs w:val="16"/>
                <w:color w:val="auto"/>
              </w:rPr>
              <w:t>Money market funds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709</w:t>
            </w:r>
          </w:p>
        </w:tc>
        <w:tc>
          <w:tcPr>
            <w:tcW w:w="4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709</w:t>
            </w:r>
          </w:p>
        </w:tc>
        <w:tc>
          <w:tcPr>
            <w:tcW w:w="4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747</w:t>
            </w: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Corporate obligations</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847</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847</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1,221</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40" w:type="dxa"/>
            <w:vAlign w:val="bottom"/>
          </w:tcPr>
          <w:p>
            <w:pPr>
              <w:ind w:left="120"/>
              <w:spacing w:after="0"/>
              <w:rPr>
                <w:sz w:val="20"/>
                <w:szCs w:val="20"/>
                <w:color w:val="auto"/>
              </w:rPr>
            </w:pPr>
            <w:r>
              <w:rPr>
                <w:rFonts w:ascii="Arial" w:cs="Arial" w:eastAsia="Arial" w:hAnsi="Arial"/>
                <w:sz w:val="16"/>
                <w:szCs w:val="16"/>
                <w:color w:val="auto"/>
              </w:rPr>
              <w:t>U.S. government agency and Treasury securities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2,250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2,250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2,035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Mutual funds</w:t>
            </w: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259</w:t>
            </w:r>
          </w:p>
        </w:tc>
        <w:tc>
          <w:tcPr>
            <w:tcW w:w="3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259</w:t>
            </w:r>
          </w:p>
        </w:tc>
        <w:tc>
          <w:tcPr>
            <w:tcW w:w="3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3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660" w:type="dxa"/>
            <w:vAlign w:val="bottom"/>
            <w:gridSpan w:val="2"/>
          </w:tcPr>
          <w:p>
            <w:pPr>
              <w:spacing w:after="0"/>
              <w:rPr>
                <w:sz w:val="20"/>
                <w:szCs w:val="20"/>
                <w:color w:val="auto"/>
              </w:rPr>
            </w:pPr>
            <w:r>
              <w:rPr>
                <w:rFonts w:ascii="Arial" w:cs="Arial" w:eastAsia="Arial" w:hAnsi="Arial"/>
                <w:sz w:val="16"/>
                <w:szCs w:val="16"/>
                <w:color w:val="auto"/>
              </w:rPr>
              <w:t>Total assets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3,218</w:t>
            </w:r>
          </w:p>
        </w:tc>
        <w:tc>
          <w:tcPr>
            <w:tcW w:w="3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847</w:t>
            </w:r>
          </w:p>
        </w:tc>
        <w:tc>
          <w:tcPr>
            <w:tcW w:w="2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4,065</w:t>
            </w:r>
          </w:p>
        </w:tc>
        <w:tc>
          <w:tcPr>
            <w:tcW w:w="4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3,008</w:t>
            </w: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1,221</w:t>
            </w:r>
          </w:p>
        </w:tc>
        <w:tc>
          <w:tcPr>
            <w:tcW w:w="320" w:type="dxa"/>
            <w:vAlign w:val="bottom"/>
          </w:tcPr>
          <w:p>
            <w:pPr>
              <w:spacing w:after="0"/>
              <w:rPr>
                <w:sz w:val="21"/>
                <w:szCs w:val="21"/>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4,229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vMerge w:val="restart"/>
          </w:tcPr>
          <w:p>
            <w:pPr>
              <w:spacing w:after="0"/>
              <w:rPr>
                <w:sz w:val="19"/>
                <w:szCs w:val="19"/>
                <w:color w:val="auto"/>
              </w:rPr>
            </w:pPr>
          </w:p>
        </w:tc>
        <w:tc>
          <w:tcPr>
            <w:tcW w:w="46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compensation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277</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277</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6"/>
                <w:szCs w:val="16"/>
                <w:color w:val="auto"/>
              </w:rPr>
              <w:t>Total liabilities</w:t>
            </w: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660" w:type="dxa"/>
            <w:vAlign w:val="bottom"/>
            <w:gridSpan w:val="2"/>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277</w:t>
            </w:r>
          </w:p>
        </w:tc>
        <w:tc>
          <w:tcPr>
            <w:tcW w:w="30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vMerge w:val="continue"/>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277</w:t>
            </w:r>
          </w:p>
        </w:tc>
        <w:tc>
          <w:tcPr>
            <w:tcW w:w="4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246</w:t>
            </w: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Goodwill and acquisition-related intangibles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Goodwill was $4.36 billion as of June 30, 2019 and December 31, 2018. There was no impairment of goodwill during the first six months of 2019 or 2018.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acquisition-related intangibles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6"/>
              </w:rPr>
              <w:t>Amortization</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6"/>
                <w:szCs w:val="16"/>
                <w:b w:val="1"/>
                <w:bCs w:val="1"/>
                <w:color w:val="auto"/>
              </w:rPr>
              <w:t>June 30, 2019</w:t>
            </w: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5"/>
          </w:tcPr>
          <w:p>
            <w:pPr>
              <w:ind w:left="1120"/>
              <w:spacing w:after="0"/>
              <w:rPr>
                <w:sz w:val="20"/>
                <w:szCs w:val="20"/>
                <w:color w:val="auto"/>
              </w:rPr>
            </w:pPr>
            <w:r>
              <w:rPr>
                <w:rFonts w:ascii="Arial" w:cs="Arial" w:eastAsia="Arial" w:hAnsi="Arial"/>
                <w:sz w:val="16"/>
                <w:szCs w:val="16"/>
                <w:b w:val="1"/>
                <w:bCs w:val="1"/>
                <w:color w:val="auto"/>
              </w:rPr>
              <w:t>December 31, 2018</w:t>
            </w: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21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2"/>
              </w:rPr>
              <w:t>Period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Gross Carrying</w:t>
            </w:r>
          </w:p>
        </w:tc>
        <w:tc>
          <w:tcPr>
            <w:tcW w:w="120" w:type="dxa"/>
            <w:vAlign w:val="bottom"/>
          </w:tcPr>
          <w:p>
            <w:pPr>
              <w:spacing w:after="0"/>
              <w:rPr>
                <w:sz w:val="18"/>
                <w:szCs w:val="18"/>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b w:val="1"/>
                <w:bCs w:val="1"/>
                <w:color w:val="auto"/>
                <w:w w:val="93"/>
              </w:rPr>
              <w:t>Accumulated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Gross Carrying</w:t>
            </w:r>
          </w:p>
        </w:tc>
        <w:tc>
          <w:tcPr>
            <w:tcW w:w="12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216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2"/>
              </w:rPr>
              <w:t>(Years)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Amount</w:t>
            </w:r>
          </w:p>
        </w:tc>
        <w:tc>
          <w:tcPr>
            <w:tcW w:w="120" w:type="dxa"/>
            <w:vAlign w:val="bottom"/>
          </w:tcPr>
          <w:p>
            <w:pPr>
              <w:spacing w:after="0"/>
              <w:rPr>
                <w:sz w:val="19"/>
                <w:szCs w:val="19"/>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b w:val="1"/>
                <w:bCs w:val="1"/>
                <w:color w:val="auto"/>
                <w:w w:val="96"/>
              </w:rPr>
              <w:t>Amortization</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ind w:left="60"/>
              <w:spacing w:after="0"/>
              <w:rPr>
                <w:sz w:val="20"/>
                <w:szCs w:val="20"/>
                <w:color w:val="auto"/>
              </w:rPr>
            </w:pPr>
            <w:r>
              <w:rPr>
                <w:rFonts w:ascii="Arial" w:cs="Arial" w:eastAsia="Arial" w:hAnsi="Arial"/>
                <w:sz w:val="16"/>
                <w:szCs w:val="16"/>
                <w:b w:val="1"/>
                <w:bCs w:val="1"/>
                <w:color w:val="auto"/>
              </w:rPr>
              <w:t>Net</w:t>
            </w:r>
          </w:p>
        </w:tc>
        <w:tc>
          <w:tcPr>
            <w:tcW w:w="140" w:type="dxa"/>
            <w:vAlign w:val="bottom"/>
          </w:tcPr>
          <w:p>
            <w:pPr>
              <w:spacing w:after="0"/>
              <w:rPr>
                <w:sz w:val="19"/>
                <w:szCs w:val="19"/>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Amount</w:t>
            </w:r>
          </w:p>
        </w:tc>
        <w:tc>
          <w:tcPr>
            <w:tcW w:w="120" w:type="dxa"/>
            <w:vAlign w:val="bottom"/>
          </w:tcPr>
          <w:p>
            <w:pPr>
              <w:spacing w:after="0"/>
              <w:rPr>
                <w:sz w:val="19"/>
                <w:szCs w:val="19"/>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Pr>
          <w:p>
            <w:pPr>
              <w:spacing w:after="0"/>
              <w:rPr>
                <w:sz w:val="19"/>
                <w:szCs w:val="19"/>
                <w:color w:val="auto"/>
              </w:rPr>
            </w:pPr>
          </w:p>
        </w:tc>
        <w:tc>
          <w:tcPr>
            <w:tcW w:w="660" w:type="dxa"/>
            <w:vAlign w:val="bottom"/>
            <w:gridSpan w:val="2"/>
          </w:tcPr>
          <w:p>
            <w:pPr>
              <w:ind w:left="60"/>
              <w:spacing w:after="0"/>
              <w:rPr>
                <w:sz w:val="20"/>
                <w:szCs w:val="20"/>
                <w:color w:val="auto"/>
              </w:rPr>
            </w:pPr>
            <w:r>
              <w:rPr>
                <w:rFonts w:ascii="Arial" w:cs="Arial" w:eastAsia="Arial" w:hAnsi="Arial"/>
                <w:sz w:val="16"/>
                <w:szCs w:val="16"/>
                <w:b w:val="1"/>
                <w:bCs w:val="1"/>
                <w:color w:val="auto"/>
              </w:rPr>
              <w:t>Net</w:t>
            </w:r>
          </w:p>
        </w:tc>
      </w:tr>
      <w:tr>
        <w:trPr>
          <w:trHeight w:val="213"/>
        </w:trPr>
        <w:tc>
          <w:tcPr>
            <w:tcW w:w="2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Developed technology</w:t>
            </w:r>
          </w:p>
        </w:tc>
        <w:tc>
          <w:tcPr>
            <w:tcW w:w="1380" w:type="dxa"/>
            <w:vAlign w:val="bottom"/>
            <w:tcBorders>
              <w:top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7 - 10</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2,125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1,681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3"/>
        </w:trPr>
        <w:tc>
          <w:tcPr>
            <w:tcW w:w="21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Customer relationships</w:t>
            </w:r>
          </w:p>
        </w:tc>
        <w:tc>
          <w:tcPr>
            <w:tcW w:w="1380" w:type="dxa"/>
            <w:vAlign w:val="bottom"/>
            <w:tcBorders>
              <w:bottom w:val="single" w:sz="8" w:color="CCEEFF"/>
            </w:tcBorders>
          </w:tcPr>
          <w:p>
            <w:pPr>
              <w:jc w:val="right"/>
              <w:ind w:right="559"/>
              <w:spacing w:after="0"/>
              <w:rPr>
                <w:sz w:val="20"/>
                <w:szCs w:val="20"/>
                <w:color w:val="auto"/>
              </w:rPr>
            </w:pPr>
            <w:r>
              <w:rPr>
                <w:rFonts w:ascii="Arial" w:cs="Arial" w:eastAsia="Arial" w:hAnsi="Arial"/>
                <w:sz w:val="16"/>
                <w:szCs w:val="16"/>
                <w:color w:val="auto"/>
              </w:rPr>
              <w:t>8</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734</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tcPr>
          <w:p>
            <w:pPr>
              <w:spacing w:after="0"/>
              <w:rPr>
                <w:sz w:val="18"/>
                <w:szCs w:val="18"/>
                <w:color w:val="auto"/>
              </w:rPr>
            </w:pPr>
          </w:p>
        </w:tc>
      </w:tr>
      <w:tr>
        <w:trPr>
          <w:trHeight w:val="210"/>
        </w:trPr>
        <w:tc>
          <w:tcPr>
            <w:tcW w:w="2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13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2,935</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2,466</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469</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2,935</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2,307</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2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charges</w:t>
      </w:r>
    </w:p>
    <w:p>
      <w:pPr>
        <w:spacing w:after="0" w:line="225"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Acquisition charges represent the ongoing amortization of intangible assets resulting from the acquisition of National Semiconductor Corporation. These amounts are included in Other for segment reporting purposes, consistent with how management measures the performance of its segments.</w:t>
      </w:r>
    </w:p>
    <w:p>
      <w:pPr>
        <w:spacing w:after="0" w:line="12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Amortization of acquisition-related intangibles was $80 million and $79 million for the second quarters of 2019 and 2018, respectively, and $159 million for the first six months of both 2019 and 2018. Fully amortized assets are written off against accumulated amortization.</w:t>
      </w:r>
    </w:p>
    <w:p>
      <w:pPr>
        <w:spacing w:after="0" w:line="157"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Postretirement benefit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Expense related to defined benefit and retiree health care benefit plans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b w:val="1"/>
                <w:bCs w:val="1"/>
                <w:color w:val="auto"/>
              </w:rPr>
              <w:t>U.S.</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auto"/>
              </w:rPr>
              <w:t>U.S.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b w:val="1"/>
                <w:bCs w:val="1"/>
                <w:color w:val="auto"/>
              </w:rPr>
              <w:t>Non-U.S.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00" w:type="dxa"/>
            <w:vAlign w:val="bottom"/>
          </w:tcPr>
          <w:p>
            <w:pPr>
              <w:spacing w:after="0"/>
              <w:rPr>
                <w:sz w:val="18"/>
                <w:szCs w:val="18"/>
                <w:color w:val="auto"/>
              </w:rPr>
            </w:pPr>
          </w:p>
        </w:tc>
        <w:tc>
          <w:tcPr>
            <w:tcW w:w="1700" w:type="dxa"/>
            <w:vAlign w:val="bottom"/>
            <w:gridSpan w:val="4"/>
          </w:tcPr>
          <w:p>
            <w:pPr>
              <w:jc w:val="right"/>
              <w:ind w:right="122"/>
              <w:spacing w:after="0"/>
              <w:rPr>
                <w:sz w:val="20"/>
                <w:szCs w:val="20"/>
                <w:color w:val="auto"/>
              </w:rPr>
            </w:pPr>
            <w:r>
              <w:rPr>
                <w:rFonts w:ascii="Arial" w:cs="Arial" w:eastAsia="Arial" w:hAnsi="Arial"/>
                <w:sz w:val="16"/>
                <w:szCs w:val="16"/>
                <w:b w:val="1"/>
                <w:bCs w:val="1"/>
                <w:color w:val="auto"/>
              </w:rPr>
              <w:t>Defined Benefit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5"/>
          </w:tcPr>
          <w:p>
            <w:pPr>
              <w:jc w:val="right"/>
              <w:ind w:right="580"/>
              <w:spacing w:after="0"/>
              <w:rPr>
                <w:sz w:val="20"/>
                <w:szCs w:val="20"/>
                <w:color w:val="auto"/>
              </w:rPr>
            </w:pPr>
            <w:r>
              <w:rPr>
                <w:rFonts w:ascii="Arial" w:cs="Arial" w:eastAsia="Arial" w:hAnsi="Arial"/>
                <w:sz w:val="16"/>
                <w:szCs w:val="16"/>
                <w:b w:val="1"/>
                <w:bCs w:val="1"/>
                <w:color w:val="auto"/>
              </w:rPr>
              <w:t>Retiree Health Care</w:t>
            </w:r>
          </w:p>
        </w:tc>
        <w:tc>
          <w:tcPr>
            <w:tcW w:w="180" w:type="dxa"/>
            <w:vAlign w:val="bottom"/>
          </w:tcPr>
          <w:p>
            <w:pPr>
              <w:spacing w:after="0"/>
              <w:rPr>
                <w:sz w:val="18"/>
                <w:szCs w:val="18"/>
                <w:color w:val="auto"/>
              </w:rPr>
            </w:pPr>
          </w:p>
        </w:tc>
        <w:tc>
          <w:tcPr>
            <w:tcW w:w="1960" w:type="dxa"/>
            <w:vAlign w:val="bottom"/>
            <w:gridSpan w:val="5"/>
          </w:tcPr>
          <w:p>
            <w:pPr>
              <w:jc w:val="right"/>
              <w:ind w:right="580"/>
              <w:spacing w:after="0"/>
              <w:rPr>
                <w:sz w:val="20"/>
                <w:szCs w:val="20"/>
                <w:color w:val="auto"/>
              </w:rPr>
            </w:pPr>
            <w:r>
              <w:rPr>
                <w:rFonts w:ascii="Arial" w:cs="Arial" w:eastAsia="Arial" w:hAnsi="Arial"/>
                <w:sz w:val="16"/>
                <w:szCs w:val="16"/>
                <w:b w:val="1"/>
                <w:bCs w:val="1"/>
                <w:color w:val="auto"/>
              </w:rPr>
              <w:t>Defined Benefit</w:t>
            </w:r>
          </w:p>
        </w:tc>
      </w:tr>
      <w:tr>
        <w:trPr>
          <w:trHeight w:val="213"/>
        </w:trPr>
        <w:tc>
          <w:tcPr>
            <w:tcW w:w="480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For Three Months Ended June 30,</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240" w:type="dxa"/>
            <w:vAlign w:val="bottom"/>
            <w:tcBorders>
              <w:top w:val="single" w:sz="8" w:color="auto"/>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2019</w:t>
            </w:r>
          </w:p>
        </w:tc>
        <w:tc>
          <w:tcPr>
            <w:tcW w:w="3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2018</w:t>
            </w: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2019</w:t>
            </w:r>
          </w:p>
        </w:tc>
        <w:tc>
          <w:tcPr>
            <w:tcW w:w="3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5"/>
              </w:rPr>
              <w:t>2018</w:t>
            </w:r>
          </w:p>
        </w:tc>
        <w:tc>
          <w:tcPr>
            <w:tcW w:w="100" w:type="dxa"/>
            <w:vAlign w:val="bottom"/>
            <w:tcBorders>
              <w:bottom w:val="single" w:sz="8" w:color="CCEEFF"/>
            </w:tcBorders>
          </w:tcPr>
          <w:p>
            <w:pPr>
              <w:spacing w:after="0"/>
              <w:rPr>
                <w:sz w:val="18"/>
                <w:szCs w:val="18"/>
                <w:color w:val="auto"/>
              </w:rPr>
            </w:pPr>
          </w:p>
        </w:tc>
      </w:tr>
      <w:tr>
        <w:trPr>
          <w:trHeight w:val="212"/>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Service cost</w:t>
            </w:r>
          </w:p>
        </w:tc>
        <w:tc>
          <w:tcPr>
            <w:tcW w:w="580" w:type="dxa"/>
            <w:vAlign w:val="bottom"/>
            <w:shd w:val="clear" w:color="auto" w:fill="CCEEFF"/>
          </w:tcPr>
          <w:p>
            <w:pPr>
              <w:jc w:val="right"/>
              <w:ind w:right="422"/>
              <w:spacing w:after="0"/>
              <w:rPr>
                <w:sz w:val="20"/>
                <w:szCs w:val="20"/>
                <w:color w:val="auto"/>
              </w:rPr>
            </w:pPr>
            <w:r>
              <w:rPr>
                <w:rFonts w:ascii="Arial" w:cs="Arial" w:eastAsia="Arial" w:hAnsi="Arial"/>
                <w:sz w:val="15"/>
                <w:szCs w:val="15"/>
                <w:b w:val="1"/>
                <w:bCs w:val="1"/>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22"/>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r>
      <w:tr>
        <w:trPr>
          <w:trHeight w:val="213"/>
        </w:trPr>
        <w:tc>
          <w:tcPr>
            <w:tcW w:w="4800" w:type="dxa"/>
            <w:vAlign w:val="bottom"/>
          </w:tcPr>
          <w:p>
            <w:pPr>
              <w:spacing w:after="0"/>
              <w:rPr>
                <w:sz w:val="20"/>
                <w:szCs w:val="20"/>
                <w:color w:val="auto"/>
              </w:rPr>
            </w:pPr>
            <w:r>
              <w:rPr>
                <w:rFonts w:ascii="Arial" w:cs="Arial" w:eastAsia="Arial" w:hAnsi="Arial"/>
                <w:sz w:val="16"/>
                <w:szCs w:val="16"/>
                <w:color w:val="auto"/>
              </w:rPr>
              <w:t>Interest cost</w:t>
            </w:r>
          </w:p>
        </w:tc>
        <w:tc>
          <w:tcPr>
            <w:tcW w:w="5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r>
      <w:tr>
        <w:trPr>
          <w:trHeight w:val="219"/>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Expected return on plan assets</w:t>
            </w:r>
          </w:p>
        </w:tc>
        <w:tc>
          <w:tcPr>
            <w:tcW w:w="5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w w:val="98"/>
              </w:rPr>
              <w:t>(12)</w:t>
            </w:r>
          </w:p>
        </w:tc>
        <w:tc>
          <w:tcPr>
            <w:tcW w:w="5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8"/>
              </w:rPr>
              <w:t>(10)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(3)</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(23)</w:t>
            </w: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w:t>
            </w:r>
          </w:p>
        </w:tc>
      </w:tr>
      <w:tr>
        <w:trPr>
          <w:trHeight w:val="213"/>
        </w:trPr>
        <w:tc>
          <w:tcPr>
            <w:tcW w:w="4800" w:type="dxa"/>
            <w:vAlign w:val="bottom"/>
          </w:tcPr>
          <w:p>
            <w:pPr>
              <w:spacing w:after="0"/>
              <w:rPr>
                <w:sz w:val="20"/>
                <w:szCs w:val="20"/>
                <w:color w:val="auto"/>
              </w:rPr>
            </w:pPr>
            <w:r>
              <w:rPr>
                <w:rFonts w:ascii="Arial" w:cs="Arial" w:eastAsia="Arial" w:hAnsi="Arial"/>
                <w:sz w:val="16"/>
                <w:szCs w:val="16"/>
                <w:color w:val="auto"/>
              </w:rPr>
              <w:t>Recognized net actuarial loss</w:t>
            </w:r>
          </w:p>
        </w:tc>
        <w:tc>
          <w:tcPr>
            <w:tcW w:w="5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r>
      <w:tr>
        <w:trPr>
          <w:trHeight w:val="219"/>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prior service credit</w:t>
            </w:r>
          </w:p>
        </w:tc>
        <w:tc>
          <w:tcPr>
            <w:tcW w:w="5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w:t>
            </w:r>
          </w:p>
        </w:tc>
        <w:tc>
          <w:tcPr>
            <w:tcW w:w="5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r>
      <w:tr>
        <w:trPr>
          <w:trHeight w:val="207"/>
        </w:trPr>
        <w:tc>
          <w:tcPr>
            <w:tcW w:w="4800" w:type="dxa"/>
            <w:vAlign w:val="bottom"/>
          </w:tcPr>
          <w:p>
            <w:pPr>
              <w:spacing w:after="0"/>
              <w:rPr>
                <w:sz w:val="20"/>
                <w:szCs w:val="20"/>
                <w:color w:val="auto"/>
              </w:rPr>
            </w:pPr>
            <w:r>
              <w:rPr>
                <w:rFonts w:ascii="Arial" w:cs="Arial" w:eastAsia="Arial" w:hAnsi="Arial"/>
                <w:sz w:val="16"/>
                <w:szCs w:val="16"/>
                <w:color w:val="auto"/>
              </w:rPr>
              <w:t>Net periodic benefit costs</w:t>
            </w:r>
          </w:p>
        </w:tc>
        <w:tc>
          <w:tcPr>
            <w:tcW w:w="5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c>
          <w:tcPr>
            <w:tcW w:w="3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3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w:t>
            </w:r>
          </w:p>
        </w:tc>
        <w:tc>
          <w:tcPr>
            <w:tcW w:w="3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7"/>
                <w:szCs w:val="17"/>
                <w:color w:val="auto"/>
              </w:rPr>
            </w:pPr>
          </w:p>
        </w:tc>
      </w:tr>
      <w:tr>
        <w:trPr>
          <w:trHeight w:val="219"/>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Settlement losses</w:t>
            </w: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r>
      <w:tr>
        <w:trPr>
          <w:trHeight w:val="207"/>
        </w:trPr>
        <w:tc>
          <w:tcPr>
            <w:tcW w:w="4800" w:type="dxa"/>
            <w:vAlign w:val="bottom"/>
          </w:tcPr>
          <w:p>
            <w:pPr>
              <w:spacing w:after="0"/>
              <w:rPr>
                <w:sz w:val="20"/>
                <w:szCs w:val="20"/>
                <w:color w:val="auto"/>
              </w:rPr>
            </w:pPr>
            <w:r>
              <w:rPr>
                <w:rFonts w:ascii="Arial" w:cs="Arial" w:eastAsia="Arial" w:hAnsi="Arial"/>
                <w:sz w:val="16"/>
                <w:szCs w:val="16"/>
                <w:color w:val="auto"/>
              </w:rPr>
              <w:t>Total, including other postretirement losses</w:t>
            </w:r>
          </w:p>
        </w:tc>
        <w:tc>
          <w:tcPr>
            <w:tcW w:w="58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5"/>
                <w:szCs w:val="15"/>
                <w:b w:val="1"/>
                <w:bCs w:val="1"/>
                <w:color w:val="auto"/>
                <w:w w:val="7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w:t>
            </w:r>
          </w:p>
        </w:tc>
        <w:tc>
          <w:tcPr>
            <w:tcW w:w="30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3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w:t>
            </w:r>
          </w:p>
        </w:tc>
        <w:tc>
          <w:tcPr>
            <w:tcW w:w="3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7"/>
                <w:szCs w:val="17"/>
                <w:color w:val="auto"/>
              </w:rPr>
            </w:pPr>
          </w:p>
        </w:tc>
      </w:tr>
      <w:tr>
        <w:trPr>
          <w:trHeight w:val="20"/>
        </w:trPr>
        <w:tc>
          <w:tcPr>
            <w:tcW w:w="48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w w:val="89"/>
              </w:rPr>
              <w:t>U.S.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U.S.</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6"/>
                <w:szCs w:val="16"/>
                <w:b w:val="1"/>
                <w:bCs w:val="1"/>
                <w:color w:val="auto"/>
              </w:rPr>
              <w:t>Non-U.S.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gridSpan w:val="5"/>
          </w:tcPr>
          <w:p>
            <w:pPr>
              <w:jc w:val="right"/>
              <w:ind w:right="820"/>
              <w:spacing w:after="0"/>
              <w:rPr>
                <w:sz w:val="20"/>
                <w:szCs w:val="20"/>
                <w:color w:val="auto"/>
              </w:rPr>
            </w:pPr>
            <w:r>
              <w:rPr>
                <w:rFonts w:ascii="Arial" w:cs="Arial" w:eastAsia="Arial" w:hAnsi="Arial"/>
                <w:sz w:val="16"/>
                <w:szCs w:val="16"/>
                <w:b w:val="1"/>
                <w:bCs w:val="1"/>
                <w:color w:val="auto"/>
              </w:rPr>
              <w:t>Defined Benefit</w:t>
            </w:r>
          </w:p>
        </w:tc>
        <w:tc>
          <w:tcPr>
            <w:tcW w:w="180" w:type="dxa"/>
            <w:vAlign w:val="bottom"/>
          </w:tcPr>
          <w:p>
            <w:pPr>
              <w:spacing w:after="0"/>
              <w:rPr>
                <w:sz w:val="18"/>
                <w:szCs w:val="18"/>
                <w:color w:val="auto"/>
              </w:rPr>
            </w:pPr>
          </w:p>
        </w:tc>
        <w:tc>
          <w:tcPr>
            <w:tcW w:w="162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Retiree Health Care</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5"/>
          </w:tcPr>
          <w:p>
            <w:pPr>
              <w:jc w:val="right"/>
              <w:ind w:right="540"/>
              <w:spacing w:after="0"/>
              <w:rPr>
                <w:sz w:val="20"/>
                <w:szCs w:val="20"/>
                <w:color w:val="auto"/>
              </w:rPr>
            </w:pPr>
            <w:r>
              <w:rPr>
                <w:rFonts w:ascii="Arial" w:cs="Arial" w:eastAsia="Arial" w:hAnsi="Arial"/>
                <w:sz w:val="16"/>
                <w:szCs w:val="16"/>
                <w:b w:val="1"/>
                <w:bCs w:val="1"/>
                <w:color w:val="auto"/>
              </w:rPr>
              <w:t>Defined Benefit</w:t>
            </w:r>
          </w:p>
        </w:tc>
      </w:tr>
      <w:tr>
        <w:trPr>
          <w:trHeight w:val="213"/>
        </w:trPr>
        <w:tc>
          <w:tcPr>
            <w:tcW w:w="374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For Six Months Ended June 30,</w:t>
            </w:r>
          </w:p>
        </w:tc>
        <w:tc>
          <w:tcPr>
            <w:tcW w:w="9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32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3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30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top w:val="single" w:sz="8" w:color="auto"/>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2019</w:t>
            </w:r>
          </w:p>
        </w:tc>
        <w:tc>
          <w:tcPr>
            <w:tcW w:w="28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8"/>
                <w:szCs w:val="18"/>
                <w:color w:val="auto"/>
              </w:rPr>
            </w:pPr>
          </w:p>
        </w:tc>
      </w:tr>
      <w:tr>
        <w:trPr>
          <w:trHeight w:val="212"/>
        </w:trPr>
        <w:tc>
          <w:tcPr>
            <w:tcW w:w="3740" w:type="dxa"/>
            <w:vAlign w:val="bottom"/>
            <w:shd w:val="clear" w:color="auto" w:fill="CCEEFF"/>
          </w:tcPr>
          <w:p>
            <w:pPr>
              <w:spacing w:after="0"/>
              <w:rPr>
                <w:sz w:val="20"/>
                <w:szCs w:val="20"/>
                <w:color w:val="auto"/>
              </w:rPr>
            </w:pPr>
            <w:r>
              <w:rPr>
                <w:rFonts w:ascii="Arial" w:cs="Arial" w:eastAsia="Arial" w:hAnsi="Arial"/>
                <w:sz w:val="16"/>
                <w:szCs w:val="16"/>
                <w:color w:val="auto"/>
              </w:rPr>
              <w:t>Service cost</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r>
      <w:tr>
        <w:trPr>
          <w:trHeight w:val="213"/>
        </w:trPr>
        <w:tc>
          <w:tcPr>
            <w:tcW w:w="3740" w:type="dxa"/>
            <w:vAlign w:val="bottom"/>
          </w:tcPr>
          <w:p>
            <w:pPr>
              <w:spacing w:after="0"/>
              <w:rPr>
                <w:sz w:val="20"/>
                <w:szCs w:val="20"/>
                <w:color w:val="auto"/>
              </w:rPr>
            </w:pPr>
            <w:r>
              <w:rPr>
                <w:rFonts w:ascii="Arial" w:cs="Arial" w:eastAsia="Arial" w:hAnsi="Arial"/>
                <w:sz w:val="16"/>
                <w:szCs w:val="16"/>
                <w:color w:val="auto"/>
              </w:rPr>
              <w:t>Interest cost</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r>
      <w:tr>
        <w:trPr>
          <w:trHeight w:val="219"/>
        </w:trPr>
        <w:tc>
          <w:tcPr>
            <w:tcW w:w="3740" w:type="dxa"/>
            <w:vAlign w:val="bottom"/>
            <w:shd w:val="clear" w:color="auto" w:fill="CCEEFF"/>
          </w:tcPr>
          <w:p>
            <w:pPr>
              <w:spacing w:after="0"/>
              <w:rPr>
                <w:sz w:val="20"/>
                <w:szCs w:val="20"/>
                <w:color w:val="auto"/>
              </w:rPr>
            </w:pPr>
            <w:r>
              <w:rPr>
                <w:rFonts w:ascii="Arial" w:cs="Arial" w:eastAsia="Arial" w:hAnsi="Arial"/>
                <w:sz w:val="16"/>
                <w:szCs w:val="16"/>
                <w:color w:val="auto"/>
              </w:rPr>
              <w:t>Expected return on plan assets</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(21)</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(21)</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(7)</w:t>
            </w: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(44)</w:t>
            </w:r>
          </w:p>
        </w:tc>
        <w:tc>
          <w:tcPr>
            <w:tcW w:w="2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(34)</w:t>
            </w:r>
          </w:p>
        </w:tc>
      </w:tr>
      <w:tr>
        <w:trPr>
          <w:trHeight w:val="213"/>
        </w:trPr>
        <w:tc>
          <w:tcPr>
            <w:tcW w:w="3740" w:type="dxa"/>
            <w:vAlign w:val="bottom"/>
          </w:tcPr>
          <w:p>
            <w:pPr>
              <w:spacing w:after="0"/>
              <w:rPr>
                <w:sz w:val="20"/>
                <w:szCs w:val="20"/>
                <w:color w:val="auto"/>
              </w:rPr>
            </w:pPr>
            <w:r>
              <w:rPr>
                <w:rFonts w:ascii="Arial" w:cs="Arial" w:eastAsia="Arial" w:hAnsi="Arial"/>
                <w:sz w:val="16"/>
                <w:szCs w:val="16"/>
                <w:color w:val="auto"/>
              </w:rPr>
              <w:t>Recognized net actuarial loss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r>
      <w:tr>
        <w:trPr>
          <w:trHeight w:val="219"/>
        </w:trPr>
        <w:tc>
          <w:tcPr>
            <w:tcW w:w="374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prior service credit</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b w:val="1"/>
                <w:bCs w:val="1"/>
                <w:color w:val="auto"/>
              </w:rPr>
              <w:t>—</w:t>
            </w: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r>
      <w:tr>
        <w:trPr>
          <w:trHeight w:val="207"/>
        </w:trPr>
        <w:tc>
          <w:tcPr>
            <w:tcW w:w="3740" w:type="dxa"/>
            <w:vAlign w:val="bottom"/>
          </w:tcPr>
          <w:p>
            <w:pPr>
              <w:spacing w:after="0"/>
              <w:rPr>
                <w:sz w:val="20"/>
                <w:szCs w:val="20"/>
                <w:color w:val="auto"/>
              </w:rPr>
            </w:pPr>
            <w:r>
              <w:rPr>
                <w:rFonts w:ascii="Arial" w:cs="Arial" w:eastAsia="Arial" w:hAnsi="Arial"/>
                <w:sz w:val="16"/>
                <w:szCs w:val="16"/>
                <w:color w:val="auto"/>
              </w:rPr>
              <w:t>Net periodic benefit costs</w:t>
            </w:r>
          </w:p>
        </w:tc>
        <w:tc>
          <w:tcPr>
            <w:tcW w:w="9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w:t>
            </w:r>
          </w:p>
        </w:tc>
        <w:tc>
          <w:tcPr>
            <w:tcW w:w="3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3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w:t>
            </w:r>
          </w:p>
        </w:tc>
        <w:tc>
          <w:tcPr>
            <w:tcW w:w="2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7"/>
                <w:szCs w:val="17"/>
                <w:color w:val="auto"/>
              </w:rPr>
            </w:pPr>
          </w:p>
        </w:tc>
      </w:tr>
      <w:tr>
        <w:trPr>
          <w:trHeight w:val="219"/>
        </w:trPr>
        <w:tc>
          <w:tcPr>
            <w:tcW w:w="3740" w:type="dxa"/>
            <w:vAlign w:val="bottom"/>
            <w:shd w:val="clear" w:color="auto" w:fill="CCEEFF"/>
          </w:tcPr>
          <w:p>
            <w:pPr>
              <w:spacing w:after="0"/>
              <w:rPr>
                <w:sz w:val="20"/>
                <w:szCs w:val="20"/>
                <w:color w:val="auto"/>
              </w:rPr>
            </w:pPr>
            <w:r>
              <w:rPr>
                <w:rFonts w:ascii="Arial" w:cs="Arial" w:eastAsia="Arial" w:hAnsi="Arial"/>
                <w:sz w:val="16"/>
                <w:szCs w:val="16"/>
                <w:color w:val="auto"/>
              </w:rPr>
              <w:t>Settlement losses</w:t>
            </w:r>
          </w:p>
        </w:tc>
        <w:tc>
          <w:tcPr>
            <w:tcW w:w="9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w:t>
            </w:r>
          </w:p>
        </w:tc>
        <w:tc>
          <w:tcPr>
            <w:tcW w:w="3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3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2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r>
      <w:tr>
        <w:trPr>
          <w:trHeight w:val="207"/>
        </w:trPr>
        <w:tc>
          <w:tcPr>
            <w:tcW w:w="3740" w:type="dxa"/>
            <w:vAlign w:val="bottom"/>
          </w:tcPr>
          <w:p>
            <w:pPr>
              <w:spacing w:after="0"/>
              <w:rPr>
                <w:sz w:val="20"/>
                <w:szCs w:val="20"/>
                <w:color w:val="auto"/>
              </w:rPr>
            </w:pPr>
            <w:r>
              <w:rPr>
                <w:rFonts w:ascii="Arial" w:cs="Arial" w:eastAsia="Arial" w:hAnsi="Arial"/>
                <w:sz w:val="16"/>
                <w:szCs w:val="16"/>
                <w:color w:val="auto"/>
              </w:rPr>
              <w:t>Total, including other postretirement losses</w:t>
            </w:r>
          </w:p>
        </w:tc>
        <w:tc>
          <w:tcPr>
            <w:tcW w:w="94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18</w:t>
            </w:r>
          </w:p>
        </w:tc>
        <w:tc>
          <w:tcPr>
            <w:tcW w:w="3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17</w:t>
            </w:r>
          </w:p>
        </w:tc>
        <w:tc>
          <w:tcPr>
            <w:tcW w:w="32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300" w:type="dxa"/>
            <w:vAlign w:val="bottom"/>
          </w:tcPr>
          <w:p>
            <w:pPr>
              <w:spacing w:after="0"/>
              <w:rPr>
                <w:sz w:val="17"/>
                <w:szCs w:val="17"/>
                <w:color w:val="auto"/>
              </w:rPr>
            </w:pPr>
          </w:p>
        </w:tc>
        <w:tc>
          <w:tcPr>
            <w:tcW w:w="640" w:type="dxa"/>
            <w:vAlign w:val="bottom"/>
            <w:gridSpan w:val="2"/>
          </w:tcPr>
          <w:p>
            <w:pPr>
              <w:jc w:val="right"/>
              <w:ind w:right="459"/>
              <w:spacing w:after="0"/>
              <w:rPr>
                <w:sz w:val="20"/>
                <w:szCs w:val="20"/>
                <w:color w:val="auto"/>
              </w:rPr>
            </w:pPr>
            <w:r>
              <w:rPr>
                <w:rFonts w:ascii="Arial" w:cs="Arial" w:eastAsia="Arial" w:hAnsi="Arial"/>
                <w:sz w:val="16"/>
                <w:szCs w:val="16"/>
                <w:color w:val="auto"/>
                <w:w w:val="89"/>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28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7"/>
                <w:szCs w:val="17"/>
                <w:color w:val="auto"/>
              </w:rPr>
            </w:pPr>
          </w:p>
        </w:tc>
      </w:tr>
      <w:tr>
        <w:trPr>
          <w:trHeight w:val="20"/>
        </w:trPr>
        <w:tc>
          <w:tcPr>
            <w:tcW w:w="3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Debt and lines of credit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borrowings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maintain a line of credit to support commercial paper borrowings, if any, and to provide additional liquidity through bank loans. As of June 30, 2019, we had a variable-rate revolving credit facility from a consortium of investment-grade banks that allows us to borrow up to $2 billion until March 2024. The interest rate on borrowings under this credit facility, if drawn, is indexed to the applicable London Interbank Offered Rate (LIBOR). As of June 30, 2019, our credit facility was undrawn, and we had no commercial paper outstanding.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25"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In the first quarter of 2019, we issued an aggregate principal amount of $750 million of fixed-rate, long-term debt due in 2039. We incurred $7 million of issuance and other related costs. We received $743 million in proceeds, net of the original issuance discount, to be used for general corporate purposes.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Long-term debt outstanding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16"/>
                <w:szCs w:val="16"/>
                <w:b w:val="1"/>
                <w:bCs w:val="1"/>
                <w:color w:val="auto"/>
              </w:rPr>
              <w:t>June 30,</w:t>
            </w: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94"/>
              </w:rPr>
              <w:t>December 31,</w:t>
            </w:r>
          </w:p>
        </w:tc>
      </w:tr>
      <w:tr>
        <w:trPr>
          <w:trHeight w:val="219"/>
        </w:trPr>
        <w:tc>
          <w:tcPr>
            <w:tcW w:w="66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4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r>
      <w:tr>
        <w:trPr>
          <w:trHeight w:val="213"/>
        </w:trPr>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Notes due 2019 at 1.65%</w:t>
            </w: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750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00" w:type="dxa"/>
            <w:vAlign w:val="bottom"/>
            <w:shd w:val="clear" w:color="auto" w:fill="CCEEFF"/>
          </w:tcPr>
          <w:p>
            <w:pPr>
              <w:spacing w:after="0"/>
              <w:rPr>
                <w:sz w:val="18"/>
                <w:szCs w:val="18"/>
                <w:color w:val="auto"/>
              </w:rPr>
            </w:pPr>
          </w:p>
        </w:tc>
      </w:tr>
      <w:tr>
        <w:trPr>
          <w:trHeight w:val="213"/>
        </w:trPr>
        <w:tc>
          <w:tcPr>
            <w:tcW w:w="6620" w:type="dxa"/>
            <w:vAlign w:val="bottom"/>
          </w:tcPr>
          <w:p>
            <w:pPr>
              <w:spacing w:after="0"/>
              <w:rPr>
                <w:sz w:val="20"/>
                <w:szCs w:val="20"/>
                <w:color w:val="auto"/>
              </w:rPr>
            </w:pPr>
            <w:r>
              <w:rPr>
                <w:rFonts w:ascii="Arial" w:cs="Arial" w:eastAsia="Arial" w:hAnsi="Arial"/>
                <w:sz w:val="16"/>
                <w:szCs w:val="16"/>
                <w:color w:val="auto"/>
              </w:rPr>
              <w:t>Notes due 2020 at 1.75%</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500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r>
      <w:tr>
        <w:trPr>
          <w:trHeight w:val="219"/>
        </w:trPr>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Notes due 2021 at 2.75%</w:t>
            </w:r>
          </w:p>
        </w:tc>
        <w:tc>
          <w:tcPr>
            <w:tcW w:w="1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550</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100" w:type="dxa"/>
            <w:vAlign w:val="bottom"/>
            <w:shd w:val="clear" w:color="auto" w:fill="CCEEFF"/>
          </w:tcPr>
          <w:p>
            <w:pPr>
              <w:spacing w:after="0"/>
              <w:rPr>
                <w:sz w:val="19"/>
                <w:szCs w:val="19"/>
                <w:color w:val="auto"/>
              </w:rPr>
            </w:pPr>
          </w:p>
        </w:tc>
      </w:tr>
      <w:tr>
        <w:trPr>
          <w:trHeight w:val="213"/>
        </w:trPr>
        <w:tc>
          <w:tcPr>
            <w:tcW w:w="6620" w:type="dxa"/>
            <w:vAlign w:val="bottom"/>
          </w:tcPr>
          <w:p>
            <w:pPr>
              <w:spacing w:after="0"/>
              <w:rPr>
                <w:sz w:val="20"/>
                <w:szCs w:val="20"/>
                <w:color w:val="auto"/>
              </w:rPr>
            </w:pPr>
            <w:r>
              <w:rPr>
                <w:rFonts w:ascii="Arial" w:cs="Arial" w:eastAsia="Arial" w:hAnsi="Arial"/>
                <w:sz w:val="16"/>
                <w:szCs w:val="16"/>
                <w:color w:val="auto"/>
              </w:rPr>
              <w:t>Notes due 2022 at 1.85%</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500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r>
      <w:tr>
        <w:trPr>
          <w:trHeight w:val="219"/>
        </w:trPr>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Notes due 2023 at 2.25%</w:t>
            </w:r>
          </w:p>
        </w:tc>
        <w:tc>
          <w:tcPr>
            <w:tcW w:w="1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500</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9"/>
                <w:szCs w:val="19"/>
                <w:color w:val="auto"/>
              </w:rPr>
            </w:pPr>
          </w:p>
        </w:tc>
      </w:tr>
      <w:tr>
        <w:trPr>
          <w:trHeight w:val="213"/>
        </w:trPr>
        <w:tc>
          <w:tcPr>
            <w:tcW w:w="6620" w:type="dxa"/>
            <w:vAlign w:val="bottom"/>
          </w:tcPr>
          <w:p>
            <w:pPr>
              <w:spacing w:after="0"/>
              <w:rPr>
                <w:sz w:val="20"/>
                <w:szCs w:val="20"/>
                <w:color w:val="auto"/>
              </w:rPr>
            </w:pPr>
            <w:r>
              <w:rPr>
                <w:rFonts w:ascii="Arial" w:cs="Arial" w:eastAsia="Arial" w:hAnsi="Arial"/>
                <w:sz w:val="16"/>
                <w:szCs w:val="16"/>
                <w:color w:val="auto"/>
              </w:rPr>
              <w:t>Notes due 2024 at 2.625%</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300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8"/>
                <w:szCs w:val="18"/>
                <w:color w:val="auto"/>
              </w:rPr>
            </w:pPr>
          </w:p>
        </w:tc>
      </w:tr>
      <w:tr>
        <w:trPr>
          <w:trHeight w:val="219"/>
        </w:trPr>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Notes due 2027 at 2.90%</w:t>
            </w:r>
          </w:p>
        </w:tc>
        <w:tc>
          <w:tcPr>
            <w:tcW w:w="1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500</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9"/>
                <w:szCs w:val="19"/>
                <w:color w:val="auto"/>
              </w:rPr>
            </w:pPr>
          </w:p>
        </w:tc>
      </w:tr>
      <w:tr>
        <w:trPr>
          <w:trHeight w:val="213"/>
        </w:trPr>
        <w:tc>
          <w:tcPr>
            <w:tcW w:w="6620" w:type="dxa"/>
            <w:vAlign w:val="bottom"/>
          </w:tcPr>
          <w:p>
            <w:pPr>
              <w:spacing w:after="0"/>
              <w:rPr>
                <w:sz w:val="20"/>
                <w:szCs w:val="20"/>
                <w:color w:val="auto"/>
              </w:rPr>
            </w:pPr>
            <w:r>
              <w:rPr>
                <w:rFonts w:ascii="Arial" w:cs="Arial" w:eastAsia="Arial" w:hAnsi="Arial"/>
                <w:sz w:val="16"/>
                <w:szCs w:val="16"/>
                <w:color w:val="auto"/>
              </w:rPr>
              <w:t>Notes due 2039 at 3.875%</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750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Notes due 2048 at 4.15%</w:t>
            </w:r>
          </w:p>
        </w:tc>
        <w:tc>
          <w:tcPr>
            <w:tcW w:w="15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1,500</w:t>
            </w:r>
          </w:p>
        </w:tc>
        <w:tc>
          <w:tcPr>
            <w:tcW w:w="4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00" w:type="dxa"/>
            <w:vAlign w:val="bottom"/>
            <w:shd w:val="clear" w:color="auto" w:fill="CCEEFF"/>
          </w:tcPr>
          <w:p>
            <w:pPr>
              <w:spacing w:after="0"/>
              <w:rPr>
                <w:sz w:val="19"/>
                <w:szCs w:val="19"/>
                <w:color w:val="auto"/>
              </w:rPr>
            </w:pPr>
          </w:p>
        </w:tc>
      </w:tr>
      <w:tr>
        <w:trPr>
          <w:trHeight w:val="207"/>
        </w:trPr>
        <w:tc>
          <w:tcPr>
            <w:tcW w:w="6620" w:type="dxa"/>
            <w:vAlign w:val="bottom"/>
          </w:tcPr>
          <w:p>
            <w:pPr>
              <w:spacing w:after="0"/>
              <w:rPr>
                <w:sz w:val="20"/>
                <w:szCs w:val="20"/>
                <w:color w:val="auto"/>
              </w:rPr>
            </w:pPr>
            <w:r>
              <w:rPr>
                <w:rFonts w:ascii="Arial" w:cs="Arial" w:eastAsia="Arial" w:hAnsi="Arial"/>
                <w:sz w:val="16"/>
                <w:szCs w:val="16"/>
                <w:color w:val="auto"/>
              </w:rPr>
              <w:t>Total debt</w:t>
            </w: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5,850</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5,100</w:t>
            </w:r>
          </w:p>
        </w:tc>
        <w:tc>
          <w:tcPr>
            <w:tcW w:w="100" w:type="dxa"/>
            <w:vAlign w:val="bottom"/>
          </w:tcPr>
          <w:p>
            <w:pPr>
              <w:spacing w:after="0"/>
              <w:rPr>
                <w:sz w:val="17"/>
                <w:szCs w:val="17"/>
                <w:color w:val="auto"/>
              </w:rPr>
            </w:pPr>
          </w:p>
        </w:tc>
      </w:tr>
      <w:tr>
        <w:trPr>
          <w:trHeight w:val="219"/>
        </w:trPr>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Net unamortized discounts, premiums and issuance costs</w:t>
            </w:r>
          </w:p>
        </w:tc>
        <w:tc>
          <w:tcPr>
            <w:tcW w:w="1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(43)</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(32)</w:t>
            </w:r>
          </w:p>
        </w:tc>
      </w:tr>
      <w:tr>
        <w:trPr>
          <w:trHeight w:val="207"/>
        </w:trPr>
        <w:tc>
          <w:tcPr>
            <w:tcW w:w="6620" w:type="dxa"/>
            <w:vAlign w:val="bottom"/>
          </w:tcPr>
          <w:p>
            <w:pPr>
              <w:spacing w:after="0"/>
              <w:rPr>
                <w:sz w:val="20"/>
                <w:szCs w:val="20"/>
                <w:color w:val="auto"/>
              </w:rPr>
            </w:pPr>
            <w:r>
              <w:rPr>
                <w:rFonts w:ascii="Arial" w:cs="Arial" w:eastAsia="Arial" w:hAnsi="Arial"/>
                <w:sz w:val="16"/>
                <w:szCs w:val="16"/>
                <w:color w:val="auto"/>
              </w:rPr>
              <w:t>Total debt, including net unamortized discounts, premiums and issuance costs</w:t>
            </w:r>
          </w:p>
        </w:tc>
        <w:tc>
          <w:tcPr>
            <w:tcW w:w="15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5,807</w:t>
            </w:r>
          </w:p>
        </w:tc>
        <w:tc>
          <w:tcPr>
            <w:tcW w:w="4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5,068</w:t>
            </w:r>
          </w:p>
        </w:tc>
        <w:tc>
          <w:tcPr>
            <w:tcW w:w="100" w:type="dxa"/>
            <w:vAlign w:val="bottom"/>
          </w:tcPr>
          <w:p>
            <w:pPr>
              <w:spacing w:after="0"/>
              <w:rPr>
                <w:sz w:val="17"/>
                <w:szCs w:val="17"/>
                <w:color w:val="auto"/>
              </w:rPr>
            </w:pPr>
          </w:p>
        </w:tc>
      </w:tr>
      <w:tr>
        <w:trPr>
          <w:trHeight w:val="219"/>
        </w:trPr>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Current portion of long-term debt</w:t>
            </w:r>
          </w:p>
        </w:tc>
        <w:tc>
          <w:tcPr>
            <w:tcW w:w="1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(1,249)</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(749)</w:t>
            </w:r>
          </w:p>
        </w:tc>
      </w:tr>
      <w:tr>
        <w:trPr>
          <w:trHeight w:val="207"/>
        </w:trPr>
        <w:tc>
          <w:tcPr>
            <w:tcW w:w="6620" w:type="dxa"/>
            <w:vAlign w:val="bottom"/>
          </w:tcPr>
          <w:p>
            <w:pPr>
              <w:spacing w:after="0"/>
              <w:rPr>
                <w:sz w:val="20"/>
                <w:szCs w:val="20"/>
                <w:color w:val="auto"/>
              </w:rPr>
            </w:pPr>
            <w:r>
              <w:rPr>
                <w:rFonts w:ascii="Arial" w:cs="Arial" w:eastAsia="Arial" w:hAnsi="Arial"/>
                <w:sz w:val="16"/>
                <w:szCs w:val="16"/>
                <w:color w:val="auto"/>
              </w:rPr>
              <w:t>Long-term debt</w:t>
            </w:r>
          </w:p>
        </w:tc>
        <w:tc>
          <w:tcPr>
            <w:tcW w:w="15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4,558</w:t>
            </w:r>
          </w:p>
        </w:tc>
        <w:tc>
          <w:tcPr>
            <w:tcW w:w="4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4,319</w:t>
            </w:r>
          </w:p>
        </w:tc>
        <w:tc>
          <w:tcPr>
            <w:tcW w:w="100" w:type="dxa"/>
            <w:vAlign w:val="bottom"/>
          </w:tcPr>
          <w:p>
            <w:pPr>
              <w:spacing w:after="0"/>
              <w:rPr>
                <w:sz w:val="17"/>
                <w:szCs w:val="17"/>
                <w:color w:val="auto"/>
              </w:rPr>
            </w:pPr>
          </w:p>
        </w:tc>
      </w:tr>
      <w:tr>
        <w:trPr>
          <w:trHeight w:val="20"/>
        </w:trPr>
        <w:tc>
          <w:tcPr>
            <w:tcW w:w="6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Interest and debt expense was $44 million and $30 million for the second quarters of 2019 and 2018, respectively, and $82 million and $53 million for the first six months of 2019 and 2018, respectively. This was net of the amortized discounts, premiums and issuance costs. Capitalized interest was not material.</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35"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Changes in equity for the three and six months ended June 30, 2019 and 2018, respectively,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Treasury</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Common</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Paid-in</w:t>
            </w:r>
          </w:p>
        </w:tc>
        <w:tc>
          <w:tcPr>
            <w:tcW w:w="12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7"/>
              </w:rPr>
              <w:t>Retained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Common</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7"/>
              </w:rPr>
              <w:t>Stock</w:t>
            </w:r>
          </w:p>
        </w:tc>
        <w:tc>
          <w:tcPr>
            <w:tcW w:w="2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Capital</w:t>
            </w: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6"/>
              </w:rPr>
              <w:t>Earnings</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7"/>
              </w:rPr>
              <w:t>Stock</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AOCI</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Balance, December 31, 2018</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w:t>
            </w:r>
          </w:p>
        </w:tc>
        <w:tc>
          <w:tcPr>
            <w:tcW w:w="42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37,906</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(32,130)</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(473)</w:t>
            </w:r>
          </w:p>
        </w:tc>
        <w:tc>
          <w:tcPr>
            <w:tcW w:w="0" w:type="dxa"/>
            <w:vAlign w:val="bottom"/>
          </w:tcPr>
          <w:p>
            <w:pPr>
              <w:spacing w:after="0"/>
              <w:rPr>
                <w:sz w:val="1"/>
                <w:szCs w:val="1"/>
                <w:color w:val="auto"/>
              </w:rPr>
            </w:pPr>
          </w:p>
        </w:tc>
      </w:tr>
      <w:tr>
        <w:trPr>
          <w:trHeight w:val="213"/>
        </w:trPr>
        <w:tc>
          <w:tcPr>
            <w:tcW w:w="5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2019</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2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declared and paid ($0.77 per share)</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320" w:type="dxa"/>
            <w:vAlign w:val="bottom"/>
          </w:tcPr>
          <w:p>
            <w:pPr>
              <w:ind w:left="140"/>
              <w:spacing w:after="0"/>
              <w:rPr>
                <w:sz w:val="20"/>
                <w:szCs w:val="20"/>
                <w:color w:val="auto"/>
              </w:rPr>
            </w:pPr>
            <w:r>
              <w:rPr>
                <w:rFonts w:ascii="Arial" w:cs="Arial" w:eastAsia="Arial" w:hAnsi="Arial"/>
                <w:sz w:val="16"/>
                <w:szCs w:val="16"/>
                <w:color w:val="auto"/>
              </w:rPr>
              <w:t>Common stock issued for stock-based awards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 repurchases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(1,185)</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320" w:type="dxa"/>
            <w:vAlign w:val="bottom"/>
          </w:tcPr>
          <w:p>
            <w:pPr>
              <w:ind w:left="140"/>
              <w:spacing w:after="0"/>
              <w:rPr>
                <w:sz w:val="20"/>
                <w:szCs w:val="20"/>
                <w:color w:val="auto"/>
              </w:rPr>
            </w:pPr>
            <w:r>
              <w:rPr>
                <w:rFonts w:ascii="Arial" w:cs="Arial" w:eastAsia="Arial" w:hAnsi="Arial"/>
                <w:sz w:val="16"/>
                <w:szCs w:val="16"/>
                <w:color w:val="auto"/>
              </w:rPr>
              <w:t>Stock compensation</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income (loss), net of taxes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320" w:type="dxa"/>
            <w:vAlign w:val="bottom"/>
          </w:tcPr>
          <w:p>
            <w:pPr>
              <w:ind w:left="140"/>
              <w:spacing w:after="0"/>
              <w:rPr>
                <w:sz w:val="20"/>
                <w:szCs w:val="20"/>
                <w:color w:val="auto"/>
              </w:rPr>
            </w:pPr>
            <w:r>
              <w:rPr>
                <w:rFonts w:ascii="Arial" w:cs="Arial" w:eastAsia="Arial" w:hAnsi="Arial"/>
                <w:sz w:val="16"/>
                <w:szCs w:val="16"/>
                <w:color w:val="auto"/>
              </w:rPr>
              <w:t>Dividend equivalents on RSUs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320" w:type="dxa"/>
            <w:vAlign w:val="bottom"/>
          </w:tcPr>
          <w:p>
            <w:pPr>
              <w:spacing w:after="0"/>
              <w:rPr>
                <w:sz w:val="20"/>
                <w:szCs w:val="20"/>
                <w:color w:val="auto"/>
              </w:rPr>
            </w:pPr>
            <w:r>
              <w:rPr>
                <w:rFonts w:ascii="Arial" w:cs="Arial" w:eastAsia="Arial" w:hAnsi="Arial"/>
                <w:sz w:val="16"/>
                <w:szCs w:val="16"/>
                <w:color w:val="auto"/>
              </w:rPr>
              <w:t>Balance, March 31, 2019</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1,741</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1,927</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38,396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(33,080)</w:t>
            </w:r>
          </w:p>
        </w:tc>
        <w:tc>
          <w:tcPr>
            <w:tcW w:w="20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(465)</w:t>
            </w:r>
          </w:p>
        </w:tc>
        <w:tc>
          <w:tcPr>
            <w:tcW w:w="0" w:type="dxa"/>
            <w:vAlign w:val="bottom"/>
          </w:tcPr>
          <w:p>
            <w:pPr>
              <w:spacing w:after="0"/>
              <w:rPr>
                <w:sz w:val="1"/>
                <w:szCs w:val="1"/>
                <w:color w:val="auto"/>
              </w:rPr>
            </w:pPr>
          </w:p>
        </w:tc>
      </w:tr>
      <w:tr>
        <w:trPr>
          <w:trHeight w:val="213"/>
        </w:trPr>
        <w:tc>
          <w:tcPr>
            <w:tcW w:w="5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20" w:type="dxa"/>
            <w:vAlign w:val="bottom"/>
          </w:tcPr>
          <w:p>
            <w:pPr>
              <w:ind w:left="140"/>
              <w:spacing w:after="0"/>
              <w:rPr>
                <w:sz w:val="20"/>
                <w:szCs w:val="20"/>
                <w:color w:val="auto"/>
              </w:rPr>
            </w:pPr>
            <w:r>
              <w:rPr>
                <w:rFonts w:ascii="Arial" w:cs="Arial" w:eastAsia="Arial" w:hAnsi="Arial"/>
                <w:sz w:val="16"/>
                <w:szCs w:val="16"/>
                <w:b w:val="1"/>
                <w:bCs w:val="1"/>
                <w:color w:val="auto"/>
              </w:rPr>
              <w:t>Net income</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1,305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Dividends declared and paid ($0.77 per share)</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(722)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5320" w:type="dxa"/>
            <w:vAlign w:val="bottom"/>
          </w:tcPr>
          <w:p>
            <w:pPr>
              <w:ind w:left="140"/>
              <w:spacing w:after="0"/>
              <w:rPr>
                <w:sz w:val="20"/>
                <w:szCs w:val="20"/>
                <w:color w:val="auto"/>
              </w:rPr>
            </w:pPr>
            <w:r>
              <w:rPr>
                <w:rFonts w:ascii="Arial" w:cs="Arial" w:eastAsia="Arial" w:hAnsi="Arial"/>
                <w:sz w:val="16"/>
                <w:szCs w:val="16"/>
                <w:b w:val="1"/>
                <w:bCs w:val="1"/>
                <w:color w:val="auto"/>
              </w:rPr>
              <w:t>Common stock issued for stock-based awards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136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Stock repurchases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(830)</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5320" w:type="dxa"/>
            <w:vAlign w:val="bottom"/>
          </w:tcPr>
          <w:p>
            <w:pPr>
              <w:ind w:left="140"/>
              <w:spacing w:after="0"/>
              <w:rPr>
                <w:sz w:val="20"/>
                <w:szCs w:val="20"/>
                <w:color w:val="auto"/>
              </w:rPr>
            </w:pPr>
            <w:r>
              <w:rPr>
                <w:rFonts w:ascii="Arial" w:cs="Arial" w:eastAsia="Arial" w:hAnsi="Arial"/>
                <w:sz w:val="16"/>
                <w:szCs w:val="16"/>
                <w:b w:val="1"/>
                <w:bCs w:val="1"/>
                <w:color w:val="auto"/>
              </w:rPr>
              <w:t>Stock compensation</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67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Other comprehensive income (loss), net of taxes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320" w:type="dxa"/>
            <w:vAlign w:val="bottom"/>
          </w:tcPr>
          <w:p>
            <w:pPr>
              <w:ind w:left="140"/>
              <w:spacing w:after="0"/>
              <w:rPr>
                <w:sz w:val="20"/>
                <w:szCs w:val="20"/>
                <w:color w:val="auto"/>
              </w:rPr>
            </w:pPr>
            <w:r>
              <w:rPr>
                <w:rFonts w:ascii="Arial" w:cs="Arial" w:eastAsia="Arial" w:hAnsi="Arial"/>
                <w:sz w:val="16"/>
                <w:szCs w:val="16"/>
                <w:b w:val="1"/>
                <w:bCs w:val="1"/>
                <w:color w:val="auto"/>
              </w:rPr>
              <w:t>Dividend equivalents on RSUs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Other</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7"/>
        </w:trPr>
        <w:tc>
          <w:tcPr>
            <w:tcW w:w="5320" w:type="dxa"/>
            <w:vAlign w:val="bottom"/>
          </w:tcPr>
          <w:p>
            <w:pPr>
              <w:spacing w:after="0"/>
              <w:rPr>
                <w:sz w:val="20"/>
                <w:szCs w:val="20"/>
                <w:color w:val="auto"/>
              </w:rPr>
            </w:pPr>
            <w:r>
              <w:rPr>
                <w:rFonts w:ascii="Arial" w:cs="Arial" w:eastAsia="Arial" w:hAnsi="Arial"/>
                <w:sz w:val="16"/>
                <w:szCs w:val="16"/>
                <w:b w:val="1"/>
                <w:bCs w:val="1"/>
                <w:color w:val="auto"/>
              </w:rPr>
              <w:t>Balance, June 30, 2019</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1,741</w:t>
            </w:r>
          </w:p>
        </w:tc>
        <w:tc>
          <w:tcPr>
            <w:tcW w:w="2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2,003</w:t>
            </w:r>
          </w:p>
        </w:tc>
        <w:tc>
          <w:tcPr>
            <w:tcW w:w="2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38,974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(33,775)</w:t>
            </w:r>
          </w:p>
        </w:tc>
        <w:tc>
          <w:tcPr>
            <w:tcW w:w="2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5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Treasury</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Common</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Paid-in</w:t>
            </w:r>
          </w:p>
        </w:tc>
        <w:tc>
          <w:tcPr>
            <w:tcW w:w="12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7"/>
              </w:rPr>
              <w:t>Retained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Common</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7"/>
              </w:rPr>
              <w:t>Stock</w:t>
            </w:r>
          </w:p>
        </w:tc>
        <w:tc>
          <w:tcPr>
            <w:tcW w:w="2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Capital</w:t>
            </w: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6"/>
              </w:rPr>
              <w:t>Earnings</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7"/>
              </w:rPr>
              <w:t>Stock</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AOCI</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Balance, December 31, 2017</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w:t>
            </w:r>
          </w:p>
        </w:tc>
        <w:tc>
          <w:tcPr>
            <w:tcW w:w="42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34,662</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(27,458)</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213"/>
        </w:trPr>
        <w:tc>
          <w:tcPr>
            <w:tcW w:w="5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2018</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2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declared and paid ($0.62 per share)</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320" w:type="dxa"/>
            <w:vAlign w:val="bottom"/>
          </w:tcPr>
          <w:p>
            <w:pPr>
              <w:ind w:left="140"/>
              <w:spacing w:after="0"/>
              <w:rPr>
                <w:sz w:val="20"/>
                <w:szCs w:val="20"/>
                <w:color w:val="auto"/>
              </w:rPr>
            </w:pPr>
            <w:r>
              <w:rPr>
                <w:rFonts w:ascii="Arial" w:cs="Arial" w:eastAsia="Arial" w:hAnsi="Arial"/>
                <w:sz w:val="16"/>
                <w:szCs w:val="16"/>
                <w:color w:val="auto"/>
              </w:rPr>
              <w:t>Common stock issued for stock-based awards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 repurchases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(891)</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320" w:type="dxa"/>
            <w:vAlign w:val="bottom"/>
          </w:tcPr>
          <w:p>
            <w:pPr>
              <w:ind w:left="140"/>
              <w:spacing w:after="0"/>
              <w:rPr>
                <w:sz w:val="20"/>
                <w:szCs w:val="20"/>
                <w:color w:val="auto"/>
              </w:rPr>
            </w:pPr>
            <w:r>
              <w:rPr>
                <w:rFonts w:ascii="Arial" w:cs="Arial" w:eastAsia="Arial" w:hAnsi="Arial"/>
                <w:sz w:val="16"/>
                <w:szCs w:val="16"/>
                <w:color w:val="auto"/>
              </w:rPr>
              <w:t>Stock compensation</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income (loss), net of taxes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3"/>
        </w:trPr>
        <w:tc>
          <w:tcPr>
            <w:tcW w:w="5320" w:type="dxa"/>
            <w:vAlign w:val="bottom"/>
          </w:tcPr>
          <w:p>
            <w:pPr>
              <w:ind w:left="140"/>
              <w:spacing w:after="0"/>
              <w:rPr>
                <w:sz w:val="20"/>
                <w:szCs w:val="20"/>
                <w:color w:val="auto"/>
              </w:rPr>
            </w:pPr>
            <w:r>
              <w:rPr>
                <w:rFonts w:ascii="Arial" w:cs="Arial" w:eastAsia="Arial" w:hAnsi="Arial"/>
                <w:sz w:val="16"/>
                <w:szCs w:val="16"/>
                <w:color w:val="auto"/>
              </w:rPr>
              <w:t>Dividend equivalents on RSUs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Cumulative effect of accounting changes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320" w:type="dxa"/>
            <w:vAlign w:val="bottom"/>
          </w:tcPr>
          <w:p>
            <w:pPr>
              <w:ind w:left="14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3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Balance, March 31, 2018</w:t>
            </w: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(28,096)</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(392)</w:t>
            </w:r>
          </w:p>
        </w:tc>
        <w:tc>
          <w:tcPr>
            <w:tcW w:w="0" w:type="dxa"/>
            <w:vAlign w:val="bottom"/>
          </w:tcPr>
          <w:p>
            <w:pPr>
              <w:spacing w:after="0"/>
              <w:rPr>
                <w:sz w:val="1"/>
                <w:szCs w:val="1"/>
                <w:color w:val="auto"/>
              </w:rPr>
            </w:pPr>
          </w:p>
        </w:tc>
      </w:tr>
      <w:tr>
        <w:trPr>
          <w:trHeight w:val="213"/>
        </w:trPr>
        <w:tc>
          <w:tcPr>
            <w:tcW w:w="5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320" w:type="dxa"/>
            <w:vAlign w:val="bottom"/>
          </w:tcPr>
          <w:p>
            <w:pPr>
              <w:ind w:left="140"/>
              <w:spacing w:after="0"/>
              <w:rPr>
                <w:sz w:val="20"/>
                <w:szCs w:val="20"/>
                <w:color w:val="auto"/>
              </w:rPr>
            </w:pPr>
            <w:r>
              <w:rPr>
                <w:rFonts w:ascii="Arial" w:cs="Arial" w:eastAsia="Arial" w:hAnsi="Arial"/>
                <w:sz w:val="16"/>
                <w:szCs w:val="16"/>
                <w:color w:val="auto"/>
              </w:rPr>
              <w:t>Dividends declared and paid ($0.62 per share)</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(606)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stock issued for stock-based awards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320" w:type="dxa"/>
            <w:vAlign w:val="bottom"/>
          </w:tcPr>
          <w:p>
            <w:pPr>
              <w:ind w:left="140"/>
              <w:spacing w:after="0"/>
              <w:rPr>
                <w:sz w:val="20"/>
                <w:szCs w:val="20"/>
                <w:color w:val="auto"/>
              </w:rPr>
            </w:pPr>
            <w:r>
              <w:rPr>
                <w:rFonts w:ascii="Arial" w:cs="Arial" w:eastAsia="Arial" w:hAnsi="Arial"/>
                <w:sz w:val="16"/>
                <w:szCs w:val="16"/>
                <w:color w:val="auto"/>
              </w:rPr>
              <w:t>Stock repurchases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(1,000)</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 compensation</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320" w:type="dxa"/>
            <w:vAlign w:val="bottom"/>
          </w:tcPr>
          <w:p>
            <w:pPr>
              <w:ind w:left="140"/>
              <w:spacing w:after="0"/>
              <w:rPr>
                <w:sz w:val="20"/>
                <w:szCs w:val="20"/>
                <w:color w:val="auto"/>
              </w:rPr>
            </w:pPr>
            <w:r>
              <w:rPr>
                <w:rFonts w:ascii="Arial" w:cs="Arial" w:eastAsia="Arial" w:hAnsi="Arial"/>
                <w:sz w:val="16"/>
                <w:szCs w:val="16"/>
                <w:color w:val="auto"/>
              </w:rPr>
              <w:t>Other comprehensive income (loss), net of taxes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 equivalents on RSUs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3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Balance, June 30, 2018</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w:t>
            </w:r>
          </w:p>
        </w:tc>
        <w:tc>
          <w:tcPr>
            <w:tcW w:w="42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36,413</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(29,016)</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(371)</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135"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Leases</w:t>
      </w:r>
    </w:p>
    <w:p>
      <w:pPr>
        <w:spacing w:after="0" w:line="225"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We conduct certain operations in leased facilities and also lease a portion of our data processing and other equipment. In addition, certain long-term supply agreements to purchase industrial gases are accounted for as operating leases. Lease agreements frequently include renewal provisions and require us to pay real estate taxes, insurance and maintenance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leases are included as a component of the following balance sheet lines: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140" w:type="dxa"/>
            <w:vAlign w:val="bottom"/>
            <w:gridSpan w:val="2"/>
          </w:tcPr>
          <w:p>
            <w:pPr>
              <w:ind w:left="440"/>
              <w:spacing w:after="0"/>
              <w:rPr>
                <w:sz w:val="20"/>
                <w:szCs w:val="20"/>
                <w:color w:val="auto"/>
              </w:rPr>
            </w:pPr>
            <w:r>
              <w:rPr>
                <w:rFonts w:ascii="Arial" w:cs="Arial" w:eastAsia="Arial" w:hAnsi="Arial"/>
                <w:sz w:val="16"/>
                <w:szCs w:val="16"/>
                <w:b w:val="1"/>
                <w:bCs w:val="1"/>
                <w:color w:val="auto"/>
              </w:rPr>
              <w:t>June 30,</w:t>
            </w:r>
          </w:p>
        </w:tc>
      </w:tr>
      <w:tr>
        <w:trPr>
          <w:trHeight w:val="219"/>
        </w:trPr>
        <w:tc>
          <w:tcPr>
            <w:tcW w:w="6020" w:type="dxa"/>
            <w:vAlign w:val="bottom"/>
            <w:tcBorders>
              <w:bottom w:val="single" w:sz="8" w:color="CCEEFF"/>
            </w:tcBorders>
          </w:tcPr>
          <w:p>
            <w:pPr>
              <w:spacing w:after="0"/>
              <w:rPr>
                <w:sz w:val="19"/>
                <w:szCs w:val="19"/>
                <w:color w:val="auto"/>
              </w:rPr>
            </w:pPr>
          </w:p>
        </w:tc>
        <w:tc>
          <w:tcPr>
            <w:tcW w:w="27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10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9"/>
                <w:szCs w:val="19"/>
                <w:color w:val="auto"/>
              </w:rPr>
            </w:pPr>
          </w:p>
        </w:tc>
      </w:tr>
      <w:tr>
        <w:trPr>
          <w:trHeight w:val="213"/>
        </w:trPr>
        <w:tc>
          <w:tcPr>
            <w:tcW w:w="6020" w:type="dxa"/>
            <w:vAlign w:val="bottom"/>
            <w:shd w:val="clear" w:color="auto" w:fill="CCEEFF"/>
          </w:tcPr>
          <w:p>
            <w:pPr>
              <w:spacing w:after="0"/>
              <w:rPr>
                <w:sz w:val="20"/>
                <w:szCs w:val="20"/>
                <w:color w:val="auto"/>
              </w:rPr>
            </w:pPr>
            <w:r>
              <w:rPr>
                <w:rFonts w:ascii="Arial" w:cs="Arial" w:eastAsia="Arial" w:hAnsi="Arial"/>
                <w:sz w:val="16"/>
                <w:szCs w:val="16"/>
                <w:color w:val="auto"/>
              </w:rPr>
              <w:t>Other long-term assets</w:t>
            </w:r>
          </w:p>
        </w:tc>
        <w:tc>
          <w:tcPr>
            <w:tcW w:w="32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10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6"/>
                <w:szCs w:val="16"/>
                <w:color w:val="auto"/>
              </w:rPr>
              <w:t>Accrued expenses and other liabilities</w:t>
            </w:r>
          </w:p>
        </w:tc>
        <w:tc>
          <w:tcPr>
            <w:tcW w:w="32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8"/>
                <w:szCs w:val="18"/>
                <w:color w:val="auto"/>
              </w:rPr>
            </w:pPr>
          </w:p>
        </w:tc>
      </w:tr>
      <w:tr>
        <w:trPr>
          <w:trHeight w:val="210"/>
        </w:trPr>
        <w:tc>
          <w:tcPr>
            <w:tcW w:w="602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2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18"/>
                <w:szCs w:val="18"/>
                <w:color w:val="auto"/>
              </w:rPr>
            </w:pPr>
          </w:p>
        </w:tc>
      </w:tr>
      <w:tr>
        <w:trPr>
          <w:trHeight w:val="438"/>
        </w:trPr>
        <w:tc>
          <w:tcPr>
            <w:tcW w:w="6020" w:type="dxa"/>
            <w:vAlign w:val="bottom"/>
          </w:tcPr>
          <w:p>
            <w:pPr>
              <w:spacing w:after="0"/>
              <w:rPr>
                <w:sz w:val="20"/>
                <w:szCs w:val="20"/>
                <w:color w:val="auto"/>
              </w:rPr>
            </w:pPr>
            <w:r>
              <w:rPr>
                <w:rFonts w:ascii="Arial" w:cs="Arial" w:eastAsia="Arial" w:hAnsi="Arial"/>
                <w:sz w:val="18"/>
                <w:szCs w:val="18"/>
                <w:color w:val="auto"/>
              </w:rPr>
              <w:t>Details of our operating leases are as follows:</w:t>
            </w:r>
          </w:p>
        </w:tc>
        <w:tc>
          <w:tcPr>
            <w:tcW w:w="2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3"/>
              </w:rPr>
              <w:t>For Three Months Ended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For Six Months Ended</w:t>
            </w:r>
          </w:p>
        </w:tc>
      </w:tr>
      <w:tr>
        <w:trPr>
          <w:trHeight w:val="219"/>
        </w:trPr>
        <w:tc>
          <w:tcPr>
            <w:tcW w:w="6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center"/>
              <w:ind w:left="619"/>
              <w:spacing w:after="0"/>
              <w:rPr>
                <w:sz w:val="20"/>
                <w:szCs w:val="20"/>
                <w:color w:val="auto"/>
              </w:rPr>
            </w:pPr>
            <w:r>
              <w:rPr>
                <w:rFonts w:ascii="Arial" w:cs="Arial" w:eastAsia="Arial" w:hAnsi="Arial"/>
                <w:sz w:val="16"/>
                <w:szCs w:val="16"/>
                <w:b w:val="1"/>
                <w:bCs w:val="1"/>
                <w:color w:val="auto"/>
                <w:w w:val="87"/>
              </w:rPr>
              <w:t>June 30,</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June 30,</w:t>
            </w:r>
          </w:p>
        </w:tc>
      </w:tr>
      <w:tr>
        <w:trPr>
          <w:trHeight w:val="210"/>
        </w:trPr>
        <w:tc>
          <w:tcPr>
            <w:tcW w:w="626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center"/>
              <w:ind w:left="619"/>
              <w:spacing w:after="0"/>
              <w:rPr>
                <w:sz w:val="20"/>
                <w:szCs w:val="20"/>
                <w:color w:val="auto"/>
              </w:rPr>
            </w:pPr>
            <w:r>
              <w:rPr>
                <w:rFonts w:ascii="Arial" w:cs="Arial" w:eastAsia="Arial" w:hAnsi="Arial"/>
                <w:sz w:val="16"/>
                <w:szCs w:val="16"/>
                <w:b w:val="1"/>
                <w:bCs w:val="1"/>
                <w:color w:val="auto"/>
                <w:w w:val="89"/>
              </w:rPr>
              <w:t>2019</w:t>
            </w:r>
          </w:p>
        </w:tc>
        <w:tc>
          <w:tcPr>
            <w:tcW w:w="700" w:type="dxa"/>
            <w:vAlign w:val="bottom"/>
            <w:tcBorders>
              <w:top w:val="single" w:sz="8" w:color="auto"/>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980" w:type="dxa"/>
            <w:vAlign w:val="bottom"/>
            <w:tcBorders>
              <w:top w:val="single" w:sz="8" w:color="auto"/>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Borders>
              <w:bottom w:val="single" w:sz="8" w:color="CCEEFF"/>
            </w:tcBorders>
          </w:tcPr>
          <w:p>
            <w:pPr>
              <w:spacing w:after="0"/>
              <w:rPr>
                <w:sz w:val="18"/>
                <w:szCs w:val="18"/>
                <w:color w:val="auto"/>
              </w:rPr>
            </w:pPr>
          </w:p>
        </w:tc>
      </w:tr>
      <w:tr>
        <w:trPr>
          <w:trHeight w:val="212"/>
        </w:trPr>
        <w:tc>
          <w:tcPr>
            <w:tcW w:w="6260" w:type="dxa"/>
            <w:vAlign w:val="bottom"/>
            <w:shd w:val="clear" w:color="auto" w:fill="CCEEFF"/>
          </w:tcPr>
          <w:p>
            <w:pPr>
              <w:spacing w:after="0"/>
              <w:rPr>
                <w:sz w:val="20"/>
                <w:szCs w:val="20"/>
                <w:color w:val="auto"/>
              </w:rPr>
            </w:pPr>
            <w:r>
              <w:rPr>
                <w:rFonts w:ascii="Arial" w:cs="Arial" w:eastAsia="Arial" w:hAnsi="Arial"/>
                <w:sz w:val="16"/>
                <w:szCs w:val="16"/>
                <w:color w:val="auto"/>
              </w:rPr>
              <w:t>Lease cost</w:t>
            </w:r>
          </w:p>
        </w:tc>
        <w:tc>
          <w:tcPr>
            <w:tcW w:w="1820" w:type="dxa"/>
            <w:vAlign w:val="bottom"/>
            <w:gridSpan w:val="2"/>
            <w:shd w:val="clear" w:color="auto" w:fill="CCEEFF"/>
          </w:tcPr>
          <w:p>
            <w:pPr>
              <w:jc w:val="right"/>
              <w:ind w:right="129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18"/>
                <w:szCs w:val="18"/>
                <w:color w:val="auto"/>
              </w:rPr>
            </w:pPr>
          </w:p>
        </w:tc>
      </w:tr>
      <w:tr>
        <w:trPr>
          <w:trHeight w:val="213"/>
        </w:trPr>
        <w:tc>
          <w:tcPr>
            <w:tcW w:w="6260" w:type="dxa"/>
            <w:vAlign w:val="bottom"/>
          </w:tcPr>
          <w:p>
            <w:pPr>
              <w:spacing w:after="0"/>
              <w:rPr>
                <w:sz w:val="20"/>
                <w:szCs w:val="20"/>
                <w:color w:val="auto"/>
              </w:rPr>
            </w:pPr>
            <w:r>
              <w:rPr>
                <w:rFonts w:ascii="Arial" w:cs="Arial" w:eastAsia="Arial" w:hAnsi="Arial"/>
                <w:sz w:val="16"/>
                <w:szCs w:val="16"/>
                <w:color w:val="auto"/>
              </w:rPr>
              <w:t>Variable lease cost</w:t>
            </w: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r>
      <w:tr>
        <w:trPr>
          <w:trHeight w:val="219"/>
        </w:trPr>
        <w:tc>
          <w:tcPr>
            <w:tcW w:w="6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13"/>
        </w:trPr>
        <w:tc>
          <w:tcPr>
            <w:tcW w:w="6260" w:type="dxa"/>
            <w:vAlign w:val="bottom"/>
          </w:tcPr>
          <w:p>
            <w:pPr>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6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cash flows for leases</w:t>
            </w:r>
          </w:p>
        </w:tc>
        <w:tc>
          <w:tcPr>
            <w:tcW w:w="1820" w:type="dxa"/>
            <w:vAlign w:val="bottom"/>
            <w:gridSpan w:val="2"/>
            <w:shd w:val="clear" w:color="auto" w:fill="CCEEFF"/>
          </w:tcPr>
          <w:p>
            <w:pPr>
              <w:jc w:val="right"/>
              <w:ind w:right="129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9"/>
                <w:szCs w:val="19"/>
                <w:color w:val="auto"/>
              </w:rPr>
            </w:pPr>
          </w:p>
        </w:tc>
      </w:tr>
      <w:tr>
        <w:trPr>
          <w:trHeight w:val="216"/>
        </w:trPr>
        <w:tc>
          <w:tcPr>
            <w:tcW w:w="6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6"/>
                <w:szCs w:val="16"/>
                <w:color w:val="auto"/>
              </w:rPr>
              <w:t>Lease assets obtained in exchange for new lease liabilities</w:t>
            </w:r>
          </w:p>
        </w:tc>
        <w:tc>
          <w:tcPr>
            <w:tcW w:w="1820" w:type="dxa"/>
            <w:vAlign w:val="bottom"/>
            <w:gridSpan w:val="2"/>
            <w:shd w:val="clear" w:color="auto" w:fill="CCEEFF"/>
          </w:tcPr>
          <w:p>
            <w:pPr>
              <w:jc w:val="right"/>
              <w:ind w:right="129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2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remaining lease term</w:t>
            </w:r>
          </w:p>
        </w:tc>
        <w:tc>
          <w:tcPr>
            <w:tcW w:w="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8.5 years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0"/>
        </w:trPr>
        <w:tc>
          <w:tcPr>
            <w:tcW w:w="6260" w:type="dxa"/>
            <w:vAlign w:val="bottom"/>
          </w:tcPr>
          <w:p>
            <w:pPr>
              <w:spacing w:after="0"/>
              <w:rPr>
                <w:sz w:val="20"/>
                <w:szCs w:val="20"/>
                <w:color w:val="auto"/>
              </w:rPr>
            </w:pPr>
            <w:r>
              <w:rPr>
                <w:rFonts w:ascii="Arial" w:cs="Arial" w:eastAsia="Arial" w:hAnsi="Arial"/>
                <w:sz w:val="16"/>
                <w:szCs w:val="16"/>
                <w:color w:val="auto"/>
              </w:rPr>
              <w:t>Weighted average discount rate</w:t>
            </w: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3.40%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38"/>
        </w:trPr>
        <w:tc>
          <w:tcPr>
            <w:tcW w:w="6260" w:type="dxa"/>
            <w:vAlign w:val="bottom"/>
          </w:tcPr>
          <w:p>
            <w:pPr>
              <w:spacing w:after="0"/>
              <w:rPr>
                <w:sz w:val="20"/>
                <w:szCs w:val="20"/>
                <w:color w:val="auto"/>
              </w:rPr>
            </w:pPr>
            <w:r>
              <w:rPr>
                <w:rFonts w:ascii="Arial" w:cs="Arial" w:eastAsia="Arial" w:hAnsi="Arial"/>
                <w:sz w:val="18"/>
                <w:szCs w:val="18"/>
                <w:color w:val="auto"/>
                <w:w w:val="96"/>
              </w:rPr>
              <w:t>The following table presents the maturities of lease liabilities as of June 30, 2019:</w:t>
            </w: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80" w:type="dxa"/>
            <w:vAlign w:val="bottom"/>
            <w:tcBorders>
              <w:bottom w:val="single" w:sz="8" w:color="CCEEFF"/>
            </w:tcBorders>
          </w:tcPr>
          <w:p>
            <w:pPr>
              <w:spacing w:after="0"/>
              <w:rPr>
                <w:sz w:val="18"/>
                <w:szCs w:val="18"/>
                <w:color w:val="auto"/>
              </w:rPr>
            </w:pPr>
          </w:p>
        </w:tc>
        <w:tc>
          <w:tcPr>
            <w:tcW w:w="36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Operating Leases</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80" w:type="dxa"/>
            <w:vAlign w:val="bottom"/>
            <w:shd w:val="clear" w:color="auto" w:fill="CCEEFF"/>
          </w:tcPr>
          <w:p>
            <w:pPr>
              <w:spacing w:after="0"/>
              <w:rPr>
                <w:sz w:val="20"/>
                <w:szCs w:val="20"/>
                <w:color w:val="auto"/>
              </w:rPr>
            </w:pPr>
            <w:r>
              <w:rPr>
                <w:rFonts w:ascii="Arial" w:cs="Arial" w:eastAsia="Arial" w:hAnsi="Arial"/>
                <w:sz w:val="16"/>
                <w:szCs w:val="16"/>
                <w:color w:val="auto"/>
              </w:rPr>
              <w:t>2019</w:t>
            </w:r>
          </w:p>
        </w:tc>
        <w:tc>
          <w:tcPr>
            <w:tcW w:w="40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80" w:type="dxa"/>
            <w:vAlign w:val="bottom"/>
          </w:tcPr>
          <w:p>
            <w:pPr>
              <w:spacing w:after="0"/>
              <w:rPr>
                <w:sz w:val="20"/>
                <w:szCs w:val="20"/>
                <w:color w:val="auto"/>
              </w:rPr>
            </w:pPr>
            <w:r>
              <w:rPr>
                <w:rFonts w:ascii="Arial" w:cs="Arial" w:eastAsia="Arial" w:hAnsi="Arial"/>
                <w:sz w:val="16"/>
                <w:szCs w:val="16"/>
                <w:color w:val="auto"/>
              </w:rPr>
              <w:t>2020</w:t>
            </w:r>
          </w:p>
        </w:tc>
        <w:tc>
          <w:tcPr>
            <w:tcW w:w="3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spacing w:after="0"/>
              <w:rPr>
                <w:sz w:val="20"/>
                <w:szCs w:val="20"/>
                <w:color w:val="auto"/>
              </w:rPr>
            </w:pPr>
            <w:r>
              <w:rPr>
                <w:rFonts w:ascii="Arial" w:cs="Arial" w:eastAsia="Arial" w:hAnsi="Arial"/>
                <w:sz w:val="16"/>
                <w:szCs w:val="16"/>
                <w:color w:val="auto"/>
              </w:rPr>
              <w:t>2021</w:t>
            </w:r>
          </w:p>
        </w:tc>
        <w:tc>
          <w:tcPr>
            <w:tcW w:w="36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80" w:type="dxa"/>
            <w:vAlign w:val="bottom"/>
          </w:tcPr>
          <w:p>
            <w:pPr>
              <w:spacing w:after="0"/>
              <w:rPr>
                <w:sz w:val="20"/>
                <w:szCs w:val="20"/>
                <w:color w:val="auto"/>
              </w:rPr>
            </w:pPr>
            <w:r>
              <w:rPr>
                <w:rFonts w:ascii="Arial" w:cs="Arial" w:eastAsia="Arial" w:hAnsi="Arial"/>
                <w:sz w:val="16"/>
                <w:szCs w:val="16"/>
                <w:color w:val="auto"/>
              </w:rPr>
              <w:t>2022</w:t>
            </w:r>
          </w:p>
        </w:tc>
        <w:tc>
          <w:tcPr>
            <w:tcW w:w="3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spacing w:after="0"/>
              <w:rPr>
                <w:sz w:val="20"/>
                <w:szCs w:val="20"/>
                <w:color w:val="auto"/>
              </w:rPr>
            </w:pPr>
            <w:r>
              <w:rPr>
                <w:rFonts w:ascii="Arial" w:cs="Arial" w:eastAsia="Arial" w:hAnsi="Arial"/>
                <w:sz w:val="16"/>
                <w:szCs w:val="16"/>
                <w:color w:val="auto"/>
              </w:rPr>
              <w:t>2023</w:t>
            </w:r>
          </w:p>
        </w:tc>
        <w:tc>
          <w:tcPr>
            <w:tcW w:w="36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Thereafter</w:t>
            </w:r>
          </w:p>
        </w:tc>
        <w:tc>
          <w:tcPr>
            <w:tcW w:w="36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80" w:type="dxa"/>
            <w:vAlign w:val="bottom"/>
            <w:shd w:val="clear" w:color="auto" w:fill="CCEEFF"/>
          </w:tcPr>
          <w:p>
            <w:pPr>
              <w:spacing w:after="0"/>
              <w:rPr>
                <w:sz w:val="20"/>
                <w:szCs w:val="20"/>
                <w:color w:val="auto"/>
              </w:rPr>
            </w:pPr>
            <w:r>
              <w:rPr>
                <w:rFonts w:ascii="Arial" w:cs="Arial" w:eastAsia="Arial" w:hAnsi="Arial"/>
                <w:sz w:val="16"/>
                <w:szCs w:val="16"/>
                <w:color w:val="auto"/>
              </w:rPr>
              <w:t>Total lease payments</w:t>
            </w:r>
          </w:p>
        </w:tc>
        <w:tc>
          <w:tcPr>
            <w:tcW w:w="3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80" w:type="dxa"/>
            <w:vAlign w:val="bottom"/>
          </w:tcPr>
          <w:p>
            <w:pPr>
              <w:spacing w:after="0"/>
              <w:rPr>
                <w:sz w:val="20"/>
                <w:szCs w:val="20"/>
                <w:color w:val="auto"/>
              </w:rPr>
            </w:pPr>
            <w:r>
              <w:rPr>
                <w:rFonts w:ascii="Arial" w:cs="Arial" w:eastAsia="Arial" w:hAnsi="Arial"/>
                <w:sz w:val="16"/>
                <w:szCs w:val="16"/>
                <w:color w:val="auto"/>
              </w:rPr>
              <w:t>Imputed lease interest</w:t>
            </w:r>
          </w:p>
        </w:tc>
        <w:tc>
          <w:tcPr>
            <w:tcW w:w="3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00" w:type="dxa"/>
            <w:vAlign w:val="bottom"/>
            <w:gridSpan w:val="2"/>
          </w:tcPr>
          <w:p>
            <w:pPr>
              <w:jc w:val="right"/>
              <w:ind w:right="6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0"/>
        </w:trPr>
        <w:tc>
          <w:tcPr>
            <w:tcW w:w="50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Total lease liabilities</w:t>
            </w:r>
          </w:p>
        </w:tc>
        <w:tc>
          <w:tcPr>
            <w:tcW w:w="36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vMerge w:val="continue"/>
            <w:shd w:val="clear" w:color="auto" w:fill="CCEEFF"/>
          </w:tcPr>
          <w:p>
            <w:pPr>
              <w:spacing w:after="0"/>
              <w:rPr>
                <w:sz w:val="18"/>
                <w:szCs w:val="18"/>
                <w:color w:val="auto"/>
              </w:rPr>
            </w:pPr>
          </w:p>
        </w:tc>
        <w:tc>
          <w:tcPr>
            <w:tcW w:w="40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 </w:t>
      </w:r>
      <w:r>
        <w:rPr>
          <w:rFonts w:ascii="Arial" w:cs="Arial" w:eastAsia="Arial" w:hAnsi="Arial"/>
          <w:sz w:val="18"/>
          <w:szCs w:val="18"/>
          <w:u w:val="single" w:color="auto"/>
          <w:color w:val="auto"/>
        </w:rPr>
        <w:t>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guarantees</w:t>
      </w:r>
    </w:p>
    <w:p>
      <w:pPr>
        <w:spacing w:after="0" w:line="225"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We routinely sell products with an intellectual property indemnification included in the terms of sale. Historically, we have had only minimal, infrequent losses associated with these indemnities. Consequently, we cannot reasonably estimate any future liabilities that may result.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costs/product liabilities</w:t>
      </w:r>
    </w:p>
    <w:p>
      <w:pPr>
        <w:spacing w:after="0" w:line="22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We accrue for known product-related claims if a loss is probable and can be reasonably estimated. During the periods presented, there have been no material accruals or payments regarding product warranty or product liability. Historically, we have experienced a low rate of payments on product claims. Although we cannot predict the likelihood or amount of any future claims, we do not believe they will have a material adverse effect on our financial condition, results of operations or liquidity. Our stated warranties for semiconductor products obligate us to repair, replace or credit the purchase price of a covered product back to the buyer. Product claim consideration may exceed the price of our products.</w:t>
      </w:r>
    </w:p>
    <w:p>
      <w:pPr>
        <w:sectPr>
          <w:pgSz w:w="11900" w:h="16838" w:orient="portrait"/>
          <w:cols w:equalWidth="0" w:num="1">
            <w:col w:w="11420"/>
          </w:cols>
          <w:pgMar w:left="240" w:top="121" w:right="239" w:bottom="1440" w:gutter="0" w:footer="0" w:header="0"/>
        </w:sectPr>
      </w:pP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are subject to various legal and administrative proceedings. Although it is not possible to predict the outcome of these matters, we believe that the results of these proceedings will not have a material adverse effect on our financial condition, results of operations or liquidity.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Supplemental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charges/other are included in Other for segment reporting purposes. Changes in accrued restructuring balances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0" w:type="dxa"/>
            <w:vAlign w:val="bottom"/>
            <w:shd w:val="clear" w:color="auto" w:fill="CCEEFF"/>
          </w:tcPr>
          <w:p>
            <w:pPr>
              <w:spacing w:after="0"/>
              <w:rPr>
                <w:sz w:val="20"/>
                <w:szCs w:val="20"/>
                <w:color w:val="auto"/>
              </w:rPr>
            </w:pPr>
            <w:r>
              <w:rPr>
                <w:rFonts w:ascii="Arial" w:cs="Arial" w:eastAsia="Arial" w:hAnsi="Arial"/>
                <w:sz w:val="16"/>
                <w:szCs w:val="16"/>
                <w:color w:val="auto"/>
              </w:rPr>
              <w:t>Balance, December 31, 2018</w:t>
            </w:r>
          </w:p>
        </w:tc>
        <w:tc>
          <w:tcPr>
            <w:tcW w:w="38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r>
      <w:tr>
        <w:trPr>
          <w:trHeight w:val="210"/>
        </w:trPr>
        <w:tc>
          <w:tcPr>
            <w:tcW w:w="10400" w:type="dxa"/>
            <w:vAlign w:val="bottom"/>
          </w:tcPr>
          <w:p>
            <w:pPr>
              <w:spacing w:after="0"/>
              <w:rPr>
                <w:sz w:val="20"/>
                <w:szCs w:val="20"/>
                <w:color w:val="auto"/>
              </w:rPr>
            </w:pPr>
            <w:r>
              <w:rPr>
                <w:rFonts w:ascii="Arial" w:cs="Arial" w:eastAsia="Arial" w:hAnsi="Arial"/>
                <w:sz w:val="16"/>
                <w:szCs w:val="16"/>
                <w:b w:val="1"/>
                <w:bCs w:val="1"/>
                <w:color w:val="auto"/>
              </w:rPr>
              <w:t>Restructuring charges</w:t>
            </w:r>
          </w:p>
        </w:tc>
        <w:tc>
          <w:tcPr>
            <w:tcW w:w="3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(15)</w:t>
            </w:r>
          </w:p>
        </w:tc>
      </w:tr>
      <w:tr>
        <w:trPr>
          <w:trHeight w:val="222"/>
        </w:trPr>
        <w:tc>
          <w:tcPr>
            <w:tcW w:w="10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Payments</w:t>
            </w:r>
          </w:p>
        </w:tc>
        <w:tc>
          <w:tcPr>
            <w:tcW w:w="3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(12)</w:t>
            </w:r>
          </w:p>
        </w:tc>
      </w:tr>
      <w:tr>
        <w:trPr>
          <w:trHeight w:val="207"/>
        </w:trPr>
        <w:tc>
          <w:tcPr>
            <w:tcW w:w="10400" w:type="dxa"/>
            <w:vAlign w:val="bottom"/>
          </w:tcPr>
          <w:p>
            <w:pPr>
              <w:spacing w:after="0"/>
              <w:rPr>
                <w:sz w:val="20"/>
                <w:szCs w:val="20"/>
                <w:color w:val="auto"/>
              </w:rPr>
            </w:pPr>
            <w:r>
              <w:rPr>
                <w:rFonts w:ascii="Arial" w:cs="Arial" w:eastAsia="Arial" w:hAnsi="Arial"/>
                <w:sz w:val="16"/>
                <w:szCs w:val="16"/>
                <w:b w:val="1"/>
                <w:bCs w:val="1"/>
                <w:color w:val="auto"/>
              </w:rPr>
              <w:t>Balance, June 30, 2019</w:t>
            </w:r>
          </w:p>
        </w:tc>
        <w:tc>
          <w:tcPr>
            <w:tcW w:w="380" w:type="dxa"/>
            <w:vAlign w:val="bottom"/>
            <w:tcBorders>
              <w:top w:val="single" w:sz="8" w:color="auto"/>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7"/>
                <w:szCs w:val="17"/>
                <w:color w:val="auto"/>
              </w:rPr>
            </w:pPr>
          </w:p>
        </w:tc>
      </w:tr>
      <w:tr>
        <w:trPr>
          <w:trHeight w:val="20"/>
        </w:trPr>
        <w:tc>
          <w:tcPr>
            <w:tcW w:w="10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The restructuring accrual balances are reported as a component of either accrued expenses and other liabilities or other long-term liabilities on our Consolidated Balance Sheets, depending on the expected timing of payment.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April 2019, we sold our manufacturing facility in Greenock, Scotland.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Details on amounts reclassified out of accumulated other comprehensive income (loss), net of taxes, to net income</w:t>
      </w:r>
    </w:p>
    <w:p>
      <w:pPr>
        <w:spacing w:after="0" w:line="225"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Our Consolidated Statements of Comprehensive Income include items that have been recognized within net income during the second quarters and first six months of 2019 and 2018. The table below details where these transactions are recorded in our Consolidated Statements of Income.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80" w:type="dxa"/>
            <w:vAlign w:val="bottom"/>
          </w:tcPr>
          <w:p>
            <w:pPr>
              <w:spacing w:after="0"/>
              <w:rPr>
                <w:sz w:val="18"/>
                <w:szCs w:val="18"/>
                <w:color w:val="auto"/>
              </w:rPr>
            </w:pPr>
          </w:p>
        </w:tc>
        <w:tc>
          <w:tcPr>
            <w:tcW w:w="2020" w:type="dxa"/>
            <w:vAlign w:val="bottom"/>
            <w:gridSpan w:val="5"/>
          </w:tcPr>
          <w:p>
            <w:pPr>
              <w:jc w:val="right"/>
              <w:ind w:right="40"/>
              <w:spacing w:after="0"/>
              <w:rPr>
                <w:sz w:val="20"/>
                <w:szCs w:val="20"/>
                <w:color w:val="auto"/>
              </w:rPr>
            </w:pPr>
            <w:r>
              <w:rPr>
                <w:rFonts w:ascii="Arial" w:cs="Arial" w:eastAsia="Arial" w:hAnsi="Arial"/>
                <w:sz w:val="16"/>
                <w:szCs w:val="16"/>
                <w:b w:val="1"/>
                <w:bCs w:val="1"/>
                <w:color w:val="auto"/>
              </w:rPr>
              <w:t>For Three Months Ended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b w:val="1"/>
                <w:bCs w:val="1"/>
                <w:color w:val="auto"/>
                <w:w w:val="98"/>
              </w:rPr>
              <w:t>For Six Months Ended</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6"/>
                <w:szCs w:val="16"/>
                <w:b w:val="1"/>
                <w:bCs w:val="1"/>
                <w:color w:val="auto"/>
                <w:w w:val="99"/>
              </w:rPr>
              <w:t>June 30,</w:t>
            </w:r>
          </w:p>
        </w:tc>
        <w:tc>
          <w:tcPr>
            <w:tcW w:w="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ind w:right="479"/>
              <w:spacing w:after="0"/>
              <w:rPr>
                <w:sz w:val="20"/>
                <w:szCs w:val="20"/>
                <w:color w:val="auto"/>
              </w:rPr>
            </w:pPr>
            <w:r>
              <w:rPr>
                <w:rFonts w:ascii="Arial" w:cs="Arial" w:eastAsia="Arial" w:hAnsi="Arial"/>
                <w:sz w:val="16"/>
                <w:szCs w:val="16"/>
                <w:b w:val="1"/>
                <w:bCs w:val="1"/>
                <w:color w:val="auto"/>
              </w:rPr>
              <w:t>June 30,</w:t>
            </w:r>
          </w:p>
        </w:tc>
        <w:tc>
          <w:tcPr>
            <w:tcW w:w="2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280" w:type="dxa"/>
            <w:vAlign w:val="bottom"/>
          </w:tcPr>
          <w:p>
            <w:pPr>
              <w:ind w:left="1020"/>
              <w:spacing w:after="0"/>
              <w:rPr>
                <w:sz w:val="20"/>
                <w:szCs w:val="20"/>
                <w:color w:val="auto"/>
              </w:rPr>
            </w:pPr>
            <w:r>
              <w:rPr>
                <w:rFonts w:ascii="Arial" w:cs="Arial" w:eastAsia="Arial" w:hAnsi="Arial"/>
                <w:sz w:val="16"/>
                <w:szCs w:val="16"/>
                <w:b w:val="1"/>
                <w:bCs w:val="1"/>
                <w:color w:val="auto"/>
              </w:rPr>
              <w:t>Impact to Related</w:t>
            </w:r>
          </w:p>
        </w:tc>
        <w:tc>
          <w:tcPr>
            <w:tcW w:w="0" w:type="dxa"/>
            <w:vAlign w:val="bottom"/>
          </w:tcPr>
          <w:p>
            <w:pPr>
              <w:spacing w:after="0"/>
              <w:rPr>
                <w:sz w:val="1"/>
                <w:szCs w:val="1"/>
                <w:color w:val="auto"/>
              </w:rPr>
            </w:pPr>
          </w:p>
        </w:tc>
      </w:tr>
      <w:tr>
        <w:trPr>
          <w:trHeight w:val="213"/>
        </w:trPr>
        <w:tc>
          <w:tcPr>
            <w:tcW w:w="3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2018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80" w:type="dxa"/>
            <w:vAlign w:val="bottom"/>
          </w:tcPr>
          <w:p>
            <w:pPr>
              <w:ind w:left="700"/>
              <w:spacing w:after="0"/>
              <w:rPr>
                <w:sz w:val="20"/>
                <w:szCs w:val="20"/>
                <w:color w:val="auto"/>
              </w:rPr>
            </w:pPr>
            <w:r>
              <w:rPr>
                <w:rFonts w:ascii="Arial" w:cs="Arial" w:eastAsia="Arial" w:hAnsi="Arial"/>
                <w:sz w:val="16"/>
                <w:szCs w:val="16"/>
                <w:b w:val="1"/>
                <w:bCs w:val="1"/>
                <w:color w:val="auto"/>
              </w:rPr>
              <w:t>Statement of Income Lines</w:t>
            </w:r>
          </w:p>
        </w:tc>
        <w:tc>
          <w:tcPr>
            <w:tcW w:w="0" w:type="dxa"/>
            <w:vAlign w:val="bottom"/>
          </w:tcPr>
          <w:p>
            <w:pPr>
              <w:spacing w:after="0"/>
              <w:rPr>
                <w:sz w:val="1"/>
                <w:szCs w:val="1"/>
                <w:color w:val="auto"/>
              </w:rPr>
            </w:pPr>
          </w:p>
        </w:tc>
      </w:tr>
      <w:tr>
        <w:trPr>
          <w:trHeight w:val="212"/>
        </w:trPr>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actuarial losses of defined benefit plans:</w:t>
            </w: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380" w:type="dxa"/>
            <w:vAlign w:val="bottom"/>
          </w:tcPr>
          <w:p>
            <w:pPr>
              <w:ind w:left="140"/>
              <w:spacing w:after="0"/>
              <w:rPr>
                <w:sz w:val="20"/>
                <w:szCs w:val="20"/>
                <w:color w:val="auto"/>
              </w:rPr>
            </w:pPr>
            <w:r>
              <w:rPr>
                <w:rFonts w:ascii="Arial" w:cs="Arial" w:eastAsia="Arial" w:hAnsi="Arial"/>
                <w:sz w:val="16"/>
                <w:szCs w:val="16"/>
                <w:color w:val="auto"/>
              </w:rPr>
              <w:t>Recognized net actuarial loss and settlement</w:t>
            </w:r>
          </w:p>
        </w:tc>
        <w:tc>
          <w:tcPr>
            <w:tcW w:w="740" w:type="dxa"/>
            <w:vAlign w:val="bottom"/>
            <w:vMerge w:val="restart"/>
          </w:tcPr>
          <w:p>
            <w:pPr>
              <w:jc w:val="right"/>
              <w:ind w:right="582"/>
              <w:spacing w:after="0"/>
              <w:rPr>
                <w:sz w:val="20"/>
                <w:szCs w:val="20"/>
                <w:color w:val="auto"/>
              </w:rPr>
            </w:pPr>
            <w:r>
              <w:rPr>
                <w:rFonts w:ascii="Arial" w:cs="Arial" w:eastAsia="Arial" w:hAnsi="Arial"/>
                <w:sz w:val="15"/>
                <w:szCs w:val="15"/>
                <w:b w:val="1"/>
                <w:bCs w:val="1"/>
                <w:color w:val="auto"/>
                <w:w w:val="71"/>
              </w:rPr>
              <w:t>$</w:t>
            </w:r>
          </w:p>
        </w:tc>
        <w:tc>
          <w:tcPr>
            <w:tcW w:w="3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15</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gridSpan w:val="2"/>
            <w:vMerge w:val="restart"/>
          </w:tcPr>
          <w:p>
            <w:pPr>
              <w:jc w:val="right"/>
              <w:ind w:right="44"/>
              <w:spacing w:after="0"/>
              <w:rPr>
                <w:sz w:val="20"/>
                <w:szCs w:val="20"/>
                <w:color w:val="auto"/>
              </w:rPr>
            </w:pPr>
            <w:r>
              <w:rPr>
                <w:rFonts w:ascii="Arial" w:cs="Arial" w:eastAsia="Arial" w:hAnsi="Arial"/>
                <w:sz w:val="16"/>
                <w:szCs w:val="16"/>
                <w:b w:val="1"/>
                <w:bCs w:val="1"/>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28</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380" w:type="dxa"/>
            <w:vAlign w:val="bottom"/>
          </w:tcPr>
          <w:p>
            <w:pPr>
              <w:ind w:left="140"/>
              <w:spacing w:after="0"/>
              <w:rPr>
                <w:sz w:val="20"/>
                <w:szCs w:val="20"/>
                <w:color w:val="auto"/>
              </w:rPr>
            </w:pPr>
            <w:r>
              <w:rPr>
                <w:rFonts w:ascii="Arial" w:cs="Arial" w:eastAsia="Arial" w:hAnsi="Arial"/>
                <w:sz w:val="16"/>
                <w:szCs w:val="16"/>
                <w:color w:val="auto"/>
              </w:rPr>
              <w:t>losses (a)</w:t>
            </w:r>
          </w:p>
        </w:tc>
        <w:tc>
          <w:tcPr>
            <w:tcW w:w="74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74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w w:val="89"/>
              </w:rPr>
              <w:t>11</w:t>
            </w:r>
          </w:p>
        </w:tc>
        <w:tc>
          <w:tcPr>
            <w:tcW w:w="100" w:type="dxa"/>
            <w:vAlign w:val="bottom"/>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599"/>
              <w:spacing w:after="0"/>
              <w:rPr>
                <w:sz w:val="20"/>
                <w:szCs w:val="20"/>
                <w:color w:val="auto"/>
              </w:rPr>
            </w:pPr>
            <w:r>
              <w:rPr>
                <w:rFonts w:ascii="Arial" w:cs="Arial" w:eastAsia="Arial" w:hAnsi="Arial"/>
                <w:sz w:val="16"/>
                <w:szCs w:val="16"/>
                <w:color w:val="auto"/>
                <w:w w:val="89"/>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23</w:t>
            </w:r>
          </w:p>
        </w:tc>
        <w:tc>
          <w:tcPr>
            <w:tcW w:w="16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6"/>
                <w:szCs w:val="16"/>
                <w:color w:val="auto"/>
              </w:rPr>
              <w:t>Decrease to OI&amp;E</w:t>
            </w:r>
          </w:p>
        </w:tc>
        <w:tc>
          <w:tcPr>
            <w:tcW w:w="0" w:type="dxa"/>
            <w:vAlign w:val="bottom"/>
          </w:tcPr>
          <w:p>
            <w:pPr>
              <w:spacing w:after="0"/>
              <w:rPr>
                <w:sz w:val="1"/>
                <w:szCs w:val="1"/>
                <w:color w:val="auto"/>
              </w:rPr>
            </w:pPr>
          </w:p>
        </w:tc>
      </w:tr>
      <w:tr>
        <w:trPr>
          <w:trHeight w:val="219"/>
        </w:trPr>
        <w:tc>
          <w:tcPr>
            <w:tcW w:w="3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 effect</w:t>
            </w:r>
          </w:p>
        </w:tc>
        <w:tc>
          <w:tcPr>
            <w:tcW w:w="7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(4)</w:t>
            </w:r>
          </w:p>
        </w:tc>
        <w:tc>
          <w:tcPr>
            <w:tcW w:w="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(7)</w:t>
            </w:r>
          </w:p>
        </w:tc>
        <w:tc>
          <w:tcPr>
            <w:tcW w:w="7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w:t>
            </w:r>
          </w:p>
        </w:tc>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Decrease to provision for income taxes</w:t>
            </w:r>
          </w:p>
        </w:tc>
        <w:tc>
          <w:tcPr>
            <w:tcW w:w="0" w:type="dxa"/>
            <w:vAlign w:val="bottom"/>
          </w:tcPr>
          <w:p>
            <w:pPr>
              <w:spacing w:after="0"/>
              <w:rPr>
                <w:sz w:val="1"/>
                <w:szCs w:val="1"/>
                <w:color w:val="auto"/>
              </w:rPr>
            </w:pPr>
          </w:p>
        </w:tc>
      </w:tr>
      <w:tr>
        <w:trPr>
          <w:trHeight w:val="20"/>
        </w:trPr>
        <w:tc>
          <w:tcPr>
            <w:tcW w:w="3380" w:type="dxa"/>
            <w:vAlign w:val="bottom"/>
            <w:vMerge w:val="restart"/>
          </w:tcPr>
          <w:p>
            <w:pPr>
              <w:ind w:left="140"/>
              <w:spacing w:after="0"/>
              <w:rPr>
                <w:sz w:val="20"/>
                <w:szCs w:val="20"/>
                <w:color w:val="auto"/>
              </w:rPr>
            </w:pPr>
            <w:r>
              <w:rPr>
                <w:rFonts w:ascii="Arial" w:cs="Arial" w:eastAsia="Arial" w:hAnsi="Arial"/>
                <w:sz w:val="16"/>
                <w:szCs w:val="16"/>
                <w:color w:val="auto"/>
              </w:rPr>
              <w:t>Recognized within net income, net of taxes</w:t>
            </w:r>
          </w:p>
        </w:tc>
        <w:tc>
          <w:tcPr>
            <w:tcW w:w="7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80" w:type="dxa"/>
            <w:vAlign w:val="bottom"/>
            <w:vMerge w:val="restart"/>
          </w:tcPr>
          <w:p>
            <w:pPr>
              <w:spacing w:after="0"/>
              <w:rPr>
                <w:sz w:val="20"/>
                <w:szCs w:val="20"/>
                <w:color w:val="auto"/>
              </w:rPr>
            </w:pPr>
            <w:r>
              <w:rPr>
                <w:rFonts w:ascii="Arial" w:cs="Arial" w:eastAsia="Arial" w:hAnsi="Arial"/>
                <w:sz w:val="16"/>
                <w:szCs w:val="16"/>
                <w:color w:val="auto"/>
              </w:rPr>
              <w:t>Decrease to net income</w:t>
            </w:r>
          </w:p>
        </w:tc>
        <w:tc>
          <w:tcPr>
            <w:tcW w:w="0" w:type="dxa"/>
            <w:vAlign w:val="bottom"/>
          </w:tcPr>
          <w:p>
            <w:pPr>
              <w:spacing w:after="0" w:line="20" w:lineRule="exact"/>
              <w:rPr>
                <w:sz w:val="1"/>
                <w:szCs w:val="1"/>
                <w:color w:val="auto"/>
              </w:rPr>
            </w:pPr>
          </w:p>
        </w:tc>
      </w:tr>
      <w:tr>
        <w:trPr>
          <w:trHeight w:val="247"/>
        </w:trPr>
        <w:tc>
          <w:tcPr>
            <w:tcW w:w="3380" w:type="dxa"/>
            <w:vAlign w:val="bottom"/>
            <w:vMerge w:val="continue"/>
          </w:tcPr>
          <w:p>
            <w:pPr>
              <w:spacing w:after="0"/>
              <w:rPr>
                <w:sz w:val="21"/>
                <w:szCs w:val="21"/>
                <w:color w:val="auto"/>
              </w:rPr>
            </w:pPr>
          </w:p>
        </w:tc>
        <w:tc>
          <w:tcPr>
            <w:tcW w:w="740" w:type="dxa"/>
            <w:vAlign w:val="bottom"/>
          </w:tcPr>
          <w:p>
            <w:pPr>
              <w:jc w:val="right"/>
              <w:ind w:right="582"/>
              <w:spacing w:after="0"/>
              <w:rPr>
                <w:sz w:val="20"/>
                <w:szCs w:val="20"/>
                <w:color w:val="auto"/>
              </w:rPr>
            </w:pPr>
            <w:r>
              <w:rPr>
                <w:rFonts w:ascii="Arial" w:cs="Arial" w:eastAsia="Arial" w:hAnsi="Arial"/>
                <w:sz w:val="15"/>
                <w:szCs w:val="15"/>
                <w:b w:val="1"/>
                <w:bCs w:val="1"/>
                <w:color w:val="auto"/>
                <w:w w:val="71"/>
              </w:rPr>
              <w:t>$</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100" w:type="dxa"/>
            <w:vAlign w:val="bottom"/>
          </w:tcPr>
          <w:p>
            <w:pPr>
              <w:spacing w:after="0"/>
              <w:rPr>
                <w:sz w:val="21"/>
                <w:szCs w:val="21"/>
                <w:color w:val="auto"/>
              </w:rPr>
            </w:pPr>
          </w:p>
        </w:tc>
        <w:tc>
          <w:tcPr>
            <w:tcW w:w="880" w:type="dxa"/>
            <w:vAlign w:val="bottom"/>
            <w:gridSpan w:val="2"/>
          </w:tcPr>
          <w:p>
            <w:pPr>
              <w:jc w:val="right"/>
              <w:ind w:right="74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1"/>
                <w:szCs w:val="21"/>
                <w:color w:val="auto"/>
              </w:rPr>
            </w:pPr>
          </w:p>
        </w:tc>
        <w:tc>
          <w:tcPr>
            <w:tcW w:w="60" w:type="dxa"/>
            <w:vAlign w:val="bottom"/>
            <w:vMerge w:val="continue"/>
          </w:tcPr>
          <w:p>
            <w:pPr>
              <w:spacing w:after="0"/>
              <w:rPr>
                <w:sz w:val="21"/>
                <w:szCs w:val="21"/>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21</w:t>
            </w:r>
          </w:p>
        </w:tc>
        <w:tc>
          <w:tcPr>
            <w:tcW w:w="160" w:type="dxa"/>
            <w:vAlign w:val="bottom"/>
          </w:tcPr>
          <w:p>
            <w:pPr>
              <w:spacing w:after="0"/>
              <w:rPr>
                <w:sz w:val="21"/>
                <w:szCs w:val="21"/>
                <w:color w:val="auto"/>
              </w:rPr>
            </w:pPr>
          </w:p>
        </w:tc>
        <w:tc>
          <w:tcPr>
            <w:tcW w:w="780" w:type="dxa"/>
            <w:vAlign w:val="bottom"/>
          </w:tcPr>
          <w:p>
            <w:pPr>
              <w:jc w:val="right"/>
              <w:ind w:right="599"/>
              <w:spacing w:after="0"/>
              <w:rPr>
                <w:sz w:val="20"/>
                <w:szCs w:val="20"/>
                <w:color w:val="auto"/>
              </w:rPr>
            </w:pPr>
            <w:r>
              <w:rPr>
                <w:rFonts w:ascii="Arial" w:cs="Arial" w:eastAsia="Arial" w:hAnsi="Arial"/>
                <w:sz w:val="16"/>
                <w:szCs w:val="16"/>
                <w:color w:val="auto"/>
                <w:w w:val="89"/>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18</w:t>
            </w:r>
          </w:p>
        </w:tc>
        <w:tc>
          <w:tcPr>
            <w:tcW w:w="160" w:type="dxa"/>
            <w:vAlign w:val="bottom"/>
          </w:tcPr>
          <w:p>
            <w:pPr>
              <w:spacing w:after="0"/>
              <w:rPr>
                <w:sz w:val="21"/>
                <w:szCs w:val="21"/>
                <w:color w:val="auto"/>
              </w:rPr>
            </w:pPr>
          </w:p>
        </w:tc>
        <w:tc>
          <w:tcPr>
            <w:tcW w:w="3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33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2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380" w:type="dxa"/>
            <w:vAlign w:val="bottom"/>
          </w:tcPr>
          <w:p>
            <w:pPr>
              <w:spacing w:after="0"/>
              <w:rPr>
                <w:sz w:val="20"/>
                <w:szCs w:val="20"/>
                <w:color w:val="auto"/>
              </w:rPr>
            </w:pPr>
            <w:r>
              <w:rPr>
                <w:rFonts w:ascii="Arial" w:cs="Arial" w:eastAsia="Arial" w:hAnsi="Arial"/>
                <w:sz w:val="16"/>
                <w:szCs w:val="16"/>
                <w:color w:val="auto"/>
              </w:rPr>
              <w:t>Prior service credit of defined benefit plans:</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prior service credit (a)</w:t>
            </w:r>
          </w:p>
        </w:tc>
        <w:tc>
          <w:tcPr>
            <w:tcW w:w="740" w:type="dxa"/>
            <w:vAlign w:val="bottom"/>
            <w:shd w:val="clear" w:color="auto" w:fill="CCEEFF"/>
          </w:tcPr>
          <w:p>
            <w:pPr>
              <w:jc w:val="right"/>
              <w:ind w:right="582"/>
              <w:spacing w:after="0"/>
              <w:rPr>
                <w:sz w:val="20"/>
                <w:szCs w:val="20"/>
                <w:color w:val="auto"/>
              </w:rPr>
            </w:pPr>
            <w:r>
              <w:rPr>
                <w:rFonts w:ascii="Arial" w:cs="Arial" w:eastAsia="Arial" w:hAnsi="Arial"/>
                <w:sz w:val="15"/>
                <w:szCs w:val="15"/>
                <w:b w:val="1"/>
                <w:bCs w:val="1"/>
                <w:color w:val="auto"/>
                <w:w w:val="71"/>
              </w:rPr>
              <w:t>$</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w:t>
            </w:r>
          </w:p>
        </w:tc>
        <w:tc>
          <w:tcPr>
            <w:tcW w:w="88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26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b w:val="1"/>
                <w:bCs w:val="1"/>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w w:val="89"/>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w:t>
            </w:r>
          </w:p>
        </w:tc>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Increase to OI&amp;E</w:t>
            </w:r>
          </w:p>
        </w:tc>
        <w:tc>
          <w:tcPr>
            <w:tcW w:w="0" w:type="dxa"/>
            <w:vAlign w:val="bottom"/>
          </w:tcPr>
          <w:p>
            <w:pPr>
              <w:spacing w:after="0"/>
              <w:rPr>
                <w:sz w:val="1"/>
                <w:szCs w:val="1"/>
                <w:color w:val="auto"/>
              </w:rPr>
            </w:pPr>
          </w:p>
        </w:tc>
      </w:tr>
      <w:tr>
        <w:trPr>
          <w:trHeight w:val="213"/>
        </w:trPr>
        <w:tc>
          <w:tcPr>
            <w:tcW w:w="33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Tax effect</w:t>
            </w:r>
          </w:p>
        </w:tc>
        <w:tc>
          <w:tcPr>
            <w:tcW w:w="7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8"/>
                <w:szCs w:val="18"/>
                <w:color w:val="auto"/>
              </w:rPr>
            </w:pPr>
          </w:p>
        </w:tc>
        <w:tc>
          <w:tcPr>
            <w:tcW w:w="32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Increase to provision for income taxes</w:t>
            </w: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Recognized within net income, net of taxes</w:t>
            </w:r>
          </w:p>
        </w:tc>
        <w:tc>
          <w:tcPr>
            <w:tcW w:w="740" w:type="dxa"/>
            <w:vAlign w:val="bottom"/>
            <w:shd w:val="clear" w:color="auto" w:fill="CCEEFF"/>
          </w:tcPr>
          <w:p>
            <w:pPr>
              <w:jc w:val="right"/>
              <w:ind w:right="582"/>
              <w:spacing w:after="0"/>
              <w:rPr>
                <w:sz w:val="20"/>
                <w:szCs w:val="20"/>
                <w:color w:val="auto"/>
              </w:rPr>
            </w:pPr>
            <w:r>
              <w:rPr>
                <w:rFonts w:ascii="Arial" w:cs="Arial" w:eastAsia="Arial" w:hAnsi="Arial"/>
                <w:sz w:val="15"/>
                <w:szCs w:val="15"/>
                <w:b w:val="1"/>
                <w:bCs w:val="1"/>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w w:val="89"/>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w:t>
            </w:r>
          </w:p>
        </w:tc>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Increase to net income</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860" w:hanging="852"/>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Detailed in Note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compensation</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Total shares of 3,264,965 and 8,976,983 were issued from treasury shares during the second quarter and first six months of 2019, respectively, related to stock compensation.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design, make and sell semiconductors to electronics designers and manufacturers all over the world. Our business model is designed around the following four sustainable competitive advantages that we believe, in combination, put us in a unique class of companies:</w:t>
      </w:r>
    </w:p>
    <w:p>
      <w:pPr>
        <w:spacing w:after="0" w:line="170" w:lineRule="exact"/>
        <w:rPr>
          <w:sz w:val="20"/>
          <w:szCs w:val="20"/>
          <w:color w:val="auto"/>
        </w:rPr>
      </w:pPr>
    </w:p>
    <w:p>
      <w:pPr>
        <w:ind w:left="1040" w:hanging="519"/>
        <w:spacing w:after="0" w:line="255"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A strong foundation of manufacturing and technology. </w:t>
      </w:r>
      <w:r>
        <w:rPr>
          <w:rFonts w:ascii="Arial" w:cs="Arial" w:eastAsia="Arial" w:hAnsi="Arial"/>
          <w:sz w:val="18"/>
          <w:szCs w:val="18"/>
          <w:color w:val="auto"/>
        </w:rPr>
        <w:t>We invest in manufacturing technologies and do most of our manufacturing in-house.</w:t>
      </w:r>
      <w:r>
        <w:rPr>
          <w:rFonts w:ascii="Arial" w:cs="Arial" w:eastAsia="Arial" w:hAnsi="Arial"/>
          <w:sz w:val="18"/>
          <w:szCs w:val="18"/>
          <w:i w:val="1"/>
          <w:iCs w:val="1"/>
          <w:color w:val="auto"/>
        </w:rPr>
        <w:t xml:space="preserve"> </w:t>
      </w:r>
      <w:r>
        <w:rPr>
          <w:rFonts w:ascii="Arial" w:cs="Arial" w:eastAsia="Arial" w:hAnsi="Arial"/>
          <w:sz w:val="18"/>
          <w:szCs w:val="18"/>
          <w:color w:val="auto"/>
        </w:rPr>
        <w:t>This strategic decision to directly control our manufacturing helps ensure a consistent supply of products for our customers and also allows us to invest in technology that differentiates the features of our products. We have focused on creating a competitive manufacturing cost advantage by investing in our advanced analog 300-millimeter capacity, which has about a 40% cost advantage per unpackaged chip over 200-millimeter. To strengthen this advantage, we are planning our next phase of 300-millimeter capacity expansion as 300-millimeter wafers will continue to support the majority of our Analog growth.</w:t>
      </w:r>
    </w:p>
    <w:p>
      <w:pPr>
        <w:spacing w:after="0" w:line="85" w:lineRule="exact"/>
        <w:rPr>
          <w:rFonts w:ascii="Arial" w:cs="Arial" w:eastAsia="Arial" w:hAnsi="Arial"/>
          <w:sz w:val="18"/>
          <w:szCs w:val="18"/>
          <w:color w:val="auto"/>
        </w:rPr>
      </w:pPr>
    </w:p>
    <w:p>
      <w:pPr>
        <w:ind w:left="1040" w:right="220" w:hanging="519"/>
        <w:spacing w:after="0" w:line="259"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Broad portfolio of differentiated analog and embedded processing semiconductors. </w:t>
      </w:r>
      <w:r>
        <w:rPr>
          <w:rFonts w:ascii="Arial" w:cs="Arial" w:eastAsia="Arial" w:hAnsi="Arial"/>
          <w:sz w:val="18"/>
          <w:szCs w:val="18"/>
          <w:color w:val="auto"/>
        </w:rPr>
        <w:t>Our customers need multiple chips for their systems. The</w:t>
      </w:r>
      <w:r>
        <w:rPr>
          <w:rFonts w:ascii="Arial" w:cs="Arial" w:eastAsia="Arial" w:hAnsi="Arial"/>
          <w:sz w:val="18"/>
          <w:szCs w:val="18"/>
          <w:i w:val="1"/>
          <w:iCs w:val="1"/>
          <w:color w:val="auto"/>
        </w:rPr>
        <w:t xml:space="preserve"> </w:t>
      </w:r>
      <w:r>
        <w:rPr>
          <w:rFonts w:ascii="Arial" w:cs="Arial" w:eastAsia="Arial" w:hAnsi="Arial"/>
          <w:sz w:val="18"/>
          <w:szCs w:val="18"/>
          <w:color w:val="auto"/>
        </w:rPr>
        <w:t>breadth of our portfolio means we can meet more of these needs than our competitors can, which gives us access to more customers and the opportunity to sell more products and generate more revenue per customer system. We invest more than $1 billion each year to develop new products for our portfolio, which includes tens of thousands of products.</w:t>
      </w:r>
    </w:p>
    <w:p>
      <w:pPr>
        <w:spacing w:after="0" w:line="78" w:lineRule="exact"/>
        <w:rPr>
          <w:rFonts w:ascii="Arial" w:cs="Arial" w:eastAsia="Arial" w:hAnsi="Arial"/>
          <w:sz w:val="18"/>
          <w:szCs w:val="18"/>
          <w:color w:val="auto"/>
        </w:rPr>
      </w:pPr>
    </w:p>
    <w:p>
      <w:pPr>
        <w:ind w:left="1040" w:right="100" w:hanging="519"/>
        <w:spacing w:after="0" w:line="259"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Broadest reach of market channels. </w:t>
      </w:r>
      <w:r>
        <w:rPr>
          <w:rFonts w:ascii="Arial" w:cs="Arial" w:eastAsia="Arial" w:hAnsi="Arial"/>
          <w:sz w:val="18"/>
          <w:szCs w:val="18"/>
          <w:color w:val="auto"/>
        </w:rPr>
        <w:t>Customers often begin their initial product selection process and design-in journey on our website,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breadth of our portfolio attracts more customers to our website than any of our competitors’ websites. Our web presence, combined with our global sales force that is also greater in size than those of our competitors, are advantages that give us unique access to about 100,000 customers designing TI semiconductors into their end products.</w:t>
      </w:r>
    </w:p>
    <w:p>
      <w:pPr>
        <w:spacing w:after="0" w:line="78" w:lineRule="exact"/>
        <w:rPr>
          <w:rFonts w:ascii="Arial" w:cs="Arial" w:eastAsia="Arial" w:hAnsi="Arial"/>
          <w:sz w:val="18"/>
          <w:szCs w:val="18"/>
          <w:color w:val="auto"/>
        </w:rPr>
      </w:pPr>
    </w:p>
    <w:p>
      <w:pPr>
        <w:ind w:left="1040" w:right="60" w:hanging="519"/>
        <w:spacing w:after="0" w:line="312" w:lineRule="auto"/>
        <w:tabs>
          <w:tab w:leader="none" w:pos="104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Diversity and longevity of our products, markets and customer positions. </w:t>
      </w:r>
      <w:r>
        <w:rPr>
          <w:rFonts w:ascii="Arial" w:cs="Arial" w:eastAsia="Arial" w:hAnsi="Arial"/>
          <w:sz w:val="16"/>
          <w:szCs w:val="16"/>
          <w:color w:val="auto"/>
        </w:rPr>
        <w:t>Together, the attributes above result in diverse and long-lived</w:t>
      </w:r>
      <w:r>
        <w:rPr>
          <w:rFonts w:ascii="Arial" w:cs="Arial" w:eastAsia="Arial" w:hAnsi="Arial"/>
          <w:sz w:val="16"/>
          <w:szCs w:val="16"/>
          <w:i w:val="1"/>
          <w:iCs w:val="1"/>
          <w:color w:val="auto"/>
        </w:rPr>
        <w:t xml:space="preserve"> </w:t>
      </w:r>
      <w:r>
        <w:rPr>
          <w:rFonts w:ascii="Arial" w:cs="Arial" w:eastAsia="Arial" w:hAnsi="Arial"/>
          <w:sz w:val="16"/>
          <w:szCs w:val="16"/>
          <w:color w:val="auto"/>
        </w:rPr>
        <w:t>positions that deliver high terminal value to our shareholders. Because of the breadth of our portfolio, we are not dependent on any single product, customer, technology or market. Some of our products generate revenue for decades, which strengthens the return on our investments.</w:t>
      </w:r>
    </w:p>
    <w:p>
      <w:pPr>
        <w:spacing w:after="0" w:line="14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strategic focus, and where we invest the majority of our resources, is on Analog and Embedded Processing, with a particular emphasis on designing and selling those products into the industrial and automotive markets, which we believe represent the best growth opportunities. Analog and embedded processing products sold into industrial and automotive markets provide long product life cycles, intrinsic diversity and less capital-intensive manufacturing, which we believe offer stability, profitability and strong cash generation. This business model is the foundation of our capital management strategy, which is based on our belief that free cash flow growth, especially on a per-share basis, is important for maximizing shareholder value over the long term. We also believe that free cash flow will be valued only if it is productively invested in the business or returned to shareholders.</w:t>
      </w:r>
    </w:p>
    <w:p>
      <w:pPr>
        <w:spacing w:after="0" w:line="178"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combined effect of these sustainable competitive advantages is that over time we have gained market share in Analog and Embedded Processing and have grown free cash flow. Our business model puts us in a unique class of companies with the ability to grow, generate cash and return that cash to shareholders.</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Management’s discussion and analysis of financial condition and results of operations (MD&amp;A) should be read in conjunction with the financial statements and the related notes that appear elsewhere in this document. In the following discussion of our results of operations:</w:t>
      </w:r>
    </w:p>
    <w:p>
      <w:pPr>
        <w:spacing w:after="0" w:line="170" w:lineRule="exact"/>
        <w:rPr>
          <w:sz w:val="20"/>
          <w:szCs w:val="20"/>
          <w:color w:val="auto"/>
        </w:rPr>
      </w:pPr>
    </w:p>
    <w:p>
      <w:pPr>
        <w:ind w:left="1040" w:right="120" w:hanging="519"/>
        <w:spacing w:after="0" w:line="264"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segments represent groups of similar products that are combined on the basis of similar design and development requirements, product characteristics, manufacturing processes and distribution channels, and how management allocates resources and measures results. See Note 1 to the financial statements for more information regarding our segments.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When we discuss our results:</w:t>
      </w:r>
    </w:p>
    <w:p>
      <w:pPr>
        <w:spacing w:after="0" w:line="117" w:lineRule="exact"/>
        <w:rPr>
          <w:sz w:val="20"/>
          <w:szCs w:val="20"/>
          <w:color w:val="auto"/>
        </w:rPr>
      </w:pPr>
    </w:p>
    <w:p>
      <w:pPr>
        <w:ind w:left="1520" w:right="120" w:hanging="378"/>
        <w:spacing w:after="0" w:line="259" w:lineRule="auto"/>
        <w:tabs>
          <w:tab w:leader="none" w:pos="1520" w:val="left"/>
        </w:tabs>
        <w:numPr>
          <w:ilvl w:val="0"/>
          <w:numId w:val="18"/>
        </w:numPr>
        <w:rPr>
          <w:rFonts w:ascii="Courier New" w:cs="Courier New" w:eastAsia="Courier New" w:hAnsi="Courier New"/>
          <w:sz w:val="18"/>
          <w:szCs w:val="18"/>
          <w:color w:val="auto"/>
        </w:rPr>
      </w:pPr>
      <w:r>
        <w:rPr>
          <w:rFonts w:ascii="Arial" w:cs="Arial" w:eastAsia="Arial" w:hAnsi="Arial"/>
          <w:sz w:val="18"/>
          <w:szCs w:val="18"/>
          <w:color w:val="auto"/>
        </w:rPr>
        <w:t>Unless otherwise noted, changes in our revenue are attributable to changes in customer demand, which are evidenced by fluctuations in shipment volumes.</w:t>
      </w:r>
    </w:p>
    <w:p>
      <w:pPr>
        <w:spacing w:after="0" w:line="76" w:lineRule="exact"/>
        <w:rPr>
          <w:rFonts w:ascii="Courier New" w:cs="Courier New" w:eastAsia="Courier New" w:hAnsi="Courier New"/>
          <w:sz w:val="18"/>
          <w:szCs w:val="18"/>
          <w:color w:val="auto"/>
        </w:rPr>
      </w:pPr>
    </w:p>
    <w:p>
      <w:pPr>
        <w:ind w:left="1520" w:hanging="378"/>
        <w:spacing w:after="0"/>
        <w:tabs>
          <w:tab w:leader="none" w:pos="1520" w:val="left"/>
        </w:tabs>
        <w:numPr>
          <w:ilvl w:val="0"/>
          <w:numId w:val="18"/>
        </w:numPr>
        <w:rPr>
          <w:rFonts w:ascii="Courier New" w:cs="Courier New" w:eastAsia="Courier New" w:hAnsi="Courier New"/>
          <w:sz w:val="16"/>
          <w:szCs w:val="16"/>
          <w:color w:val="auto"/>
        </w:rPr>
      </w:pPr>
      <w:r>
        <w:rPr>
          <w:rFonts w:ascii="Arial" w:cs="Arial" w:eastAsia="Arial" w:hAnsi="Arial"/>
          <w:sz w:val="16"/>
          <w:szCs w:val="16"/>
          <w:color w:val="auto"/>
        </w:rPr>
        <w:t>New products tend not to have a significant impact on our revenue in any given period because we sell such a large number of products.</w:t>
      </w:r>
    </w:p>
    <w:p>
      <w:pPr>
        <w:spacing w:after="0" w:line="126" w:lineRule="exact"/>
        <w:rPr>
          <w:rFonts w:ascii="Courier New" w:cs="Courier New" w:eastAsia="Courier New" w:hAnsi="Courier New"/>
          <w:sz w:val="16"/>
          <w:szCs w:val="16"/>
          <w:color w:val="auto"/>
        </w:rPr>
      </w:pPr>
    </w:p>
    <w:p>
      <w:pPr>
        <w:ind w:left="1520" w:right="40" w:hanging="378"/>
        <w:spacing w:after="0" w:line="259" w:lineRule="auto"/>
        <w:tabs>
          <w:tab w:leader="none" w:pos="1520" w:val="left"/>
        </w:tabs>
        <w:numPr>
          <w:ilvl w:val="0"/>
          <w:numId w:val="18"/>
        </w:numPr>
        <w:rPr>
          <w:rFonts w:ascii="Courier New" w:cs="Courier New" w:eastAsia="Courier New" w:hAnsi="Courier New"/>
          <w:sz w:val="18"/>
          <w:szCs w:val="18"/>
          <w:color w:val="auto"/>
        </w:rPr>
      </w:pPr>
      <w:r>
        <w:rPr>
          <w:rFonts w:ascii="Arial" w:cs="Arial" w:eastAsia="Arial" w:hAnsi="Arial"/>
          <w:sz w:val="18"/>
          <w:szCs w:val="18"/>
          <w:color w:val="auto"/>
        </w:rPr>
        <w:t>From time to time, our revenue and gross profit are affected by changes in demand for higher-priced or lower-priced products, which we refer to as changes in the “mix” of products shipped.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6" w:name="page17"/>
    <w:bookmarkEnd w:id="16"/>
    <w:p>
      <w:pPr>
        <w:ind w:left="1520" w:right="160" w:hanging="378"/>
        <w:spacing w:after="0" w:line="272" w:lineRule="auto"/>
        <w:tabs>
          <w:tab w:leader="none" w:pos="1520" w:val="left"/>
        </w:tabs>
        <w:numPr>
          <w:ilvl w:val="1"/>
          <w:numId w:val="19"/>
        </w:numPr>
        <w:rPr>
          <w:rFonts w:ascii="Courier New" w:cs="Courier New" w:eastAsia="Courier New" w:hAnsi="Courier New"/>
          <w:sz w:val="17"/>
          <w:szCs w:val="17"/>
          <w:color w:val="auto"/>
        </w:rPr>
      </w:pPr>
      <w:r>
        <w:rPr>
          <w:rFonts w:ascii="Arial" w:cs="Arial" w:eastAsia="Arial" w:hAnsi="Arial"/>
          <w:sz w:val="17"/>
          <w:szCs w:val="17"/>
          <w:color w:val="auto"/>
        </w:rPr>
        <w:t>Because we own much of our manufacturing capacity, a significant portion of our operating cost is fixed. When factory loadings decrease, our fixed costs are spread over reduced output and, absent other circumstances, our profit margins decrease. Conversely, as factory loadings increase, our fixed costs are spread over increased output and, absent other circumstances, our profit margins increase. Increases and decreases in factory loadings tend to correspond to increases and decreases in demand.</w:t>
      </w:r>
    </w:p>
    <w:p>
      <w:pPr>
        <w:spacing w:after="0" w:line="69" w:lineRule="exact"/>
        <w:rPr>
          <w:rFonts w:ascii="Courier New" w:cs="Courier New" w:eastAsia="Courier New" w:hAnsi="Courier New"/>
          <w:sz w:val="17"/>
          <w:szCs w:val="17"/>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dollar amounts in the tables are stated in millions of U.S. dollars.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second quarter revenue was $3.67 billion, net income was $1.31 billion and earnings per share (EPS) were $1.36.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decreased 9% from the same quarter a year ago due to broad-based weakness.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our core businesses, Analog revenue declined 6% and Embedded Processing declined 16% from the same quarter a year ago.</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cash flow from operations of $7.2 billion for the trailing 12 months again underscored the strength of our business model. Free cash flow for the trailing 12 months was $5.9 billion and 39% of revenue. This reflects the quality of our product portfolio, as well as the efficiency of our manufacturing strategy, including the benefit of 300-millimeter Analog production.</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returned $8.0 billion to shareholders in the past 12 months through stock repurchases and dividends. Our strategy is to return all our free cash flow to shareholders. Over the last 12 months, our dividends represented 47% of free cash flow, underscoring their sustainability.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expect our annual operating tax rate to be about 16% in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an explanation of free cash flow and the term “annual operating tax rate,” see the Non-GAAP financial information section.</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 – second quarter 2019 compared with second quarter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Revenue of $3.67 billion decreased $349 million, or 9%, primarily due to lower revenue from Analog and Embedded Processing.</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Gross profit of $2.36 billion was down $259 million, or 10%, due to lower revenue. As a percentage of revenue, gross profit decreased to 64.3% from 65.2%.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(R&amp;D and SG&amp;A) were $810 million compared with $825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Acquisition charges of $80 million were non-cash. See Note 5 to the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charges/other was a credit of $36 million due to the sale of our manufacturing facility in Greenock, Scotland.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$1.51 billion, or 41.1% of revenue, compared with $1.71 billion, or 42.6%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OI&amp;E was $52 million of income compared with $24 million of income, which increased primarily due to investment gains and tax-related items.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and debt expense of $44 million increased $14 million due to the issuance of additional long-term debt.</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provision for income taxes was $209 million compared with $301 million. The decrease was due to a lower annual operating tax rate and lower income before income taxes. Our annual operating tax rate, which does not include discrete tax items, is about 16% compared with 20% in 2018. We use “annual operating tax rate” to describe the estimated annual effective tax rate. The 2019 rate differs from the 21% U.S. statutory corporate tax rate due to the effect of U.S. tax benefits.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$1.31 billion compared with $1.41 billion. EPS was $1.36 compared with $1.40.</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Second quarter 2019 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segment results compared with the year-ago quarter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 (includes Power, Signal Chain and High Volume product lines)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2Q19</w:t>
            </w:r>
          </w:p>
        </w:tc>
        <w:tc>
          <w:tcPr>
            <w:tcW w:w="3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2Q18</w:t>
            </w:r>
          </w:p>
        </w:tc>
        <w:tc>
          <w:tcPr>
            <w:tcW w:w="3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Change</w:t>
            </w:r>
          </w:p>
        </w:tc>
        <w:tc>
          <w:tcPr>
            <w:tcW w:w="200" w:type="dxa"/>
            <w:vAlign w:val="bottom"/>
            <w:tcBorders>
              <w:bottom w:val="single" w:sz="8" w:color="CCEEFF"/>
            </w:tcBorders>
          </w:tcPr>
          <w:p>
            <w:pPr>
              <w:spacing w:after="0"/>
              <w:rPr>
                <w:sz w:val="18"/>
                <w:szCs w:val="18"/>
                <w:color w:val="auto"/>
              </w:rPr>
            </w:pPr>
          </w:p>
        </w:tc>
      </w:tr>
      <w:tr>
        <w:trPr>
          <w:trHeight w:val="212"/>
        </w:trPr>
        <w:tc>
          <w:tcPr>
            <w:tcW w:w="740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2,534</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2,690</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r>
      <w:tr>
        <w:trPr>
          <w:trHeight w:val="213"/>
        </w:trPr>
        <w:tc>
          <w:tcPr>
            <w:tcW w:w="7400" w:type="dxa"/>
            <w:vAlign w:val="bottom"/>
          </w:tcPr>
          <w:p>
            <w:pPr>
              <w:spacing w:after="0"/>
              <w:rPr>
                <w:sz w:val="20"/>
                <w:szCs w:val="20"/>
                <w:color w:val="auto"/>
              </w:rPr>
            </w:pPr>
            <w:r>
              <w:rPr>
                <w:rFonts w:ascii="Arial" w:cs="Arial" w:eastAsia="Arial" w:hAnsi="Arial"/>
                <w:sz w:val="16"/>
                <w:szCs w:val="16"/>
                <w:color w:val="auto"/>
              </w:rPr>
              <w:t>Operating profit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1,108</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1,263</w:t>
            </w:r>
          </w:p>
        </w:tc>
        <w:tc>
          <w:tcPr>
            <w:tcW w:w="3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(12)%</w:t>
            </w:r>
          </w:p>
        </w:tc>
      </w:tr>
      <w:tr>
        <w:trPr>
          <w:trHeight w:val="219"/>
        </w:trPr>
        <w:tc>
          <w:tcPr>
            <w:tcW w:w="7400" w:type="dxa"/>
            <w:vAlign w:val="bottom"/>
            <w:shd w:val="clear" w:color="auto" w:fill="CCEEFF"/>
          </w:tcPr>
          <w:p>
            <w:pPr>
              <w:spacing w:after="0"/>
              <w:rPr>
                <w:sz w:val="20"/>
                <w:szCs w:val="20"/>
                <w:color w:val="auto"/>
              </w:rPr>
            </w:pPr>
            <w:r>
              <w:rPr>
                <w:rFonts w:ascii="Arial" w:cs="Arial" w:eastAsia="Arial" w:hAnsi="Arial"/>
                <w:sz w:val="16"/>
                <w:szCs w:val="16"/>
                <w:color w:val="auto"/>
              </w:rPr>
              <w:t>Operating profit % of revenue</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43.7%</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47.0%</w:t>
            </w: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Analog revenue decreased due to High Volume, Power and, to a lesser extent, Signal Chain. Operating profit decreased primarily due to lower revenue and associated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 (includes Connected Microcontrollers and Processors product lines)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2Q19</w:t>
            </w:r>
          </w:p>
        </w:tc>
        <w:tc>
          <w:tcPr>
            <w:tcW w:w="320" w:type="dxa"/>
            <w:vAlign w:val="bottom"/>
            <w:tcBorders>
              <w:bottom w:val="single" w:sz="8" w:color="auto"/>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2Q18</w:t>
            </w:r>
          </w:p>
        </w:tc>
        <w:tc>
          <w:tcPr>
            <w:tcW w:w="320" w:type="dxa"/>
            <w:vAlign w:val="bottom"/>
            <w:tcBorders>
              <w:bottom w:val="single" w:sz="8" w:color="auto"/>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Change</w:t>
            </w:r>
          </w:p>
        </w:tc>
        <w:tc>
          <w:tcPr>
            <w:tcW w:w="200" w:type="dxa"/>
            <w:vAlign w:val="bottom"/>
            <w:tcBorders>
              <w:bottom w:val="single" w:sz="8" w:color="CCEEFF"/>
            </w:tcBorders>
          </w:tcPr>
          <w:p>
            <w:pPr>
              <w:spacing w:after="0"/>
              <w:rPr>
                <w:sz w:val="18"/>
                <w:szCs w:val="18"/>
                <w:color w:val="auto"/>
              </w:rPr>
            </w:pPr>
          </w:p>
        </w:tc>
      </w:tr>
      <w:tr>
        <w:trPr>
          <w:trHeight w:val="212"/>
        </w:trPr>
        <w:tc>
          <w:tcPr>
            <w:tcW w:w="740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720" w:type="dxa"/>
            <w:vAlign w:val="bottom"/>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790</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r>
      <w:tr>
        <w:trPr>
          <w:trHeight w:val="213"/>
        </w:trPr>
        <w:tc>
          <w:tcPr>
            <w:tcW w:w="7400" w:type="dxa"/>
            <w:vAlign w:val="bottom"/>
          </w:tcPr>
          <w:p>
            <w:pPr>
              <w:spacing w:after="0"/>
              <w:rPr>
                <w:sz w:val="20"/>
                <w:szCs w:val="20"/>
                <w:color w:val="auto"/>
              </w:rPr>
            </w:pPr>
            <w:r>
              <w:rPr>
                <w:rFonts w:ascii="Arial" w:cs="Arial" w:eastAsia="Arial" w:hAnsi="Arial"/>
                <w:sz w:val="16"/>
                <w:szCs w:val="16"/>
                <w:color w:val="auto"/>
              </w:rPr>
              <w:t>Operating profit</w:t>
            </w:r>
          </w:p>
        </w:tc>
        <w:tc>
          <w:tcPr>
            <w:tcW w:w="7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265</w:t>
            </w: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334</w:t>
            </w:r>
          </w:p>
        </w:tc>
        <w:tc>
          <w:tcPr>
            <w:tcW w:w="3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(21)%</w:t>
            </w:r>
          </w:p>
        </w:tc>
      </w:tr>
      <w:tr>
        <w:trPr>
          <w:trHeight w:val="219"/>
        </w:trPr>
        <w:tc>
          <w:tcPr>
            <w:tcW w:w="7400" w:type="dxa"/>
            <w:vAlign w:val="bottom"/>
            <w:shd w:val="clear" w:color="auto" w:fill="CCEEFF"/>
          </w:tcPr>
          <w:p>
            <w:pPr>
              <w:spacing w:after="0"/>
              <w:rPr>
                <w:sz w:val="20"/>
                <w:szCs w:val="20"/>
                <w:color w:val="auto"/>
              </w:rPr>
            </w:pPr>
            <w:r>
              <w:rPr>
                <w:rFonts w:ascii="Arial" w:cs="Arial" w:eastAsia="Arial" w:hAnsi="Arial"/>
                <w:sz w:val="16"/>
                <w:szCs w:val="16"/>
                <w:color w:val="auto"/>
              </w:rPr>
              <w:t>Operating profit % of revenue</w:t>
            </w:r>
          </w:p>
        </w:tc>
        <w:tc>
          <w:tcPr>
            <w:tcW w:w="7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33.5%</w:t>
            </w:r>
          </w:p>
        </w:tc>
        <w:tc>
          <w:tcPr>
            <w:tcW w:w="7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6"/>
              </w:rPr>
              <w:t>35.4%</w:t>
            </w: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bl>
    <w:p>
      <w:pPr>
        <w:spacing w:after="0" w:line="20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Embedded Processing revenue decreased in Processors and Connected Microcontrollers. Operating profit decreased due to lower revenue and associated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(includes DLP</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products, calculators and custom ASIC products)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2Q19</w:t>
            </w:r>
          </w:p>
        </w:tc>
        <w:tc>
          <w:tcPr>
            <w:tcW w:w="320" w:type="dxa"/>
            <w:vAlign w:val="bottom"/>
            <w:tcBorders>
              <w:bottom w:val="single" w:sz="8" w:color="auto"/>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2Q18</w:t>
            </w:r>
          </w:p>
        </w:tc>
        <w:tc>
          <w:tcPr>
            <w:tcW w:w="320" w:type="dxa"/>
            <w:vAlign w:val="bottom"/>
            <w:tcBorders>
              <w:bottom w:val="single" w:sz="8" w:color="auto"/>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Change</w:t>
            </w:r>
          </w:p>
        </w:tc>
        <w:tc>
          <w:tcPr>
            <w:tcW w:w="200" w:type="dxa"/>
            <w:vAlign w:val="bottom"/>
            <w:tcBorders>
              <w:bottom w:val="single" w:sz="8" w:color="CCEEFF"/>
            </w:tcBorders>
          </w:tcPr>
          <w:p>
            <w:pPr>
              <w:spacing w:after="0"/>
              <w:rPr>
                <w:sz w:val="18"/>
                <w:szCs w:val="18"/>
                <w:color w:val="auto"/>
              </w:rPr>
            </w:pPr>
          </w:p>
        </w:tc>
      </w:tr>
      <w:tr>
        <w:trPr>
          <w:trHeight w:val="213"/>
        </w:trPr>
        <w:tc>
          <w:tcPr>
            <w:tcW w:w="740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720" w:type="dxa"/>
            <w:vAlign w:val="bottom"/>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344</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r>
      <w:tr>
        <w:trPr>
          <w:trHeight w:val="213"/>
        </w:trPr>
        <w:tc>
          <w:tcPr>
            <w:tcW w:w="7400" w:type="dxa"/>
            <w:vAlign w:val="bottom"/>
          </w:tcPr>
          <w:p>
            <w:pPr>
              <w:spacing w:after="0"/>
              <w:rPr>
                <w:sz w:val="20"/>
                <w:szCs w:val="20"/>
                <w:color w:val="auto"/>
              </w:rPr>
            </w:pPr>
            <w:r>
              <w:rPr>
                <w:rFonts w:ascii="Arial" w:cs="Arial" w:eastAsia="Arial" w:hAnsi="Arial"/>
                <w:sz w:val="16"/>
                <w:szCs w:val="16"/>
                <w:color w:val="auto"/>
              </w:rPr>
              <w:t>Operating profit*</w:t>
            </w:r>
          </w:p>
        </w:tc>
        <w:tc>
          <w:tcPr>
            <w:tcW w:w="7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133</w:t>
            </w: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115</w:t>
            </w:r>
          </w:p>
        </w:tc>
        <w:tc>
          <w:tcPr>
            <w:tcW w:w="3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16%</w:t>
            </w:r>
          </w:p>
        </w:tc>
      </w:tr>
      <w:tr>
        <w:trPr>
          <w:trHeight w:val="219"/>
        </w:trPr>
        <w:tc>
          <w:tcPr>
            <w:tcW w:w="7400" w:type="dxa"/>
            <w:vAlign w:val="bottom"/>
            <w:shd w:val="clear" w:color="auto" w:fill="CCEEFF"/>
          </w:tcPr>
          <w:p>
            <w:pPr>
              <w:spacing w:after="0"/>
              <w:rPr>
                <w:sz w:val="20"/>
                <w:szCs w:val="20"/>
                <w:color w:val="auto"/>
              </w:rPr>
            </w:pPr>
            <w:r>
              <w:rPr>
                <w:rFonts w:ascii="Arial" w:cs="Arial" w:eastAsia="Arial" w:hAnsi="Arial"/>
                <w:sz w:val="16"/>
                <w:szCs w:val="16"/>
                <w:color w:val="auto"/>
              </w:rPr>
              <w:t>Operating profit % of revenue</w:t>
            </w:r>
          </w:p>
        </w:tc>
        <w:tc>
          <w:tcPr>
            <w:tcW w:w="7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38.7%</w:t>
            </w:r>
          </w:p>
        </w:tc>
        <w:tc>
          <w:tcPr>
            <w:tcW w:w="7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6"/>
              </w:rPr>
              <w:t>29.9%</w:t>
            </w: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 Includes acquisition charges and restructuring charges/other</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Other revenue decreased by $40 million. Operating profit increased by $18 million.</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 – first six months of 2019 compared with first six months of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Revenue of $7.26 billion decreased $544 million, or 7%, due to lower revenue from Embedded Processing and, to a lesser extent, Analog.</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Gross profit of $4.62 billion was down $445 million, or 9%, primarily due to lower revenue. As a percentage of revenue, gross profit decreased to 63.6% from 64.9%.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were $1.61 billion compared with $1.64 billion.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Acquisition charges of $159 million were non-cash. See Note 5 to the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charges/other was a credit of $36 million due to the sale of our manufacturing facility in Greenock, Scotland.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$2.89 billion, or 39.7% of revenue, compared with $3.26 billion, or 41.8%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OI&amp;E was $88 million of income compared with $52 million of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and debt expense of $82 million increased $29 million due to the issuance of additional long-term debt.</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provision for income taxes was $369 million compared with $488 million. The decrease was due to a lower annual operating tax rate and lower income before income taxes, partially offset by a reduction of discrete tax benefits.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$2.52 billion compared with $2.77 billion. EPS was $2.63 compared with $2.75.</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Year-to-date 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segment results compared with the year-ago period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b w:val="1"/>
                <w:bCs w:val="1"/>
                <w:color w:val="auto"/>
              </w:rPr>
              <w:t>YTD 2019</w:t>
            </w:r>
          </w:p>
        </w:tc>
        <w:tc>
          <w:tcPr>
            <w:tcW w:w="36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b w:val="1"/>
                <w:bCs w:val="1"/>
                <w:color w:val="auto"/>
              </w:rPr>
              <w:t>YTD 2018</w:t>
            </w:r>
          </w:p>
        </w:tc>
        <w:tc>
          <w:tcPr>
            <w:tcW w:w="3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Change</w:t>
            </w:r>
          </w:p>
        </w:tc>
        <w:tc>
          <w:tcPr>
            <w:tcW w:w="200" w:type="dxa"/>
            <w:vAlign w:val="bottom"/>
            <w:tcBorders>
              <w:bottom w:val="single" w:sz="8" w:color="CCEEFF"/>
            </w:tcBorders>
          </w:tcPr>
          <w:p>
            <w:pPr>
              <w:spacing w:after="0"/>
              <w:rPr>
                <w:sz w:val="18"/>
                <w:szCs w:val="18"/>
                <w:color w:val="auto"/>
              </w:rPr>
            </w:pPr>
          </w:p>
        </w:tc>
      </w:tr>
      <w:tr>
        <w:trPr>
          <w:trHeight w:val="213"/>
        </w:trPr>
        <w:tc>
          <w:tcPr>
            <w:tcW w:w="740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5,052</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5,256</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r>
      <w:tr>
        <w:trPr>
          <w:trHeight w:val="213"/>
        </w:trPr>
        <w:tc>
          <w:tcPr>
            <w:tcW w:w="7400" w:type="dxa"/>
            <w:vAlign w:val="bottom"/>
          </w:tcPr>
          <w:p>
            <w:pPr>
              <w:spacing w:after="0"/>
              <w:rPr>
                <w:sz w:val="20"/>
                <w:szCs w:val="20"/>
                <w:color w:val="auto"/>
              </w:rPr>
            </w:pPr>
            <w:r>
              <w:rPr>
                <w:rFonts w:ascii="Arial" w:cs="Arial" w:eastAsia="Arial" w:hAnsi="Arial"/>
                <w:sz w:val="16"/>
                <w:szCs w:val="16"/>
                <w:color w:val="auto"/>
              </w:rPr>
              <w:t>Operating profit</w:t>
            </w: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2,196</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2,429</w:t>
            </w:r>
          </w:p>
        </w:tc>
        <w:tc>
          <w:tcPr>
            <w:tcW w:w="3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(10)%</w:t>
            </w:r>
          </w:p>
        </w:tc>
      </w:tr>
      <w:tr>
        <w:trPr>
          <w:trHeight w:val="219"/>
        </w:trPr>
        <w:tc>
          <w:tcPr>
            <w:tcW w:w="7400" w:type="dxa"/>
            <w:vAlign w:val="bottom"/>
            <w:shd w:val="clear" w:color="auto" w:fill="CCEEFF"/>
          </w:tcPr>
          <w:p>
            <w:pPr>
              <w:spacing w:after="0"/>
              <w:rPr>
                <w:sz w:val="20"/>
                <w:szCs w:val="20"/>
                <w:color w:val="auto"/>
              </w:rPr>
            </w:pPr>
            <w:r>
              <w:rPr>
                <w:rFonts w:ascii="Arial" w:cs="Arial" w:eastAsia="Arial" w:hAnsi="Arial"/>
                <w:sz w:val="16"/>
                <w:szCs w:val="16"/>
                <w:color w:val="auto"/>
              </w:rPr>
              <w:t>Operating profit % of revenue</w:t>
            </w:r>
          </w:p>
        </w:tc>
        <w:tc>
          <w:tcPr>
            <w:tcW w:w="4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43.5%</w:t>
            </w:r>
          </w:p>
        </w:tc>
        <w:tc>
          <w:tcPr>
            <w:tcW w:w="4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46.2%</w:t>
            </w: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Analog revenue decreased due to High Volume and, to a lesser extent, Power. Signal Chain revenue was about even, despite a change in the mix of products shipped. Operating profit decreased primarily due to lower revenue and associated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b w:val="1"/>
                <w:bCs w:val="1"/>
                <w:color w:val="auto"/>
              </w:rPr>
              <w:t>YTD 2019</w:t>
            </w:r>
          </w:p>
        </w:tc>
        <w:tc>
          <w:tcPr>
            <w:tcW w:w="36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b w:val="1"/>
                <w:bCs w:val="1"/>
                <w:color w:val="auto"/>
              </w:rPr>
              <w:t>YTD 2018</w:t>
            </w:r>
          </w:p>
        </w:tc>
        <w:tc>
          <w:tcPr>
            <w:tcW w:w="3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Change</w:t>
            </w:r>
          </w:p>
        </w:tc>
        <w:tc>
          <w:tcPr>
            <w:tcW w:w="200" w:type="dxa"/>
            <w:vAlign w:val="bottom"/>
            <w:tcBorders>
              <w:bottom w:val="single" w:sz="8" w:color="CCEEFF"/>
            </w:tcBorders>
          </w:tcPr>
          <w:p>
            <w:pPr>
              <w:spacing w:after="0"/>
              <w:rPr>
                <w:sz w:val="18"/>
                <w:szCs w:val="18"/>
                <w:color w:val="auto"/>
              </w:rPr>
            </w:pPr>
          </w:p>
        </w:tc>
      </w:tr>
      <w:tr>
        <w:trPr>
          <w:trHeight w:val="213"/>
        </w:trPr>
        <w:tc>
          <w:tcPr>
            <w:tcW w:w="740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1,586</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1,869</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r>
      <w:tr>
        <w:trPr>
          <w:trHeight w:val="213"/>
        </w:trPr>
        <w:tc>
          <w:tcPr>
            <w:tcW w:w="7400" w:type="dxa"/>
            <w:vAlign w:val="bottom"/>
          </w:tcPr>
          <w:p>
            <w:pPr>
              <w:spacing w:after="0"/>
              <w:rPr>
                <w:sz w:val="20"/>
                <w:szCs w:val="20"/>
                <w:color w:val="auto"/>
              </w:rPr>
            </w:pPr>
            <w:r>
              <w:rPr>
                <w:rFonts w:ascii="Arial" w:cs="Arial" w:eastAsia="Arial" w:hAnsi="Arial"/>
                <w:sz w:val="16"/>
                <w:szCs w:val="16"/>
                <w:color w:val="auto"/>
              </w:rPr>
              <w:t>Operating profit</w:t>
            </w: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514</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662</w:t>
            </w:r>
          </w:p>
        </w:tc>
        <w:tc>
          <w:tcPr>
            <w:tcW w:w="3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(22)%</w:t>
            </w:r>
          </w:p>
        </w:tc>
      </w:tr>
      <w:tr>
        <w:trPr>
          <w:trHeight w:val="219"/>
        </w:trPr>
        <w:tc>
          <w:tcPr>
            <w:tcW w:w="7400" w:type="dxa"/>
            <w:vAlign w:val="bottom"/>
            <w:shd w:val="clear" w:color="auto" w:fill="CCEEFF"/>
          </w:tcPr>
          <w:p>
            <w:pPr>
              <w:spacing w:after="0"/>
              <w:rPr>
                <w:sz w:val="20"/>
                <w:szCs w:val="20"/>
                <w:color w:val="auto"/>
              </w:rPr>
            </w:pPr>
            <w:r>
              <w:rPr>
                <w:rFonts w:ascii="Arial" w:cs="Arial" w:eastAsia="Arial" w:hAnsi="Arial"/>
                <w:sz w:val="16"/>
                <w:szCs w:val="16"/>
                <w:color w:val="auto"/>
              </w:rPr>
              <w:t>Operating profit % of revenue</w:t>
            </w:r>
          </w:p>
        </w:tc>
        <w:tc>
          <w:tcPr>
            <w:tcW w:w="4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32.4%</w:t>
            </w:r>
          </w:p>
        </w:tc>
        <w:tc>
          <w:tcPr>
            <w:tcW w:w="4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35.4%</w:t>
            </w: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bl>
    <w:p>
      <w:pPr>
        <w:spacing w:after="0" w:line="20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Embedded Processing revenue decreased in Processors and Connected Microcontrollers. Operating profit decreased due to lower revenue and associated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b w:val="1"/>
                <w:bCs w:val="1"/>
                <w:color w:val="auto"/>
              </w:rPr>
              <w:t>YTD 2019</w:t>
            </w:r>
          </w:p>
        </w:tc>
        <w:tc>
          <w:tcPr>
            <w:tcW w:w="36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b w:val="1"/>
                <w:bCs w:val="1"/>
                <w:color w:val="auto"/>
              </w:rPr>
              <w:t>YTD 2018</w:t>
            </w:r>
          </w:p>
        </w:tc>
        <w:tc>
          <w:tcPr>
            <w:tcW w:w="3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Change</w:t>
            </w:r>
          </w:p>
        </w:tc>
        <w:tc>
          <w:tcPr>
            <w:tcW w:w="200" w:type="dxa"/>
            <w:vAlign w:val="bottom"/>
            <w:tcBorders>
              <w:bottom w:val="single" w:sz="8" w:color="CCEEFF"/>
            </w:tcBorders>
          </w:tcPr>
          <w:p>
            <w:pPr>
              <w:spacing w:after="0"/>
              <w:rPr>
                <w:sz w:val="18"/>
                <w:szCs w:val="18"/>
                <w:color w:val="auto"/>
              </w:rPr>
            </w:pPr>
          </w:p>
        </w:tc>
      </w:tr>
      <w:tr>
        <w:trPr>
          <w:trHeight w:val="213"/>
        </w:trPr>
        <w:tc>
          <w:tcPr>
            <w:tcW w:w="740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4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624</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r>
      <w:tr>
        <w:trPr>
          <w:trHeight w:val="213"/>
        </w:trPr>
        <w:tc>
          <w:tcPr>
            <w:tcW w:w="7400" w:type="dxa"/>
            <w:vAlign w:val="bottom"/>
          </w:tcPr>
          <w:p>
            <w:pPr>
              <w:spacing w:after="0"/>
              <w:rPr>
                <w:sz w:val="20"/>
                <w:szCs w:val="20"/>
                <w:color w:val="auto"/>
              </w:rPr>
            </w:pPr>
            <w:r>
              <w:rPr>
                <w:rFonts w:ascii="Arial" w:cs="Arial" w:eastAsia="Arial" w:hAnsi="Arial"/>
                <w:sz w:val="16"/>
                <w:szCs w:val="16"/>
                <w:color w:val="auto"/>
              </w:rPr>
              <w:t>Operating profit*</w:t>
            </w:r>
          </w:p>
        </w:tc>
        <w:tc>
          <w:tcPr>
            <w:tcW w:w="4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175</w:t>
            </w: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169</w:t>
            </w:r>
          </w:p>
        </w:tc>
        <w:tc>
          <w:tcPr>
            <w:tcW w:w="3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4%</w:t>
            </w:r>
          </w:p>
        </w:tc>
      </w:tr>
      <w:tr>
        <w:trPr>
          <w:trHeight w:val="219"/>
        </w:trPr>
        <w:tc>
          <w:tcPr>
            <w:tcW w:w="7400" w:type="dxa"/>
            <w:vAlign w:val="bottom"/>
            <w:shd w:val="clear" w:color="auto" w:fill="CCEEFF"/>
          </w:tcPr>
          <w:p>
            <w:pPr>
              <w:spacing w:after="0"/>
              <w:rPr>
                <w:sz w:val="20"/>
                <w:szCs w:val="20"/>
                <w:color w:val="auto"/>
              </w:rPr>
            </w:pPr>
            <w:r>
              <w:rPr>
                <w:rFonts w:ascii="Arial" w:cs="Arial" w:eastAsia="Arial" w:hAnsi="Arial"/>
                <w:sz w:val="16"/>
                <w:szCs w:val="16"/>
                <w:color w:val="auto"/>
              </w:rPr>
              <w:t>Operating profit % of revenue</w:t>
            </w:r>
          </w:p>
        </w:tc>
        <w:tc>
          <w:tcPr>
            <w:tcW w:w="4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28.0%</w:t>
            </w:r>
          </w:p>
        </w:tc>
        <w:tc>
          <w:tcPr>
            <w:tcW w:w="4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24.8%</w:t>
            </w: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 Includes acquisition charges and restructuring charges/other</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Other revenue decreased by $57 million. Operating profit increased by $6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At the end of the second quarter of 2019, total cash (cash and cash equivalents plus short-term investments) was $4.22 billion, a decrease of $15 million from the end of 2018.</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Accounts receivable were $1.42 billion, an increase of $212 million compared with the end of 2018. Days sales outstanding at the end of the second quarter of 2019 were 35 compared with 29 at the end of 2018.</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Inventory was $2.08 billion, a decrease of $138 million from the end of 2018. Days of inventory at the end of the second quarter of 2019 were 143 compared with 152 at the end of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420"/>
        <w:spacing w:after="0" w:line="342" w:lineRule="auto"/>
        <w:rPr>
          <w:sz w:val="20"/>
          <w:szCs w:val="20"/>
          <w:color w:val="auto"/>
        </w:rPr>
      </w:pPr>
      <w:r>
        <w:rPr>
          <w:rFonts w:ascii="Arial" w:cs="Arial" w:eastAsia="Arial" w:hAnsi="Arial"/>
          <w:sz w:val="16"/>
          <w:szCs w:val="16"/>
          <w:color w:val="auto"/>
        </w:rPr>
        <w:t>Our primary source of liquidity is cash flow from operations. Additional sources of liquidity are cash and cash equivalents, short-term investments and a variable-rate, revolving credit facility. Cash flows from operating activities for the first six months of 2019 were $2.90 billion, a decrease of $35 million.</w:t>
      </w:r>
    </w:p>
    <w:p>
      <w:pPr>
        <w:spacing w:after="0" w:line="12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Our revolving credit facility is with a consortium of investment-grade banks and allows us to borrow up to $2 billion until March 2024. This credit facility also serves as support for the issuance of commercial paper. As of June 30, 2019, our credit facility was undrawn, and we had no commercial paper outstanding.</w:t>
      </w:r>
    </w:p>
    <w:p>
      <w:pPr>
        <w:spacing w:after="0" w:line="18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Investing activities for the first six months of 2019 provided $915 million compared with $185 million in the year-ago period. Capital expenditures were $535 million compared with $438 million in the year-ago period and were primarily for semiconductor manufacturing equipment in both periods. We had sales of short-term investments, net of purchases, that provided cash proceeds of $1.40 billion compared with $621 million in the year-ago period.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9" w:name="page20"/>
    <w:bookmarkEnd w:id="19"/>
    <w:p>
      <w:pPr>
        <w:ind w:right="80"/>
        <w:spacing w:after="0" w:line="273" w:lineRule="auto"/>
        <w:rPr>
          <w:sz w:val="20"/>
          <w:szCs w:val="20"/>
          <w:color w:val="auto"/>
        </w:rPr>
      </w:pPr>
      <w:r>
        <w:rPr>
          <w:rFonts w:ascii="Arial" w:cs="Arial" w:eastAsia="Arial" w:hAnsi="Arial"/>
          <w:sz w:val="17"/>
          <w:szCs w:val="17"/>
          <w:color w:val="auto"/>
        </w:rPr>
        <w:t>Financing activities for the first six months of 2019 used $2.44 billion compared with $1.86 billion in the year-ago period. In 2019, we received net proceeds of $743 million from the issuance of fixed-rate, long-term debt. In the year-ago period, we received net proceeds of $1.50 billion from the issuance of fixed-rate, long-term debt, and we retired maturing debt of $500 million. Dividends paid were $1.45 billion compared with $1.22 billion in the year-ago period, reflecting an increase in the dividend rate, partially offset by fewer shares outstanding. We used $2.02 billion to repurchase 19.6 million shares of our common stock compared with $1.89 billion used in the year-ago period to repurchase 17.8 million shares. Employee exercises of stock options provided cash proceeds of $297 million compared with $280 million in the year-ago period.</w:t>
      </w:r>
    </w:p>
    <w:p>
      <w:pPr>
        <w:spacing w:after="0" w:line="178"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We had $3.81 billion of cash and cash equivalents and $405 million of short-term investments as of June 30, 2019. We believe we have the necessary financial resources and operating plans to fund our working capital needs, capital expenditures, dividend and debt-related payments, and other business requirements for at least the next 12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22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This MD&amp;A includes references to free cash flow and ratios based on that measure. These are financial measures that were not prepared in accordance with generally accepted accounting principles in the United States (GAAP). Free cash flow was calculated by subtracting capital expenditures from the most directly comparable GAAP measure, cash flows from operating activities (also referred to as cash flow from operations).</w:t>
      </w:r>
    </w:p>
    <w:p>
      <w:pPr>
        <w:spacing w:after="0" w:line="166"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 measures is provided in the table below.</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20" w:type="dxa"/>
            <w:vAlign w:val="bottom"/>
          </w:tcPr>
          <w:p>
            <w:pPr>
              <w:spacing w:after="0"/>
              <w:rPr>
                <w:sz w:val="18"/>
                <w:szCs w:val="18"/>
                <w:color w:val="auto"/>
              </w:rPr>
            </w:pPr>
          </w:p>
        </w:tc>
        <w:tc>
          <w:tcPr>
            <w:tcW w:w="240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auto"/>
              </w:rPr>
              <w:t>For 12 Months Ended</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0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6"/>
                <w:szCs w:val="16"/>
                <w:b w:val="1"/>
                <w:bCs w:val="1"/>
                <w:color w:val="auto"/>
              </w:rPr>
              <w:t>June 30,</w:t>
            </w:r>
          </w:p>
        </w:tc>
        <w:tc>
          <w:tcPr>
            <w:tcW w:w="4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3"/>
        </w:trPr>
        <w:tc>
          <w:tcPr>
            <w:tcW w:w="70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480" w:type="dxa"/>
            <w:vAlign w:val="bottom"/>
            <w:tcBorders>
              <w:bottom w:val="single" w:sz="8" w:color="auto"/>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4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Change</w:t>
            </w:r>
          </w:p>
        </w:tc>
        <w:tc>
          <w:tcPr>
            <w:tcW w:w="140" w:type="dxa"/>
            <w:vAlign w:val="bottom"/>
            <w:tcBorders>
              <w:bottom w:val="single" w:sz="8" w:color="CCEEFF"/>
            </w:tcBorders>
          </w:tcPr>
          <w:p>
            <w:pPr>
              <w:spacing w:after="0"/>
              <w:rPr>
                <w:sz w:val="18"/>
                <w:szCs w:val="18"/>
                <w:color w:val="auto"/>
              </w:rPr>
            </w:pPr>
          </w:p>
        </w:tc>
      </w:tr>
      <w:tr>
        <w:trPr>
          <w:trHeight w:val="212"/>
        </w:trPr>
        <w:tc>
          <w:tcPr>
            <w:tcW w:w="7020" w:type="dxa"/>
            <w:vAlign w:val="bottom"/>
            <w:shd w:val="clear" w:color="auto" w:fill="CCEEFF"/>
          </w:tcPr>
          <w:p>
            <w:pPr>
              <w:spacing w:after="0"/>
              <w:rPr>
                <w:sz w:val="20"/>
                <w:szCs w:val="20"/>
                <w:color w:val="auto"/>
              </w:rPr>
            </w:pPr>
            <w:r>
              <w:rPr>
                <w:rFonts w:ascii="Arial" w:cs="Arial" w:eastAsia="Arial" w:hAnsi="Arial"/>
                <w:sz w:val="16"/>
                <w:szCs w:val="16"/>
                <w:color w:val="auto"/>
              </w:rPr>
              <w:t>Cash flow from operations (GAAP)</w:t>
            </w:r>
          </w:p>
        </w:tc>
        <w:tc>
          <w:tcPr>
            <w:tcW w:w="780" w:type="dxa"/>
            <w:vAlign w:val="bottom"/>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7,154</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6,589</w:t>
            </w: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r>
      <w:tr>
        <w:trPr>
          <w:trHeight w:val="213"/>
        </w:trPr>
        <w:tc>
          <w:tcPr>
            <w:tcW w:w="7020" w:type="dxa"/>
            <w:vAlign w:val="bottom"/>
          </w:tcPr>
          <w:p>
            <w:pPr>
              <w:spacing w:after="0"/>
              <w:rPr>
                <w:sz w:val="20"/>
                <w:szCs w:val="20"/>
                <w:color w:val="auto"/>
              </w:rPr>
            </w:pPr>
            <w:r>
              <w:rPr>
                <w:rFonts w:ascii="Arial" w:cs="Arial" w:eastAsia="Arial" w:hAnsi="Arial"/>
                <w:sz w:val="16"/>
                <w:szCs w:val="16"/>
                <w:color w:val="auto"/>
              </w:rPr>
              <w:t>Capital expenditures</w:t>
            </w:r>
          </w:p>
        </w:tc>
        <w:tc>
          <w:tcPr>
            <w:tcW w:w="78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98"/>
              </w:rPr>
              <w:t>(1,228)</w:t>
            </w:r>
          </w:p>
        </w:tc>
        <w:tc>
          <w:tcPr>
            <w:tcW w:w="7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(855)</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7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Free cash flow (non-GAAP)</w:t>
            </w:r>
          </w:p>
        </w:tc>
        <w:tc>
          <w:tcPr>
            <w:tcW w:w="780" w:type="dxa"/>
            <w:vAlign w:val="bottom"/>
            <w:tcBorders>
              <w:top w:val="single" w:sz="8" w:color="auto"/>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5,926</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5,734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CCEEFF"/>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r>
      <w:tr>
        <w:trPr>
          <w:trHeight w:val="20"/>
        </w:trPr>
        <w:tc>
          <w:tcPr>
            <w:tcW w:w="70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9"/>
        </w:trPr>
        <w:tc>
          <w:tcPr>
            <w:tcW w:w="70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7"/>
        </w:trPr>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w:t>
            </w:r>
          </w:p>
        </w:tc>
        <w:tc>
          <w:tcPr>
            <w:tcW w:w="78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15,240</w:t>
            </w:r>
          </w:p>
        </w:tc>
        <w:tc>
          <w:tcPr>
            <w:tcW w:w="3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15,672</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70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6"/>
        </w:trPr>
        <w:tc>
          <w:tcPr>
            <w:tcW w:w="70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6"/>
                <w:szCs w:val="16"/>
                <w:color w:val="auto"/>
              </w:rPr>
              <w:t>Cash flow from operations as a percent of revenue (GAAP)</w:t>
            </w:r>
          </w:p>
        </w:tc>
        <w:tc>
          <w:tcPr>
            <w:tcW w:w="7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46.9%</w:t>
            </w: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42.0%</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7020" w:type="dxa"/>
            <w:vAlign w:val="bottom"/>
          </w:tcPr>
          <w:p>
            <w:pPr>
              <w:spacing w:after="0"/>
              <w:rPr>
                <w:sz w:val="20"/>
                <w:szCs w:val="20"/>
                <w:color w:val="auto"/>
              </w:rPr>
            </w:pPr>
            <w:r>
              <w:rPr>
                <w:rFonts w:ascii="Arial" w:cs="Arial" w:eastAsia="Arial" w:hAnsi="Arial"/>
                <w:sz w:val="16"/>
                <w:szCs w:val="16"/>
                <w:color w:val="auto"/>
              </w:rPr>
              <w:t>Free cash flow as a percent of revenue (non-GAAP)</w:t>
            </w:r>
          </w:p>
        </w:tc>
        <w:tc>
          <w:tcPr>
            <w:tcW w:w="7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38.9%</w:t>
            </w:r>
          </w:p>
        </w:tc>
        <w:tc>
          <w:tcPr>
            <w:tcW w:w="7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36.6%</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r>
    </w:tbl>
    <w:p>
      <w:pPr>
        <w:spacing w:after="0" w:line="20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This MD&amp;A also includes references to an annual operating tax rate, a non-GAAP term we use to describe the estimated annual effective tax rate, a GAAP measure that by definition does not include discrete tax items. We believe the term annual operating tax rate helps differentiate from the effective tax rate, which includes discrete tax items.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contractual obligations</w:t>
      </w:r>
    </w:p>
    <w:p>
      <w:pPr>
        <w:spacing w:after="0" w:line="229"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Information regarding long-term debt obligations is described in the long-term contractual obligations table in Item 7 of our Form 10-K for the year ended December 31, 2018. Additionally, in the first six months of 2019, we issued $750 million principal amount of 3.875% notes maturing in 2039.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financial statements for detailed information regarding the status of new accounting and reporting standards.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An evaluation as of the end of the period covered by this report was carried out under the supervision and with the participation of management, including our Chief Executive Officer and Chief Financial Officer, of the effectiveness of the design and operation of our disclosure controls and procedures (as defined in Rules 13a-15(e) and 15d-15(e) under the Securities Exchange Act of 1934). Based upon that evaluation, the Chief Executive Officer and Chief Financial Officer concluded that those disclosure controls and procedures were effective. In addition, there has been no change in our internal control over financial reporting (as defined in Rule 13a-15(f) and 15d-15(f) under the Securities Exchange Act of 1934)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Information concerning our risk factors is contained in Item 1A of our Form 10-K for the year ended December 31, 2018, and is incorporated by reference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regarding our purchases of our common stock during the quarter.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Period</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April 1, 2019 through April 30, 2019</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May 1, 2019 through May 31, 2019</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June 1, 2019 through June 30, 2019</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91"/>
              </w:rPr>
              <w:t>Total Number of Shares</w:t>
            </w:r>
          </w:p>
        </w:tc>
        <w:tc>
          <w:tcPr>
            <w:tcW w:w="40" w:type="dxa"/>
            <w:vAlign w:val="bottom"/>
          </w:tcPr>
          <w:p>
            <w:pPr>
              <w:spacing w:after="0"/>
              <w:rPr>
                <w:sz w:val="17"/>
                <w:szCs w:val="17"/>
                <w:color w:val="auto"/>
              </w:rPr>
            </w:pPr>
          </w:p>
        </w:tc>
        <w:tc>
          <w:tcPr>
            <w:tcW w:w="19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Approximate Dollar Value</w:t>
            </w:r>
          </w:p>
        </w:tc>
      </w:tr>
      <w:tr>
        <w:trPr>
          <w:trHeight w:val="203"/>
        </w:trPr>
        <w:tc>
          <w:tcPr>
            <w:tcW w:w="1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89"/>
              </w:rPr>
              <w:t>Purchased as Part of</w:t>
            </w:r>
          </w:p>
        </w:tc>
        <w:tc>
          <w:tcPr>
            <w:tcW w:w="40" w:type="dxa"/>
            <w:vAlign w:val="bottom"/>
          </w:tcPr>
          <w:p>
            <w:pPr>
              <w:spacing w:after="0"/>
              <w:rPr>
                <w:sz w:val="17"/>
                <w:szCs w:val="17"/>
                <w:color w:val="auto"/>
              </w:rPr>
            </w:pPr>
          </w:p>
        </w:tc>
        <w:tc>
          <w:tcPr>
            <w:tcW w:w="19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of Shares that May Yet Be</w:t>
            </w:r>
          </w:p>
        </w:tc>
      </w:tr>
      <w:tr>
        <w:trPr>
          <w:trHeight w:val="203"/>
        </w:trPr>
        <w:tc>
          <w:tcPr>
            <w:tcW w:w="1600" w:type="dxa"/>
            <w:vAlign w:val="bottom"/>
          </w:tcPr>
          <w:p>
            <w:pPr>
              <w:ind w:left="220"/>
              <w:spacing w:after="0"/>
              <w:rPr>
                <w:sz w:val="20"/>
                <w:szCs w:val="20"/>
                <w:color w:val="auto"/>
              </w:rPr>
            </w:pPr>
            <w:r>
              <w:rPr>
                <w:rFonts w:ascii="Arial" w:cs="Arial" w:eastAsia="Arial" w:hAnsi="Arial"/>
                <w:sz w:val="16"/>
                <w:szCs w:val="16"/>
                <w:b w:val="1"/>
                <w:bCs w:val="1"/>
                <w:color w:val="auto"/>
              </w:rPr>
              <w:t>Total Number of</w:t>
            </w:r>
          </w:p>
        </w:tc>
        <w:tc>
          <w:tcPr>
            <w:tcW w:w="60" w:type="dxa"/>
            <w:vAlign w:val="bottom"/>
          </w:tcPr>
          <w:p>
            <w:pPr>
              <w:spacing w:after="0"/>
              <w:rPr>
                <w:sz w:val="17"/>
                <w:szCs w:val="17"/>
                <w:color w:val="auto"/>
              </w:rPr>
            </w:pPr>
          </w:p>
        </w:tc>
        <w:tc>
          <w:tcPr>
            <w:tcW w:w="1320" w:type="dxa"/>
            <w:vAlign w:val="bottom"/>
            <w:gridSpan w:val="3"/>
          </w:tcPr>
          <w:p>
            <w:pPr>
              <w:ind w:left="140"/>
              <w:spacing w:after="0"/>
              <w:rPr>
                <w:sz w:val="20"/>
                <w:szCs w:val="20"/>
                <w:color w:val="auto"/>
              </w:rPr>
            </w:pPr>
            <w:r>
              <w:rPr>
                <w:rFonts w:ascii="Arial" w:cs="Arial" w:eastAsia="Arial" w:hAnsi="Arial"/>
                <w:sz w:val="16"/>
                <w:szCs w:val="16"/>
                <w:b w:val="1"/>
                <w:bCs w:val="1"/>
                <w:color w:val="auto"/>
              </w:rPr>
              <w:t>Average Price</w:t>
            </w: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92"/>
              </w:rPr>
              <w:t>Publicly Announced</w:t>
            </w:r>
          </w:p>
        </w:tc>
        <w:tc>
          <w:tcPr>
            <w:tcW w:w="40" w:type="dxa"/>
            <w:vAlign w:val="bottom"/>
          </w:tcPr>
          <w:p>
            <w:pPr>
              <w:spacing w:after="0"/>
              <w:rPr>
                <w:sz w:val="17"/>
                <w:szCs w:val="17"/>
                <w:color w:val="auto"/>
              </w:rPr>
            </w:pPr>
          </w:p>
        </w:tc>
        <w:tc>
          <w:tcPr>
            <w:tcW w:w="19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Purchased Under the Plans</w:t>
            </w:r>
          </w:p>
        </w:tc>
      </w:tr>
      <w:tr>
        <w:trPr>
          <w:trHeight w:val="216"/>
        </w:trPr>
        <w:tc>
          <w:tcPr>
            <w:tcW w:w="160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Shares Purchased</w:t>
            </w:r>
          </w:p>
        </w:tc>
        <w:tc>
          <w:tcPr>
            <w:tcW w:w="60" w:type="dxa"/>
            <w:vAlign w:val="bottom"/>
          </w:tcPr>
          <w:p>
            <w:pPr>
              <w:spacing w:after="0"/>
              <w:rPr>
                <w:sz w:val="18"/>
                <w:szCs w:val="18"/>
                <w:color w:val="auto"/>
              </w:rPr>
            </w:pPr>
          </w:p>
        </w:tc>
        <w:tc>
          <w:tcPr>
            <w:tcW w:w="126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Paid per Share</w:t>
            </w:r>
          </w:p>
        </w:tc>
        <w:tc>
          <w:tcPr>
            <w:tcW w:w="60" w:type="dxa"/>
            <w:vAlign w:val="bottom"/>
          </w:tcPr>
          <w:p>
            <w:pPr>
              <w:spacing w:after="0"/>
              <w:rPr>
                <w:sz w:val="18"/>
                <w:szCs w:val="18"/>
                <w:color w:val="auto"/>
              </w:rPr>
            </w:pPr>
          </w:p>
        </w:tc>
        <w:tc>
          <w:tcPr>
            <w:tcW w:w="172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5"/>
                <w:szCs w:val="15"/>
                <w:b w:val="1"/>
                <w:bCs w:val="1"/>
                <w:color w:val="auto"/>
                <w:w w:val="94"/>
              </w:rPr>
              <w:t xml:space="preserve">Plans or Programs </w:t>
            </w:r>
            <w:r>
              <w:rPr>
                <w:rFonts w:ascii="Arial" w:cs="Arial" w:eastAsia="Arial" w:hAnsi="Arial"/>
                <w:sz w:val="25"/>
                <w:szCs w:val="25"/>
                <w:color w:val="auto"/>
                <w:w w:val="94"/>
                <w:vertAlign w:val="superscript"/>
              </w:rPr>
              <w:t>(a)</w:t>
            </w:r>
          </w:p>
        </w:tc>
        <w:tc>
          <w:tcPr>
            <w:tcW w:w="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center"/>
              <w:ind w:right="240"/>
              <w:spacing w:after="0" w:line="216" w:lineRule="exact"/>
              <w:rPr>
                <w:sz w:val="20"/>
                <w:szCs w:val="20"/>
                <w:color w:val="auto"/>
              </w:rPr>
            </w:pPr>
            <w:r>
              <w:rPr>
                <w:rFonts w:ascii="Arial" w:cs="Arial" w:eastAsia="Arial" w:hAnsi="Arial"/>
                <w:sz w:val="15"/>
                <w:szCs w:val="15"/>
                <w:b w:val="1"/>
                <w:bCs w:val="1"/>
                <w:color w:val="auto"/>
                <w:w w:val="93"/>
              </w:rPr>
              <w:t xml:space="preserve">or Programs </w:t>
            </w:r>
            <w:r>
              <w:rPr>
                <w:rFonts w:ascii="Arial" w:cs="Arial" w:eastAsia="Arial" w:hAnsi="Arial"/>
                <w:sz w:val="25"/>
                <w:szCs w:val="25"/>
                <w:color w:val="auto"/>
                <w:w w:val="93"/>
                <w:vertAlign w:val="superscript"/>
              </w:rPr>
              <w:t>(a)</w:t>
            </w:r>
          </w:p>
        </w:tc>
      </w:tr>
      <w:tr>
        <w:trPr>
          <w:trHeight w:val="204"/>
        </w:trPr>
        <w:tc>
          <w:tcPr>
            <w:tcW w:w="1600" w:type="dxa"/>
            <w:vAlign w:val="bottom"/>
          </w:tcPr>
          <w:p>
            <w:pPr>
              <w:ind w:left="760"/>
              <w:spacing w:after="0"/>
              <w:rPr>
                <w:sz w:val="20"/>
                <w:szCs w:val="20"/>
                <w:color w:val="auto"/>
              </w:rPr>
            </w:pPr>
            <w:r>
              <w:rPr>
                <w:rFonts w:ascii="Arial" w:cs="Arial" w:eastAsia="Arial" w:hAnsi="Arial"/>
                <w:sz w:val="16"/>
                <w:szCs w:val="16"/>
                <w:color w:val="auto"/>
              </w:rPr>
              <w:t>2,963,212</w:t>
            </w:r>
          </w:p>
        </w:tc>
        <w:tc>
          <w:tcPr>
            <w:tcW w:w="46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860" w:type="dxa"/>
            <w:vAlign w:val="bottom"/>
          </w:tcPr>
          <w:p>
            <w:pPr>
              <w:ind w:left="220"/>
              <w:spacing w:after="0"/>
              <w:rPr>
                <w:sz w:val="20"/>
                <w:szCs w:val="20"/>
                <w:color w:val="auto"/>
              </w:rPr>
            </w:pPr>
            <w:r>
              <w:rPr>
                <w:rFonts w:ascii="Arial" w:cs="Arial" w:eastAsia="Arial" w:hAnsi="Arial"/>
                <w:sz w:val="16"/>
                <w:szCs w:val="16"/>
                <w:color w:val="auto"/>
              </w:rPr>
              <w:t>114.54</w:t>
            </w:r>
          </w:p>
        </w:tc>
        <w:tc>
          <w:tcPr>
            <w:tcW w:w="60" w:type="dxa"/>
            <w:vAlign w:val="bottom"/>
          </w:tcPr>
          <w:p>
            <w:pPr>
              <w:spacing w:after="0"/>
              <w:rPr>
                <w:sz w:val="17"/>
                <w:szCs w:val="17"/>
                <w:color w:val="auto"/>
              </w:rPr>
            </w:pPr>
          </w:p>
        </w:tc>
        <w:tc>
          <w:tcPr>
            <w:tcW w:w="1720" w:type="dxa"/>
            <w:vAlign w:val="bottom"/>
          </w:tcPr>
          <w:p>
            <w:pPr>
              <w:jc w:val="right"/>
              <w:ind w:right="120"/>
              <w:spacing w:after="0"/>
              <w:rPr>
                <w:sz w:val="20"/>
                <w:szCs w:val="20"/>
                <w:color w:val="auto"/>
              </w:rPr>
            </w:pPr>
            <w:r>
              <w:rPr>
                <w:rFonts w:ascii="Arial" w:cs="Arial" w:eastAsia="Arial" w:hAnsi="Arial"/>
                <w:sz w:val="16"/>
                <w:szCs w:val="16"/>
                <w:color w:val="auto"/>
              </w:rPr>
              <w:t>2,959,680</w:t>
            </w:r>
          </w:p>
        </w:tc>
        <w:tc>
          <w:tcPr>
            <w:tcW w:w="3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14.62</w:t>
            </w:r>
          </w:p>
        </w:tc>
        <w:tc>
          <w:tcPr>
            <w:tcW w:w="1020" w:type="dxa"/>
            <w:vAlign w:val="bottom"/>
          </w:tcPr>
          <w:p>
            <w:pPr>
              <w:ind w:left="20"/>
              <w:spacing w:after="0"/>
              <w:rPr>
                <w:sz w:val="20"/>
                <w:szCs w:val="20"/>
                <w:color w:val="auto"/>
              </w:rPr>
            </w:pPr>
            <w:r>
              <w:rPr>
                <w:rFonts w:ascii="Arial" w:cs="Arial" w:eastAsia="Arial" w:hAnsi="Arial"/>
                <w:sz w:val="16"/>
                <w:szCs w:val="16"/>
                <w:color w:val="auto"/>
              </w:rPr>
              <w:t>billion</w:t>
            </w:r>
          </w:p>
        </w:tc>
      </w:tr>
      <w:tr>
        <w:trPr>
          <w:trHeight w:val="216"/>
        </w:trPr>
        <w:tc>
          <w:tcPr>
            <w:tcW w:w="1600" w:type="dxa"/>
            <w:vAlign w:val="bottom"/>
          </w:tcPr>
          <w:p>
            <w:pPr>
              <w:ind w:left="760"/>
              <w:spacing w:after="0"/>
              <w:rPr>
                <w:sz w:val="20"/>
                <w:szCs w:val="20"/>
                <w:color w:val="auto"/>
              </w:rPr>
            </w:pPr>
            <w:r>
              <w:rPr>
                <w:rFonts w:ascii="Arial" w:cs="Arial" w:eastAsia="Arial" w:hAnsi="Arial"/>
                <w:sz w:val="16"/>
                <w:szCs w:val="16"/>
                <w:color w:val="auto"/>
              </w:rPr>
              <w:t>3,506,174</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ind w:left="220"/>
              <w:spacing w:after="0"/>
              <w:rPr>
                <w:sz w:val="20"/>
                <w:szCs w:val="20"/>
                <w:color w:val="auto"/>
              </w:rPr>
            </w:pPr>
            <w:r>
              <w:rPr>
                <w:rFonts w:ascii="Arial" w:cs="Arial" w:eastAsia="Arial" w:hAnsi="Arial"/>
                <w:sz w:val="16"/>
                <w:szCs w:val="16"/>
                <w:color w:val="auto"/>
              </w:rPr>
              <w:t>108.35</w:t>
            </w:r>
          </w:p>
        </w:tc>
        <w:tc>
          <w:tcPr>
            <w:tcW w:w="60" w:type="dxa"/>
            <w:vAlign w:val="bottom"/>
          </w:tcPr>
          <w:p>
            <w:pPr>
              <w:spacing w:after="0"/>
              <w:rPr>
                <w:sz w:val="18"/>
                <w:szCs w:val="18"/>
                <w:color w:val="auto"/>
              </w:rPr>
            </w:pPr>
          </w:p>
        </w:tc>
        <w:tc>
          <w:tcPr>
            <w:tcW w:w="1720" w:type="dxa"/>
            <w:vAlign w:val="bottom"/>
          </w:tcPr>
          <w:p>
            <w:pPr>
              <w:jc w:val="right"/>
              <w:ind w:right="120"/>
              <w:spacing w:after="0"/>
              <w:rPr>
                <w:sz w:val="20"/>
                <w:szCs w:val="20"/>
                <w:color w:val="auto"/>
              </w:rPr>
            </w:pPr>
            <w:r>
              <w:rPr>
                <w:rFonts w:ascii="Arial" w:cs="Arial" w:eastAsia="Arial" w:hAnsi="Arial"/>
                <w:sz w:val="16"/>
                <w:szCs w:val="16"/>
                <w:color w:val="auto"/>
              </w:rPr>
              <w:t>3,506,174</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14.24</w:t>
            </w:r>
          </w:p>
        </w:tc>
        <w:tc>
          <w:tcPr>
            <w:tcW w:w="1020" w:type="dxa"/>
            <w:vAlign w:val="bottom"/>
          </w:tcPr>
          <w:p>
            <w:pPr>
              <w:ind w:left="20"/>
              <w:spacing w:after="0"/>
              <w:rPr>
                <w:sz w:val="20"/>
                <w:szCs w:val="20"/>
                <w:color w:val="auto"/>
              </w:rPr>
            </w:pPr>
            <w:r>
              <w:rPr>
                <w:rFonts w:ascii="Arial" w:cs="Arial" w:eastAsia="Arial" w:hAnsi="Arial"/>
                <w:sz w:val="16"/>
                <w:szCs w:val="16"/>
                <w:color w:val="auto"/>
              </w:rPr>
              <w:t>billion</w:t>
            </w:r>
          </w:p>
        </w:tc>
      </w:tr>
      <w:tr>
        <w:trPr>
          <w:trHeight w:val="216"/>
        </w:trPr>
        <w:tc>
          <w:tcPr>
            <w:tcW w:w="160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1,033,579</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ind w:left="220"/>
              <w:spacing w:after="0"/>
              <w:rPr>
                <w:sz w:val="20"/>
                <w:szCs w:val="20"/>
                <w:color w:val="auto"/>
              </w:rPr>
            </w:pPr>
            <w:r>
              <w:rPr>
                <w:rFonts w:ascii="Arial" w:cs="Arial" w:eastAsia="Arial" w:hAnsi="Arial"/>
                <w:sz w:val="16"/>
                <w:szCs w:val="16"/>
                <w:color w:val="auto"/>
              </w:rPr>
              <w:t>107.68</w:t>
            </w:r>
          </w:p>
        </w:tc>
        <w:tc>
          <w:tcPr>
            <w:tcW w:w="60" w:type="dxa"/>
            <w:vAlign w:val="bottom"/>
          </w:tcPr>
          <w:p>
            <w:pPr>
              <w:spacing w:after="0"/>
              <w:rPr>
                <w:sz w:val="18"/>
                <w:szCs w:val="18"/>
                <w:color w:val="auto"/>
              </w:rPr>
            </w:pPr>
          </w:p>
        </w:tc>
        <w:tc>
          <w:tcPr>
            <w:tcW w:w="17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1,033,579</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14.13</w:t>
            </w:r>
          </w:p>
        </w:tc>
        <w:tc>
          <w:tcPr>
            <w:tcW w:w="1020" w:type="dxa"/>
            <w:vAlign w:val="bottom"/>
          </w:tcPr>
          <w:p>
            <w:pPr>
              <w:ind w:left="20"/>
              <w:spacing w:after="0"/>
              <w:rPr>
                <w:sz w:val="20"/>
                <w:szCs w:val="20"/>
                <w:color w:val="auto"/>
              </w:rPr>
            </w:pPr>
            <w:r>
              <w:rPr>
                <w:rFonts w:ascii="Arial" w:cs="Arial" w:eastAsia="Arial" w:hAnsi="Arial"/>
                <w:sz w:val="16"/>
                <w:szCs w:val="16"/>
                <w:color w:val="auto"/>
              </w:rPr>
              <w:t>billion</w:t>
            </w:r>
          </w:p>
        </w:tc>
      </w:tr>
      <w:tr>
        <w:trPr>
          <w:trHeight w:val="216"/>
        </w:trPr>
        <w:tc>
          <w:tcPr>
            <w:tcW w:w="1600" w:type="dxa"/>
            <w:vAlign w:val="bottom"/>
            <w:tcBorders>
              <w:bottom w:val="single" w:sz="8" w:color="auto"/>
            </w:tcBorders>
          </w:tcPr>
          <w:p>
            <w:pPr>
              <w:ind w:left="760"/>
              <w:spacing w:after="0" w:line="216" w:lineRule="exact"/>
              <w:rPr>
                <w:sz w:val="20"/>
                <w:szCs w:val="20"/>
                <w:color w:val="auto"/>
              </w:rPr>
            </w:pPr>
            <w:r>
              <w:rPr>
                <w:rFonts w:ascii="Arial" w:cs="Arial" w:eastAsia="Arial" w:hAnsi="Arial"/>
                <w:sz w:val="15"/>
                <w:szCs w:val="15"/>
                <w:color w:val="auto"/>
                <w:w w:val="94"/>
              </w:rPr>
              <w:t>7,502,965</w:t>
            </w:r>
            <w:r>
              <w:rPr>
                <w:rFonts w:ascii="Arial" w:cs="Arial" w:eastAsia="Arial" w:hAnsi="Arial"/>
                <w:sz w:val="25"/>
                <w:szCs w:val="25"/>
                <w:color w:val="auto"/>
                <w:w w:val="94"/>
                <w:vertAlign w:val="superscript"/>
              </w:rPr>
              <w:t>(b)</w:t>
            </w:r>
          </w:p>
        </w:tc>
        <w:tc>
          <w:tcPr>
            <w:tcW w:w="46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920" w:type="dxa"/>
            <w:vAlign w:val="bottom"/>
            <w:gridSpan w:val="2"/>
          </w:tcPr>
          <w:p>
            <w:pPr>
              <w:ind w:left="220"/>
              <w:spacing w:after="0" w:line="216" w:lineRule="exact"/>
              <w:rPr>
                <w:sz w:val="20"/>
                <w:szCs w:val="20"/>
                <w:color w:val="auto"/>
              </w:rPr>
            </w:pPr>
            <w:r>
              <w:rPr>
                <w:rFonts w:ascii="Arial" w:cs="Arial" w:eastAsia="Arial" w:hAnsi="Arial"/>
                <w:sz w:val="15"/>
                <w:szCs w:val="15"/>
                <w:color w:val="auto"/>
              </w:rPr>
              <w:t>110.70</w:t>
            </w:r>
            <w:r>
              <w:rPr>
                <w:rFonts w:ascii="Arial" w:cs="Arial" w:eastAsia="Arial" w:hAnsi="Arial"/>
                <w:sz w:val="25"/>
                <w:szCs w:val="25"/>
                <w:color w:val="auto"/>
                <w:vertAlign w:val="superscript"/>
              </w:rPr>
              <w:t>(b)</w:t>
            </w:r>
          </w:p>
        </w:tc>
        <w:tc>
          <w:tcPr>
            <w:tcW w:w="17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7,499,433</w:t>
            </w:r>
          </w:p>
        </w:tc>
        <w:tc>
          <w:tcPr>
            <w:tcW w:w="3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14.13</w:t>
            </w:r>
          </w:p>
        </w:tc>
        <w:tc>
          <w:tcPr>
            <w:tcW w:w="1020" w:type="dxa"/>
            <w:vAlign w:val="bottom"/>
          </w:tcPr>
          <w:p>
            <w:pPr>
              <w:ind w:left="20"/>
              <w:spacing w:after="0" w:line="216" w:lineRule="exact"/>
              <w:rPr>
                <w:sz w:val="20"/>
                <w:szCs w:val="20"/>
                <w:color w:val="auto"/>
              </w:rPr>
            </w:pPr>
            <w:r>
              <w:rPr>
                <w:rFonts w:ascii="Arial" w:cs="Arial" w:eastAsia="Arial" w:hAnsi="Arial"/>
                <w:sz w:val="15"/>
                <w:szCs w:val="15"/>
                <w:color w:val="auto"/>
              </w:rPr>
              <w:t xml:space="preserve">billion </w:t>
            </w:r>
            <w:r>
              <w:rPr>
                <w:rFonts w:ascii="Arial" w:cs="Arial" w:eastAsia="Arial" w:hAnsi="Arial"/>
                <w:sz w:val="25"/>
                <w:szCs w:val="25"/>
                <w:color w:val="auto"/>
                <w:vertAlign w:val="superscript"/>
              </w:rPr>
              <w:t>(c)</w:t>
            </w:r>
          </w:p>
        </w:tc>
      </w:tr>
      <w:tr>
        <w:trPr>
          <w:trHeight w:val="20"/>
        </w:trPr>
        <w:tc>
          <w:tcPr>
            <w:tcW w:w="1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-307975</wp:posOffset>
            </wp:positionV>
            <wp:extent cx="72466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-591185</wp:posOffset>
            </wp:positionV>
            <wp:extent cx="72466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80" w:space="720"/>
            <w:col w:w="6720"/>
          </w:cols>
          <w:pgMar w:left="240" w:top="337" w:right="239" w:bottom="1440" w:gutter="0" w:footer="0" w:header="0"/>
          <w:type w:val="continuous"/>
        </w:sectPr>
      </w:pPr>
    </w:p>
    <w:p>
      <w:pPr>
        <w:spacing w:after="0" w:line="2" w:lineRule="exact"/>
        <w:rPr>
          <w:sz w:val="20"/>
          <w:szCs w:val="20"/>
          <w:color w:val="auto"/>
        </w:rPr>
      </w:pPr>
    </w:p>
    <w:p>
      <w:pPr>
        <w:ind w:left="460" w:right="20" w:hanging="452"/>
        <w:spacing w:after="0" w:line="264"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open-market purchases during the quarter were made under the authorization from our board of directors to purchase up to $6.0 billion of additional shares of TI common stock announced September 21, 2017. On September 20, 2018, our board of directors authorized the purchase of an additional $12.0 billion of our common stock.</w:t>
      </w:r>
    </w:p>
    <w:p>
      <w:pPr>
        <w:spacing w:after="0" w:line="73" w:lineRule="exact"/>
        <w:rPr>
          <w:rFonts w:ascii="Arial" w:cs="Arial" w:eastAsia="Arial" w:hAnsi="Arial"/>
          <w:sz w:val="18"/>
          <w:szCs w:val="18"/>
          <w:color w:val="auto"/>
        </w:rPr>
      </w:pPr>
    </w:p>
    <w:p>
      <w:pPr>
        <w:ind w:left="460" w:right="760" w:hanging="452"/>
        <w:spacing w:after="0" w:line="277"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addition to open-market purchases, 3,532 shares of common stock were surrendered by employees to satisfy tax withholding obligations in connection with the vesting of restricted stock units.</w:t>
      </w:r>
    </w:p>
    <w:p>
      <w:pPr>
        <w:spacing w:after="0" w:line="62" w:lineRule="exact"/>
        <w:rPr>
          <w:rFonts w:ascii="Arial" w:cs="Arial" w:eastAsia="Arial" w:hAnsi="Arial"/>
          <w:sz w:val="18"/>
          <w:szCs w:val="18"/>
          <w:color w:val="auto"/>
        </w:rPr>
      </w:pPr>
    </w:p>
    <w:p>
      <w:pPr>
        <w:ind w:left="460" w:right="180" w:hanging="452"/>
        <w:spacing w:after="0" w:line="277"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of June 30, 2019, this amount consisted of the remaining portion of the $6.0 billion authorized in September 2017 and the $12.0 billion authorized in September 2018. No expiration date has been specified for these authorizations.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22" w:name="page23"/>
    <w:bookmarkEnd w:id="22"/>
    <w:p>
      <w:pPr>
        <w:spacing w:after="0" w:line="196" w:lineRule="auto"/>
        <w:framePr w:w="1440" w:h="160" w:wrap="auto" w:vAnchor="page" w:hAnchor="page" w:x="200" w:y="358"/>
        <w:rPr>
          <w:rFonts w:ascii="Arial" w:cs="Arial" w:eastAsia="Arial" w:hAnsi="Arial"/>
          <w:sz w:val="17"/>
          <w:szCs w:val="17"/>
          <w:b w:val="1"/>
          <w:bCs w:val="1"/>
          <w:color w:val="auto"/>
        </w:rPr>
      </w:pPr>
      <w:r>
        <w:rPr>
          <w:rFonts w:ascii="Arial" w:cs="Arial" w:eastAsia="Arial" w:hAnsi="Arial"/>
          <w:sz w:val="17"/>
          <w:szCs w:val="17"/>
          <w:b w:val="1"/>
          <w:bCs w:val="1"/>
          <w:color w:val="auto"/>
        </w:rPr>
        <w:t>ITEM 6. Exhibits</w:t>
      </w:r>
    </w:p>
    <w:tbl>
      <w:tblPr>
        <w:tblLayout w:type="fixed"/>
        <w:tblInd w:w="0" w:type="dxa"/>
        <w:tblCellMar>
          <w:top w:w="0" w:type="dxa"/>
          <w:left w:w="0" w:type="dxa"/>
          <w:bottom w:w="0" w:type="dxa"/>
          <w:right w:w="0" w:type="dxa"/>
        </w:tblCellMar>
      </w:tblPr>
      <w:tr>
        <w:trPr>
          <w:trHeight w:val="203"/>
        </w:trPr>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89"/>
              </w:rPr>
              <w:t>Designation of Exhibits</w:t>
            </w:r>
          </w:p>
        </w:tc>
        <w:tc>
          <w:tcPr>
            <w:tcW w:w="16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92"/>
              </w:rPr>
              <w:t>in This Report</w:t>
            </w:r>
          </w:p>
        </w:tc>
        <w:tc>
          <w:tcPr>
            <w:tcW w:w="9700" w:type="dxa"/>
            <w:vAlign w:val="bottom"/>
            <w:gridSpan w:val="14"/>
          </w:tcPr>
          <w:p>
            <w:pPr>
              <w:spacing w:after="0"/>
              <w:rPr>
                <w:sz w:val="20"/>
                <w:szCs w:val="20"/>
                <w:color w:val="auto"/>
              </w:rPr>
            </w:pPr>
            <w:r>
              <w:rPr>
                <w:rFonts w:ascii="Arial" w:cs="Arial" w:eastAsia="Arial" w:hAnsi="Arial"/>
                <w:sz w:val="16"/>
                <w:szCs w:val="16"/>
                <w:b w:val="1"/>
                <w:bCs w:val="1"/>
                <w:color w:val="auto"/>
              </w:rPr>
              <w:t>Description of Exhibit</w:t>
            </w:r>
          </w:p>
        </w:tc>
        <w:tc>
          <w:tcPr>
            <w:tcW w:w="0" w:type="dxa"/>
            <w:vAlign w:val="bottom"/>
          </w:tcPr>
          <w:p>
            <w:pPr>
              <w:spacing w:after="0"/>
              <w:rPr>
                <w:sz w:val="1"/>
                <w:szCs w:val="1"/>
                <w:color w:val="auto"/>
              </w:rPr>
            </w:pPr>
          </w:p>
        </w:tc>
      </w:tr>
      <w:tr>
        <w:trPr>
          <w:trHeight w:val="179"/>
        </w:trPr>
        <w:tc>
          <w:tcPr>
            <w:tcW w:w="17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1"/>
              </w:rPr>
              <w:t>3(a)</w:t>
            </w:r>
          </w:p>
        </w:tc>
        <w:tc>
          <w:tcPr>
            <w:tcW w:w="9700" w:type="dxa"/>
            <w:vAlign w:val="bottom"/>
            <w:gridSpan w:val="14"/>
            <w:shd w:val="clear" w:color="auto" w:fill="CCEEFF"/>
          </w:tcPr>
          <w:p>
            <w:pPr>
              <w:spacing w:after="0" w:line="178" w:lineRule="exact"/>
              <w:rPr>
                <w:rFonts w:ascii="Arial" w:cs="Arial" w:eastAsia="Arial" w:hAnsi="Arial"/>
                <w:sz w:val="16"/>
                <w:szCs w:val="16"/>
                <w:color w:val="0000EE"/>
              </w:rPr>
            </w:pPr>
            <w:hyperlink r:id="rId39">
              <w:r>
                <w:rPr>
                  <w:rFonts w:ascii="Arial" w:cs="Arial" w:eastAsia="Arial" w:hAnsi="Arial"/>
                  <w:sz w:val="16"/>
                  <w:szCs w:val="16"/>
                  <w:color w:val="0000EE"/>
                </w:rPr>
                <w:t>Restated Certificate of Incorporation of the Registrant, dated April 18, 1985, as amended (incorporated by reference to Exhibit 3(a) of the</w:t>
              </w:r>
            </w:hyperlink>
          </w:p>
        </w:tc>
        <w:tc>
          <w:tcPr>
            <w:tcW w:w="0" w:type="dxa"/>
            <w:vAlign w:val="bottom"/>
          </w:tcPr>
          <w:p>
            <w:pPr>
              <w:spacing w:after="0"/>
              <w:rPr>
                <w:sz w:val="1"/>
                <w:szCs w:val="1"/>
                <w:color w:val="auto"/>
              </w:rPr>
            </w:pPr>
          </w:p>
        </w:tc>
      </w:tr>
      <w:tr>
        <w:trPr>
          <w:trHeight w:val="109"/>
        </w:trPr>
        <w:tc>
          <w:tcPr>
            <w:tcW w:w="1720" w:type="dxa"/>
            <w:vAlign w:val="bottom"/>
            <w:tcBorders>
              <w:top w:val="single" w:sz="8" w:color="CCEEFF"/>
            </w:tcBorders>
            <w:vMerge w:val="continue"/>
            <w:shd w:val="clear" w:color="auto" w:fill="CCEEFF"/>
          </w:tcPr>
          <w:p>
            <w:pPr>
              <w:spacing w:after="0"/>
              <w:rPr>
                <w:sz w:val="9"/>
                <w:szCs w:val="9"/>
                <w:color w:val="auto"/>
              </w:rPr>
            </w:pPr>
          </w:p>
        </w:tc>
        <w:tc>
          <w:tcPr>
            <w:tcW w:w="5360" w:type="dxa"/>
            <w:vAlign w:val="bottom"/>
            <w:tcBorders>
              <w:top w:val="single" w:sz="8" w:color="0000EE"/>
            </w:tcBorders>
            <w:gridSpan w:val="6"/>
            <w:vMerge w:val="restart"/>
            <w:shd w:val="clear" w:color="auto" w:fill="CCEEFF"/>
          </w:tcPr>
          <w:p>
            <w:pPr>
              <w:spacing w:after="0" w:line="183" w:lineRule="exact"/>
              <w:rPr>
                <w:rFonts w:ascii="Arial" w:cs="Arial" w:eastAsia="Arial" w:hAnsi="Arial"/>
                <w:sz w:val="16"/>
                <w:szCs w:val="16"/>
                <w:color w:val="0000EE"/>
                <w:w w:val="91"/>
              </w:rPr>
            </w:pPr>
            <w:hyperlink r:id="rId39">
              <w:r>
                <w:rPr>
                  <w:rFonts w:ascii="Arial" w:cs="Arial" w:eastAsia="Arial" w:hAnsi="Arial"/>
                  <w:sz w:val="16"/>
                  <w:szCs w:val="16"/>
                  <w:color w:val="0000EE"/>
                  <w:w w:val="91"/>
                </w:rPr>
                <w:t>Registrant's Annual Report on Form 10-K for the year ended December 31, 2014).</w:t>
              </w:r>
            </w:hyperlink>
          </w:p>
        </w:tc>
        <w:tc>
          <w:tcPr>
            <w:tcW w:w="3560" w:type="dxa"/>
            <w:vAlign w:val="bottom"/>
            <w:tcBorders>
              <w:top w:val="single" w:sz="8" w:color="0000EE"/>
            </w:tcBorders>
            <w:gridSpan w:val="5"/>
            <w:vMerge w:val="restart"/>
            <w:shd w:val="clear" w:color="auto" w:fill="CCEEFF"/>
          </w:tcPr>
          <w:p>
            <w:pPr>
              <w:spacing w:after="0"/>
              <w:rPr>
                <w:sz w:val="9"/>
                <w:szCs w:val="9"/>
                <w:color w:val="auto"/>
              </w:rPr>
            </w:pPr>
          </w:p>
        </w:tc>
        <w:tc>
          <w:tcPr>
            <w:tcW w:w="780" w:type="dxa"/>
            <w:vAlign w:val="bottom"/>
            <w:tcBorders>
              <w:top w:val="single" w:sz="8" w:color="CCEEFF"/>
            </w:tcBorders>
            <w:gridSpan w:val="3"/>
            <w:vMerge w:val="restart"/>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720" w:type="dxa"/>
            <w:vAlign w:val="bottom"/>
            <w:tcBorders>
              <w:bottom w:val="single" w:sz="8" w:color="CCEEFF"/>
            </w:tcBorders>
            <w:shd w:val="clear" w:color="auto" w:fill="CCEEFF"/>
          </w:tcPr>
          <w:p>
            <w:pPr>
              <w:spacing w:after="0"/>
              <w:rPr>
                <w:sz w:val="8"/>
                <w:szCs w:val="8"/>
                <w:color w:val="auto"/>
              </w:rPr>
            </w:pPr>
          </w:p>
        </w:tc>
        <w:tc>
          <w:tcPr>
            <w:tcW w:w="5360" w:type="dxa"/>
            <w:vAlign w:val="bottom"/>
            <w:tcBorders>
              <w:bottom w:val="single" w:sz="8" w:color="0000EE"/>
            </w:tcBorders>
            <w:gridSpan w:val="6"/>
            <w:vMerge w:val="continue"/>
            <w:shd w:val="clear" w:color="auto" w:fill="CCEEFF"/>
          </w:tcPr>
          <w:p>
            <w:pPr>
              <w:spacing w:after="0"/>
              <w:rPr>
                <w:sz w:val="8"/>
                <w:szCs w:val="8"/>
                <w:color w:val="auto"/>
              </w:rPr>
            </w:pPr>
          </w:p>
        </w:tc>
        <w:tc>
          <w:tcPr>
            <w:tcW w:w="3560" w:type="dxa"/>
            <w:vAlign w:val="bottom"/>
            <w:tcBorders>
              <w:bottom w:val="single" w:sz="8" w:color="CCEEFF"/>
            </w:tcBorders>
            <w:gridSpan w:val="5"/>
            <w:vMerge w:val="continue"/>
            <w:shd w:val="clear" w:color="auto" w:fill="CCEEFF"/>
          </w:tcPr>
          <w:p>
            <w:pPr>
              <w:spacing w:after="0"/>
              <w:rPr>
                <w:sz w:val="8"/>
                <w:szCs w:val="8"/>
                <w:color w:val="auto"/>
              </w:rPr>
            </w:pPr>
          </w:p>
        </w:tc>
        <w:tc>
          <w:tcPr>
            <w:tcW w:w="780" w:type="dxa"/>
            <w:vAlign w:val="bottom"/>
            <w:tcBorders>
              <w:bottom w:val="single" w:sz="8" w:color="CCEEFF"/>
            </w:tcBorders>
            <w:gridSpan w:val="3"/>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720" w:type="dxa"/>
            <w:vAlign w:val="bottom"/>
          </w:tcPr>
          <w:p>
            <w:pPr>
              <w:jc w:val="center"/>
              <w:spacing w:after="0" w:line="176" w:lineRule="exact"/>
              <w:rPr>
                <w:sz w:val="20"/>
                <w:szCs w:val="20"/>
                <w:color w:val="auto"/>
              </w:rPr>
            </w:pPr>
            <w:r>
              <w:rPr>
                <w:rFonts w:ascii="Arial" w:cs="Arial" w:eastAsia="Arial" w:hAnsi="Arial"/>
                <w:sz w:val="16"/>
                <w:szCs w:val="16"/>
                <w:color w:val="auto"/>
                <w:w w:val="98"/>
              </w:rPr>
              <w:t>3(b)</w:t>
            </w:r>
          </w:p>
        </w:tc>
        <w:tc>
          <w:tcPr>
            <w:tcW w:w="9700" w:type="dxa"/>
            <w:vAlign w:val="bottom"/>
            <w:gridSpan w:val="14"/>
          </w:tcPr>
          <w:p>
            <w:pPr>
              <w:spacing w:after="0" w:line="176" w:lineRule="exact"/>
              <w:rPr>
                <w:rFonts w:ascii="Arial" w:cs="Arial" w:eastAsia="Arial" w:hAnsi="Arial"/>
                <w:sz w:val="16"/>
                <w:szCs w:val="16"/>
                <w:color w:val="0000EE"/>
                <w:w w:val="98"/>
              </w:rPr>
            </w:pPr>
            <w:hyperlink r:id="rId40">
              <w:r>
                <w:rPr>
                  <w:rFonts w:ascii="Arial" w:cs="Arial" w:eastAsia="Arial" w:hAnsi="Arial"/>
                  <w:sz w:val="16"/>
                  <w:szCs w:val="16"/>
                  <w:color w:val="0000EE"/>
                  <w:w w:val="98"/>
                </w:rPr>
                <w:t>By-Laws of the Registrant (incorporated by reference to Exhibit 3 of the Registrant's Current Report on Form 8-K filed December 12, 2016).</w:t>
              </w:r>
            </w:hyperlink>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shd w:val="clear" w:color="auto" w:fill="CCEEFF"/>
          </w:tcPr>
          <w:p>
            <w:pPr>
              <w:jc w:val="center"/>
              <w:spacing w:after="0" w:line="176" w:lineRule="exact"/>
              <w:rPr>
                <w:sz w:val="20"/>
                <w:szCs w:val="20"/>
                <w:color w:val="auto"/>
              </w:rPr>
            </w:pPr>
            <w:r>
              <w:rPr>
                <w:rFonts w:ascii="Arial" w:cs="Arial" w:eastAsia="Arial" w:hAnsi="Arial"/>
                <w:sz w:val="16"/>
                <w:szCs w:val="16"/>
                <w:color w:val="auto"/>
                <w:w w:val="90"/>
              </w:rPr>
              <w:t>31(a)</w:t>
            </w:r>
          </w:p>
        </w:tc>
        <w:tc>
          <w:tcPr>
            <w:tcW w:w="9700" w:type="dxa"/>
            <w:vAlign w:val="bottom"/>
            <w:gridSpan w:val="14"/>
            <w:shd w:val="clear" w:color="auto" w:fill="CCEEFF"/>
          </w:tcPr>
          <w:p>
            <w:pPr>
              <w:spacing w:after="0" w:line="176" w:lineRule="exact"/>
              <w:rPr>
                <w:rFonts w:ascii="Arial" w:cs="Arial" w:eastAsia="Arial" w:hAnsi="Arial"/>
                <w:sz w:val="16"/>
                <w:szCs w:val="16"/>
                <w:color w:val="0000EE"/>
              </w:rPr>
            </w:pPr>
            <w:hyperlink w:anchor="page27">
              <w:r>
                <w:rPr>
                  <w:rFonts w:ascii="Arial" w:cs="Arial" w:eastAsia="Arial" w:hAnsi="Arial"/>
                  <w:sz w:val="16"/>
                  <w:szCs w:val="16"/>
                  <w:color w:val="0000EE"/>
                </w:rPr>
                <w:t>Certification of Chief Executive Officer of Periodic Report Pursuant to Rule 13a-14(a) or Rule 15d-14(a).†</w:t>
              </w:r>
            </w:hyperlink>
          </w:p>
        </w:tc>
        <w:tc>
          <w:tcPr>
            <w:tcW w:w="0" w:type="dxa"/>
            <w:vAlign w:val="bottom"/>
          </w:tcPr>
          <w:p>
            <w:pPr>
              <w:spacing w:after="0"/>
              <w:rPr>
                <w:sz w:val="1"/>
                <w:szCs w:val="1"/>
                <w:color w:val="auto"/>
              </w:rPr>
            </w:pPr>
          </w:p>
        </w:tc>
      </w:tr>
      <w:tr>
        <w:trPr>
          <w:trHeight w:val="176"/>
        </w:trPr>
        <w:tc>
          <w:tcPr>
            <w:tcW w:w="172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6"/>
                <w:szCs w:val="16"/>
                <w:color w:val="auto"/>
                <w:w w:val="96"/>
              </w:rPr>
              <w:t>31(b)</w:t>
            </w:r>
          </w:p>
        </w:tc>
        <w:tc>
          <w:tcPr>
            <w:tcW w:w="6940" w:type="dxa"/>
            <w:vAlign w:val="bottom"/>
            <w:tcBorders>
              <w:top w:val="single" w:sz="8" w:color="0000EE"/>
            </w:tcBorders>
            <w:gridSpan w:val="10"/>
          </w:tcPr>
          <w:p>
            <w:pPr>
              <w:spacing w:after="0" w:line="176" w:lineRule="exact"/>
              <w:rPr>
                <w:rFonts w:ascii="Arial" w:cs="Arial" w:eastAsia="Arial" w:hAnsi="Arial"/>
                <w:sz w:val="16"/>
                <w:szCs w:val="16"/>
                <w:color w:val="0000EE"/>
                <w:w w:val="93"/>
              </w:rPr>
            </w:pPr>
            <w:hyperlink w:anchor="page28">
              <w:r>
                <w:rPr>
                  <w:rFonts w:ascii="Arial" w:cs="Arial" w:eastAsia="Arial" w:hAnsi="Arial"/>
                  <w:sz w:val="16"/>
                  <w:szCs w:val="16"/>
                  <w:color w:val="0000EE"/>
                  <w:w w:val="93"/>
                </w:rPr>
                <w:t>Certification of Chief Financial Officer of Periodic Report Pursuant to Rule 13a-14(a) or Rule 15d-14(a).†</w:t>
              </w:r>
            </w:hyperlink>
          </w:p>
        </w:tc>
        <w:tc>
          <w:tcPr>
            <w:tcW w:w="2760" w:type="dxa"/>
            <w:vAlign w:val="bottom"/>
            <w:tcBorders>
              <w:top w:val="single" w:sz="8" w:color="CCEEFF"/>
            </w:tcBorders>
            <w:gridSpan w:val="4"/>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shd w:val="clear" w:color="auto" w:fill="CCEEFF"/>
          </w:tcPr>
          <w:p>
            <w:pPr>
              <w:jc w:val="center"/>
              <w:spacing w:after="0" w:line="176" w:lineRule="exact"/>
              <w:rPr>
                <w:sz w:val="20"/>
                <w:szCs w:val="20"/>
                <w:color w:val="auto"/>
              </w:rPr>
            </w:pPr>
            <w:r>
              <w:rPr>
                <w:rFonts w:ascii="Arial" w:cs="Arial" w:eastAsia="Arial" w:hAnsi="Arial"/>
                <w:sz w:val="16"/>
                <w:szCs w:val="16"/>
                <w:color w:val="auto"/>
                <w:w w:val="90"/>
              </w:rPr>
              <w:t>32(a)</w:t>
            </w:r>
          </w:p>
        </w:tc>
        <w:tc>
          <w:tcPr>
            <w:tcW w:w="9700" w:type="dxa"/>
            <w:vAlign w:val="bottom"/>
            <w:gridSpan w:val="14"/>
            <w:shd w:val="clear" w:color="auto" w:fill="CCEEFF"/>
          </w:tcPr>
          <w:p>
            <w:pPr>
              <w:spacing w:after="0" w:line="176" w:lineRule="exact"/>
              <w:rPr>
                <w:rFonts w:ascii="Arial" w:cs="Arial" w:eastAsia="Arial" w:hAnsi="Arial"/>
                <w:sz w:val="16"/>
                <w:szCs w:val="16"/>
                <w:color w:val="0000EE"/>
              </w:rPr>
            </w:pPr>
            <w:hyperlink w:anchor="page29">
              <w:r>
                <w:rPr>
                  <w:rFonts w:ascii="Arial" w:cs="Arial" w:eastAsia="Arial" w:hAnsi="Arial"/>
                  <w:sz w:val="16"/>
                  <w:szCs w:val="16"/>
                  <w:color w:val="0000EE"/>
                </w:rPr>
                <w:t>Certification by Chief Executive Officer of Periodic Report Pursuant to 18 U.S.C. Section 1350.†</w:t>
              </w:r>
            </w:hyperlink>
          </w:p>
        </w:tc>
        <w:tc>
          <w:tcPr>
            <w:tcW w:w="0" w:type="dxa"/>
            <w:vAlign w:val="bottom"/>
          </w:tcPr>
          <w:p>
            <w:pPr>
              <w:spacing w:after="0"/>
              <w:rPr>
                <w:sz w:val="1"/>
                <w:szCs w:val="1"/>
                <w:color w:val="auto"/>
              </w:rPr>
            </w:pPr>
          </w:p>
        </w:tc>
      </w:tr>
      <w:tr>
        <w:trPr>
          <w:trHeight w:val="176"/>
        </w:trPr>
        <w:tc>
          <w:tcPr>
            <w:tcW w:w="172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6"/>
                <w:szCs w:val="16"/>
                <w:color w:val="auto"/>
                <w:w w:val="96"/>
              </w:rPr>
              <w:t>32(b)</w:t>
            </w:r>
          </w:p>
        </w:tc>
        <w:tc>
          <w:tcPr>
            <w:tcW w:w="6320" w:type="dxa"/>
            <w:vAlign w:val="bottom"/>
            <w:tcBorders>
              <w:top w:val="single" w:sz="8" w:color="0000EE"/>
            </w:tcBorders>
            <w:gridSpan w:val="8"/>
          </w:tcPr>
          <w:p>
            <w:pPr>
              <w:spacing w:after="0" w:line="176" w:lineRule="exact"/>
              <w:rPr>
                <w:rFonts w:ascii="Arial" w:cs="Arial" w:eastAsia="Arial" w:hAnsi="Arial"/>
                <w:sz w:val="16"/>
                <w:szCs w:val="16"/>
                <w:color w:val="0000EE"/>
                <w:w w:val="93"/>
              </w:rPr>
            </w:pPr>
            <w:hyperlink w:anchor="page30">
              <w:r>
                <w:rPr>
                  <w:rFonts w:ascii="Arial" w:cs="Arial" w:eastAsia="Arial" w:hAnsi="Arial"/>
                  <w:sz w:val="16"/>
                  <w:szCs w:val="16"/>
                  <w:color w:val="0000EE"/>
                  <w:w w:val="93"/>
                </w:rPr>
                <w:t>Certification by Chief Financial Officer of Periodic Report Pursuant to 18 U.S.C. Section 1350.†</w:t>
              </w:r>
            </w:hyperlink>
          </w:p>
        </w:tc>
        <w:tc>
          <w:tcPr>
            <w:tcW w:w="3380" w:type="dxa"/>
            <w:vAlign w:val="bottom"/>
            <w:tcBorders>
              <w:top w:val="single" w:sz="8" w:color="CCEEFF"/>
            </w:tcBorders>
            <w:gridSpan w:val="6"/>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20" w:type="dxa"/>
            <w:vAlign w:val="bottom"/>
            <w:tcBorders>
              <w:bottom w:val="single" w:sz="8" w:color="CCEEFF"/>
            </w:tcBorders>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101.ins</w:t>
            </w:r>
          </w:p>
        </w:tc>
        <w:tc>
          <w:tcPr>
            <w:tcW w:w="9340" w:type="dxa"/>
            <w:vAlign w:val="bottom"/>
            <w:tcBorders>
              <w:bottom w:val="single" w:sz="8" w:color="auto"/>
            </w:tcBorders>
            <w:gridSpan w:val="13"/>
            <w:shd w:val="clear" w:color="auto" w:fill="CCEEFF"/>
          </w:tcPr>
          <w:p>
            <w:pPr>
              <w:spacing w:after="0" w:line="176" w:lineRule="exact"/>
              <w:rPr>
                <w:sz w:val="20"/>
                <w:szCs w:val="20"/>
                <w:color w:val="auto"/>
              </w:rPr>
            </w:pPr>
            <w:r>
              <w:rPr>
                <w:rFonts w:ascii="Arial" w:cs="Arial" w:eastAsia="Arial" w:hAnsi="Arial"/>
                <w:sz w:val="16"/>
                <w:szCs w:val="16"/>
                <w:color w:val="auto"/>
                <w:w w:val="91"/>
              </w:rPr>
              <w:t>XBRL Instance Document – the instance document does not appear in the Interactive Data File because its XBRL tags are embedded within the</w:t>
            </w:r>
          </w:p>
        </w:tc>
        <w:tc>
          <w:tcPr>
            <w:tcW w:w="3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1720" w:type="dxa"/>
            <w:vAlign w:val="bottom"/>
            <w:vMerge w:val="continue"/>
            <w:shd w:val="clear" w:color="auto" w:fill="CCEEFF"/>
          </w:tcPr>
          <w:p>
            <w:pPr>
              <w:spacing w:after="0"/>
              <w:rPr>
                <w:sz w:val="9"/>
                <w:szCs w:val="9"/>
                <w:color w:val="auto"/>
              </w:rPr>
            </w:pPr>
          </w:p>
        </w:tc>
        <w:tc>
          <w:tcPr>
            <w:tcW w:w="1660" w:type="dxa"/>
            <w:vAlign w:val="bottom"/>
            <w:vMerge w:val="restart"/>
            <w:shd w:val="clear" w:color="auto" w:fill="CCEEFF"/>
          </w:tcPr>
          <w:p>
            <w:pPr>
              <w:spacing w:after="0" w:line="183" w:lineRule="exact"/>
              <w:rPr>
                <w:sz w:val="20"/>
                <w:szCs w:val="20"/>
                <w:color w:val="auto"/>
              </w:rPr>
            </w:pPr>
            <w:r>
              <w:rPr>
                <w:rFonts w:ascii="Arial" w:cs="Arial" w:eastAsia="Arial" w:hAnsi="Arial"/>
                <w:sz w:val="16"/>
                <w:szCs w:val="16"/>
                <w:color w:val="auto"/>
                <w:w w:val="95"/>
              </w:rPr>
              <w:t>Inline XBRL document.†</w:t>
            </w:r>
          </w:p>
        </w:tc>
        <w:tc>
          <w:tcPr>
            <w:tcW w:w="8040" w:type="dxa"/>
            <w:vAlign w:val="bottom"/>
            <w:gridSpan w:val="13"/>
            <w:vMerge w:val="restart"/>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720" w:type="dxa"/>
            <w:vAlign w:val="bottom"/>
            <w:tcBorders>
              <w:bottom w:val="single" w:sz="8" w:color="CCEEFF"/>
            </w:tcBorders>
            <w:shd w:val="clear" w:color="auto" w:fill="CCEEFF"/>
          </w:tcPr>
          <w:p>
            <w:pPr>
              <w:spacing w:after="0"/>
              <w:rPr>
                <w:sz w:val="8"/>
                <w:szCs w:val="8"/>
                <w:color w:val="auto"/>
              </w:rPr>
            </w:pPr>
          </w:p>
        </w:tc>
        <w:tc>
          <w:tcPr>
            <w:tcW w:w="1660" w:type="dxa"/>
            <w:vAlign w:val="bottom"/>
            <w:tcBorders>
              <w:bottom w:val="single" w:sz="8" w:color="auto"/>
            </w:tcBorders>
            <w:vMerge w:val="continue"/>
            <w:shd w:val="clear" w:color="auto" w:fill="CCEEFF"/>
          </w:tcPr>
          <w:p>
            <w:pPr>
              <w:spacing w:after="0"/>
              <w:rPr>
                <w:sz w:val="8"/>
                <w:szCs w:val="8"/>
                <w:color w:val="auto"/>
              </w:rPr>
            </w:pPr>
          </w:p>
        </w:tc>
        <w:tc>
          <w:tcPr>
            <w:tcW w:w="8040" w:type="dxa"/>
            <w:vAlign w:val="bottom"/>
            <w:tcBorders>
              <w:bottom w:val="single" w:sz="8" w:color="CCEEFF"/>
            </w:tcBorders>
            <w:gridSpan w:val="13"/>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720" w:type="dxa"/>
            <w:vAlign w:val="bottom"/>
          </w:tcPr>
          <w:p>
            <w:pPr>
              <w:jc w:val="center"/>
              <w:spacing w:after="0" w:line="176" w:lineRule="exact"/>
              <w:rPr>
                <w:sz w:val="20"/>
                <w:szCs w:val="20"/>
                <w:color w:val="auto"/>
              </w:rPr>
            </w:pPr>
            <w:r>
              <w:rPr>
                <w:rFonts w:ascii="Arial" w:cs="Arial" w:eastAsia="Arial" w:hAnsi="Arial"/>
                <w:sz w:val="16"/>
                <w:szCs w:val="16"/>
                <w:color w:val="auto"/>
                <w:w w:val="89"/>
              </w:rPr>
              <w:t>101.def</w:t>
            </w:r>
          </w:p>
        </w:tc>
        <w:tc>
          <w:tcPr>
            <w:tcW w:w="9700" w:type="dxa"/>
            <w:vAlign w:val="bottom"/>
            <w:gridSpan w:val="14"/>
          </w:tcPr>
          <w:p>
            <w:pPr>
              <w:spacing w:after="0" w:line="176" w:lineRule="exact"/>
              <w:rPr>
                <w:sz w:val="20"/>
                <w:szCs w:val="20"/>
                <w:color w:val="auto"/>
              </w:rPr>
            </w:pPr>
            <w:r>
              <w:rPr>
                <w:rFonts w:ascii="Arial" w:cs="Arial" w:eastAsia="Arial" w:hAnsi="Arial"/>
                <w:sz w:val="16"/>
                <w:szCs w:val="16"/>
                <w:color w:val="auto"/>
              </w:rPr>
              <w:t>XBRL Taxonomy Extension Definition Linkbase Document†</w:t>
            </w: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1660" w:type="dxa"/>
            <w:vAlign w:val="bottom"/>
            <w:tcBorders>
              <w:top w:val="single" w:sz="8" w:color="auto"/>
            </w:tcBorders>
          </w:tcPr>
          <w:p>
            <w:pPr>
              <w:spacing w:after="0" w:line="20" w:lineRule="exact"/>
              <w:rPr>
                <w:sz w:val="1"/>
                <w:szCs w:val="1"/>
                <w:color w:val="auto"/>
              </w:rPr>
            </w:pPr>
          </w:p>
        </w:tc>
        <w:tc>
          <w:tcPr>
            <w:tcW w:w="154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20" w:type="dxa"/>
            <w:vAlign w:val="bottom"/>
            <w:shd w:val="clear" w:color="auto" w:fill="CCEEFF"/>
          </w:tcPr>
          <w:p>
            <w:pPr>
              <w:jc w:val="center"/>
              <w:spacing w:after="0" w:line="176" w:lineRule="exact"/>
              <w:rPr>
                <w:sz w:val="20"/>
                <w:szCs w:val="20"/>
                <w:color w:val="auto"/>
              </w:rPr>
            </w:pPr>
            <w:r>
              <w:rPr>
                <w:rFonts w:ascii="Arial" w:cs="Arial" w:eastAsia="Arial" w:hAnsi="Arial"/>
                <w:sz w:val="16"/>
                <w:szCs w:val="16"/>
                <w:color w:val="auto"/>
                <w:w w:val="89"/>
              </w:rPr>
              <w:t>101.sch</w:t>
            </w:r>
          </w:p>
        </w:tc>
        <w:tc>
          <w:tcPr>
            <w:tcW w:w="9700" w:type="dxa"/>
            <w:vAlign w:val="bottom"/>
            <w:gridSpan w:val="14"/>
            <w:shd w:val="clear" w:color="auto" w:fill="CCEEFF"/>
          </w:tcPr>
          <w:p>
            <w:pPr>
              <w:spacing w:after="0" w:line="176" w:lineRule="exact"/>
              <w:rPr>
                <w:sz w:val="20"/>
                <w:szCs w:val="20"/>
                <w:color w:val="auto"/>
              </w:rPr>
            </w:pPr>
            <w:r>
              <w:rPr>
                <w:rFonts w:ascii="Arial" w:cs="Arial" w:eastAsia="Arial" w:hAnsi="Arial"/>
                <w:sz w:val="16"/>
                <w:szCs w:val="16"/>
                <w:color w:val="auto"/>
              </w:rPr>
              <w:t>XBRL Taxonomy Extension Schema Document†</w:t>
            </w:r>
          </w:p>
        </w:tc>
        <w:tc>
          <w:tcPr>
            <w:tcW w:w="0" w:type="dxa"/>
            <w:vAlign w:val="bottom"/>
          </w:tcPr>
          <w:p>
            <w:pPr>
              <w:spacing w:after="0"/>
              <w:rPr>
                <w:sz w:val="1"/>
                <w:szCs w:val="1"/>
                <w:color w:val="auto"/>
              </w:rPr>
            </w:pPr>
          </w:p>
        </w:tc>
      </w:tr>
      <w:tr>
        <w:trPr>
          <w:trHeight w:val="21"/>
        </w:trPr>
        <w:tc>
          <w:tcPr>
            <w:tcW w:w="172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auto"/>
            </w:tcBorders>
            <w:shd w:val="clear" w:color="auto" w:fill="CCEEFF"/>
          </w:tcPr>
          <w:p>
            <w:pPr>
              <w:spacing w:after="0" w:line="20" w:lineRule="exact"/>
              <w:rPr>
                <w:sz w:val="1"/>
                <w:szCs w:val="1"/>
                <w:color w:val="auto"/>
              </w:rPr>
            </w:pPr>
          </w:p>
        </w:tc>
        <w:tc>
          <w:tcPr>
            <w:tcW w:w="154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20" w:type="dxa"/>
            <w:vAlign w:val="bottom"/>
          </w:tcPr>
          <w:p>
            <w:pPr>
              <w:jc w:val="center"/>
              <w:spacing w:after="0" w:line="176" w:lineRule="exact"/>
              <w:rPr>
                <w:sz w:val="20"/>
                <w:szCs w:val="20"/>
                <w:color w:val="auto"/>
              </w:rPr>
            </w:pPr>
            <w:r>
              <w:rPr>
                <w:rFonts w:ascii="Arial" w:cs="Arial" w:eastAsia="Arial" w:hAnsi="Arial"/>
                <w:sz w:val="16"/>
                <w:szCs w:val="16"/>
                <w:color w:val="auto"/>
                <w:w w:val="92"/>
              </w:rPr>
              <w:t>101.cal</w:t>
            </w:r>
          </w:p>
        </w:tc>
        <w:tc>
          <w:tcPr>
            <w:tcW w:w="9700" w:type="dxa"/>
            <w:vAlign w:val="bottom"/>
            <w:gridSpan w:val="14"/>
          </w:tcPr>
          <w:p>
            <w:pPr>
              <w:spacing w:after="0" w:line="176" w:lineRule="exact"/>
              <w:rPr>
                <w:sz w:val="20"/>
                <w:szCs w:val="20"/>
                <w:color w:val="auto"/>
              </w:rPr>
            </w:pPr>
            <w:r>
              <w:rPr>
                <w:rFonts w:ascii="Arial" w:cs="Arial" w:eastAsia="Arial" w:hAnsi="Arial"/>
                <w:sz w:val="16"/>
                <w:szCs w:val="16"/>
                <w:color w:val="auto"/>
              </w:rPr>
              <w:t>XBRL Taxonomy Extension Calculation Linkbase Document†</w:t>
            </w: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1660" w:type="dxa"/>
            <w:vAlign w:val="bottom"/>
            <w:tcBorders>
              <w:top w:val="single" w:sz="8" w:color="auto"/>
            </w:tcBorders>
          </w:tcPr>
          <w:p>
            <w:pPr>
              <w:spacing w:after="0" w:line="20" w:lineRule="exact"/>
              <w:rPr>
                <w:sz w:val="1"/>
                <w:szCs w:val="1"/>
                <w:color w:val="auto"/>
              </w:rPr>
            </w:pPr>
          </w:p>
        </w:tc>
        <w:tc>
          <w:tcPr>
            <w:tcW w:w="154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6"/>
                <w:szCs w:val="16"/>
                <w:color w:val="auto"/>
                <w:w w:val="91"/>
              </w:rPr>
              <w:t>101.lab</w:t>
            </w:r>
          </w:p>
        </w:tc>
        <w:tc>
          <w:tcPr>
            <w:tcW w:w="370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6"/>
                <w:szCs w:val="16"/>
                <w:color w:val="auto"/>
                <w:w w:val="93"/>
              </w:rPr>
              <w:t>XBRL Taxonomy Extension Label Linkbase Document†</w:t>
            </w:r>
          </w:p>
        </w:tc>
        <w:tc>
          <w:tcPr>
            <w:tcW w:w="6000" w:type="dxa"/>
            <w:vAlign w:val="bottom"/>
            <w:tcBorders>
              <w:bottom w:val="single" w:sz="8" w:color="CCEEFF"/>
            </w:tcBorders>
            <w:gridSpan w:val="11"/>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720" w:type="dxa"/>
            <w:vAlign w:val="bottom"/>
          </w:tcPr>
          <w:p>
            <w:pPr>
              <w:jc w:val="center"/>
              <w:spacing w:after="0" w:line="176" w:lineRule="exact"/>
              <w:rPr>
                <w:sz w:val="20"/>
                <w:szCs w:val="20"/>
                <w:color w:val="auto"/>
              </w:rPr>
            </w:pPr>
            <w:r>
              <w:rPr>
                <w:rFonts w:ascii="Arial" w:cs="Arial" w:eastAsia="Arial" w:hAnsi="Arial"/>
                <w:sz w:val="16"/>
                <w:szCs w:val="16"/>
                <w:color w:val="auto"/>
                <w:w w:val="88"/>
              </w:rPr>
              <w:t>101.pre</w:t>
            </w:r>
          </w:p>
        </w:tc>
        <w:tc>
          <w:tcPr>
            <w:tcW w:w="9700" w:type="dxa"/>
            <w:vAlign w:val="bottom"/>
            <w:gridSpan w:val="14"/>
          </w:tcPr>
          <w:p>
            <w:pPr>
              <w:spacing w:after="0" w:line="176" w:lineRule="exact"/>
              <w:rPr>
                <w:sz w:val="20"/>
                <w:szCs w:val="20"/>
                <w:color w:val="auto"/>
              </w:rPr>
            </w:pPr>
            <w:r>
              <w:rPr>
                <w:rFonts w:ascii="Arial" w:cs="Arial" w:eastAsia="Arial" w:hAnsi="Arial"/>
                <w:sz w:val="16"/>
                <w:szCs w:val="16"/>
                <w:color w:val="auto"/>
              </w:rPr>
              <w:t>XBRL Taxonomy Extension Presentation Linkbase Document†</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 Filed or furnished herewith.</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16"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4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our management:</w:t>
      </w:r>
    </w:p>
    <w:p>
      <w:pPr>
        <w:spacing w:after="0" w:line="62" w:lineRule="exact"/>
        <w:rPr>
          <w:sz w:val="20"/>
          <w:szCs w:val="20"/>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Market demand for semiconductors, particularly in our end markets;</w:t>
      </w:r>
    </w:p>
    <w:p>
      <w:pPr>
        <w:spacing w:after="0" w:line="63"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63"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Customer demand that differs from forecasts and the financial impact of inadequate or excess company inventory that results from demand that differs from projections;</w:t>
      </w:r>
    </w:p>
    <w:p>
      <w:pPr>
        <w:spacing w:after="0" w:line="8" w:lineRule="exact"/>
        <w:rPr>
          <w:rFonts w:ascii="Arial" w:cs="Arial" w:eastAsia="Arial" w:hAnsi="Arial"/>
          <w:sz w:val="18"/>
          <w:szCs w:val="18"/>
          <w:color w:val="auto"/>
        </w:rPr>
      </w:pPr>
    </w:p>
    <w:p>
      <w:pPr>
        <w:ind w:left="1040" w:right="120" w:hanging="519"/>
        <w:spacing w:after="0" w:line="264"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we, our customers or our suppliers operate, including security risks; global trade policies; political and social instability; health conditions; possible disruptions in transportation, communications and information technology networks; and fluctuations in foreign currency exchange rates;</w:t>
      </w:r>
    </w:p>
    <w:p>
      <w:pPr>
        <w:spacing w:after="0" w:line="19"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Evolving cybersecurity threats to our information technology systems or those of our customers or suppliers;</w:t>
      </w:r>
    </w:p>
    <w:p>
      <w:pPr>
        <w:spacing w:after="0" w:line="63" w:lineRule="exact"/>
        <w:rPr>
          <w:rFonts w:ascii="Arial" w:cs="Arial" w:eastAsia="Arial" w:hAnsi="Arial"/>
          <w:sz w:val="18"/>
          <w:szCs w:val="18"/>
          <w:color w:val="auto"/>
        </w:rPr>
      </w:pPr>
    </w:p>
    <w:p>
      <w:pPr>
        <w:ind w:left="1040" w:right="48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Natural events such as severe weather, geological events or health epidemics in the locations in which we, our customers or our suppliers operate;</w:t>
      </w:r>
    </w:p>
    <w:p>
      <w:pPr>
        <w:spacing w:after="0" w:line="8"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w:t>
      </w:r>
    </w:p>
    <w:p>
      <w:pPr>
        <w:spacing w:after="0" w:line="63"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spacing w:after="0" w:line="8"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86" w:lineRule="exact"/>
        <w:rPr>
          <w:rFonts w:ascii="Arial" w:cs="Arial" w:eastAsia="Arial" w:hAnsi="Arial"/>
          <w:sz w:val="16"/>
          <w:szCs w:val="16"/>
          <w:color w:val="auto"/>
        </w:rPr>
      </w:pPr>
    </w:p>
    <w:p>
      <w:pPr>
        <w:ind w:left="1040" w:right="42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liability or warranty claims, claims based on epidemic or delivery failure, or other claims relating to our products, manufacturing, services, design or communications, or recalls by our customers for a product containing one of our parts;</w:t>
      </w:r>
    </w:p>
    <w:p>
      <w:pPr>
        <w:spacing w:after="0" w:line="8" w:lineRule="exact"/>
        <w:rPr>
          <w:rFonts w:ascii="Arial" w:cs="Arial" w:eastAsia="Arial" w:hAnsi="Arial"/>
          <w:sz w:val="18"/>
          <w:szCs w:val="18"/>
          <w:color w:val="auto"/>
        </w:rPr>
      </w:pPr>
    </w:p>
    <w:p>
      <w:pPr>
        <w:ind w:left="1040" w:right="240" w:hanging="519"/>
        <w:spacing w:after="0" w:line="264"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manufacture or ship our products or operate our business, or subject us to fines, penalties or other legal liability;</w:t>
      </w:r>
    </w:p>
    <w:p>
      <w:pPr>
        <w:spacing w:after="0" w:line="19" w:lineRule="exact"/>
        <w:rPr>
          <w:rFonts w:ascii="Arial" w:cs="Arial" w:eastAsia="Arial" w:hAnsi="Arial"/>
          <w:sz w:val="18"/>
          <w:szCs w:val="18"/>
          <w:color w:val="auto"/>
        </w:rPr>
      </w:pPr>
    </w:p>
    <w:p>
      <w:pPr>
        <w:ind w:left="1040" w:hanging="519"/>
        <w:spacing w:after="0" w:line="298" w:lineRule="auto"/>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Changes in tax law and accounting standards that can impact the tax rate applicable to us, the jurisdictions in which profits are determined to be earned and taxed, adverse resolution of tax audits, increases in tariff rates, and the ability to realize deferred tax assets;</w:t>
      </w: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loss suffered by one of our customers or distributors with respect to TI-consigned inventory;</w:t>
      </w:r>
    </w:p>
    <w:p>
      <w:pPr>
        <w:spacing w:after="0" w:line="63"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Financial difficulties of our distributors or their promotion of competing product lines to our detriment, or the loss of significant distributors;</w:t>
      </w:r>
    </w:p>
    <w:p>
      <w:pPr>
        <w:spacing w:after="0" w:line="74" w:lineRule="exact"/>
        <w:rPr>
          <w:rFonts w:ascii="Arial" w:cs="Arial" w:eastAsia="Arial" w:hAnsi="Arial"/>
          <w:sz w:val="17"/>
          <w:szCs w:val="17"/>
          <w:color w:val="auto"/>
        </w:rPr>
      </w:pPr>
    </w:p>
    <w:p>
      <w:pPr>
        <w:ind w:left="1040" w:hanging="519"/>
        <w:spacing w:after="0"/>
        <w:tabs>
          <w:tab w:leader="none" w:pos="10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or the timing and amount of distributor and other customer inventory adjustments;</w:t>
      </w:r>
    </w:p>
    <w:p>
      <w:pPr>
        <w:spacing w:after="0" w:line="86" w:lineRule="exact"/>
        <w:rPr>
          <w:rFonts w:ascii="Arial" w:cs="Arial" w:eastAsia="Arial" w:hAnsi="Arial"/>
          <w:sz w:val="16"/>
          <w:szCs w:val="16"/>
          <w:color w:val="auto"/>
        </w:rPr>
      </w:pPr>
    </w:p>
    <w:p>
      <w:pPr>
        <w:ind w:left="1040" w:right="240" w:hanging="519"/>
        <w:spacing w:after="0" w:line="298" w:lineRule="auto"/>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maintain or improve profit margins, including our ability to utilize our manufacturing facilities at sufficient levels to cover our fixed operating costs, in an intensely competitive and cyclical industry and despite changes in the regulatory environment;</w:t>
      </w:r>
    </w:p>
    <w:p>
      <w:pPr>
        <w:ind w:left="1040" w:right="38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8" w:lineRule="exact"/>
        <w:rPr>
          <w:rFonts w:ascii="Arial" w:cs="Arial" w:eastAsia="Arial" w:hAnsi="Arial"/>
          <w:sz w:val="18"/>
          <w:szCs w:val="18"/>
          <w:color w:val="auto"/>
        </w:rPr>
      </w:pPr>
    </w:p>
    <w:p>
      <w:pPr>
        <w:ind w:left="1040" w:right="20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that affects our ability to fund our daily operations, invest in the business, make strategic acquisitions, or make principal and interest payments on our debt;</w:t>
      </w:r>
    </w:p>
    <w:p>
      <w:pPr>
        <w:spacing w:after="0" w:line="8"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63"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ability to recruit and retain skilled engineering, management and technical personnel, and effectively manage key employee succession;</w:t>
      </w:r>
    </w:p>
    <w:p>
      <w:pPr>
        <w:spacing w:after="0" w:line="86" w:lineRule="exact"/>
        <w:rPr>
          <w:rFonts w:ascii="Arial" w:cs="Arial" w:eastAsia="Arial" w:hAnsi="Arial"/>
          <w:sz w:val="16"/>
          <w:szCs w:val="16"/>
          <w:color w:val="auto"/>
        </w:rPr>
      </w:pPr>
    </w:p>
    <w:p>
      <w:pPr>
        <w:ind w:left="1040" w:right="14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successfully integrate and realize opportunities for growth from acquisitions, or our ability to realize our expectations regarding the amount and timing of restructuring charges and associated cost savings; and</w:t>
      </w:r>
    </w:p>
    <w:p>
      <w:pPr>
        <w:spacing w:after="0" w:line="8"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4" w:name="page25"/>
    <w:bookmarkEnd w:id="24"/>
    <w:p>
      <w:pPr>
        <w:spacing w:after="0" w:line="259" w:lineRule="auto"/>
        <w:rPr>
          <w:sz w:val="20"/>
          <w:szCs w:val="20"/>
          <w:color w:val="auto"/>
        </w:rPr>
      </w:pPr>
      <w:r>
        <w:rPr>
          <w:rFonts w:ascii="Arial" w:cs="Arial" w:eastAsia="Arial" w:hAnsi="Arial"/>
          <w:sz w:val="18"/>
          <w:szCs w:val="18"/>
          <w:color w:val="auto"/>
        </w:rPr>
        <w:t>For a more detailed discussion of these factors see the Risk Factors discussion in Item 1A of our most recent Form 10-K. The forward-looking statements included in this report are made only as of the date of this report,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0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TEXAS INSTRUMENTS INCORPORATED</w:t>
      </w:r>
    </w:p>
    <w:p>
      <w:pPr>
        <w:spacing w:after="0" w:line="333" w:lineRule="exact"/>
        <w:rPr>
          <w:sz w:val="20"/>
          <w:szCs w:val="20"/>
          <w:color w:val="auto"/>
        </w:rPr>
      </w:pPr>
    </w:p>
    <w:tbl>
      <w:tblPr>
        <w:tblLayout w:type="fixed"/>
        <w:tblInd w:w="706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Rafael R. Lizardi</w:t>
            </w:r>
          </w:p>
        </w:tc>
      </w:tr>
      <w:tr>
        <w:trPr>
          <w:trHeight w:val="195"/>
        </w:trPr>
        <w:tc>
          <w:tcPr>
            <w:tcW w:w="560" w:type="dxa"/>
            <w:vAlign w:val="bottom"/>
          </w:tcPr>
          <w:p>
            <w:pPr>
              <w:spacing w:after="0"/>
              <w:rPr>
                <w:sz w:val="16"/>
                <w:szCs w:val="16"/>
                <w:color w:val="auto"/>
              </w:rPr>
            </w:pPr>
          </w:p>
        </w:tc>
        <w:tc>
          <w:tcPr>
            <w:tcW w:w="3800" w:type="dxa"/>
            <w:vAlign w:val="bottom"/>
          </w:tcPr>
          <w:p>
            <w:pPr>
              <w:ind w:left="280"/>
              <w:spacing w:after="0" w:line="195" w:lineRule="exact"/>
              <w:rPr>
                <w:sz w:val="20"/>
                <w:szCs w:val="20"/>
                <w:color w:val="auto"/>
              </w:rPr>
            </w:pPr>
            <w:r>
              <w:rPr>
                <w:rFonts w:ascii="Arial" w:cs="Arial" w:eastAsia="Arial" w:hAnsi="Arial"/>
                <w:sz w:val="18"/>
                <w:szCs w:val="18"/>
                <w:color w:val="auto"/>
              </w:rPr>
              <w:t>Rafael R. Lizardi</w:t>
            </w:r>
          </w:p>
        </w:tc>
      </w:tr>
      <w:tr>
        <w:trPr>
          <w:trHeight w:val="216"/>
        </w:trPr>
        <w:tc>
          <w:tcPr>
            <w:tcW w:w="560" w:type="dxa"/>
            <w:vAlign w:val="bottom"/>
          </w:tcPr>
          <w:p>
            <w:pPr>
              <w:spacing w:after="0"/>
              <w:rPr>
                <w:sz w:val="18"/>
                <w:szCs w:val="18"/>
                <w:color w:val="auto"/>
              </w:rPr>
            </w:pPr>
          </w:p>
        </w:tc>
        <w:tc>
          <w:tcPr>
            <w:tcW w:w="3800" w:type="dxa"/>
            <w:vAlign w:val="bottom"/>
          </w:tcPr>
          <w:p>
            <w:pPr>
              <w:ind w:left="280"/>
              <w:spacing w:after="0"/>
              <w:rPr>
                <w:sz w:val="20"/>
                <w:szCs w:val="20"/>
                <w:color w:val="auto"/>
              </w:rPr>
            </w:pPr>
            <w:r>
              <w:rPr>
                <w:rFonts w:ascii="Arial" w:cs="Arial" w:eastAsia="Arial" w:hAnsi="Arial"/>
                <w:sz w:val="18"/>
                <w:szCs w:val="18"/>
                <w:color w:val="auto"/>
              </w:rPr>
              <w:t>Senior Vice President and</w:t>
            </w:r>
          </w:p>
        </w:tc>
      </w:tr>
      <w:tr>
        <w:trPr>
          <w:trHeight w:val="230"/>
        </w:trPr>
        <w:tc>
          <w:tcPr>
            <w:tcW w:w="560" w:type="dxa"/>
            <w:vAlign w:val="bottom"/>
          </w:tcPr>
          <w:p>
            <w:pPr>
              <w:spacing w:after="0"/>
              <w:rPr>
                <w:sz w:val="20"/>
                <w:szCs w:val="20"/>
                <w:color w:val="auto"/>
              </w:rPr>
            </w:pPr>
          </w:p>
        </w:tc>
        <w:tc>
          <w:tcPr>
            <w:tcW w:w="3800" w:type="dxa"/>
            <w:vAlign w:val="bottom"/>
          </w:tcPr>
          <w:p>
            <w:pPr>
              <w:ind w:left="280"/>
              <w:spacing w:after="0"/>
              <w:rPr>
                <w:sz w:val="20"/>
                <w:szCs w:val="20"/>
                <w:color w:val="auto"/>
              </w:rPr>
            </w:pPr>
            <w:r>
              <w:rPr>
                <w:rFonts w:ascii="Arial" w:cs="Arial" w:eastAsia="Arial" w:hAnsi="Arial"/>
                <w:sz w:val="18"/>
                <w:szCs w:val="18"/>
                <w:color w:val="auto"/>
              </w:rPr>
              <w:t>Chief Financial Officer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41"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u w:val="single" w:color="auto"/>
          <w:color w:val="auto"/>
        </w:rPr>
        <w:t>Exhibit 31(a)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Richard K. Templeton, certify that:</w:t>
      </w:r>
    </w:p>
    <w:p>
      <w:pPr>
        <w:spacing w:after="0" w:line="225" w:lineRule="exact"/>
        <w:rPr>
          <w:sz w:val="20"/>
          <w:szCs w:val="20"/>
          <w:color w:val="auto"/>
        </w:rPr>
      </w:pPr>
    </w:p>
    <w:p>
      <w:pPr>
        <w:ind w:left="540" w:hanging="532"/>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report on Form 10-Q of Texas Instruments Incorporated;</w:t>
      </w:r>
    </w:p>
    <w:p>
      <w:pPr>
        <w:spacing w:after="0" w:line="225" w:lineRule="exact"/>
        <w:rPr>
          <w:rFonts w:ascii="Arial" w:cs="Arial" w:eastAsia="Arial" w:hAnsi="Arial"/>
          <w:sz w:val="18"/>
          <w:szCs w:val="18"/>
          <w:color w:val="auto"/>
        </w:rPr>
      </w:pPr>
    </w:p>
    <w:p>
      <w:pPr>
        <w:jc w:val="both"/>
        <w:ind w:left="540" w:right="400" w:hanging="532"/>
        <w:spacing w:after="0" w:line="264"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40" w:right="360" w:hanging="532"/>
        <w:spacing w:after="0" w:line="308" w:lineRule="auto"/>
        <w:tabs>
          <w:tab w:leader="none" w:pos="5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40" w:right="400" w:hanging="532"/>
        <w:spacing w:after="0" w:line="264"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80" w:right="120" w:hanging="532"/>
        <w:spacing w:after="0" w:line="264" w:lineRule="auto"/>
        <w:tabs>
          <w:tab w:leader="none" w:pos="10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80" w:right="440" w:hanging="532"/>
        <w:spacing w:after="0" w:line="264" w:lineRule="auto"/>
        <w:tabs>
          <w:tab w:leader="none" w:pos="10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80" w:right="600" w:hanging="532"/>
        <w:spacing w:after="0" w:line="342" w:lineRule="auto"/>
        <w:tabs>
          <w:tab w:leader="none" w:pos="108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80" w:right="120" w:hanging="532"/>
        <w:spacing w:after="0" w:line="264" w:lineRule="auto"/>
        <w:tabs>
          <w:tab w:leader="none" w:pos="10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40" w:right="120" w:hanging="532"/>
        <w:spacing w:after="0" w:line="308" w:lineRule="auto"/>
        <w:tabs>
          <w:tab w:leader="none" w:pos="5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80" w:right="20" w:hanging="532"/>
        <w:spacing w:after="0" w:line="277" w:lineRule="auto"/>
        <w:tabs>
          <w:tab w:leader="none" w:pos="10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80" w:right="560" w:hanging="532"/>
        <w:spacing w:after="0" w:line="277" w:lineRule="auto"/>
        <w:tabs>
          <w:tab w:leader="none" w:pos="10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2019</w:t>
      </w:r>
    </w:p>
    <w:p>
      <w:pPr>
        <w:spacing w:after="0" w:line="320"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/s/ Richard K. Templeton</w:t>
      </w:r>
    </w:p>
    <w:p>
      <w:pPr>
        <w:spacing w:after="0" w:line="23"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Chairman, President</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and Chief Executive Officer</w:t>
      </w:r>
    </w:p>
    <w:p>
      <w:pPr>
        <w:sectPr>
          <w:pgSz w:w="11900" w:h="16838" w:orient="portrait"/>
          <w:cols w:equalWidth="0" w:num="1">
            <w:col w:w="11420"/>
          </w:cols>
          <w:pgMar w:left="240" w:top="337"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u w:val="single" w:color="auto"/>
          <w:color w:val="auto"/>
        </w:rPr>
        <w:t>Exhibit 31(b)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Rafael R. Lizardi, certify that:</w:t>
      </w:r>
    </w:p>
    <w:p>
      <w:pPr>
        <w:spacing w:after="0" w:line="225" w:lineRule="exact"/>
        <w:rPr>
          <w:sz w:val="20"/>
          <w:szCs w:val="20"/>
          <w:color w:val="auto"/>
        </w:rPr>
      </w:pPr>
    </w:p>
    <w:p>
      <w:pPr>
        <w:ind w:left="540" w:hanging="532"/>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report on Form 10-Q of Texas Instruments Incorporated;</w:t>
      </w:r>
    </w:p>
    <w:p>
      <w:pPr>
        <w:spacing w:after="0" w:line="225" w:lineRule="exact"/>
        <w:rPr>
          <w:rFonts w:ascii="Arial" w:cs="Arial" w:eastAsia="Arial" w:hAnsi="Arial"/>
          <w:sz w:val="18"/>
          <w:szCs w:val="18"/>
          <w:color w:val="auto"/>
        </w:rPr>
      </w:pPr>
    </w:p>
    <w:p>
      <w:pPr>
        <w:jc w:val="both"/>
        <w:ind w:left="540" w:right="400" w:hanging="532"/>
        <w:spacing w:after="0" w:line="264"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40" w:right="360" w:hanging="532"/>
        <w:spacing w:after="0" w:line="308" w:lineRule="auto"/>
        <w:tabs>
          <w:tab w:leader="none" w:pos="5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40" w:right="400" w:hanging="532"/>
        <w:spacing w:after="0" w:line="264"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80" w:right="120" w:hanging="532"/>
        <w:spacing w:after="0" w:line="264" w:lineRule="auto"/>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80" w:right="440" w:hanging="532"/>
        <w:spacing w:after="0" w:line="264" w:lineRule="auto"/>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80" w:right="600" w:hanging="532"/>
        <w:spacing w:after="0" w:line="342" w:lineRule="auto"/>
        <w:tabs>
          <w:tab w:leader="none" w:pos="10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80" w:right="140" w:hanging="532"/>
        <w:spacing w:after="0" w:line="264" w:lineRule="auto"/>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40" w:right="100" w:hanging="532"/>
        <w:spacing w:after="0" w:line="308" w:lineRule="auto"/>
        <w:tabs>
          <w:tab w:leader="none" w:pos="5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80" w:right="20" w:hanging="532"/>
        <w:spacing w:after="0" w:line="277" w:lineRule="auto"/>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80" w:right="560" w:hanging="532"/>
        <w:spacing w:after="0" w:line="277" w:lineRule="auto"/>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2019</w:t>
      </w:r>
    </w:p>
    <w:p>
      <w:pPr>
        <w:spacing w:after="0" w:line="293"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/s/ Rafael R. Lizardi</w:t>
      </w:r>
    </w:p>
    <w:p>
      <w:pPr>
        <w:spacing w:after="0" w:line="23"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337"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u w:val="single" w:color="auto"/>
          <w:color w:val="auto"/>
        </w:rPr>
        <w:t>Exhibit 32(a)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For purposes of 18 U.S.C. Section 1350, as adopted pursuant to Section 906 of the Sarbanes-Oxley Act of 2002, the undersigned, Richard K.</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Templeton, the Chairman, President and Chief Executive Officer of Texas Instruments Incorporated (the “Company”), hereby certifies that, to his knowledge:</w:t>
      </w:r>
    </w:p>
    <w:p>
      <w:pPr>
        <w:spacing w:after="0" w:line="126" w:lineRule="exact"/>
        <w:rPr>
          <w:sz w:val="20"/>
          <w:szCs w:val="20"/>
          <w:color w:val="auto"/>
        </w:rPr>
      </w:pPr>
    </w:p>
    <w:p>
      <w:pPr>
        <w:ind w:left="560" w:right="40" w:hanging="5"/>
        <w:spacing w:after="0" w:line="342" w:lineRule="auto"/>
        <w:tabs>
          <w:tab w:leader="none" w:pos="775"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June 30, 2019, as filed with the Securities and Exchange Commission on the date hereof (the “Report”) fully complies with the requirements of Section 13(a) or 15(d) of the Securities Exchange Act of 1934; and</w:t>
      </w:r>
    </w:p>
    <w:p>
      <w:pPr>
        <w:spacing w:after="0" w:line="15" w:lineRule="exact"/>
        <w:rPr>
          <w:rFonts w:ascii="Arial" w:cs="Arial" w:eastAsia="Arial" w:hAnsi="Arial"/>
          <w:sz w:val="16"/>
          <w:szCs w:val="16"/>
          <w:color w:val="auto"/>
        </w:rPr>
      </w:pPr>
    </w:p>
    <w:p>
      <w:pPr>
        <w:ind w:left="820" w:hanging="265"/>
        <w:spacing w:after="0"/>
        <w:tabs>
          <w:tab w:leader="none" w:pos="8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July 31, 2019</w:t>
      </w:r>
    </w:p>
    <w:p>
      <w:pPr>
        <w:spacing w:after="0" w:line="293"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/s/ Richard K. Templeton</w:t>
      </w:r>
    </w:p>
    <w:p>
      <w:pPr>
        <w:spacing w:after="0" w:line="23" w:lineRule="exact"/>
        <w:rPr>
          <w:sz w:val="20"/>
          <w:szCs w:val="20"/>
          <w:color w:val="auto"/>
        </w:rPr>
      </w:pPr>
    </w:p>
    <w:p>
      <w:pPr>
        <w:ind w:left="8420"/>
        <w:spacing w:after="0"/>
        <w:rPr>
          <w:sz w:val="20"/>
          <w:szCs w:val="20"/>
          <w:color w:val="auto"/>
        </w:rPr>
      </w:pPr>
      <w:r>
        <w:rPr>
          <w:rFonts w:ascii="Arial" w:cs="Arial" w:eastAsia="Arial" w:hAnsi="Arial"/>
          <w:sz w:val="18"/>
          <w:szCs w:val="18"/>
          <w:color w:val="auto"/>
        </w:rPr>
        <w:t>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-130810</wp:posOffset>
            </wp:positionV>
            <wp:extent cx="27959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jc w:val="center"/>
        <w:ind w:left="7020"/>
        <w:spacing w:after="0"/>
        <w:rPr>
          <w:sz w:val="20"/>
          <w:szCs w:val="20"/>
          <w:color w:val="auto"/>
        </w:rPr>
      </w:pPr>
      <w:r>
        <w:rPr>
          <w:rFonts w:ascii="Arial" w:cs="Arial" w:eastAsia="Arial" w:hAnsi="Arial"/>
          <w:sz w:val="18"/>
          <w:szCs w:val="18"/>
          <w:color w:val="auto"/>
        </w:rPr>
        <w:t>Chairman, President</w:t>
      </w:r>
    </w:p>
    <w:p>
      <w:pPr>
        <w:spacing w:after="0" w:line="9" w:lineRule="exact"/>
        <w:rPr>
          <w:sz w:val="20"/>
          <w:szCs w:val="20"/>
          <w:color w:val="auto"/>
        </w:rPr>
      </w:pPr>
    </w:p>
    <w:p>
      <w:pPr>
        <w:jc w:val="center"/>
        <w:ind w:left="7020"/>
        <w:spacing w:after="0"/>
        <w:rPr>
          <w:sz w:val="20"/>
          <w:szCs w:val="20"/>
          <w:color w:val="auto"/>
        </w:rPr>
      </w:pPr>
      <w:r>
        <w:rPr>
          <w:rFonts w:ascii="Arial" w:cs="Arial" w:eastAsia="Arial" w:hAnsi="Arial"/>
          <w:sz w:val="18"/>
          <w:szCs w:val="18"/>
          <w:color w:val="auto"/>
        </w:rPr>
        <w:t>and Chief Executive Officer</w:t>
      </w:r>
    </w:p>
    <w:p>
      <w:pPr>
        <w:sectPr>
          <w:pgSz w:w="11900" w:h="16838" w:orient="portrait"/>
          <w:cols w:equalWidth="0" w:num="1">
            <w:col w:w="11420"/>
          </w:cols>
          <w:pgMar w:left="240" w:top="337"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u w:val="single" w:color="auto"/>
          <w:color w:val="auto"/>
        </w:rPr>
        <w:t>Exhibit 32(b)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38" w:lineRule="exact"/>
        <w:rPr>
          <w:sz w:val="20"/>
          <w:szCs w:val="20"/>
          <w:color w:val="auto"/>
        </w:rPr>
      </w:pPr>
    </w:p>
    <w:p>
      <w:pPr>
        <w:ind w:right="220" w:firstLine="547"/>
        <w:spacing w:after="0" w:line="308" w:lineRule="auto"/>
        <w:rPr>
          <w:sz w:val="20"/>
          <w:szCs w:val="20"/>
          <w:color w:val="auto"/>
        </w:rPr>
      </w:pPr>
      <w:r>
        <w:rPr>
          <w:rFonts w:ascii="Arial" w:cs="Arial" w:eastAsia="Arial" w:hAnsi="Arial"/>
          <w:sz w:val="17"/>
          <w:szCs w:val="17"/>
          <w:color w:val="auto"/>
        </w:rPr>
        <w:t>For purposes of 18 U.S.C. Section 1350, as adopted pursuant to Section 906 of the Sarbanes-Oxley Act of 2002, the undersigned, Rafael R. Lizardi, Senior Vice President and Chief Financial Officer of Texas Instruments Incorporated (the “Company”), hereby certifies that, to his knowledge:</w:t>
      </w:r>
    </w:p>
    <w:p>
      <w:pPr>
        <w:spacing w:after="0" w:line="38" w:lineRule="exact"/>
        <w:rPr>
          <w:sz w:val="20"/>
          <w:szCs w:val="20"/>
          <w:color w:val="auto"/>
        </w:rPr>
      </w:pPr>
    </w:p>
    <w:p>
      <w:pPr>
        <w:ind w:left="560" w:right="40" w:hanging="5"/>
        <w:spacing w:after="0" w:line="342" w:lineRule="auto"/>
        <w:tabs>
          <w:tab w:leader="none" w:pos="775"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June 30, 2019, as filed with the Securities and Exchange Commission on the date hereof (the “Report”) fully complies with the requirements of Section 13(a) or 15(d) of the Securities Exchange Act of 1934; and</w:t>
      </w:r>
    </w:p>
    <w:p>
      <w:pPr>
        <w:spacing w:after="0" w:line="15" w:lineRule="exact"/>
        <w:rPr>
          <w:rFonts w:ascii="Arial" w:cs="Arial" w:eastAsia="Arial" w:hAnsi="Arial"/>
          <w:sz w:val="16"/>
          <w:szCs w:val="16"/>
          <w:color w:val="auto"/>
        </w:rPr>
      </w:pPr>
    </w:p>
    <w:p>
      <w:pPr>
        <w:ind w:left="820" w:hanging="265"/>
        <w:spacing w:after="0"/>
        <w:tabs>
          <w:tab w:leader="none" w:pos="8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July 31, 2019</w:t>
      </w:r>
    </w:p>
    <w:p>
      <w:pPr>
        <w:spacing w:after="0" w:line="29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/s/ Rafael R. Lizardi</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-130810</wp:posOffset>
            </wp:positionV>
            <wp:extent cx="27959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jc w:val="center"/>
        <w:ind w:left="702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jc w:val="center"/>
        <w:ind w:left="70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lowerLetter"/>
      <w:start w:val="1"/>
    </w:lvl>
  </w:abstractNum>
  <w:abstractNum w:abstractNumId="5">
    <w:nsid w:val="41A7C4C9"/>
    <w:multiLevelType w:val="hybridMultilevel"/>
    <w:lvl w:ilvl="0">
      <w:lvlJc w:val="left"/>
      <w:lvlText w:val="%1."/>
      <w:numFmt w:val="decimal"/>
      <w:start w:val="2"/>
    </w:lvl>
  </w:abstractNum>
  <w:abstractNum w:abstractNumId="6">
    <w:nsid w:val="6B68079A"/>
    <w:multiLevelType w:val="hybridMultilevel"/>
    <w:lvl w:ilvl="0">
      <w:lvlJc w:val="left"/>
      <w:lvlText w:val="%1."/>
      <w:numFmt w:val="decimal"/>
      <w:start w:val="3"/>
    </w:lvl>
  </w:abstractNum>
  <w:abstractNum w:abstractNumId="7">
    <w:nsid w:val="4E6AFB66"/>
    <w:multiLevelType w:val="hybridMultilevel"/>
    <w:lvl w:ilvl="0">
      <w:lvlJc w:val="left"/>
      <w:lvlText w:val="%1."/>
      <w:numFmt w:val="decimal"/>
      <w:start w:val="4"/>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1."/>
      <w:numFmt w:val="decimal"/>
      <w:start w:val="5"/>
    </w:lvl>
  </w:abstractNum>
  <w:abstractNum w:abstractNumId="10">
    <w:nsid w:val="431BD7B7"/>
    <w:multiLevelType w:val="hybridMultilevel"/>
    <w:lvl w:ilvl="0">
      <w:lvlJc w:val="left"/>
      <w:lvlText w:val="%1."/>
      <w:numFmt w:val="decimal"/>
      <w:start w:val="6"/>
    </w:lvl>
  </w:abstractNum>
  <w:abstractNum w:abstractNumId="11">
    <w:nsid w:val="3F2DBA31"/>
    <w:multiLevelType w:val="hybridMultilevel"/>
    <w:lvl w:ilvl="0">
      <w:lvlJc w:val="left"/>
      <w:lvlText w:val="%1."/>
      <w:numFmt w:val="decimal"/>
      <w:start w:val="7"/>
    </w:lvl>
  </w:abstractNum>
  <w:abstractNum w:abstractNumId="12">
    <w:nsid w:val="7C83E458"/>
    <w:multiLevelType w:val="hybridMultilevel"/>
    <w:lvl w:ilvl="0">
      <w:lvlJc w:val="left"/>
      <w:lvlText w:val="%1."/>
      <w:numFmt w:val="decimal"/>
      <w:start w:val="8"/>
    </w:lvl>
  </w:abstractNum>
  <w:abstractNum w:abstractNumId="13">
    <w:nsid w:val="257130A3"/>
    <w:multiLevelType w:val="hybridMultilevel"/>
    <w:lvl w:ilvl="0">
      <w:lvlJc w:val="left"/>
      <w:lvlText w:val="%1."/>
      <w:numFmt w:val="decimal"/>
      <w:start w:val="9"/>
    </w:lvl>
  </w:abstractNum>
  <w:abstractNum w:abstractNumId="14">
    <w:nsid w:val="62BBD95A"/>
    <w:multiLevelType w:val="hybridMultilevel"/>
    <w:lvl w:ilvl="0">
      <w:lvlJc w:val="left"/>
      <w:lvlText w:val="(%1)"/>
      <w:numFmt w:val="lowerLetter"/>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o"/>
      <w:numFmt w:val="bullet"/>
      <w:start w:val="1"/>
    </w:lvl>
  </w:abstractNum>
  <w:abstractNum w:abstractNumId="18">
    <w:nsid w:val="721DA317"/>
    <w:multiLevelType w:val="hybridMultilevel"/>
    <w:lvl w:ilvl="0">
      <w:lvlJc w:val="left"/>
      <w:lvlText w:val="•"/>
      <w:numFmt w:val="bullet"/>
      <w:start w:val="1"/>
    </w:lvl>
    <w:lvl w:ilvl="1">
      <w:lvlJc w:val="left"/>
      <w:lvlText w:val="o"/>
      <w:numFmt w:val="bullet"/>
      <w:start w:val="1"/>
    </w:lvl>
  </w:abstractNum>
  <w:abstractNum w:abstractNumId="19">
    <w:nsid w:val="2443A858"/>
    <w:multiLevelType w:val="hybridMultilevel"/>
    <w:lvl w:ilvl="0">
      <w:lvlJc w:val="left"/>
      <w:lvlText w:val="(%1)"/>
      <w:numFmt w:val="lowerLetter"/>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lowerRoman"/>
      <w:start w:val="1"/>
    </w:lvl>
  </w:abstractNum>
  <w:abstractNum w:abstractNumId="24">
    <w:nsid w:val="79838CB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39" Type="http://schemas.openxmlformats.org/officeDocument/2006/relationships/hyperlink" Target="http://www.sec.gov/Archives/edgar/data/97476/000009747615000003/txn-12312014xexhibit3a.htm" TargetMode="External"/><Relationship Id="rId40" Type="http://schemas.openxmlformats.org/officeDocument/2006/relationships/hyperlink" Target="http://www.sec.gov/Archives/edgar/data/97476/000156459016030135/txn-ex3_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2019-12-28T09:26:10Z</dcterms:created>
  <dcterms:modified xsi:type="dcterms:W3CDTF">2019-12-28T09:26:10Z</dcterms:modified>
</cp:coreProperties>
</file>