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333-186803</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March 5, 2014</w:t>
            </w:r>
          </w:p>
        </w:tc>
      </w:tr>
      <w:tr>
        <w:trPr>
          <w:trHeight w:val="238"/>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March 5, 2014</w:t>
            </w:r>
          </w:p>
        </w:tc>
      </w:tr>
      <w:tr>
        <w:trPr>
          <w:trHeight w:val="432"/>
        </w:trPr>
        <w:tc>
          <w:tcPr>
            <w:tcW w:w="3340" w:type="dxa"/>
            <w:vAlign w:val="bottom"/>
          </w:tcPr>
          <w:p>
            <w:pPr>
              <w:spacing w:after="0"/>
              <w:rPr>
                <w:sz w:val="24"/>
                <w:szCs w:val="24"/>
                <w:color w:val="auto"/>
              </w:rPr>
            </w:pPr>
          </w:p>
        </w:tc>
        <w:tc>
          <w:tcPr>
            <w:tcW w:w="8080" w:type="dxa"/>
            <w:vAlign w:val="bottom"/>
            <w:gridSpan w:val="3"/>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43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2"/>
          </w:tcPr>
          <w:p>
            <w:pPr>
              <w:jc w:val="center"/>
              <w:ind w:right="473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39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875%</w:t>
            </w:r>
            <w:r>
              <w:rPr>
                <w:rFonts w:ascii="Times New Roman" w:cs="Times New Roman" w:eastAsia="Times New Roman" w:hAnsi="Times New Roman"/>
                <w:sz w:val="18"/>
                <w:szCs w:val="18"/>
                <w:color w:val="auto"/>
              </w:rPr>
              <w:t xml:space="preserve"> Notes due 2017</w:t>
            </w:r>
          </w:p>
        </w:tc>
        <w:tc>
          <w:tcPr>
            <w:tcW w:w="4840" w:type="dxa"/>
            <w:vAlign w:val="bottom"/>
          </w:tcPr>
          <w:p>
            <w:pPr>
              <w:spacing w:after="0"/>
              <w:rPr>
                <w:sz w:val="24"/>
                <w:szCs w:val="24"/>
                <w:color w:val="auto"/>
              </w:rPr>
            </w:pPr>
          </w:p>
        </w:tc>
      </w:tr>
      <w:tr>
        <w:trPr>
          <w:trHeight w:val="48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0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$250,000,000</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12, 2017</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80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0.875%</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99.802% of principal amount</w:t>
            </w:r>
          </w:p>
        </w:tc>
      </w:tr>
      <w:tr>
        <w:trPr>
          <w:trHeight w:val="30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12 and September 12 beginning on</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September 12, 2014, and on the maturity date</w:t>
            </w:r>
          </w:p>
        </w:tc>
      </w:tr>
      <w:tr>
        <w:trPr>
          <w:trHeight w:val="3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32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w w:val="99"/>
              </w:rPr>
              <w:t>30/360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80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$248,880,000</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0.625% due February 15, 2017</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25 basis points</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80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0.942%</w:t>
            </w:r>
          </w:p>
        </w:tc>
      </w:tr>
      <w:tr>
        <w:trPr>
          <w:trHeight w:val="4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xml:space="preserve">99-25 </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8"/>
                <w:szCs w:val="18"/>
                <w:color w:val="auto"/>
              </w:rPr>
              <w:t>; 0.692%</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At any time at the greater of 100% of the principal amount of the notes</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being redeemed or discounted present value at the rate of Treasury plus 5</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basis points</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5, 2014</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12, 2014 (T+5)</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882508 AX2 / US882508AX25</w:t>
            </w:r>
          </w:p>
        </w:tc>
      </w:tr>
      <w:tr>
        <w:trPr>
          <w:trHeight w:val="30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Moody’s: A1 (stable outlook)</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1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Merrill Lynch, Pierce, Fenner &amp; Smith</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Incorporated</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Mizuho Securities USA Inc.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Mitsubishi UFJ Securities (USA), Inc.</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Morgan Stanley &amp; Co. LLC</w:t>
            </w:r>
          </w:p>
        </w:tc>
      </w:tr>
    </w:tbl>
    <w:p>
      <w:pPr>
        <w:sectPr>
          <w:pgSz w:w="11900" w:h="16838" w:orient="portrait"/>
          <w:cols w:equalWidth="0" w:num="1">
            <w:col w:w="11420"/>
          </w:cols>
          <w:pgMar w:left="240" w:top="225"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w:t>
            </w:r>
            <w:r>
              <w:rPr>
                <w:rFonts w:ascii="Times New Roman" w:cs="Times New Roman" w:eastAsia="Times New Roman" w:hAnsi="Times New Roman"/>
                <w:sz w:val="18"/>
                <w:szCs w:val="18"/>
                <w:u w:val="single" w:color="auto"/>
                <w:color w:val="auto"/>
                <w:w w:val="99"/>
              </w:rPr>
              <w:t>750%</w:t>
            </w:r>
            <w:r>
              <w:rPr>
                <w:rFonts w:ascii="Times New Roman" w:cs="Times New Roman" w:eastAsia="Times New Roman" w:hAnsi="Times New Roman"/>
                <w:sz w:val="18"/>
                <w:szCs w:val="18"/>
                <w:color w:val="auto"/>
                <w:w w:val="99"/>
              </w:rPr>
              <w:t xml:space="preserve"> Notes due 2021</w:t>
            </w:r>
          </w:p>
        </w:tc>
        <w:tc>
          <w:tcPr>
            <w:tcW w:w="4780" w:type="dxa"/>
            <w:vAlign w:val="bottom"/>
          </w:tcPr>
          <w:p>
            <w:pPr>
              <w:spacing w:after="0"/>
              <w:rPr>
                <w:sz w:val="17"/>
                <w:szCs w:val="17"/>
                <w:color w:val="auto"/>
              </w:rPr>
            </w:pPr>
          </w:p>
        </w:tc>
      </w:tr>
      <w:tr>
        <w:trPr>
          <w:trHeight w:val="48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58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$250,000,000</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12, 2021</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758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2.750%</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99.294% of principal amount</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12 and September 12 beginning on</w:t>
            </w:r>
          </w:p>
        </w:tc>
      </w:tr>
      <w:tr>
        <w:trPr>
          <w:trHeight w:val="234"/>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September 12, 2014, and on the maturity date</w:t>
            </w:r>
          </w:p>
        </w:tc>
      </w:tr>
      <w:tr>
        <w:trPr>
          <w:trHeight w:val="3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28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w w:val="99"/>
              </w:rPr>
              <w:t>30/360</w:t>
            </w:r>
          </w:p>
        </w:tc>
        <w:tc>
          <w:tcPr>
            <w:tcW w:w="4780" w:type="dxa"/>
            <w:vAlign w:val="bottom"/>
          </w:tcPr>
          <w:p>
            <w:pPr>
              <w:spacing w:after="0"/>
              <w:rPr>
                <w:sz w:val="24"/>
                <w:szCs w:val="24"/>
                <w:color w:val="auto"/>
              </w:rPr>
            </w:pP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758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$247,235,000</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2.000% due February 28, 2021</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70 basis points</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58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2.862%</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758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98-30+; 2.162%</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At any time before February 12, 2021 (one month before the maturity</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date) at the greater of 100% of the principal amount of the notes being</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redeemed or discounted present value at the rate of Treasury plus 12.5</w:t>
            </w:r>
          </w:p>
        </w:tc>
      </w:tr>
      <w:tr>
        <w:trPr>
          <w:trHeight w:val="234"/>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basis points</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9"/>
              </w:rPr>
              <w:t>At any time on or after February 12, 2021 (one month before the maturity</w:t>
            </w:r>
          </w:p>
        </w:tc>
      </w:tr>
      <w:tr>
        <w:trPr>
          <w:trHeight w:val="234"/>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date) at 100% of the principal amount of notes being redeemed</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5, 2014</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March 12, 2014 (T+5)</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882508 AY0 / US882508AY08</w:t>
            </w: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Moody’s: A1 (stable outlook)</w:t>
            </w:r>
          </w:p>
        </w:tc>
      </w:tr>
      <w:tr>
        <w:trPr>
          <w:trHeight w:val="234"/>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1060" w:type="dxa"/>
            <w:vAlign w:val="bottom"/>
          </w:tcPr>
          <w:p>
            <w:pPr>
              <w:spacing w:after="0"/>
              <w:rPr>
                <w:sz w:val="24"/>
                <w:szCs w:val="24"/>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Merrill Lynch, Pierce, Fenner &amp; Smith</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Mizuho Securities USA Inc.</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Mitsubishi UFJ Securities (USA), Inc.</w:t>
            </w:r>
          </w:p>
        </w:tc>
      </w:tr>
      <w:tr>
        <w:trPr>
          <w:trHeight w:val="234"/>
        </w:trPr>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Morgan Stanley &amp; Co. LLC</w:t>
            </w:r>
          </w:p>
        </w:tc>
      </w:tr>
    </w:tbl>
    <w:p>
      <w:pPr>
        <w:sectPr>
          <w:pgSz w:w="11900" w:h="16838" w:orient="portrait"/>
          <w:cols w:equalWidth="0" w:num="1">
            <w:col w:w="11360"/>
          </w:cols>
          <w:pgMar w:left="240" w:top="25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March 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2014,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w:t>
      </w: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Merrill Lynch, Pierce, Fenner &amp; Smith Incorporated at (800) 294-1322 or Mizuho Securities USA Inc. at (866) 271-7403.</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400"/>
      </w:cols>
      <w:pgMar w:left="240" w:top="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2019-12-05T15:05:36Z</dcterms:created>
  <dcterms:modified xsi:type="dcterms:W3CDTF">2019-12-05T15:05:36Z</dcterms:modified>
</cp:coreProperties>
</file>