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01"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60" w:space="720"/>
            <w:col w:w="2660"/>
          </w:cols>
          <w:pgMar w:left="240" w:top="301"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01"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3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the annual meeting of stockholders held on April 17, 2014, the stockholders elected TI’s Board of Directors and voted upon four Board proposals contained within our Proxy Statement dated March 4,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5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6"/>
              </w:rPr>
              <w:t>For</w:t>
            </w:r>
          </w:p>
        </w:tc>
        <w:tc>
          <w:tcPr>
            <w:tcW w:w="1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Against</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411"/>
        </w:trPr>
        <w:tc>
          <w:tcPr>
            <w:tcW w:w="2940" w:type="dxa"/>
            <w:vAlign w:val="bottom"/>
          </w:tcPr>
          <w:p>
            <w:pPr>
              <w:spacing w:after="0"/>
              <w:rPr>
                <w:sz w:val="20"/>
                <w:szCs w:val="20"/>
                <w:color w:val="auto"/>
              </w:rPr>
            </w:pPr>
            <w:r>
              <w:rPr>
                <w:rFonts w:ascii="Arial" w:cs="Arial" w:eastAsia="Arial" w:hAnsi="Arial"/>
                <w:sz w:val="18"/>
                <w:szCs w:val="18"/>
                <w:color w:val="auto"/>
              </w:rPr>
              <w:t>Ralph W. Babb, Jr.</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883,664,832</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2,308,389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1,726,151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Mark A. Blinn</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883,654,994</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2,209,519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1,834,859</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Daniel A. Carp</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878,151,632</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7,689,936</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1,857,804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Carrie S. Cox</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879,493,794</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6,484,249</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1,721,329</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Ronald Kirk</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882,812,528</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3,171,487</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1,715,357</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Pamela H. Patsley</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868,383,639</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17,482,784</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1,832,949</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Robert E. Sanchez</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880,869,764</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4,865,220</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1,964,388</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Wayne R. Sanders</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878,416,747</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7,309,803</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1,972,822</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Ruth J. Simmons</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877,096,428</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8,734,013</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1,868,931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Richard K. Templeton</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863,369,944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18,112,068</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6,217,360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580" w:type="dxa"/>
            <w:vAlign w:val="bottom"/>
          </w:tcPr>
          <w:p>
            <w:pPr>
              <w:jc w:val="center"/>
              <w:ind w:left="470"/>
              <w:spacing w:after="0"/>
              <w:rPr>
                <w:sz w:val="20"/>
                <w:szCs w:val="20"/>
                <w:color w:val="auto"/>
              </w:rPr>
            </w:pPr>
            <w:r>
              <w:rPr>
                <w:rFonts w:ascii="Arial" w:cs="Arial" w:eastAsia="Arial" w:hAnsi="Arial"/>
                <w:sz w:val="18"/>
                <w:szCs w:val="18"/>
                <w:color w:val="auto"/>
                <w:w w:val="89"/>
              </w:rPr>
              <w:t>876,351,421</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9,777,333</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1,570,618</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84,782,224</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6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For</w:t>
            </w: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Against</w:t>
            </w:r>
          </w:p>
        </w:tc>
        <w:tc>
          <w:tcPr>
            <w:tcW w:w="21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6"/>
              </w:rPr>
              <w:t>Abstentions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11"/>
        </w:trPr>
        <w:tc>
          <w:tcPr>
            <w:tcW w:w="4540" w:type="dxa"/>
            <w:vAlign w:val="bottom"/>
          </w:tcPr>
          <w:p>
            <w:pPr>
              <w:spacing w:after="0"/>
              <w:rPr>
                <w:sz w:val="20"/>
                <w:szCs w:val="20"/>
                <w:color w:val="auto"/>
              </w:rPr>
            </w:pPr>
            <w:r>
              <w:rPr>
                <w:rFonts w:ascii="Arial" w:cs="Arial" w:eastAsia="Arial" w:hAnsi="Arial"/>
                <w:sz w:val="18"/>
                <w:szCs w:val="18"/>
                <w:color w:val="auto"/>
              </w:rPr>
              <w:t>Board proposal regarding advisory approval of the</w:t>
            </w:r>
          </w:p>
        </w:tc>
        <w:tc>
          <w:tcPr>
            <w:tcW w:w="1640" w:type="dxa"/>
            <w:vAlign w:val="bottom"/>
          </w:tcPr>
          <w:p>
            <w:pPr>
              <w:jc w:val="center"/>
              <w:ind w:right="170"/>
              <w:spacing w:after="0"/>
              <w:rPr>
                <w:sz w:val="20"/>
                <w:szCs w:val="20"/>
                <w:color w:val="auto"/>
              </w:rPr>
            </w:pPr>
            <w:r>
              <w:rPr>
                <w:rFonts w:ascii="Arial" w:cs="Arial" w:eastAsia="Arial" w:hAnsi="Arial"/>
                <w:sz w:val="18"/>
                <w:szCs w:val="18"/>
                <w:color w:val="auto"/>
                <w:w w:val="89"/>
              </w:rPr>
              <w:t>857,188,085</w:t>
            </w:r>
          </w:p>
        </w:tc>
        <w:tc>
          <w:tcPr>
            <w:tcW w:w="1320" w:type="dxa"/>
            <w:vAlign w:val="bottom"/>
          </w:tcPr>
          <w:p>
            <w:pPr>
              <w:jc w:val="center"/>
              <w:ind w:left="230"/>
              <w:spacing w:after="0"/>
              <w:rPr>
                <w:sz w:val="20"/>
                <w:szCs w:val="20"/>
                <w:color w:val="auto"/>
              </w:rPr>
            </w:pPr>
            <w:r>
              <w:rPr>
                <w:rFonts w:ascii="Arial" w:cs="Arial" w:eastAsia="Arial" w:hAnsi="Arial"/>
                <w:sz w:val="18"/>
                <w:szCs w:val="18"/>
                <w:color w:val="auto"/>
                <w:w w:val="88"/>
              </w:rPr>
              <w:t>26,166,859</w:t>
            </w:r>
          </w:p>
        </w:tc>
        <w:tc>
          <w:tcPr>
            <w:tcW w:w="2160" w:type="dxa"/>
            <w:vAlign w:val="bottom"/>
          </w:tcPr>
          <w:p>
            <w:pPr>
              <w:jc w:val="center"/>
              <w:ind w:left="270"/>
              <w:spacing w:after="0"/>
              <w:rPr>
                <w:sz w:val="20"/>
                <w:szCs w:val="20"/>
                <w:color w:val="auto"/>
              </w:rPr>
            </w:pPr>
            <w:r>
              <w:rPr>
                <w:rFonts w:ascii="Arial" w:cs="Arial" w:eastAsia="Arial" w:hAnsi="Arial"/>
                <w:sz w:val="18"/>
                <w:szCs w:val="18"/>
                <w:color w:val="auto"/>
                <w:w w:val="89"/>
              </w:rPr>
              <w:t>4,344,428</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84,782,224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company’s executive compensation</w:t>
            </w: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7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center"/>
              <w:ind w:right="1050"/>
              <w:spacing w:after="0"/>
              <w:rPr>
                <w:sz w:val="20"/>
                <w:szCs w:val="20"/>
                <w:color w:val="auto"/>
              </w:rPr>
            </w:pPr>
            <w:r>
              <w:rPr>
                <w:rFonts w:ascii="Arial" w:cs="Arial" w:eastAsia="Arial" w:hAnsi="Arial"/>
                <w:sz w:val="18"/>
                <w:szCs w:val="18"/>
                <w:b w:val="1"/>
                <w:bCs w:val="1"/>
                <w:color w:val="auto"/>
                <w:w w:val="87"/>
              </w:rPr>
              <w:t>Against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11"/>
        </w:trPr>
        <w:tc>
          <w:tcPr>
            <w:tcW w:w="4540" w:type="dxa"/>
            <w:vAlign w:val="bottom"/>
          </w:tcPr>
          <w:p>
            <w:pPr>
              <w:spacing w:after="0"/>
              <w:rPr>
                <w:sz w:val="20"/>
                <w:szCs w:val="20"/>
                <w:color w:val="auto"/>
              </w:rPr>
            </w:pPr>
            <w:r>
              <w:rPr>
                <w:rFonts w:ascii="Arial" w:cs="Arial" w:eastAsia="Arial" w:hAnsi="Arial"/>
                <w:sz w:val="18"/>
                <w:szCs w:val="18"/>
                <w:color w:val="auto"/>
                <w:w w:val="97"/>
              </w:rPr>
              <w:t>Board proposal to ratify the appointment of Ernst &amp; Young</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957,686,272</w:t>
            </w:r>
          </w:p>
        </w:tc>
        <w:tc>
          <w:tcPr>
            <w:tcW w:w="1320" w:type="dxa"/>
            <w:vAlign w:val="bottom"/>
          </w:tcPr>
          <w:p>
            <w:pPr>
              <w:spacing w:after="0"/>
              <w:rPr>
                <w:sz w:val="24"/>
                <w:szCs w:val="24"/>
                <w:color w:val="auto"/>
              </w:rPr>
            </w:pPr>
          </w:p>
        </w:tc>
        <w:tc>
          <w:tcPr>
            <w:tcW w:w="2160" w:type="dxa"/>
            <w:vAlign w:val="bottom"/>
          </w:tcPr>
          <w:p>
            <w:pPr>
              <w:jc w:val="right"/>
              <w:ind w:right="1150"/>
              <w:spacing w:after="0"/>
              <w:rPr>
                <w:sz w:val="20"/>
                <w:szCs w:val="20"/>
                <w:color w:val="auto"/>
              </w:rPr>
            </w:pPr>
            <w:r>
              <w:rPr>
                <w:rFonts w:ascii="Arial" w:cs="Arial" w:eastAsia="Arial" w:hAnsi="Arial"/>
                <w:sz w:val="18"/>
                <w:szCs w:val="18"/>
                <w:color w:val="auto"/>
                <w:w w:val="99"/>
              </w:rPr>
              <w:t>12,399,087</w:t>
            </w:r>
          </w:p>
        </w:tc>
        <w:tc>
          <w:tcPr>
            <w:tcW w:w="1760" w:type="dxa"/>
            <w:vAlign w:val="bottom"/>
          </w:tcPr>
          <w:p>
            <w:pPr>
              <w:jc w:val="right"/>
              <w:ind w:right="410"/>
              <w:spacing w:after="0"/>
              <w:rPr>
                <w:sz w:val="20"/>
                <w:szCs w:val="20"/>
                <w:color w:val="auto"/>
              </w:rPr>
            </w:pPr>
            <w:r>
              <w:rPr>
                <w:rFonts w:ascii="Arial" w:cs="Arial" w:eastAsia="Arial" w:hAnsi="Arial"/>
                <w:sz w:val="18"/>
                <w:szCs w:val="18"/>
                <w:color w:val="auto"/>
              </w:rPr>
              <w:t>2,396,237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LLP as the company’s independent registered public</w:t>
            </w: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accounting firm for 2014</w:t>
            </w: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41"/>
        </w:trPr>
        <w:tc>
          <w:tcPr>
            <w:tcW w:w="4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6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For</w:t>
            </w: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Against</w:t>
            </w:r>
          </w:p>
        </w:tc>
        <w:tc>
          <w:tcPr>
            <w:tcW w:w="21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6"/>
              </w:rPr>
              <w:t>Abstentions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11"/>
        </w:trPr>
        <w:tc>
          <w:tcPr>
            <w:tcW w:w="4540" w:type="dxa"/>
            <w:vAlign w:val="bottom"/>
          </w:tcPr>
          <w:p>
            <w:pPr>
              <w:spacing w:after="0"/>
              <w:rPr>
                <w:sz w:val="20"/>
                <w:szCs w:val="20"/>
                <w:color w:val="auto"/>
              </w:rPr>
            </w:pPr>
            <w:r>
              <w:rPr>
                <w:rFonts w:ascii="Arial" w:cs="Arial" w:eastAsia="Arial" w:hAnsi="Arial"/>
                <w:sz w:val="18"/>
                <w:szCs w:val="18"/>
                <w:color w:val="auto"/>
                <w:w w:val="99"/>
              </w:rPr>
              <w:t>Board proposal to approve the TI Employees 2014 Stock</w:t>
            </w:r>
          </w:p>
        </w:tc>
        <w:tc>
          <w:tcPr>
            <w:tcW w:w="1640" w:type="dxa"/>
            <w:vAlign w:val="bottom"/>
          </w:tcPr>
          <w:p>
            <w:pPr>
              <w:jc w:val="center"/>
              <w:ind w:right="170"/>
              <w:spacing w:after="0"/>
              <w:rPr>
                <w:sz w:val="20"/>
                <w:szCs w:val="20"/>
                <w:color w:val="auto"/>
              </w:rPr>
            </w:pPr>
            <w:r>
              <w:rPr>
                <w:rFonts w:ascii="Arial" w:cs="Arial" w:eastAsia="Arial" w:hAnsi="Arial"/>
                <w:sz w:val="18"/>
                <w:szCs w:val="18"/>
                <w:color w:val="auto"/>
                <w:w w:val="89"/>
              </w:rPr>
              <w:t>877,353,585</w:t>
            </w:r>
          </w:p>
        </w:tc>
        <w:tc>
          <w:tcPr>
            <w:tcW w:w="1320" w:type="dxa"/>
            <w:vAlign w:val="bottom"/>
          </w:tcPr>
          <w:p>
            <w:pPr>
              <w:jc w:val="center"/>
              <w:ind w:left="230"/>
              <w:spacing w:after="0"/>
              <w:rPr>
                <w:sz w:val="20"/>
                <w:szCs w:val="20"/>
                <w:color w:val="auto"/>
              </w:rPr>
            </w:pPr>
            <w:r>
              <w:rPr>
                <w:rFonts w:ascii="Arial" w:cs="Arial" w:eastAsia="Arial" w:hAnsi="Arial"/>
                <w:sz w:val="18"/>
                <w:szCs w:val="18"/>
                <w:color w:val="auto"/>
                <w:w w:val="89"/>
              </w:rPr>
              <w:t>5,879,381</w:t>
            </w:r>
          </w:p>
        </w:tc>
        <w:tc>
          <w:tcPr>
            <w:tcW w:w="2160" w:type="dxa"/>
            <w:vAlign w:val="bottom"/>
          </w:tcPr>
          <w:p>
            <w:pPr>
              <w:jc w:val="center"/>
              <w:ind w:left="270"/>
              <w:spacing w:after="0"/>
              <w:rPr>
                <w:sz w:val="20"/>
                <w:szCs w:val="20"/>
                <w:color w:val="auto"/>
              </w:rPr>
            </w:pPr>
            <w:r>
              <w:rPr>
                <w:rFonts w:ascii="Arial" w:cs="Arial" w:eastAsia="Arial" w:hAnsi="Arial"/>
                <w:sz w:val="18"/>
                <w:szCs w:val="18"/>
                <w:color w:val="auto"/>
                <w:w w:val="89"/>
              </w:rPr>
              <w:t>4,466,406</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84,782,224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Purchase Plan</w:t>
            </w: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30"/>
        </w:trPr>
        <w:tc>
          <w:tcPr>
            <w:tcW w:w="4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6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For</w:t>
            </w: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Against</w:t>
            </w:r>
          </w:p>
        </w:tc>
        <w:tc>
          <w:tcPr>
            <w:tcW w:w="21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6"/>
              </w:rPr>
              <w:t>Abstentions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11"/>
        </w:trPr>
        <w:tc>
          <w:tcPr>
            <w:tcW w:w="4540" w:type="dxa"/>
            <w:vAlign w:val="bottom"/>
          </w:tcPr>
          <w:p>
            <w:pPr>
              <w:spacing w:after="0"/>
              <w:rPr>
                <w:sz w:val="20"/>
                <w:szCs w:val="20"/>
                <w:color w:val="auto"/>
              </w:rPr>
            </w:pPr>
            <w:r>
              <w:rPr>
                <w:rFonts w:ascii="Arial" w:cs="Arial" w:eastAsia="Arial" w:hAnsi="Arial"/>
                <w:sz w:val="18"/>
                <w:szCs w:val="18"/>
                <w:color w:val="auto"/>
              </w:rPr>
              <w:t>Board proposal to reapprove the material terms of the</w:t>
            </w:r>
          </w:p>
        </w:tc>
        <w:tc>
          <w:tcPr>
            <w:tcW w:w="1640" w:type="dxa"/>
            <w:vAlign w:val="bottom"/>
          </w:tcPr>
          <w:p>
            <w:pPr>
              <w:jc w:val="center"/>
              <w:ind w:right="170"/>
              <w:spacing w:after="0"/>
              <w:rPr>
                <w:sz w:val="20"/>
                <w:szCs w:val="20"/>
                <w:color w:val="auto"/>
              </w:rPr>
            </w:pPr>
            <w:r>
              <w:rPr>
                <w:rFonts w:ascii="Arial" w:cs="Arial" w:eastAsia="Arial" w:hAnsi="Arial"/>
                <w:sz w:val="18"/>
                <w:szCs w:val="18"/>
                <w:color w:val="auto"/>
                <w:w w:val="89"/>
              </w:rPr>
              <w:t>847,133,261</w:t>
            </w:r>
          </w:p>
        </w:tc>
        <w:tc>
          <w:tcPr>
            <w:tcW w:w="1320" w:type="dxa"/>
            <w:vAlign w:val="bottom"/>
          </w:tcPr>
          <w:p>
            <w:pPr>
              <w:jc w:val="center"/>
              <w:ind w:left="230"/>
              <w:spacing w:after="0"/>
              <w:rPr>
                <w:sz w:val="20"/>
                <w:szCs w:val="20"/>
                <w:color w:val="auto"/>
              </w:rPr>
            </w:pPr>
            <w:r>
              <w:rPr>
                <w:rFonts w:ascii="Arial" w:cs="Arial" w:eastAsia="Arial" w:hAnsi="Arial"/>
                <w:sz w:val="18"/>
                <w:szCs w:val="18"/>
                <w:color w:val="auto"/>
                <w:w w:val="88"/>
              </w:rPr>
              <w:t>37,910,153</w:t>
            </w:r>
          </w:p>
        </w:tc>
        <w:tc>
          <w:tcPr>
            <w:tcW w:w="2160" w:type="dxa"/>
            <w:vAlign w:val="bottom"/>
          </w:tcPr>
          <w:p>
            <w:pPr>
              <w:jc w:val="center"/>
              <w:ind w:left="270"/>
              <w:spacing w:after="0"/>
              <w:rPr>
                <w:sz w:val="20"/>
                <w:szCs w:val="20"/>
                <w:color w:val="auto"/>
              </w:rPr>
            </w:pPr>
            <w:r>
              <w:rPr>
                <w:rFonts w:ascii="Arial" w:cs="Arial" w:eastAsia="Arial" w:hAnsi="Arial"/>
                <w:sz w:val="18"/>
                <w:szCs w:val="18"/>
                <w:color w:val="auto"/>
                <w:w w:val="89"/>
              </w:rPr>
              <w:t>2,655,958</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84,782,224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4"/>
              </w:rPr>
              <w:t>performance goals under the Texas Instruments 2009 Long-</w:t>
            </w:r>
          </w:p>
        </w:tc>
        <w:tc>
          <w:tcPr>
            <w:tcW w:w="1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Term Incentive Plan</w:t>
            </w: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20" w:val="left"/>
          <w:tab w:leader="none" w:pos="6300" w:val="left"/>
        </w:tabs>
        <w:rPr>
          <w:sz w:val="20"/>
          <w:szCs w:val="20"/>
          <w:color w:val="auto"/>
        </w:rPr>
      </w:pPr>
      <w:r>
        <w:rPr>
          <w:rFonts w:ascii="Arial" w:cs="Arial" w:eastAsia="Arial" w:hAnsi="Arial"/>
          <w:sz w:val="18"/>
          <w:szCs w:val="18"/>
          <w:color w:val="auto"/>
        </w:rPr>
        <w:t>Date: April 21,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280"/>
      </w:cols>
      <w:pgMar w:left="240" w:top="5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2019-12-05T15:05:53Z</dcterms:created>
  <dcterms:modified xsi:type="dcterms:W3CDTF">2019-12-05T15:05:53Z</dcterms:modified>
</cp:coreProperties>
</file>