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457835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15240</wp:posOffset>
            </wp:positionV>
            <wp:extent cx="41662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5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42545</wp:posOffset>
            </wp:positionV>
            <wp:extent cx="41662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January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29210</wp:posOffset>
            </wp:positionV>
            <wp:extent cx="41662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23495</wp:posOffset>
            </wp:positionV>
            <wp:extent cx="41662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87" w:lineRule="exact"/>
        <w:rPr>
          <w:sz w:val="24"/>
          <w:szCs w:val="24"/>
          <w:color w:val="auto"/>
        </w:rPr>
      </w:pPr>
    </w:p>
    <w:tbl>
      <w:tblPr>
        <w:tblLayout w:type="fixed"/>
        <w:tblInd w:w="860" w:type="dxa"/>
        <w:tblCellMar>
          <w:top w:w="0" w:type="dxa"/>
          <w:left w:w="0" w:type="dxa"/>
          <w:bottom w:w="0" w:type="dxa"/>
          <w:right w:w="0" w:type="dxa"/>
        </w:tblCellMar>
      </w:tblPr>
      <w:tr>
        <w:trPr>
          <w:trHeight w:val="239"/>
        </w:trPr>
        <w:tc>
          <w:tcPr>
            <w:tcW w:w="2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rPr>
              <w:t>Delaware</w:t>
            </w:r>
          </w:p>
        </w:tc>
        <w:tc>
          <w:tcPr>
            <w:tcW w:w="5400" w:type="dxa"/>
            <w:vAlign w:val="bottom"/>
          </w:tcPr>
          <w:p>
            <w:pPr>
              <w:jc w:val="center"/>
              <w:ind w:right="60"/>
              <w:spacing w:after="0"/>
              <w:rPr>
                <w:sz w:val="20"/>
                <w:szCs w:val="20"/>
                <w:color w:val="auto"/>
              </w:rPr>
            </w:pPr>
            <w:r>
              <w:rPr>
                <w:rFonts w:ascii="Arial" w:cs="Arial" w:eastAsia="Arial" w:hAnsi="Arial"/>
                <w:sz w:val="18"/>
                <w:szCs w:val="18"/>
                <w:b w:val="1"/>
                <w:bCs w:val="1"/>
                <w:color w:val="auto"/>
                <w:w w:val="99"/>
              </w:rPr>
              <w:t>001-03761</w:t>
            </w:r>
          </w:p>
        </w:tc>
        <w:tc>
          <w:tcPr>
            <w:tcW w:w="1680" w:type="dxa"/>
            <w:vAlign w:val="bottom"/>
            <w:gridSpan w:val="2"/>
          </w:tcPr>
          <w:p>
            <w:pPr>
              <w:jc w:val="center"/>
              <w:ind w:left="399"/>
              <w:spacing w:after="0"/>
              <w:rPr>
                <w:sz w:val="20"/>
                <w:szCs w:val="20"/>
                <w:color w:val="auto"/>
              </w:rPr>
            </w:pPr>
            <w:r>
              <w:rPr>
                <w:rFonts w:ascii="Arial" w:cs="Arial" w:eastAsia="Arial" w:hAnsi="Arial"/>
                <w:sz w:val="18"/>
                <w:szCs w:val="18"/>
                <w:b w:val="1"/>
                <w:bCs w:val="1"/>
                <w:color w:val="auto"/>
                <w:w w:val="99"/>
              </w:rPr>
              <w:t>75-0289970</w:t>
            </w:r>
          </w:p>
        </w:tc>
      </w:tr>
      <w:tr>
        <w:trPr>
          <w:trHeight w:val="144"/>
        </w:trPr>
        <w:tc>
          <w:tcPr>
            <w:tcW w:w="214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rPr>
              <w:t>(State or other jurisdiction</w:t>
            </w:r>
          </w:p>
        </w:tc>
        <w:tc>
          <w:tcPr>
            <w:tcW w:w="5400" w:type="dxa"/>
            <w:vAlign w:val="bottom"/>
          </w:tcPr>
          <w:p>
            <w:pPr>
              <w:jc w:val="center"/>
              <w:ind w:right="60"/>
              <w:spacing w:after="0" w:line="145" w:lineRule="exact"/>
              <w:rPr>
                <w:sz w:val="20"/>
                <w:szCs w:val="20"/>
                <w:color w:val="auto"/>
              </w:rPr>
            </w:pPr>
            <w:r>
              <w:rPr>
                <w:rFonts w:ascii="Arial" w:cs="Arial" w:eastAsia="Arial" w:hAnsi="Arial"/>
                <w:sz w:val="14"/>
                <w:szCs w:val="14"/>
                <w:b w:val="1"/>
                <w:bCs w:val="1"/>
                <w:color w:val="auto"/>
              </w:rPr>
              <w:t>(Commission</w:t>
            </w:r>
          </w:p>
        </w:tc>
        <w:tc>
          <w:tcPr>
            <w:tcW w:w="500" w:type="dxa"/>
            <w:vAlign w:val="bottom"/>
          </w:tcPr>
          <w:p>
            <w:pPr>
              <w:spacing w:after="0"/>
              <w:rPr>
                <w:sz w:val="12"/>
                <w:szCs w:val="12"/>
                <w:color w:val="auto"/>
              </w:rPr>
            </w:pPr>
          </w:p>
        </w:tc>
        <w:tc>
          <w:tcPr>
            <w:tcW w:w="11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(I.R.S. employer</w:t>
            </w:r>
          </w:p>
        </w:tc>
      </w:tr>
      <w:tr>
        <w:trPr>
          <w:trHeight w:val="196"/>
        </w:trPr>
        <w:tc>
          <w:tcPr>
            <w:tcW w:w="2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of incorporation)</w:t>
            </w:r>
          </w:p>
        </w:tc>
        <w:tc>
          <w:tcPr>
            <w:tcW w:w="5400" w:type="dxa"/>
            <w:vAlign w:val="bottom"/>
          </w:tcPr>
          <w:p>
            <w:pPr>
              <w:jc w:val="center"/>
              <w:ind w:right="60"/>
              <w:spacing w:after="0"/>
              <w:rPr>
                <w:sz w:val="20"/>
                <w:szCs w:val="20"/>
                <w:color w:val="auto"/>
              </w:rPr>
            </w:pPr>
            <w:r>
              <w:rPr>
                <w:rFonts w:ascii="Arial" w:cs="Arial" w:eastAsia="Arial" w:hAnsi="Arial"/>
                <w:sz w:val="14"/>
                <w:szCs w:val="14"/>
                <w:b w:val="1"/>
                <w:bCs w:val="1"/>
                <w:color w:val="auto"/>
              </w:rPr>
              <w:t>file number)</w:t>
            </w:r>
          </w:p>
        </w:tc>
        <w:tc>
          <w:tcPr>
            <w:tcW w:w="1680" w:type="dxa"/>
            <w:vAlign w:val="bottom"/>
            <w:gridSpan w:val="2"/>
          </w:tcPr>
          <w:p>
            <w:pPr>
              <w:jc w:val="center"/>
              <w:ind w:left="399"/>
              <w:spacing w:after="0"/>
              <w:rPr>
                <w:sz w:val="20"/>
                <w:szCs w:val="20"/>
                <w:color w:val="auto"/>
              </w:rPr>
            </w:pPr>
            <w:r>
              <w:rPr>
                <w:rFonts w:ascii="Arial" w:cs="Arial" w:eastAsia="Arial" w:hAnsi="Arial"/>
                <w:sz w:val="14"/>
                <w:szCs w:val="14"/>
                <w:b w:val="1"/>
                <w:bCs w:val="1"/>
                <w:color w:val="auto"/>
              </w:rPr>
              <w:t>identification no.)</w:t>
            </w:r>
          </w:p>
        </w:tc>
      </w:tr>
      <w:tr>
        <w:trPr>
          <w:trHeight w:val="487"/>
        </w:trPr>
        <w:tc>
          <w:tcPr>
            <w:tcW w:w="1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0" w:type="dxa"/>
            <w:vAlign w:val="bottom"/>
          </w:tcPr>
          <w:p>
            <w:pPr>
              <w:jc w:val="center"/>
              <w:ind w:right="80"/>
              <w:spacing w:after="0"/>
              <w:rPr>
                <w:sz w:val="20"/>
                <w:szCs w:val="20"/>
                <w:color w:val="auto"/>
              </w:rPr>
            </w:pPr>
            <w:r>
              <w:rPr>
                <w:rFonts w:ascii="Arial" w:cs="Arial" w:eastAsia="Arial" w:hAnsi="Arial"/>
                <w:sz w:val="18"/>
                <w:szCs w:val="18"/>
                <w:b w:val="1"/>
                <w:bCs w:val="1"/>
                <w:color w:val="auto"/>
                <w:w w:val="99"/>
              </w:rPr>
              <w:t>12500 TI Boulevard</w:t>
            </w: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26"/>
        </w:trPr>
        <w:tc>
          <w:tcPr>
            <w:tcW w:w="1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0" w:type="dxa"/>
            <w:vAlign w:val="bottom"/>
          </w:tcPr>
          <w:p>
            <w:pPr>
              <w:jc w:val="center"/>
              <w:ind w:right="80"/>
              <w:spacing w:after="0"/>
              <w:rPr>
                <w:sz w:val="20"/>
                <w:szCs w:val="20"/>
                <w:color w:val="auto"/>
              </w:rPr>
            </w:pPr>
            <w:r>
              <w:rPr>
                <w:rFonts w:ascii="Arial" w:cs="Arial" w:eastAsia="Arial" w:hAnsi="Arial"/>
                <w:sz w:val="18"/>
                <w:szCs w:val="18"/>
                <w:b w:val="1"/>
                <w:bCs w:val="1"/>
                <w:color w:val="auto"/>
                <w:w w:val="99"/>
              </w:rPr>
              <w:t>Dallas, Texas 75243</w:t>
            </w: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196"/>
        </w:trPr>
        <w:tc>
          <w:tcPr>
            <w:tcW w:w="1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0" w:type="dxa"/>
            <w:vAlign w:val="bottom"/>
          </w:tcPr>
          <w:p>
            <w:pPr>
              <w:jc w:val="center"/>
              <w:ind w:right="80"/>
              <w:spacing w:after="0"/>
              <w:rPr>
                <w:sz w:val="20"/>
                <w:szCs w:val="20"/>
                <w:color w:val="auto"/>
              </w:rPr>
            </w:pPr>
            <w:r>
              <w:rPr>
                <w:rFonts w:ascii="Arial" w:cs="Arial" w:eastAsia="Arial" w:hAnsi="Arial"/>
                <w:sz w:val="14"/>
                <w:szCs w:val="14"/>
                <w:b w:val="1"/>
                <w:bCs w:val="1"/>
                <w:color w:val="auto"/>
              </w:rPr>
              <w:t>(Address of principal executive offices)</w:t>
            </w:r>
          </w:p>
        </w:tc>
        <w:tc>
          <w:tcPr>
            <w:tcW w:w="5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391"/>
        </w:trPr>
        <w:tc>
          <w:tcPr>
            <w:tcW w:w="1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0" w:type="dxa"/>
            <w:vAlign w:val="bottom"/>
          </w:tcPr>
          <w:p>
            <w:pPr>
              <w:jc w:val="center"/>
              <w:ind w:right="80"/>
              <w:spacing w:after="0"/>
              <w:rPr>
                <w:sz w:val="20"/>
                <w:szCs w:val="20"/>
                <w:color w:val="auto"/>
              </w:rPr>
            </w:pPr>
            <w:r>
              <w:rPr>
                <w:rFonts w:ascii="Arial" w:cs="Arial" w:eastAsia="Arial" w:hAnsi="Arial"/>
                <w:sz w:val="14"/>
                <w:szCs w:val="14"/>
                <w:b w:val="1"/>
                <w:bCs w:val="1"/>
                <w:color w:val="auto"/>
              </w:rPr>
              <w:t>Registrant’s telephone number, including area code: (214) 479-3773</w:t>
            </w: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31"/>
        </w:trPr>
        <w:tc>
          <w:tcPr>
            <w:tcW w:w="148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54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80" w:type="dxa"/>
            <w:vAlign w:val="bottom"/>
          </w:tcPr>
          <w:p>
            <w:pPr>
              <w:spacing w:after="0"/>
              <w:rPr>
                <w:sz w:val="20"/>
                <w:szCs w:val="20"/>
                <w:color w:val="auto"/>
              </w:rPr>
            </w:pPr>
          </w:p>
        </w:tc>
      </w:tr>
    </w:tbl>
    <w:p>
      <w:pPr>
        <w:spacing w:after="0" w:line="200" w:lineRule="exact"/>
        <w:rPr>
          <w:sz w:val="24"/>
          <w:szCs w:val="24"/>
          <w:color w:val="auto"/>
        </w:rPr>
      </w:pPr>
    </w:p>
    <w:p>
      <w:pPr>
        <w:spacing w:after="0" w:line="213" w:lineRule="exact"/>
        <w:rPr>
          <w:sz w:val="24"/>
          <w:szCs w:val="24"/>
          <w:color w:val="auto"/>
        </w:rPr>
      </w:pPr>
    </w:p>
    <w:p>
      <w:pPr>
        <w:ind w:right="260"/>
        <w:spacing w:after="0" w:line="263"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6" w:lineRule="exact"/>
        <w:rPr>
          <w:sz w:val="24"/>
          <w:szCs w:val="24"/>
          <w:color w:val="auto"/>
        </w:rPr>
      </w:pPr>
    </w:p>
    <w:p>
      <w:pPr>
        <w:ind w:left="740" w:hanging="714"/>
        <w:spacing w:after="0"/>
        <w:tabs>
          <w:tab w:leader="none" w:pos="7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209" w:lineRule="exact"/>
        <w:rPr>
          <w:rFonts w:ascii="MS PGothic" w:cs="MS PGothic" w:eastAsia="MS PGothic" w:hAnsi="MS PGothic"/>
          <w:sz w:val="17"/>
          <w:szCs w:val="17"/>
          <w:color w:val="auto"/>
        </w:rPr>
      </w:pPr>
    </w:p>
    <w:p>
      <w:pPr>
        <w:ind w:left="740" w:hanging="714"/>
        <w:spacing w:after="0"/>
        <w:tabs>
          <w:tab w:leader="none" w:pos="7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142" w:lineRule="exact"/>
        <w:rPr>
          <w:rFonts w:ascii="MS PGothic" w:cs="MS PGothic" w:eastAsia="MS PGothic" w:hAnsi="MS PGothic"/>
          <w:sz w:val="17"/>
          <w:szCs w:val="17"/>
          <w:color w:val="auto"/>
        </w:rPr>
      </w:pPr>
    </w:p>
    <w:p>
      <w:pPr>
        <w:ind w:left="740" w:hanging="714"/>
        <w:spacing w:after="0"/>
        <w:tabs>
          <w:tab w:leader="none" w:pos="7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55" w:lineRule="exact"/>
        <w:rPr>
          <w:rFonts w:ascii="MS PGothic" w:cs="MS PGothic" w:eastAsia="MS PGothic" w:hAnsi="MS PGothic"/>
          <w:sz w:val="17"/>
          <w:szCs w:val="17"/>
          <w:color w:val="auto"/>
        </w:rPr>
      </w:pPr>
    </w:p>
    <w:p>
      <w:pPr>
        <w:ind w:left="740" w:hanging="714"/>
        <w:spacing w:after="0"/>
        <w:tabs>
          <w:tab w:leader="none" w:pos="7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334"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7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0"/>
        </w:trPr>
        <w:tc>
          <w:tcPr>
            <w:tcW w:w="4700" w:type="dxa"/>
            <w:vAlign w:val="bottom"/>
            <w:gridSpan w:val="3"/>
            <w:vMerge w:val="restart"/>
          </w:tcPr>
          <w:p>
            <w:pPr>
              <w:jc w:val="center"/>
              <w:ind w:right="640"/>
              <w:spacing w:after="0"/>
              <w:rPr>
                <w:sz w:val="20"/>
                <w:szCs w:val="20"/>
                <w:color w:val="auto"/>
              </w:rPr>
            </w:pPr>
            <w:r>
              <w:rPr>
                <w:rFonts w:ascii="Arial" w:cs="Arial" w:eastAsia="Arial" w:hAnsi="Arial"/>
                <w:sz w:val="18"/>
                <w:szCs w:val="18"/>
                <w:b w:val="1"/>
                <w:bCs w:val="1"/>
                <w:color w:val="auto"/>
                <w:w w:val="99"/>
              </w:rPr>
              <w:t>Title of each class</w:t>
            </w:r>
          </w:p>
        </w:tc>
        <w:tc>
          <w:tcPr>
            <w:tcW w:w="174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6"/>
              </w:rPr>
              <w:t>Trading</w:t>
            </w:r>
          </w:p>
        </w:tc>
        <w:tc>
          <w:tcPr>
            <w:tcW w:w="47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43"/>
        </w:trPr>
        <w:tc>
          <w:tcPr>
            <w:tcW w:w="4700" w:type="dxa"/>
            <w:vAlign w:val="bottom"/>
            <w:gridSpan w:val="3"/>
            <w:vMerge w:val="continue"/>
          </w:tcPr>
          <w:p>
            <w:pPr>
              <w:spacing w:after="0"/>
              <w:rPr>
                <w:sz w:val="21"/>
                <w:szCs w:val="21"/>
                <w:color w:val="auto"/>
              </w:rPr>
            </w:pPr>
          </w:p>
        </w:tc>
        <w:tc>
          <w:tcPr>
            <w:tcW w:w="174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rPr>
              <w:t>Symbol(s)</w:t>
            </w:r>
          </w:p>
        </w:tc>
        <w:tc>
          <w:tcPr>
            <w:tcW w:w="47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0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Common Stock, par value $1.00</w:t>
            </w:r>
          </w:p>
        </w:tc>
        <w:tc>
          <w:tcPr>
            <w:tcW w:w="3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9"/>
              </w:rPr>
              <w:t>TXN</w:t>
            </w:r>
          </w:p>
        </w:tc>
        <w:tc>
          <w:tcPr>
            <w:tcW w:w="340" w:type="dxa"/>
            <w:vAlign w:val="bottom"/>
          </w:tcPr>
          <w:p>
            <w:pPr>
              <w:spacing w:after="0"/>
              <w:rPr>
                <w:sz w:val="20"/>
                <w:szCs w:val="20"/>
                <w:color w:val="auto"/>
              </w:rPr>
            </w:pPr>
          </w:p>
        </w:tc>
        <w:tc>
          <w:tcPr>
            <w:tcW w:w="47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The Nasdaq Global Select Market</w:t>
            </w:r>
          </w:p>
        </w:tc>
        <w:tc>
          <w:tcPr>
            <w:tcW w:w="0" w:type="dxa"/>
            <w:vAlign w:val="bottom"/>
          </w:tcPr>
          <w:p>
            <w:pPr>
              <w:spacing w:after="0"/>
              <w:rPr>
                <w:sz w:val="1"/>
                <w:szCs w:val="1"/>
                <w:color w:val="auto"/>
              </w:rPr>
            </w:pPr>
          </w:p>
        </w:tc>
      </w:tr>
    </w:tbl>
    <w:p>
      <w:pPr>
        <w:spacing w:after="0" w:line="274" w:lineRule="exact"/>
        <w:rPr>
          <w:sz w:val="24"/>
          <w:szCs w:val="24"/>
          <w:color w:val="auto"/>
        </w:rPr>
      </w:pPr>
    </w:p>
    <w:p>
      <w:pPr>
        <w:jc w:val="both"/>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7" w:lineRule="exact"/>
        <w:rPr>
          <w:sz w:val="24"/>
          <w:szCs w:val="24"/>
          <w:color w:val="auto"/>
        </w:rPr>
      </w:pPr>
    </w:p>
    <w:p>
      <w:pPr>
        <w:ind w:right="20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681990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128905</wp:posOffset>
            </wp:positionV>
            <wp:extent cx="70891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68580</wp:posOffset>
            </wp:positionV>
            <wp:extent cx="7089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225"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The Registrant’s news release dated January 27, 2026, regarding its fourth-quarter and 2025 results of operations and financial condition is attached hereto as Exhibit 99.</w:t>
      </w:r>
    </w:p>
    <w:p>
      <w:pPr>
        <w:spacing w:after="0" w:line="15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attached news release includes references to the following financial measures that were not prepared in accordance with generally accepted accounting principles in the United States (non-GAAP measures): free cash flow and ratios based on free cash flow. The company believes these non-GAAP measures provide insight into its liquidity, cash generating capability and the amount of cash potentially available to return to shareholders, as well as insight into its financial performance. These non -GAAP measures are supplemental to the comparable GAAP measures. Reconciliation to the most directly comparable GAAP measures is included in the “Non-GAAP financial information” section of the news release.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Designation</w:t>
      </w:r>
    </w:p>
    <w:p>
      <w:pPr>
        <w:ind w:left="320"/>
        <w:spacing w:after="0" w:line="203" w:lineRule="auto"/>
        <w:rPr>
          <w:sz w:val="20"/>
          <w:szCs w:val="20"/>
          <w:color w:val="auto"/>
        </w:rPr>
      </w:pPr>
      <w:r>
        <w:rPr>
          <w:rFonts w:ascii="Arial" w:cs="Arial" w:eastAsia="Arial" w:hAnsi="Arial"/>
          <w:sz w:val="14"/>
          <w:szCs w:val="14"/>
          <w:color w:val="auto"/>
        </w:rPr>
        <w:t>of Exhibit</w:t>
      </w:r>
    </w:p>
    <w:p>
      <w:pPr>
        <w:ind w:left="440"/>
        <w:spacing w:after="0" w:line="221" w:lineRule="auto"/>
        <w:rPr>
          <w:sz w:val="20"/>
          <w:szCs w:val="20"/>
          <w:color w:val="auto"/>
        </w:rPr>
      </w:pPr>
      <w:r>
        <w:rPr>
          <w:rFonts w:ascii="Arial" w:cs="Arial" w:eastAsia="Arial" w:hAnsi="Arial"/>
          <w:sz w:val="14"/>
          <w:szCs w:val="14"/>
          <w:color w:val="auto"/>
        </w:rPr>
        <w:t>in this</w:t>
      </w:r>
    </w:p>
    <w:p>
      <w:pPr>
        <w:spacing w:after="0" w:line="1" w:lineRule="exact"/>
        <w:rPr>
          <w:sz w:val="20"/>
          <w:szCs w:val="20"/>
          <w:color w:val="auto"/>
        </w:rPr>
      </w:pPr>
    </w:p>
    <w:p>
      <w:pPr>
        <w:ind w:left="400"/>
        <w:spacing w:after="0"/>
        <w:tabs>
          <w:tab w:leader="none" w:pos="1580" w:val="left"/>
        </w:tabs>
        <w:rPr>
          <w:sz w:val="20"/>
          <w:szCs w:val="20"/>
          <w:color w:val="auto"/>
        </w:rPr>
      </w:pPr>
      <w:r>
        <w:rPr>
          <w:rFonts w:ascii="Arial" w:cs="Arial" w:eastAsia="Arial" w:hAnsi="Arial"/>
          <w:sz w:val="14"/>
          <w:szCs w:val="14"/>
          <w:color w:val="auto"/>
        </w:rPr>
        <w:t>Report</w:t>
      </w:r>
      <w:r>
        <w:rPr>
          <w:sz w:val="20"/>
          <w:szCs w:val="20"/>
          <w:color w:val="auto"/>
        </w:rPr>
        <w:tab/>
      </w:r>
      <w:r>
        <w:rPr>
          <w:rFonts w:ascii="Arial" w:cs="Arial" w:eastAsia="Arial" w:hAnsi="Arial"/>
          <w:sz w:val="14"/>
          <w:szCs w:val="14"/>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14605</wp:posOffset>
            </wp:positionV>
            <wp:extent cx="61290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29020" cy="8890"/>
                    </a:xfrm>
                    <a:prstGeom prst="rect">
                      <a:avLst/>
                    </a:prstGeom>
                    <a:noFill/>
                  </pic:spPr>
                </pic:pic>
              </a:graphicData>
            </a:graphic>
          </wp:anchor>
        </w:drawing>
      </w:r>
    </w:p>
    <w:p>
      <w:pPr>
        <w:spacing w:after="0" w:line="268" w:lineRule="exact"/>
        <w:rPr>
          <w:sz w:val="20"/>
          <w:szCs w:val="20"/>
          <w:color w:val="auto"/>
        </w:rPr>
      </w:pPr>
    </w:p>
    <w:p>
      <w:pPr>
        <w:ind w:left="1600" w:hanging="1078"/>
        <w:spacing w:after="0"/>
        <w:tabs>
          <w:tab w:leader="none" w:pos="160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0000FF"/>
        </w:rPr>
        <w:t>Registrant’s News Release</w:t>
      </w:r>
    </w:p>
    <w:p>
      <w:pPr>
        <w:spacing w:after="0" w:line="31"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Dated January 27, 2026 (furnished pursuant to Item 2.02)</w:t>
      </w:r>
    </w:p>
    <w:p>
      <w:pPr>
        <w:spacing w:after="0" w:line="23" w:lineRule="exact"/>
        <w:rPr>
          <w:sz w:val="20"/>
          <w:szCs w:val="20"/>
          <w:color w:val="auto"/>
        </w:rPr>
      </w:pPr>
    </w:p>
    <w:p>
      <w:pPr>
        <w:ind w:left="480"/>
        <w:spacing w:after="0"/>
        <w:tabs>
          <w:tab w:leader="none" w:pos="15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770890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980" w:type="dxa"/>
            <w:vAlign w:val="bottom"/>
          </w:tcPr>
          <w:p>
            <w:pPr>
              <w:spacing w:after="0"/>
              <w:rPr>
                <w:sz w:val="20"/>
                <w:szCs w:val="20"/>
                <w:color w:val="auto"/>
              </w:rPr>
            </w:pPr>
          </w:p>
        </w:tc>
        <w:tc>
          <w:tcPr>
            <w:tcW w:w="7220" w:type="dxa"/>
            <w:vAlign w:val="bottom"/>
            <w:gridSpan w:val="2"/>
          </w:tcPr>
          <w:p>
            <w:pPr>
              <w:ind w:left="2100"/>
              <w:spacing w:after="0"/>
              <w:rPr>
                <w:sz w:val="20"/>
                <w:szCs w:val="20"/>
                <w:color w:val="auto"/>
              </w:rPr>
            </w:pPr>
            <w:r>
              <w:rPr>
                <w:rFonts w:ascii="Arial" w:cs="Arial" w:eastAsia="Arial" w:hAnsi="Arial"/>
                <w:sz w:val="18"/>
                <w:szCs w:val="18"/>
                <w:color w:val="auto"/>
              </w:rPr>
              <w:t>TEXAS INSTRUMENTS INCORPORATED</w:t>
            </w:r>
          </w:p>
        </w:tc>
      </w:tr>
      <w:tr>
        <w:trPr>
          <w:trHeight w:val="455"/>
        </w:trPr>
        <w:tc>
          <w:tcPr>
            <w:tcW w:w="3980" w:type="dxa"/>
            <w:vAlign w:val="bottom"/>
          </w:tcPr>
          <w:p>
            <w:pPr>
              <w:spacing w:after="0"/>
              <w:rPr>
                <w:sz w:val="20"/>
                <w:szCs w:val="20"/>
                <w:color w:val="auto"/>
              </w:rPr>
            </w:pPr>
            <w:r>
              <w:rPr>
                <w:rFonts w:ascii="Arial" w:cs="Arial" w:eastAsia="Arial" w:hAnsi="Arial"/>
                <w:sz w:val="18"/>
                <w:szCs w:val="18"/>
                <w:color w:val="auto"/>
              </w:rPr>
              <w:t>Date: January 27, 2026</w:t>
            </w:r>
          </w:p>
        </w:tc>
        <w:tc>
          <w:tcPr>
            <w:tcW w:w="2940" w:type="dxa"/>
            <w:vAlign w:val="bottom"/>
          </w:tcPr>
          <w:p>
            <w:pPr>
              <w:ind w:left="2100"/>
              <w:spacing w:after="0"/>
              <w:rPr>
                <w:sz w:val="20"/>
                <w:szCs w:val="20"/>
                <w:color w:val="auto"/>
              </w:rPr>
            </w:pPr>
            <w:r>
              <w:rPr>
                <w:rFonts w:ascii="Arial" w:cs="Arial" w:eastAsia="Arial" w:hAnsi="Arial"/>
                <w:sz w:val="18"/>
                <w:szCs w:val="18"/>
                <w:color w:val="auto"/>
              </w:rPr>
              <w:t>By:</w:t>
            </w:r>
          </w:p>
        </w:tc>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Rafael R. Lizardi</w:t>
            </w:r>
          </w:p>
        </w:tc>
      </w:tr>
      <w:tr>
        <w:trPr>
          <w:trHeight w:val="218"/>
        </w:trPr>
        <w:tc>
          <w:tcPr>
            <w:tcW w:w="39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Rafael R. Lizardi</w:t>
            </w:r>
          </w:p>
        </w:tc>
      </w:tr>
      <w:tr>
        <w:trPr>
          <w:trHeight w:val="229"/>
        </w:trPr>
        <w:tc>
          <w:tcPr>
            <w:tcW w:w="39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Senior Vice President and</w:t>
            </w:r>
          </w:p>
        </w:tc>
      </w:tr>
      <w:tr>
        <w:trPr>
          <w:trHeight w:val="239"/>
        </w:trPr>
        <w:tc>
          <w:tcPr>
            <w:tcW w:w="39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20"/>
          </w:cols>
          <w:pgMar w:left="320" w:top="890"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 reports Q4 2025 and 2025 financial results and shareholder returns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Conference call at 3:30 p.m. Central time today on </w:t>
      </w:r>
      <w:r>
        <w:rPr>
          <w:rFonts w:ascii="Arial" w:cs="Arial" w:eastAsia="Arial" w:hAnsi="Arial"/>
          <w:sz w:val="18"/>
          <w:szCs w:val="18"/>
          <w:u w:val="single" w:color="auto"/>
          <w:color w:val="3A3AFF"/>
        </w:rPr>
        <w:t>ti.com/ir</w:t>
      </w:r>
    </w:p>
    <w:p>
      <w:pPr>
        <w:spacing w:after="0" w:line="22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DALLAS (Jan. 27, 2026) – Texas Instruments Incorporated (TI) (Nasdaq: TXN) today reported fourth quarter revenue of $4.42 billion, net income of $1.16 billion and earnings per share of $1.27. Earnings per share included a 6-cent reduction that was not in the company's original guidance.</w:t>
      </w:r>
    </w:p>
    <w:p>
      <w:pPr>
        <w:spacing w:after="0" w:line="171"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Regarding the company's performance and returns to shareholders, Haviv Ilan, TI's chairman, president and CEO, made the following comments:</w:t>
      </w:r>
    </w:p>
    <w:p>
      <w:pPr>
        <w:spacing w:after="0" w:line="153" w:lineRule="exact"/>
        <w:rPr>
          <w:sz w:val="20"/>
          <w:szCs w:val="20"/>
          <w:color w:val="auto"/>
        </w:rPr>
      </w:pPr>
    </w:p>
    <w:p>
      <w:pPr>
        <w:ind w:left="620" w:hanging="329"/>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decreased 7% sequentially and increased 10% from the same quarter a year ago.</w:t>
      </w:r>
    </w:p>
    <w:p>
      <w:pPr>
        <w:spacing w:after="0" w:line="225" w:lineRule="exact"/>
        <w:rPr>
          <w:rFonts w:ascii="Arial" w:cs="Arial" w:eastAsia="Arial" w:hAnsi="Arial"/>
          <w:sz w:val="18"/>
          <w:szCs w:val="18"/>
          <w:color w:val="auto"/>
        </w:rPr>
      </w:pPr>
    </w:p>
    <w:p>
      <w:pPr>
        <w:ind w:left="620" w:right="320" w:hanging="329"/>
        <w:spacing w:after="0" w:line="287"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cash flow from operations of $7.2 billion for the trailing 12 months again underscored the strength of our business model, the quality of our product portfolio and the benefit of 300mm production. Free cash flow for the same period was $2.9 billion.</w:t>
      </w:r>
    </w:p>
    <w:p>
      <w:pPr>
        <w:spacing w:after="0" w:line="152" w:lineRule="exact"/>
        <w:rPr>
          <w:rFonts w:ascii="Arial" w:cs="Arial" w:eastAsia="Arial" w:hAnsi="Arial"/>
          <w:sz w:val="18"/>
          <w:szCs w:val="18"/>
          <w:color w:val="auto"/>
        </w:rPr>
      </w:pPr>
    </w:p>
    <w:p>
      <w:pPr>
        <w:ind w:left="620" w:right="180" w:hanging="329"/>
        <w:spacing w:after="0" w:line="287"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"Over the past 12 months we invested $3.9 billion in R&amp;D and SG&amp;A, invested $4.6 billion in capital expenditures and returned $6.5 billion to owners.</w:t>
      </w:r>
    </w:p>
    <w:p>
      <w:pPr>
        <w:spacing w:after="0" w:line="139" w:lineRule="exact"/>
        <w:rPr>
          <w:rFonts w:ascii="Arial" w:cs="Arial" w:eastAsia="Arial" w:hAnsi="Arial"/>
          <w:sz w:val="18"/>
          <w:szCs w:val="18"/>
          <w:color w:val="auto"/>
        </w:rPr>
      </w:pPr>
    </w:p>
    <w:p>
      <w:pPr>
        <w:ind w:left="620" w:hanging="329"/>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first quarter outlook is for revenue in the range of $4.32 billion to $4.68 billion and earnings per share between $1.22 and $1.48."</w:t>
      </w: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2" w:right="339" w:bottom="1440" w:gutter="0" w:footer="0" w:header="0"/>
        </w:sectPr>
      </w:pPr>
    </w:p>
    <w:bookmarkStart w:id="4" w:name="page5"/>
    <w:bookmarkEnd w:id="4"/>
    <w:p>
      <w:pPr>
        <w:spacing w:after="0" w:line="114" w:lineRule="exact"/>
        <w:rPr>
          <w:sz w:val="20"/>
          <w:szCs w:val="20"/>
          <w:color w:val="auto"/>
        </w:rPr>
      </w:pPr>
    </w:p>
    <w:p>
      <w:pPr>
        <w:spacing w:after="0" w:line="285" w:lineRule="auto"/>
        <w:rPr>
          <w:sz w:val="20"/>
          <w:szCs w:val="20"/>
          <w:color w:val="auto"/>
        </w:rPr>
      </w:pPr>
      <w:r>
        <w:rPr>
          <w:rFonts w:ascii="Arial" w:cs="Arial" w:eastAsia="Arial" w:hAnsi="Arial"/>
          <w:sz w:val="18"/>
          <w:szCs w:val="18"/>
          <w:i w:val="1"/>
          <w:iCs w:val="1"/>
          <w:color w:val="auto"/>
        </w:rPr>
        <w:t>Free cash flow, a non-GAAP financial measure, is cash flow from operations less capital expenditures, plus proceeds from U.S. CHIPS and Science Act (CHIPS Act) incentives.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00" w:type="dxa"/>
            <w:vAlign w:val="bottom"/>
            <w:gridSpan w:val="4"/>
          </w:tcPr>
          <w:p>
            <w:pPr>
              <w:spacing w:after="0"/>
              <w:rPr>
                <w:sz w:val="20"/>
                <w:szCs w:val="20"/>
                <w:color w:val="auto"/>
              </w:rPr>
            </w:pPr>
            <w:r>
              <w:rPr>
                <w:rFonts w:ascii="Arial" w:cs="Arial" w:eastAsia="Arial" w:hAnsi="Arial"/>
                <w:sz w:val="18"/>
                <w:szCs w:val="18"/>
                <w:b w:val="1"/>
                <w:bCs w:val="1"/>
                <w:color w:val="auto"/>
              </w:rPr>
              <w:t>Earnings summary</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Q4 2025</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gridSpan w:val="5"/>
            <w:vMerge w:val="restart"/>
          </w:tcPr>
          <w:p>
            <w:pPr>
              <w:ind w:left="120"/>
              <w:spacing w:after="0"/>
              <w:rPr>
                <w:sz w:val="20"/>
                <w:szCs w:val="20"/>
                <w:color w:val="auto"/>
              </w:rPr>
            </w:pPr>
            <w:r>
              <w:rPr>
                <w:rFonts w:ascii="Arial" w:cs="Arial" w:eastAsia="Arial" w:hAnsi="Arial"/>
                <w:sz w:val="18"/>
                <w:szCs w:val="18"/>
                <w:color w:val="auto"/>
              </w:rPr>
              <w:t>Q4 2024</w:t>
            </w:r>
          </w:p>
        </w:tc>
        <w:tc>
          <w:tcPr>
            <w:tcW w:w="1240" w:type="dxa"/>
            <w:vAlign w:val="bottom"/>
            <w:vMerge w:val="restart"/>
          </w:tcPr>
          <w:p>
            <w:pPr>
              <w:ind w:left="18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line="20" w:lineRule="exact"/>
              <w:rPr>
                <w:sz w:val="1"/>
                <w:szCs w:val="1"/>
                <w:color w:val="auto"/>
              </w:rPr>
            </w:pPr>
          </w:p>
        </w:tc>
      </w:tr>
      <w:tr>
        <w:trPr>
          <w:trHeight w:val="547"/>
        </w:trPr>
        <w:tc>
          <w:tcPr>
            <w:tcW w:w="5300" w:type="dxa"/>
            <w:vAlign w:val="bottom"/>
            <w:gridSpan w:val="4"/>
          </w:tcPr>
          <w:p>
            <w:pPr>
              <w:ind w:left="20"/>
              <w:spacing w:after="0"/>
              <w:rPr>
                <w:sz w:val="20"/>
                <w:szCs w:val="20"/>
                <w:color w:val="auto"/>
              </w:rPr>
            </w:pPr>
            <w:r>
              <w:rPr>
                <w:rFonts w:ascii="Arial" w:cs="Arial" w:eastAsia="Arial" w:hAnsi="Arial"/>
                <w:sz w:val="18"/>
                <w:szCs w:val="18"/>
                <w:i w:val="1"/>
                <w:iCs w:val="1"/>
                <w:color w:val="auto"/>
              </w:rPr>
              <w:t>(In millions, except per-share amounts)</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5"/>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300" w:type="dxa"/>
            <w:vAlign w:val="bottom"/>
            <w:tcBorders>
              <w:top w:val="single" w:sz="8" w:color="DBDBDB"/>
            </w:tcBorders>
            <w:gridSpan w:val="4"/>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DBDBDB"/>
            </w:tcBorders>
            <w:shd w:val="clear" w:color="auto" w:fill="DBDBDB"/>
          </w:tcPr>
          <w:p>
            <w:pPr>
              <w:spacing w:after="0"/>
              <w:rPr>
                <w:sz w:val="19"/>
                <w:szCs w:val="19"/>
                <w:color w:val="auto"/>
              </w:rPr>
            </w:pPr>
          </w:p>
        </w:tc>
        <w:tc>
          <w:tcPr>
            <w:tcW w:w="86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8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gridSpan w:val="2"/>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gridSpan w:val="2"/>
            <w:shd w:val="clear" w:color="auto" w:fill="DBDBDB"/>
          </w:tcPr>
          <w:p>
            <w:pPr>
              <w:jc w:val="right"/>
              <w:ind w:right="40"/>
              <w:spacing w:after="0"/>
              <w:rPr>
                <w:sz w:val="20"/>
                <w:szCs w:val="20"/>
                <w:color w:val="auto"/>
              </w:rPr>
            </w:pPr>
            <w:r>
              <w:rPr>
                <w:rFonts w:ascii="Arial" w:cs="Arial" w:eastAsia="Arial" w:hAnsi="Arial"/>
                <w:sz w:val="18"/>
                <w:szCs w:val="18"/>
                <w:color w:val="auto"/>
              </w:rPr>
              <w:t>4,423</w:t>
            </w:r>
          </w:p>
        </w:tc>
        <w:tc>
          <w:tcPr>
            <w:tcW w:w="20" w:type="dxa"/>
            <w:vAlign w:val="bottom"/>
            <w:tcBorders>
              <w:top w:val="single" w:sz="8" w:color="auto"/>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tcBorders>
            <w:gridSpan w:val="2"/>
            <w:shd w:val="clear" w:color="auto" w:fill="DBDBDB"/>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4,007</w:t>
            </w:r>
          </w:p>
        </w:tc>
        <w:tc>
          <w:tcPr>
            <w:tcW w:w="20" w:type="dxa"/>
            <w:vAlign w:val="bottom"/>
            <w:tcBorders>
              <w:top w:val="single" w:sz="8" w:color="DBDBDB"/>
            </w:tcBorders>
            <w:shd w:val="clear" w:color="auto" w:fill="DBDBDB"/>
          </w:tcPr>
          <w:p>
            <w:pPr>
              <w:spacing w:after="0"/>
              <w:rPr>
                <w:sz w:val="19"/>
                <w:szCs w:val="19"/>
                <w:color w:val="auto"/>
              </w:rPr>
            </w:pPr>
          </w:p>
        </w:tc>
        <w:tc>
          <w:tcPr>
            <w:tcW w:w="80" w:type="dxa"/>
            <w:vAlign w:val="bottom"/>
            <w:tcBorders>
              <w:top w:val="single" w:sz="8" w:color="DBDBDB"/>
            </w:tcBorders>
            <w:shd w:val="clear" w:color="auto" w:fill="DBDBDB"/>
          </w:tcPr>
          <w:p>
            <w:pPr>
              <w:spacing w:after="0"/>
              <w:rPr>
                <w:sz w:val="19"/>
                <w:szCs w:val="19"/>
                <w:color w:val="auto"/>
              </w:rPr>
            </w:pPr>
          </w:p>
        </w:tc>
        <w:tc>
          <w:tcPr>
            <w:tcW w:w="40" w:type="dxa"/>
            <w:vAlign w:val="bottom"/>
            <w:tcBorders>
              <w:top w:val="single" w:sz="8" w:color="auto"/>
            </w:tcBorders>
            <w:shd w:val="clear" w:color="auto" w:fill="DBDBDB"/>
          </w:tcPr>
          <w:p>
            <w:pPr>
              <w:spacing w:after="0"/>
              <w:rPr>
                <w:sz w:val="19"/>
                <w:szCs w:val="19"/>
                <w:color w:val="auto"/>
              </w:rPr>
            </w:pPr>
          </w:p>
        </w:tc>
        <w:tc>
          <w:tcPr>
            <w:tcW w:w="200" w:type="dxa"/>
            <w:vAlign w:val="bottom"/>
            <w:tcBorders>
              <w:top w:val="single" w:sz="8" w:color="auto"/>
            </w:tcBorders>
            <w:shd w:val="clear" w:color="auto" w:fill="DBDBDB"/>
          </w:tcPr>
          <w:p>
            <w:pPr>
              <w:spacing w:after="0"/>
              <w:rPr>
                <w:sz w:val="19"/>
                <w:szCs w:val="19"/>
                <w:color w:val="auto"/>
              </w:rPr>
            </w:pPr>
          </w:p>
        </w:tc>
        <w:tc>
          <w:tcPr>
            <w:tcW w:w="12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30"/>
        </w:trPr>
        <w:tc>
          <w:tcPr>
            <w:tcW w:w="5300" w:type="dxa"/>
            <w:vAlign w:val="bottom"/>
            <w:gridSpan w:val="4"/>
          </w:tcPr>
          <w:p>
            <w:pPr>
              <w:ind w:left="20"/>
              <w:spacing w:after="0"/>
              <w:rPr>
                <w:sz w:val="20"/>
                <w:szCs w:val="20"/>
                <w:color w:val="auto"/>
              </w:rPr>
            </w:pPr>
            <w:r>
              <w:rPr>
                <w:rFonts w:ascii="Arial" w:cs="Arial" w:eastAsia="Arial" w:hAnsi="Arial"/>
                <w:sz w:val="18"/>
                <w:szCs w:val="18"/>
                <w:color w:val="auto"/>
              </w:rPr>
              <w:t>Operating profit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1,473</w:t>
            </w:r>
          </w:p>
        </w:tc>
        <w:tc>
          <w:tcPr>
            <w:tcW w:w="340" w:type="dxa"/>
            <w:vAlign w:val="bottom"/>
            <w:gridSpan w:val="5"/>
          </w:tcPr>
          <w:p>
            <w:pPr>
              <w:ind w:left="1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29"/>
        </w:trPr>
        <w:tc>
          <w:tcPr>
            <w:tcW w:w="5300" w:type="dxa"/>
            <w:vAlign w:val="bottom"/>
            <w:gridSpan w:val="4"/>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16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DBDBDB"/>
          </w:tcPr>
          <w:p>
            <w:pPr>
              <w:jc w:val="right"/>
              <w:ind w:right="40"/>
              <w:spacing w:after="0"/>
              <w:rPr>
                <w:sz w:val="20"/>
                <w:szCs w:val="20"/>
                <w:color w:val="auto"/>
              </w:rPr>
            </w:pPr>
            <w:r>
              <w:rPr>
                <w:rFonts w:ascii="Arial" w:cs="Arial" w:eastAsia="Arial" w:hAnsi="Arial"/>
                <w:sz w:val="18"/>
                <w:szCs w:val="18"/>
                <w:color w:val="auto"/>
              </w:rPr>
              <w:t>1,163</w:t>
            </w:r>
          </w:p>
        </w:tc>
        <w:tc>
          <w:tcPr>
            <w:tcW w:w="340" w:type="dxa"/>
            <w:vAlign w:val="bottom"/>
            <w:gridSpan w:val="5"/>
            <w:shd w:val="clear" w:color="auto" w:fill="DBDBDB"/>
          </w:tcPr>
          <w:p>
            <w:pPr>
              <w:ind w:lef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1,205</w:t>
            </w: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9"/>
        </w:trPr>
        <w:tc>
          <w:tcPr>
            <w:tcW w:w="5300" w:type="dxa"/>
            <w:vAlign w:val="bottom"/>
            <w:gridSpan w:val="4"/>
          </w:tcPr>
          <w:p>
            <w:pPr>
              <w:ind w:left="20"/>
              <w:spacing w:after="0"/>
              <w:rPr>
                <w:sz w:val="20"/>
                <w:szCs w:val="20"/>
                <w:color w:val="auto"/>
              </w:rPr>
            </w:pPr>
            <w:r>
              <w:rPr>
                <w:rFonts w:ascii="Arial" w:cs="Arial" w:eastAsia="Arial" w:hAnsi="Arial"/>
                <w:sz w:val="18"/>
                <w:szCs w:val="18"/>
                <w:color w:val="auto"/>
              </w:rPr>
              <w:t>Earnings per share</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1.27</w:t>
            </w:r>
          </w:p>
        </w:tc>
        <w:tc>
          <w:tcPr>
            <w:tcW w:w="340" w:type="dxa"/>
            <w:vAlign w:val="bottom"/>
            <w:gridSpan w:val="5"/>
          </w:tcPr>
          <w:p>
            <w:pPr>
              <w:ind w:left="1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585"/>
        </w:trPr>
        <w:tc>
          <w:tcPr>
            <w:tcW w:w="5300" w:type="dxa"/>
            <w:vAlign w:val="bottom"/>
            <w:gridSpan w:val="4"/>
          </w:tcPr>
          <w:p>
            <w:pPr>
              <w:spacing w:after="0"/>
              <w:rPr>
                <w:sz w:val="20"/>
                <w:szCs w:val="20"/>
                <w:color w:val="auto"/>
              </w:rPr>
            </w:pPr>
            <w:r>
              <w:rPr>
                <w:rFonts w:ascii="Arial" w:cs="Arial" w:eastAsia="Arial" w:hAnsi="Arial"/>
                <w:sz w:val="18"/>
                <w:szCs w:val="18"/>
                <w:b w:val="1"/>
                <w:bCs w:val="1"/>
                <w:color w:val="auto"/>
              </w:rPr>
              <w:t>Cash generation</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0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10"/>
          </w:tcPr>
          <w:p>
            <w:pPr>
              <w:jc w:val="center"/>
              <w:ind w:right="280"/>
              <w:spacing w:after="0"/>
              <w:rPr>
                <w:sz w:val="20"/>
                <w:szCs w:val="20"/>
                <w:color w:val="auto"/>
              </w:rPr>
            </w:pPr>
            <w:r>
              <w:rPr>
                <w:rFonts w:ascii="Arial" w:cs="Arial" w:eastAsia="Arial" w:hAnsi="Arial"/>
                <w:sz w:val="18"/>
                <w:szCs w:val="18"/>
                <w:color w:val="auto"/>
                <w:w w:val="99"/>
              </w:rPr>
              <w:t>Trailing 12 Months</w:t>
            </w: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300" w:type="dxa"/>
            <w:vAlign w:val="bottom"/>
            <w:gridSpan w:val="4"/>
          </w:tcPr>
          <w:p>
            <w:pPr>
              <w:ind w:left="2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Pr>
          <w:p>
            <w:pPr>
              <w:spacing w:after="0"/>
              <w:rPr>
                <w:sz w:val="19"/>
                <w:szCs w:val="19"/>
                <w:color w:val="auto"/>
              </w:rPr>
            </w:pPr>
          </w:p>
        </w:tc>
        <w:tc>
          <w:tcPr>
            <w:tcW w:w="1180" w:type="dxa"/>
            <w:vAlign w:val="bottom"/>
            <w:gridSpan w:val="3"/>
          </w:tcPr>
          <w:p>
            <w:pPr>
              <w:ind w:left="80"/>
              <w:spacing w:after="0"/>
              <w:rPr>
                <w:sz w:val="20"/>
                <w:szCs w:val="20"/>
                <w:color w:val="auto"/>
              </w:rPr>
            </w:pPr>
            <w:r>
              <w:rPr>
                <w:rFonts w:ascii="Arial" w:cs="Arial" w:eastAsia="Arial" w:hAnsi="Arial"/>
                <w:sz w:val="18"/>
                <w:szCs w:val="18"/>
                <w:color w:val="auto"/>
              </w:rPr>
              <w:t>Q4 2025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Q4 2025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5"/>
          </w:tcPr>
          <w:p>
            <w:pPr>
              <w:jc w:val="center"/>
              <w:ind w:right="600"/>
              <w:spacing w:after="0"/>
              <w:rPr>
                <w:sz w:val="20"/>
                <w:szCs w:val="20"/>
                <w:color w:val="auto"/>
              </w:rPr>
            </w:pPr>
            <w:r>
              <w:rPr>
                <w:rFonts w:ascii="Arial" w:cs="Arial" w:eastAsia="Arial" w:hAnsi="Arial"/>
                <w:sz w:val="18"/>
                <w:szCs w:val="18"/>
                <w:color w:val="auto"/>
              </w:rPr>
              <w:t>Q4 2024</w:t>
            </w:r>
          </w:p>
        </w:tc>
        <w:tc>
          <w:tcPr>
            <w:tcW w:w="1240" w:type="dxa"/>
            <w:vAlign w:val="bottom"/>
          </w:tcPr>
          <w:p>
            <w:pPr>
              <w:ind w:left="20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23"/>
        </w:trPr>
        <w:tc>
          <w:tcPr>
            <w:tcW w:w="5300" w:type="dxa"/>
            <w:vAlign w:val="bottom"/>
            <w:tcBorders>
              <w:top w:val="single" w:sz="8" w:color="DBDBDB"/>
            </w:tcBorders>
            <w:gridSpan w:val="4"/>
            <w:shd w:val="clear" w:color="auto" w:fill="DBDBDB"/>
          </w:tcPr>
          <w:p>
            <w:pPr>
              <w:ind w:left="20"/>
              <w:spacing w:after="0"/>
              <w:rPr>
                <w:sz w:val="20"/>
                <w:szCs w:val="20"/>
                <w:color w:val="auto"/>
              </w:rPr>
            </w:pPr>
            <w:r>
              <w:rPr>
                <w:rFonts w:ascii="Arial" w:cs="Arial" w:eastAsia="Arial" w:hAnsi="Arial"/>
                <w:sz w:val="18"/>
                <w:szCs w:val="18"/>
                <w:color w:val="auto"/>
              </w:rPr>
              <w:t>Cash flow from operations</w:t>
            </w:r>
          </w:p>
        </w:tc>
        <w:tc>
          <w:tcPr>
            <w:tcW w:w="220" w:type="dxa"/>
            <w:vAlign w:val="bottom"/>
            <w:tcBorders>
              <w:top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tcBorders>
            <w:shd w:val="clear" w:color="auto" w:fill="DBDBDB"/>
          </w:tcPr>
          <w:p>
            <w:pPr>
              <w:spacing w:after="0"/>
              <w:rPr>
                <w:sz w:val="19"/>
                <w:szCs w:val="19"/>
                <w:color w:val="auto"/>
              </w:rPr>
            </w:pPr>
          </w:p>
        </w:tc>
        <w:tc>
          <w:tcPr>
            <w:tcW w:w="8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2,254</w:t>
            </w:r>
          </w:p>
        </w:tc>
        <w:tc>
          <w:tcPr>
            <w:tcW w:w="12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DBDBDB"/>
          </w:tcPr>
          <w:p>
            <w:pPr>
              <w:spacing w:after="0"/>
              <w:rPr>
                <w:sz w:val="19"/>
                <w:szCs w:val="19"/>
                <w:color w:val="auto"/>
              </w:rPr>
            </w:pPr>
          </w:p>
        </w:tc>
        <w:tc>
          <w:tcPr>
            <w:tcW w:w="4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auto"/>
            </w:tcBorders>
            <w:shd w:val="clear" w:color="auto" w:fill="DBDBDB"/>
          </w:tcPr>
          <w:p>
            <w:pPr>
              <w:spacing w:after="0"/>
              <w:rPr>
                <w:sz w:val="19"/>
                <w:szCs w:val="19"/>
                <w:color w:val="auto"/>
              </w:rPr>
            </w:pPr>
          </w:p>
        </w:tc>
        <w:tc>
          <w:tcPr>
            <w:tcW w:w="1080" w:type="dxa"/>
            <w:vAlign w:val="bottom"/>
            <w:tcBorders>
              <w:top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7,153</w:t>
            </w:r>
          </w:p>
        </w:tc>
        <w:tc>
          <w:tcPr>
            <w:tcW w:w="60" w:type="dxa"/>
            <w:vAlign w:val="bottom"/>
            <w:tcBorders>
              <w:top w:val="single" w:sz="8" w:color="DBDBDB"/>
            </w:tcBorders>
            <w:shd w:val="clear" w:color="auto" w:fill="DBDBDB"/>
          </w:tcPr>
          <w:p>
            <w:pPr>
              <w:spacing w:after="0"/>
              <w:rPr>
                <w:sz w:val="19"/>
                <w:szCs w:val="19"/>
                <w:color w:val="auto"/>
              </w:rPr>
            </w:pPr>
          </w:p>
        </w:tc>
        <w:tc>
          <w:tcPr>
            <w:tcW w:w="40" w:type="dxa"/>
            <w:vAlign w:val="bottom"/>
            <w:tcBorders>
              <w:top w:val="single" w:sz="8" w:color="DBDBDB"/>
            </w:tcBorders>
            <w:gridSpan w:val="2"/>
            <w:shd w:val="clear" w:color="auto" w:fill="DBDBDB"/>
          </w:tcPr>
          <w:p>
            <w:pPr>
              <w:spacing w:after="0"/>
              <w:rPr>
                <w:sz w:val="19"/>
                <w:szCs w:val="19"/>
                <w:color w:val="auto"/>
              </w:rPr>
            </w:pPr>
          </w:p>
        </w:tc>
        <w:tc>
          <w:tcPr>
            <w:tcW w:w="300" w:type="dxa"/>
            <w:vAlign w:val="bottom"/>
            <w:tcBorders>
              <w:top w:val="single" w:sz="8" w:color="auto"/>
            </w:tcBorders>
            <w:gridSpan w:val="3"/>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DBDBDB"/>
          </w:tcPr>
          <w:p>
            <w:pPr>
              <w:jc w:val="right"/>
              <w:ind w:right="130"/>
              <w:spacing w:after="0"/>
              <w:rPr>
                <w:sz w:val="20"/>
                <w:szCs w:val="20"/>
                <w:color w:val="auto"/>
              </w:rPr>
            </w:pPr>
            <w:r>
              <w:rPr>
                <w:rFonts w:ascii="Arial" w:cs="Arial" w:eastAsia="Arial" w:hAnsi="Arial"/>
                <w:sz w:val="18"/>
                <w:szCs w:val="18"/>
                <w:color w:val="auto"/>
              </w:rPr>
              <w:t>6,318</w:t>
            </w:r>
          </w:p>
        </w:tc>
        <w:tc>
          <w:tcPr>
            <w:tcW w:w="20" w:type="dxa"/>
            <w:vAlign w:val="bottom"/>
            <w:tcBorders>
              <w:top w:val="single" w:sz="8" w:color="auto"/>
            </w:tcBorders>
            <w:shd w:val="clear" w:color="auto" w:fill="DBDBDB"/>
          </w:tcPr>
          <w:p>
            <w:pPr>
              <w:spacing w:after="0"/>
              <w:rPr>
                <w:sz w:val="19"/>
                <w:szCs w:val="19"/>
                <w:color w:val="auto"/>
              </w:rPr>
            </w:pPr>
          </w:p>
        </w:tc>
        <w:tc>
          <w:tcPr>
            <w:tcW w:w="80" w:type="dxa"/>
            <w:vAlign w:val="bottom"/>
            <w:tcBorders>
              <w:top w:val="single" w:sz="8" w:color="DBDBDB"/>
            </w:tcBorders>
            <w:shd w:val="clear" w:color="auto" w:fill="DBDBDB"/>
          </w:tcPr>
          <w:p>
            <w:pPr>
              <w:spacing w:after="0"/>
              <w:rPr>
                <w:sz w:val="19"/>
                <w:szCs w:val="19"/>
                <w:color w:val="auto"/>
              </w:rPr>
            </w:pPr>
          </w:p>
        </w:tc>
        <w:tc>
          <w:tcPr>
            <w:tcW w:w="4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tcBorders>
            <w:shd w:val="clear" w:color="auto" w:fill="DBDBDB"/>
          </w:tcPr>
          <w:p>
            <w:pPr>
              <w:spacing w:after="0"/>
              <w:rPr>
                <w:sz w:val="19"/>
                <w:szCs w:val="19"/>
                <w:color w:val="auto"/>
              </w:rPr>
            </w:pPr>
          </w:p>
        </w:tc>
        <w:tc>
          <w:tcPr>
            <w:tcW w:w="12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29"/>
        </w:trPr>
        <w:tc>
          <w:tcPr>
            <w:tcW w:w="5300" w:type="dxa"/>
            <w:vAlign w:val="bottom"/>
            <w:gridSpan w:val="4"/>
          </w:tcPr>
          <w:p>
            <w:pPr>
              <w:ind w:left="20"/>
              <w:spacing w:after="0"/>
              <w:rPr>
                <w:sz w:val="20"/>
                <w:szCs w:val="20"/>
                <w:color w:val="auto"/>
              </w:rPr>
            </w:pPr>
            <w:r>
              <w:rPr>
                <w:rFonts w:ascii="Arial" w:cs="Arial" w:eastAsia="Arial" w:hAnsi="Arial"/>
                <w:sz w:val="18"/>
                <w:szCs w:val="18"/>
                <w:color w:val="auto"/>
              </w:rPr>
              <w:t>Free cash flow</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2,938</w:t>
            </w:r>
          </w:p>
        </w:tc>
        <w:tc>
          <w:tcPr>
            <w:tcW w:w="60" w:type="dxa"/>
            <w:vAlign w:val="bottom"/>
          </w:tcPr>
          <w:p>
            <w:pPr>
              <w:spacing w:after="0"/>
              <w:rPr>
                <w:sz w:val="19"/>
                <w:szCs w:val="19"/>
                <w:color w:val="auto"/>
              </w:rPr>
            </w:pPr>
          </w:p>
        </w:tc>
        <w:tc>
          <w:tcPr>
            <w:tcW w:w="340" w:type="dxa"/>
            <w:vAlign w:val="bottom"/>
            <w:gridSpan w:val="5"/>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1,498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96 %</w:t>
            </w:r>
          </w:p>
        </w:tc>
        <w:tc>
          <w:tcPr>
            <w:tcW w:w="0" w:type="dxa"/>
            <w:vAlign w:val="bottom"/>
          </w:tcPr>
          <w:p>
            <w:pPr>
              <w:spacing w:after="0"/>
              <w:rPr>
                <w:sz w:val="1"/>
                <w:szCs w:val="1"/>
                <w:color w:val="auto"/>
              </w:rPr>
            </w:pPr>
          </w:p>
        </w:tc>
      </w:tr>
      <w:tr>
        <w:trPr>
          <w:trHeight w:val="229"/>
        </w:trPr>
        <w:tc>
          <w:tcPr>
            <w:tcW w:w="5300" w:type="dxa"/>
            <w:vAlign w:val="bottom"/>
            <w:gridSpan w:val="4"/>
            <w:shd w:val="clear" w:color="auto" w:fill="DBDBDB"/>
          </w:tcPr>
          <w:p>
            <w:pPr>
              <w:ind w:left="20"/>
              <w:spacing w:after="0"/>
              <w:rPr>
                <w:sz w:val="20"/>
                <w:szCs w:val="20"/>
                <w:color w:val="auto"/>
              </w:rPr>
            </w:pPr>
            <w:r>
              <w:rPr>
                <w:rFonts w:ascii="Arial" w:cs="Arial" w:eastAsia="Arial" w:hAnsi="Arial"/>
                <w:sz w:val="18"/>
                <w:szCs w:val="18"/>
                <w:color w:val="auto"/>
              </w:rPr>
              <w:t>Free cash flow % of revenue</w:t>
            </w:r>
          </w:p>
        </w:tc>
        <w:tc>
          <w:tcPr>
            <w:tcW w:w="2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86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16.6 %</w:t>
            </w:r>
          </w:p>
        </w:tc>
        <w:tc>
          <w:tcPr>
            <w:tcW w:w="6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140" w:type="dxa"/>
            <w:vAlign w:val="bottom"/>
            <w:gridSpan w:val="2"/>
            <w:shd w:val="clear" w:color="auto" w:fill="DBDBDB"/>
          </w:tcPr>
          <w:p>
            <w:pPr>
              <w:jc w:val="right"/>
              <w:ind w:right="20"/>
              <w:spacing w:after="0"/>
              <w:rPr>
                <w:sz w:val="20"/>
                <w:szCs w:val="20"/>
                <w:color w:val="auto"/>
              </w:rPr>
            </w:pPr>
            <w:r>
              <w:rPr>
                <w:rFonts w:ascii="Arial" w:cs="Arial" w:eastAsia="Arial" w:hAnsi="Arial"/>
                <w:sz w:val="18"/>
                <w:szCs w:val="18"/>
                <w:color w:val="auto"/>
              </w:rPr>
              <w:t>9.6 %</w:t>
            </w:r>
          </w:p>
        </w:tc>
        <w:tc>
          <w:tcPr>
            <w:tcW w:w="8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2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581"/>
        </w:trPr>
        <w:tc>
          <w:tcPr>
            <w:tcW w:w="5300" w:type="dxa"/>
            <w:vAlign w:val="bottom"/>
            <w:gridSpan w:val="4"/>
          </w:tcPr>
          <w:p>
            <w:pPr>
              <w:spacing w:after="0"/>
              <w:rPr>
                <w:sz w:val="20"/>
                <w:szCs w:val="20"/>
                <w:color w:val="auto"/>
              </w:rPr>
            </w:pPr>
            <w:r>
              <w:rPr>
                <w:rFonts w:ascii="Arial" w:cs="Arial" w:eastAsia="Arial" w:hAnsi="Arial"/>
                <w:sz w:val="18"/>
                <w:szCs w:val="18"/>
                <w:b w:val="1"/>
                <w:bCs w:val="1"/>
                <w:color w:val="auto"/>
              </w:rPr>
              <w:t>Cash return</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0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7"/>
          </w:tcPr>
          <w:p>
            <w:pPr>
              <w:ind w:left="20"/>
              <w:spacing w:after="0"/>
              <w:rPr>
                <w:sz w:val="20"/>
                <w:szCs w:val="20"/>
                <w:color w:val="auto"/>
              </w:rPr>
            </w:pPr>
            <w:r>
              <w:rPr>
                <w:rFonts w:ascii="Arial" w:cs="Arial" w:eastAsia="Arial" w:hAnsi="Arial"/>
                <w:sz w:val="18"/>
                <w:szCs w:val="18"/>
                <w:color w:val="auto"/>
              </w:rPr>
              <w:t>Trailing 12 Months</w:t>
            </w: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300" w:type="dxa"/>
            <w:vAlign w:val="bottom"/>
            <w:gridSpan w:val="4"/>
          </w:tcPr>
          <w:p>
            <w:pPr>
              <w:ind w:left="2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Q4 2025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Q4 2025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5"/>
          </w:tcPr>
          <w:p>
            <w:pPr>
              <w:ind w:left="120"/>
              <w:spacing w:after="0"/>
              <w:rPr>
                <w:sz w:val="20"/>
                <w:szCs w:val="20"/>
                <w:color w:val="auto"/>
              </w:rPr>
            </w:pPr>
            <w:r>
              <w:rPr>
                <w:rFonts w:ascii="Arial" w:cs="Arial" w:eastAsia="Arial" w:hAnsi="Arial"/>
                <w:sz w:val="18"/>
                <w:szCs w:val="18"/>
                <w:color w:val="auto"/>
              </w:rPr>
              <w:t>Q4 2024</w:t>
            </w:r>
          </w:p>
        </w:tc>
        <w:tc>
          <w:tcPr>
            <w:tcW w:w="1240" w:type="dxa"/>
            <w:vAlign w:val="bottom"/>
          </w:tcPr>
          <w:p>
            <w:pPr>
              <w:ind w:left="18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23"/>
        </w:trPr>
        <w:tc>
          <w:tcPr>
            <w:tcW w:w="5300" w:type="dxa"/>
            <w:vAlign w:val="bottom"/>
            <w:tcBorders>
              <w:top w:val="single" w:sz="8" w:color="DBDBDB"/>
            </w:tcBorders>
            <w:gridSpan w:val="4"/>
            <w:shd w:val="clear" w:color="auto" w:fill="DBDBDB"/>
          </w:tcPr>
          <w:p>
            <w:pPr>
              <w:ind w:left="20"/>
              <w:spacing w:after="0"/>
              <w:rPr>
                <w:sz w:val="20"/>
                <w:szCs w:val="20"/>
                <w:color w:val="auto"/>
              </w:rPr>
            </w:pPr>
            <w:r>
              <w:rPr>
                <w:rFonts w:ascii="Arial" w:cs="Arial" w:eastAsia="Arial" w:hAnsi="Arial"/>
                <w:sz w:val="18"/>
                <w:szCs w:val="18"/>
                <w:color w:val="auto"/>
              </w:rPr>
              <w:t>Dividends paid</w:t>
            </w:r>
          </w:p>
        </w:tc>
        <w:tc>
          <w:tcPr>
            <w:tcW w:w="22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gridSpan w:val="3"/>
            <w:shd w:val="clear" w:color="auto" w:fill="DBDBDB"/>
          </w:tcPr>
          <w:p>
            <w:pPr>
              <w:jc w:val="right"/>
              <w:spacing w:after="0"/>
              <w:rPr>
                <w:sz w:val="20"/>
                <w:szCs w:val="20"/>
                <w:color w:val="auto"/>
              </w:rPr>
            </w:pPr>
            <w:r>
              <w:rPr>
                <w:rFonts w:ascii="Arial" w:cs="Arial" w:eastAsia="Arial" w:hAnsi="Arial"/>
                <w:sz w:val="18"/>
                <w:szCs w:val="18"/>
                <w:color w:val="auto"/>
              </w:rPr>
              <w:t>1,290</w:t>
            </w:r>
          </w:p>
        </w:tc>
        <w:tc>
          <w:tcPr>
            <w:tcW w:w="80" w:type="dxa"/>
            <w:vAlign w:val="bottom"/>
            <w:tcBorders>
              <w:top w:val="single" w:sz="8" w:color="DBDBDB"/>
            </w:tcBorders>
            <w:shd w:val="clear" w:color="auto" w:fill="DBDBDB"/>
          </w:tcPr>
          <w:p>
            <w:pPr>
              <w:spacing w:after="0"/>
              <w:rPr>
                <w:sz w:val="19"/>
                <w:szCs w:val="19"/>
                <w:color w:val="auto"/>
              </w:rPr>
            </w:pPr>
          </w:p>
        </w:tc>
        <w:tc>
          <w:tcPr>
            <w:tcW w:w="4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gridSpan w:val="2"/>
            <w:shd w:val="clear" w:color="auto" w:fill="DBDBDB"/>
          </w:tcPr>
          <w:p>
            <w:pPr>
              <w:jc w:val="right"/>
              <w:ind w:right="40"/>
              <w:spacing w:after="0"/>
              <w:rPr>
                <w:sz w:val="20"/>
                <w:szCs w:val="20"/>
                <w:color w:val="auto"/>
              </w:rPr>
            </w:pPr>
            <w:r>
              <w:rPr>
                <w:rFonts w:ascii="Arial" w:cs="Arial" w:eastAsia="Arial" w:hAnsi="Arial"/>
                <w:sz w:val="18"/>
                <w:szCs w:val="18"/>
                <w:color w:val="auto"/>
              </w:rPr>
              <w:t>4,999</w:t>
            </w:r>
          </w:p>
        </w:tc>
        <w:tc>
          <w:tcPr>
            <w:tcW w:w="40" w:type="dxa"/>
            <w:vAlign w:val="bottom"/>
            <w:tcBorders>
              <w:top w:val="single" w:sz="8" w:color="auto"/>
            </w:tcBorders>
            <w:gridSpan w:val="2"/>
            <w:shd w:val="clear" w:color="auto" w:fill="DBDBDB"/>
          </w:tcPr>
          <w:p>
            <w:pPr>
              <w:spacing w:after="0"/>
              <w:rPr>
                <w:sz w:val="19"/>
                <w:szCs w:val="19"/>
                <w:color w:val="auto"/>
              </w:rPr>
            </w:pPr>
          </w:p>
        </w:tc>
        <w:tc>
          <w:tcPr>
            <w:tcW w:w="120" w:type="dxa"/>
            <w:vAlign w:val="bottom"/>
            <w:tcBorders>
              <w:top w:val="single" w:sz="8" w:color="DBDBDB"/>
            </w:tcBorders>
            <w:gridSpan w:val="2"/>
            <w:shd w:val="clear" w:color="auto" w:fill="DBDBDB"/>
          </w:tcPr>
          <w:p>
            <w:pPr>
              <w:spacing w:after="0"/>
              <w:rPr>
                <w:sz w:val="19"/>
                <w:szCs w:val="19"/>
                <w:color w:val="auto"/>
              </w:rPr>
            </w:pPr>
          </w:p>
        </w:tc>
        <w:tc>
          <w:tcPr>
            <w:tcW w:w="180" w:type="dxa"/>
            <w:vAlign w:val="bottom"/>
            <w:tcBorders>
              <w:top w:val="single" w:sz="8" w:color="auto"/>
            </w:tcBorders>
            <w:shd w:val="clear" w:color="auto" w:fill="DBDBDB"/>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4,795</w:t>
            </w:r>
          </w:p>
        </w:tc>
        <w:tc>
          <w:tcPr>
            <w:tcW w:w="20" w:type="dxa"/>
            <w:vAlign w:val="bottom"/>
            <w:tcBorders>
              <w:top w:val="single" w:sz="8" w:color="DBDBDB"/>
            </w:tcBorders>
            <w:shd w:val="clear" w:color="auto" w:fill="DBDBDB"/>
          </w:tcPr>
          <w:p>
            <w:pPr>
              <w:spacing w:after="0"/>
              <w:rPr>
                <w:sz w:val="19"/>
                <w:szCs w:val="19"/>
                <w:color w:val="auto"/>
              </w:rPr>
            </w:pPr>
          </w:p>
        </w:tc>
        <w:tc>
          <w:tcPr>
            <w:tcW w:w="80" w:type="dxa"/>
            <w:vAlign w:val="bottom"/>
            <w:tcBorders>
              <w:top w:val="single" w:sz="8" w:color="DBDBDB"/>
            </w:tcBorders>
            <w:shd w:val="clear" w:color="auto" w:fill="DBDBDB"/>
          </w:tcPr>
          <w:p>
            <w:pPr>
              <w:spacing w:after="0"/>
              <w:rPr>
                <w:sz w:val="19"/>
                <w:szCs w:val="19"/>
                <w:color w:val="auto"/>
              </w:rPr>
            </w:pPr>
          </w:p>
        </w:tc>
        <w:tc>
          <w:tcPr>
            <w:tcW w:w="40" w:type="dxa"/>
            <w:vAlign w:val="bottom"/>
            <w:tcBorders>
              <w:top w:val="single" w:sz="8" w:color="auto"/>
            </w:tcBorders>
            <w:shd w:val="clear" w:color="auto" w:fill="DBDBDB"/>
          </w:tcPr>
          <w:p>
            <w:pPr>
              <w:spacing w:after="0"/>
              <w:rPr>
                <w:sz w:val="19"/>
                <w:szCs w:val="19"/>
                <w:color w:val="auto"/>
              </w:rPr>
            </w:pPr>
          </w:p>
        </w:tc>
        <w:tc>
          <w:tcPr>
            <w:tcW w:w="200" w:type="dxa"/>
            <w:vAlign w:val="bottom"/>
            <w:tcBorders>
              <w:top w:val="single" w:sz="8" w:color="auto"/>
            </w:tcBorders>
            <w:shd w:val="clear" w:color="auto" w:fill="DBDBDB"/>
          </w:tcPr>
          <w:p>
            <w:pPr>
              <w:spacing w:after="0"/>
              <w:rPr>
                <w:sz w:val="19"/>
                <w:szCs w:val="19"/>
                <w:color w:val="auto"/>
              </w:rPr>
            </w:pPr>
          </w:p>
        </w:tc>
        <w:tc>
          <w:tcPr>
            <w:tcW w:w="12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29"/>
        </w:trPr>
        <w:tc>
          <w:tcPr>
            <w:tcW w:w="5300" w:type="dxa"/>
            <w:vAlign w:val="bottom"/>
            <w:gridSpan w:val="4"/>
          </w:tcPr>
          <w:p>
            <w:pPr>
              <w:ind w:left="20"/>
              <w:spacing w:after="0"/>
              <w:rPr>
                <w:sz w:val="20"/>
                <w:szCs w:val="20"/>
                <w:color w:val="auto"/>
              </w:rPr>
            </w:pPr>
            <w:r>
              <w:rPr>
                <w:rFonts w:ascii="Arial" w:cs="Arial" w:eastAsia="Arial" w:hAnsi="Arial"/>
                <w:sz w:val="18"/>
                <w:szCs w:val="18"/>
                <w:color w:val="auto"/>
              </w:rPr>
              <w:t>Stock repurchases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403</w:t>
            </w:r>
          </w:p>
        </w:tc>
        <w:tc>
          <w:tcPr>
            <w:tcW w:w="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1,477</w:t>
            </w:r>
          </w:p>
        </w:tc>
        <w:tc>
          <w:tcPr>
            <w:tcW w:w="340" w:type="dxa"/>
            <w:vAlign w:val="bottom"/>
            <w:gridSpan w:val="5"/>
          </w:tcPr>
          <w:p>
            <w:pPr>
              <w:ind w:left="1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30"/>
        </w:trPr>
        <w:tc>
          <w:tcPr>
            <w:tcW w:w="5300" w:type="dxa"/>
            <w:vAlign w:val="bottom"/>
            <w:gridSpan w:val="4"/>
            <w:shd w:val="clear" w:color="auto" w:fill="DBDBDB"/>
          </w:tcPr>
          <w:p>
            <w:pPr>
              <w:ind w:left="20"/>
              <w:spacing w:after="0"/>
              <w:rPr>
                <w:sz w:val="20"/>
                <w:szCs w:val="20"/>
                <w:color w:val="auto"/>
              </w:rPr>
            </w:pPr>
            <w:r>
              <w:rPr>
                <w:rFonts w:ascii="Arial" w:cs="Arial" w:eastAsia="Arial" w:hAnsi="Arial"/>
                <w:sz w:val="18"/>
                <w:szCs w:val="18"/>
                <w:color w:val="auto"/>
              </w:rPr>
              <w:t>Total cash returned</w:t>
            </w:r>
          </w:p>
        </w:tc>
        <w:tc>
          <w:tcPr>
            <w:tcW w:w="42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DBDBDB"/>
          </w:tcPr>
          <w:p>
            <w:pPr>
              <w:jc w:val="right"/>
              <w:spacing w:after="0"/>
              <w:rPr>
                <w:sz w:val="20"/>
                <w:szCs w:val="20"/>
                <w:color w:val="auto"/>
              </w:rPr>
            </w:pPr>
            <w:r>
              <w:rPr>
                <w:rFonts w:ascii="Arial" w:cs="Arial" w:eastAsia="Arial" w:hAnsi="Arial"/>
                <w:sz w:val="18"/>
                <w:szCs w:val="18"/>
                <w:color w:val="auto"/>
              </w:rPr>
              <w:t>1,693</w:t>
            </w:r>
          </w:p>
        </w:tc>
        <w:tc>
          <w:tcPr>
            <w:tcW w:w="80" w:type="dxa"/>
            <w:vAlign w:val="bottom"/>
            <w:shd w:val="clear" w:color="auto" w:fill="DBDBDB"/>
          </w:tcPr>
          <w:p>
            <w:pPr>
              <w:spacing w:after="0"/>
              <w:rPr>
                <w:sz w:val="19"/>
                <w:szCs w:val="19"/>
                <w:color w:val="auto"/>
              </w:rPr>
            </w:pPr>
          </w:p>
        </w:tc>
        <w:tc>
          <w:tcPr>
            <w:tcW w:w="16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DBDBDB"/>
          </w:tcPr>
          <w:p>
            <w:pPr>
              <w:jc w:val="right"/>
              <w:ind w:right="40"/>
              <w:spacing w:after="0"/>
              <w:rPr>
                <w:sz w:val="20"/>
                <w:szCs w:val="20"/>
                <w:color w:val="auto"/>
              </w:rPr>
            </w:pPr>
            <w:r>
              <w:rPr>
                <w:rFonts w:ascii="Arial" w:cs="Arial" w:eastAsia="Arial" w:hAnsi="Arial"/>
                <w:sz w:val="18"/>
                <w:szCs w:val="18"/>
                <w:color w:val="auto"/>
              </w:rPr>
              <w:t>6,476</w:t>
            </w:r>
          </w:p>
        </w:tc>
        <w:tc>
          <w:tcPr>
            <w:tcW w:w="340" w:type="dxa"/>
            <w:vAlign w:val="bottom"/>
            <w:gridSpan w:val="5"/>
            <w:shd w:val="clear" w:color="auto" w:fill="DBDBDB"/>
          </w:tcPr>
          <w:p>
            <w:pPr>
              <w:ind w:lef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5,724</w:t>
            </w:r>
          </w:p>
        </w:tc>
        <w:tc>
          <w:tcPr>
            <w:tcW w:w="20" w:type="dxa"/>
            <w:vAlign w:val="bottom"/>
            <w:shd w:val="clear" w:color="auto" w:fill="DBDBDB"/>
          </w:tcPr>
          <w:p>
            <w:pPr>
              <w:spacing w:after="0"/>
              <w:rPr>
                <w:sz w:val="19"/>
                <w:szCs w:val="19"/>
                <w:color w:val="auto"/>
              </w:rPr>
            </w:pPr>
          </w:p>
        </w:tc>
        <w:tc>
          <w:tcPr>
            <w:tcW w:w="8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47"/>
        </w:trPr>
        <w:tc>
          <w:tcPr>
            <w:tcW w:w="8480" w:type="dxa"/>
            <w:vAlign w:val="bottom"/>
            <w:gridSpan w:val="9"/>
          </w:tcPr>
          <w:p>
            <w:pPr>
              <w:jc w:val="center"/>
              <w:ind w:left="2690"/>
              <w:spacing w:after="0"/>
              <w:rPr>
                <w:sz w:val="20"/>
                <w:szCs w:val="20"/>
                <w:color w:val="auto"/>
              </w:rPr>
            </w:pPr>
            <w:r>
              <w:rPr>
                <w:rFonts w:ascii="Arial" w:cs="Arial" w:eastAsia="Arial" w:hAnsi="Arial"/>
                <w:sz w:val="18"/>
                <w:szCs w:val="18"/>
                <w:b w:val="1"/>
                <w:bCs w:val="1"/>
                <w:color w:val="auto"/>
                <w:w w:val="99"/>
              </w:rPr>
              <w:t>TEXAS INSTRUMENTS INCORPORATED AND SUBSIDIARIES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4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Consolidated Statements of Income</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5"/>
          </w:tcPr>
          <w:p>
            <w:pPr>
              <w:jc w:val="center"/>
              <w:ind w:right="320"/>
              <w:spacing w:after="0" w:line="190" w:lineRule="exact"/>
              <w:rPr>
                <w:sz w:val="20"/>
                <w:szCs w:val="20"/>
                <w:color w:val="auto"/>
              </w:rPr>
            </w:pPr>
            <w:r>
              <w:rPr>
                <w:rFonts w:ascii="Arial" w:cs="Arial" w:eastAsia="Arial" w:hAnsi="Arial"/>
                <w:sz w:val="18"/>
                <w:szCs w:val="18"/>
                <w:b w:val="1"/>
                <w:bCs w:val="1"/>
                <w:color w:val="auto"/>
                <w:w w:val="99"/>
              </w:rPr>
              <w:t>For Three Months Ended</w:t>
            </w:r>
          </w:p>
        </w:tc>
        <w:tc>
          <w:tcPr>
            <w:tcW w:w="300" w:type="dxa"/>
            <w:vAlign w:val="bottom"/>
          </w:tcPr>
          <w:p>
            <w:pPr>
              <w:spacing w:after="0"/>
              <w:rPr>
                <w:sz w:val="16"/>
                <w:szCs w:val="16"/>
                <w:color w:val="auto"/>
              </w:rPr>
            </w:pPr>
          </w:p>
        </w:tc>
        <w:tc>
          <w:tcPr>
            <w:tcW w:w="2460" w:type="dxa"/>
            <w:vAlign w:val="bottom"/>
            <w:gridSpan w:val="4"/>
          </w:tcPr>
          <w:p>
            <w:pPr>
              <w:jc w:val="right"/>
              <w:ind w:right="570"/>
              <w:spacing w:after="0" w:line="190" w:lineRule="exact"/>
              <w:rPr>
                <w:sz w:val="20"/>
                <w:szCs w:val="20"/>
                <w:color w:val="auto"/>
              </w:rPr>
            </w:pPr>
            <w:r>
              <w:rPr>
                <w:rFonts w:ascii="Arial" w:cs="Arial" w:eastAsia="Arial" w:hAnsi="Arial"/>
                <w:sz w:val="18"/>
                <w:szCs w:val="18"/>
                <w:b w:val="1"/>
                <w:bCs w:val="1"/>
                <w:color w:val="auto"/>
              </w:rPr>
              <w:t>For Years Ended</w:t>
            </w:r>
          </w:p>
        </w:tc>
        <w:tc>
          <w:tcPr>
            <w:tcW w:w="0" w:type="dxa"/>
            <w:vAlign w:val="bottom"/>
          </w:tcPr>
          <w:p>
            <w:pPr>
              <w:spacing w:after="0"/>
              <w:rPr>
                <w:sz w:val="1"/>
                <w:szCs w:val="1"/>
                <w:color w:val="auto"/>
              </w:rPr>
            </w:pPr>
          </w:p>
        </w:tc>
      </w:tr>
      <w:tr>
        <w:trPr>
          <w:trHeight w:val="243"/>
        </w:trPr>
        <w:tc>
          <w:tcPr>
            <w:tcW w:w="4360" w:type="dxa"/>
            <w:vAlign w:val="bottom"/>
            <w:vMerge w:val="continue"/>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4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9"/>
              </w:rPr>
              <w:t>December 31,</w:t>
            </w:r>
          </w:p>
        </w:tc>
        <w:tc>
          <w:tcPr>
            <w:tcW w:w="300" w:type="dxa"/>
            <w:vAlign w:val="bottom"/>
          </w:tcPr>
          <w:p>
            <w:pPr>
              <w:spacing w:after="0"/>
              <w:rPr>
                <w:sz w:val="21"/>
                <w:szCs w:val="21"/>
                <w:color w:val="auto"/>
              </w:rPr>
            </w:pPr>
          </w:p>
        </w:tc>
        <w:tc>
          <w:tcPr>
            <w:tcW w:w="246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4360" w:type="dxa"/>
            <w:vAlign w:val="bottom"/>
            <w:tcBorders>
              <w:top w:val="single" w:sz="8" w:color="auto"/>
              <w:bottom w:val="single" w:sz="8" w:color="DBDBDB"/>
            </w:tcBorders>
          </w:tcPr>
          <w:p>
            <w:pPr>
              <w:ind w:left="20"/>
              <w:spacing w:after="0"/>
              <w:rPr>
                <w:sz w:val="20"/>
                <w:szCs w:val="20"/>
                <w:color w:val="auto"/>
              </w:rPr>
            </w:pPr>
            <w:r>
              <w:rPr>
                <w:rFonts w:ascii="Arial" w:cs="Arial" w:eastAsia="Arial" w:hAnsi="Arial"/>
                <w:sz w:val="18"/>
                <w:szCs w:val="18"/>
                <w:b w:val="1"/>
                <w:bCs w:val="1"/>
                <w:color w:val="auto"/>
              </w:rPr>
              <w:t>(In millions, except per-share amounts)</w:t>
            </w:r>
          </w:p>
        </w:tc>
        <w:tc>
          <w:tcPr>
            <w:tcW w:w="1160" w:type="dxa"/>
            <w:vAlign w:val="bottom"/>
            <w:tcBorders>
              <w:top w:val="single" w:sz="8" w:color="auto"/>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top w:val="single" w:sz="8" w:color="auto"/>
              <w:bottom w:val="single" w:sz="8" w:color="DBDBDB"/>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DBDBDB"/>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top w:val="single" w:sz="8" w:color="auto"/>
              <w:bottom w:val="single" w:sz="8" w:color="DBDBDB"/>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23"/>
        </w:trPr>
        <w:tc>
          <w:tcPr>
            <w:tcW w:w="4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11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4,423</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4,007</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17,682</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15,641</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Cost of revenue (COR)</w:t>
            </w:r>
          </w:p>
        </w:tc>
        <w:tc>
          <w:tcPr>
            <w:tcW w:w="1160" w:type="dxa"/>
            <w:vAlign w:val="bottom"/>
            <w:tcBorders>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1,951</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w:t>
            </w:r>
          </w:p>
        </w:tc>
        <w:tc>
          <w:tcPr>
            <w:tcW w:w="1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7,599</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6,547</w:t>
            </w:r>
          </w:p>
        </w:tc>
        <w:tc>
          <w:tcPr>
            <w:tcW w:w="0" w:type="dxa"/>
            <w:vAlign w:val="bottom"/>
          </w:tcPr>
          <w:p>
            <w:pPr>
              <w:spacing w:after="0"/>
              <w:rPr>
                <w:sz w:val="1"/>
                <w:szCs w:val="1"/>
                <w:color w:val="auto"/>
              </w:rPr>
            </w:pPr>
          </w:p>
        </w:tc>
      </w:tr>
      <w:tr>
        <w:trPr>
          <w:trHeight w:val="223"/>
        </w:trPr>
        <w:tc>
          <w:tcPr>
            <w:tcW w:w="4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Gross profit</w:t>
            </w:r>
          </w:p>
        </w:tc>
        <w:tc>
          <w:tcPr>
            <w:tcW w:w="11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2,472</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2,314</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10,083</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9,094</w:t>
            </w: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Arial" w:cs="Arial" w:eastAsia="Arial" w:hAnsi="Arial"/>
                <w:sz w:val="18"/>
                <w:szCs w:val="18"/>
                <w:color w:val="auto"/>
              </w:rPr>
              <w:t>Research and development (R&amp;D)</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2,083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1,959</w:t>
            </w:r>
          </w:p>
        </w:tc>
        <w:tc>
          <w:tcPr>
            <w:tcW w:w="0" w:type="dxa"/>
            <w:vAlign w:val="bottom"/>
          </w:tcPr>
          <w:p>
            <w:pPr>
              <w:spacing w:after="0"/>
              <w:rPr>
                <w:sz w:val="1"/>
                <w:szCs w:val="1"/>
                <w:color w:val="auto"/>
              </w:rPr>
            </w:pPr>
          </w:p>
        </w:tc>
      </w:tr>
      <w:tr>
        <w:trPr>
          <w:trHeight w:val="229"/>
        </w:trPr>
        <w:tc>
          <w:tcPr>
            <w:tcW w:w="4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Selling, general and administrative (SG&amp;A)</w:t>
            </w:r>
          </w:p>
        </w:tc>
        <w:tc>
          <w:tcPr>
            <w:tcW w:w="11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446</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1,860</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1,794</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Restructuring charges/other</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3"/>
        </w:trPr>
        <w:tc>
          <w:tcPr>
            <w:tcW w:w="43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Operating profit</w:t>
            </w:r>
          </w:p>
        </w:tc>
        <w:tc>
          <w:tcPr>
            <w:tcW w:w="1160" w:type="dxa"/>
            <w:vAlign w:val="bottom"/>
            <w:tcBorders>
              <w:top w:val="single" w:sz="8" w:color="DBDBDB"/>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20" w:type="dxa"/>
            <w:vAlign w:val="bottom"/>
            <w:tcBorders>
              <w:top w:val="single" w:sz="8" w:color="auto"/>
            </w:tcBorders>
            <w:shd w:val="clear" w:color="auto" w:fill="DBDBDB"/>
          </w:tcPr>
          <w:p>
            <w:pPr>
              <w:spacing w:after="0"/>
              <w:rPr>
                <w:sz w:val="19"/>
                <w:szCs w:val="19"/>
                <w:color w:val="auto"/>
              </w:rPr>
            </w:pPr>
          </w:p>
        </w:tc>
        <w:tc>
          <w:tcPr>
            <w:tcW w:w="11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1,473</w:t>
            </w:r>
          </w:p>
        </w:tc>
        <w:tc>
          <w:tcPr>
            <w:tcW w:w="120" w:type="dxa"/>
            <w:vAlign w:val="bottom"/>
            <w:tcBorders>
              <w:top w:val="single" w:sz="8" w:color="DBDBDB"/>
            </w:tcBorders>
            <w:shd w:val="clear" w:color="auto" w:fill="DBDBDB"/>
          </w:tcPr>
          <w:p>
            <w:pPr>
              <w:spacing w:after="0"/>
              <w:rPr>
                <w:sz w:val="19"/>
                <w:szCs w:val="19"/>
                <w:color w:val="auto"/>
              </w:rPr>
            </w:pPr>
          </w:p>
        </w:tc>
        <w:tc>
          <w:tcPr>
            <w:tcW w:w="28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1,377</w:t>
            </w:r>
          </w:p>
        </w:tc>
        <w:tc>
          <w:tcPr>
            <w:tcW w:w="100" w:type="dxa"/>
            <w:vAlign w:val="bottom"/>
            <w:tcBorders>
              <w:top w:val="single" w:sz="8" w:color="DBDBDB"/>
            </w:tcBorders>
            <w:shd w:val="clear" w:color="auto" w:fill="DBDBDB"/>
          </w:tcPr>
          <w:p>
            <w:pPr>
              <w:spacing w:after="0"/>
              <w:rPr>
                <w:sz w:val="19"/>
                <w:szCs w:val="19"/>
                <w:color w:val="auto"/>
              </w:rPr>
            </w:pPr>
          </w:p>
        </w:tc>
        <w:tc>
          <w:tcPr>
            <w:tcW w:w="300" w:type="dxa"/>
            <w:vAlign w:val="bottom"/>
            <w:tcBorders>
              <w:top w:val="single" w:sz="8" w:color="auto"/>
            </w:tcBorders>
            <w:shd w:val="clear" w:color="auto" w:fill="DBDBDB"/>
          </w:tcPr>
          <w:p>
            <w:pPr>
              <w:spacing w:after="0"/>
              <w:rPr>
                <w:sz w:val="19"/>
                <w:szCs w:val="19"/>
                <w:color w:val="auto"/>
              </w:rPr>
            </w:pPr>
          </w:p>
        </w:tc>
        <w:tc>
          <w:tcPr>
            <w:tcW w:w="10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6,023</w:t>
            </w:r>
          </w:p>
        </w:tc>
        <w:tc>
          <w:tcPr>
            <w:tcW w:w="120" w:type="dxa"/>
            <w:vAlign w:val="bottom"/>
            <w:tcBorders>
              <w:top w:val="single" w:sz="8" w:color="DBDBDB"/>
            </w:tcBorders>
            <w:shd w:val="clear" w:color="auto" w:fill="DBDBDB"/>
          </w:tcPr>
          <w:p>
            <w:pPr>
              <w:spacing w:after="0"/>
              <w:rPr>
                <w:sz w:val="19"/>
                <w:szCs w:val="19"/>
                <w:color w:val="auto"/>
              </w:rPr>
            </w:pPr>
          </w:p>
        </w:tc>
        <w:tc>
          <w:tcPr>
            <w:tcW w:w="28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5,465</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Other income (expense), net (OI&amp;E)</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230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29"/>
        </w:trPr>
        <w:tc>
          <w:tcPr>
            <w:tcW w:w="4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Interest and debt expense</w:t>
            </w:r>
          </w:p>
        </w:tc>
        <w:tc>
          <w:tcPr>
            <w:tcW w:w="11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141</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543</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1,372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5,710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5,453</w:t>
            </w:r>
          </w:p>
        </w:tc>
        <w:tc>
          <w:tcPr>
            <w:tcW w:w="0" w:type="dxa"/>
            <w:vAlign w:val="bottom"/>
          </w:tcPr>
          <w:p>
            <w:pPr>
              <w:spacing w:after="0"/>
              <w:rPr>
                <w:sz w:val="1"/>
                <w:szCs w:val="1"/>
                <w:color w:val="auto"/>
              </w:rPr>
            </w:pPr>
          </w:p>
        </w:tc>
      </w:tr>
      <w:tr>
        <w:trPr>
          <w:trHeight w:val="229"/>
        </w:trPr>
        <w:tc>
          <w:tcPr>
            <w:tcW w:w="4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Provision for income taxes</w:t>
            </w:r>
          </w:p>
        </w:tc>
        <w:tc>
          <w:tcPr>
            <w:tcW w:w="11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209</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709</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4,799</w:t>
            </w:r>
          </w:p>
        </w:tc>
        <w:tc>
          <w:tcPr>
            <w:tcW w:w="0" w:type="dxa"/>
            <w:vAlign w:val="bottom"/>
          </w:tcPr>
          <w:p>
            <w:pPr>
              <w:spacing w:after="0"/>
              <w:rPr>
                <w:sz w:val="1"/>
                <w:szCs w:val="1"/>
                <w:color w:val="auto"/>
              </w:rPr>
            </w:pPr>
          </w:p>
        </w:tc>
      </w:tr>
      <w:tr>
        <w:trPr>
          <w:trHeight w:val="20"/>
        </w:trPr>
        <w:tc>
          <w:tcPr>
            <w:tcW w:w="4360" w:type="dxa"/>
            <w:vAlign w:val="bottom"/>
            <w:tcBorders>
              <w:bottom w:val="single" w:sz="8" w:color="DBDBDB"/>
            </w:tcBorders>
          </w:tcPr>
          <w:p>
            <w:pPr>
              <w:spacing w:after="0" w:line="20" w:lineRule="exact"/>
              <w:rPr>
                <w:sz w:val="1"/>
                <w:szCs w:val="1"/>
                <w:color w:val="auto"/>
              </w:rPr>
            </w:pPr>
          </w:p>
        </w:tc>
        <w:tc>
          <w:tcPr>
            <w:tcW w:w="116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60" w:type="dxa"/>
            <w:vAlign w:val="bottom"/>
            <w:shd w:val="clear" w:color="auto" w:fill="DBDBDB"/>
          </w:tcPr>
          <w:p>
            <w:pPr>
              <w:spacing w:after="0"/>
              <w:rPr>
                <w:sz w:val="19"/>
                <w:szCs w:val="19"/>
                <w:color w:val="auto"/>
              </w:rPr>
            </w:pPr>
          </w:p>
        </w:tc>
        <w:tc>
          <w:tcPr>
            <w:tcW w:w="11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Arial" w:cs="Arial" w:eastAsia="Arial" w:hAnsi="Arial"/>
                <w:sz w:val="18"/>
                <w:szCs w:val="18"/>
                <w:color w:val="auto"/>
              </w:rPr>
              <w:t>Diluted earnings per common share</w:t>
            </w:r>
          </w:p>
        </w:tc>
        <w:tc>
          <w:tcPr>
            <w:tcW w:w="14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1.27</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5.45</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0"/>
        </w:trPr>
        <w:tc>
          <w:tcPr>
            <w:tcW w:w="4360" w:type="dxa"/>
            <w:vAlign w:val="bottom"/>
            <w:tcBorders>
              <w:bottom w:val="single" w:sz="8" w:color="DBDBDB"/>
            </w:tcBorders>
          </w:tcPr>
          <w:p>
            <w:pPr>
              <w:spacing w:after="0" w:line="20" w:lineRule="exact"/>
              <w:rPr>
                <w:sz w:val="1"/>
                <w:szCs w:val="1"/>
                <w:color w:val="auto"/>
              </w:rPr>
            </w:pPr>
          </w:p>
        </w:tc>
        <w:tc>
          <w:tcPr>
            <w:tcW w:w="116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60" w:type="dxa"/>
            <w:vAlign w:val="bottom"/>
            <w:shd w:val="clear" w:color="auto" w:fill="DBDBDB"/>
          </w:tcPr>
          <w:p>
            <w:pPr>
              <w:spacing w:after="0"/>
              <w:rPr>
                <w:sz w:val="19"/>
                <w:szCs w:val="19"/>
                <w:color w:val="auto"/>
              </w:rPr>
            </w:pPr>
          </w:p>
        </w:tc>
        <w:tc>
          <w:tcPr>
            <w:tcW w:w="11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Average shares outstanding:</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436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8"/>
                <w:szCs w:val="18"/>
                <w:color w:val="auto"/>
              </w:rPr>
              <w:t>Basic</w:t>
            </w:r>
          </w:p>
        </w:tc>
        <w:tc>
          <w:tcPr>
            <w:tcW w:w="116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auto"/>
            </w:tcBorders>
            <w:shd w:val="clear" w:color="auto" w:fill="DBDBDB"/>
          </w:tcPr>
          <w:p>
            <w:pPr>
              <w:spacing w:after="0"/>
              <w:rPr>
                <w:sz w:val="21"/>
                <w:szCs w:val="21"/>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907</w:t>
            </w:r>
          </w:p>
        </w:tc>
        <w:tc>
          <w:tcPr>
            <w:tcW w:w="12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spacing w:after="0"/>
              <w:rPr>
                <w:sz w:val="21"/>
                <w:szCs w:val="21"/>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912</w:t>
            </w:r>
          </w:p>
        </w:tc>
        <w:tc>
          <w:tcPr>
            <w:tcW w:w="10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auto"/>
            </w:tcBorders>
            <w:shd w:val="clear" w:color="auto" w:fill="DBDBDB"/>
          </w:tcPr>
          <w:p>
            <w:pPr>
              <w:spacing w:after="0"/>
              <w:rPr>
                <w:sz w:val="21"/>
                <w:szCs w:val="21"/>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909</w:t>
            </w:r>
          </w:p>
        </w:tc>
        <w:tc>
          <w:tcPr>
            <w:tcW w:w="12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spacing w:after="0"/>
              <w:rPr>
                <w:sz w:val="21"/>
                <w:szCs w:val="21"/>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0"/>
        </w:trPr>
        <w:tc>
          <w:tcPr>
            <w:tcW w:w="4360" w:type="dxa"/>
            <w:vAlign w:val="bottom"/>
            <w:tcBorders>
              <w:top w:val="single" w:sz="8" w:color="DBDBDB"/>
              <w:bottom w:val="single" w:sz="8" w:color="DBDBDB"/>
            </w:tcBorders>
            <w:vMerge w:val="restart"/>
          </w:tcPr>
          <w:p>
            <w:pPr>
              <w:ind w:left="220"/>
              <w:spacing w:after="0"/>
              <w:rPr>
                <w:sz w:val="20"/>
                <w:szCs w:val="20"/>
                <w:color w:val="auto"/>
              </w:rPr>
            </w:pPr>
            <w:r>
              <w:rPr>
                <w:rFonts w:ascii="Arial" w:cs="Arial" w:eastAsia="Arial" w:hAnsi="Arial"/>
                <w:sz w:val="18"/>
                <w:szCs w:val="18"/>
                <w:color w:val="auto"/>
              </w:rPr>
              <w:t>Diluted</w:t>
            </w:r>
          </w:p>
        </w:tc>
        <w:tc>
          <w:tcPr>
            <w:tcW w:w="116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60" w:type="dxa"/>
            <w:vAlign w:val="bottom"/>
            <w:vMerge w:val="continue"/>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911</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919</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913</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0"/>
        </w:trPr>
        <w:tc>
          <w:tcPr>
            <w:tcW w:w="4360" w:type="dxa"/>
            <w:vAlign w:val="bottom"/>
            <w:tcBorders>
              <w:bottom w:val="single" w:sz="8" w:color="DBDBDB"/>
            </w:tcBorders>
          </w:tcPr>
          <w:p>
            <w:pPr>
              <w:spacing w:after="0" w:line="20" w:lineRule="exact"/>
              <w:rPr>
                <w:sz w:val="1"/>
                <w:szCs w:val="1"/>
                <w:color w:val="auto"/>
              </w:rPr>
            </w:pPr>
          </w:p>
        </w:tc>
        <w:tc>
          <w:tcPr>
            <w:tcW w:w="116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60" w:type="dxa"/>
            <w:vAlign w:val="bottom"/>
            <w:shd w:val="clear" w:color="auto" w:fill="DBDBDB"/>
          </w:tcPr>
          <w:p>
            <w:pPr>
              <w:spacing w:after="0"/>
              <w:rPr>
                <w:sz w:val="19"/>
                <w:szCs w:val="19"/>
                <w:color w:val="auto"/>
              </w:rPr>
            </w:pPr>
          </w:p>
        </w:tc>
        <w:tc>
          <w:tcPr>
            <w:tcW w:w="11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1260" w:type="dxa"/>
            <w:vAlign w:val="bottom"/>
            <w:gridSpan w:val="2"/>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4"/>
        </w:trPr>
        <w:tc>
          <w:tcPr>
            <w:tcW w:w="4360" w:type="dxa"/>
            <w:vAlign w:val="bottom"/>
          </w:tcPr>
          <w:p>
            <w:pPr>
              <w:spacing w:after="0"/>
              <w:rPr>
                <w:sz w:val="24"/>
                <w:szCs w:val="24"/>
                <w:color w:val="auto"/>
              </w:rPr>
            </w:pPr>
          </w:p>
        </w:tc>
        <w:tc>
          <w:tcPr>
            <w:tcW w:w="270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9"/>
              </w:rPr>
              <w:t>Supplemental Information</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4360" w:type="dxa"/>
            <w:vAlign w:val="bottom"/>
          </w:tcPr>
          <w:p>
            <w:pPr>
              <w:ind w:left="20"/>
              <w:spacing w:after="0"/>
              <w:rPr>
                <w:sz w:val="20"/>
                <w:szCs w:val="20"/>
                <w:color w:val="auto"/>
              </w:rPr>
            </w:pPr>
            <w:r>
              <w:rPr>
                <w:rFonts w:ascii="Arial" w:cs="Arial" w:eastAsia="Arial" w:hAnsi="Arial"/>
                <w:sz w:val="18"/>
                <w:szCs w:val="18"/>
                <w:color w:val="auto"/>
              </w:rPr>
              <w:t>Provision for income taxes is based on the following:</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5840" w:type="dxa"/>
            <w:vAlign w:val="bottom"/>
            <w:gridSpan w:val="4"/>
            <w:shd w:val="clear" w:color="auto" w:fill="DBDBDB"/>
          </w:tcPr>
          <w:p>
            <w:pPr>
              <w:ind w:left="20"/>
              <w:spacing w:after="0" w:line="176" w:lineRule="exact"/>
              <w:rPr>
                <w:sz w:val="20"/>
                <w:szCs w:val="20"/>
                <w:color w:val="auto"/>
              </w:rPr>
            </w:pPr>
            <w:r>
              <w:rPr>
                <w:rFonts w:ascii="Arial" w:cs="Arial" w:eastAsia="Arial" w:hAnsi="Arial"/>
                <w:sz w:val="18"/>
                <w:szCs w:val="18"/>
                <w:color w:val="auto"/>
              </w:rPr>
              <w:t>Operating taxes (calculated using the estimated annual effective tax</w:t>
            </w:r>
          </w:p>
        </w:tc>
        <w:tc>
          <w:tcPr>
            <w:tcW w:w="110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221</w:t>
            </w:r>
          </w:p>
        </w:tc>
        <w:tc>
          <w:tcPr>
            <w:tcW w:w="120" w:type="dxa"/>
            <w:vAlign w:val="bottom"/>
            <w:shd w:val="clear" w:color="auto" w:fill="DBDBDB"/>
          </w:tcPr>
          <w:p>
            <w:pPr>
              <w:spacing w:after="0"/>
              <w:rPr>
                <w:sz w:val="15"/>
                <w:szCs w:val="15"/>
                <w:color w:val="auto"/>
              </w:rPr>
            </w:pPr>
          </w:p>
        </w:tc>
        <w:tc>
          <w:tcPr>
            <w:tcW w:w="280" w:type="dxa"/>
            <w:vAlign w:val="bottom"/>
            <w:vMerge w:val="restart"/>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DBDBDB"/>
          </w:tcPr>
          <w:p>
            <w:pPr>
              <w:spacing w:after="0"/>
              <w:rPr>
                <w:sz w:val="15"/>
                <w:szCs w:val="15"/>
                <w:color w:val="auto"/>
              </w:rPr>
            </w:pPr>
          </w:p>
        </w:tc>
        <w:tc>
          <w:tcPr>
            <w:tcW w:w="300" w:type="dxa"/>
            <w:vAlign w:val="bottom"/>
            <w:vMerge w:val="restart"/>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vMerge w:val="restart"/>
            <w:shd w:val="clear" w:color="auto" w:fill="DBDBDB"/>
          </w:tcPr>
          <w:p>
            <w:pPr>
              <w:jc w:val="right"/>
              <w:spacing w:after="0"/>
              <w:rPr>
                <w:sz w:val="20"/>
                <w:szCs w:val="20"/>
                <w:color w:val="auto"/>
              </w:rPr>
            </w:pPr>
            <w:r>
              <w:rPr>
                <w:rFonts w:ascii="Arial" w:cs="Arial" w:eastAsia="Arial" w:hAnsi="Arial"/>
                <w:sz w:val="18"/>
                <w:szCs w:val="18"/>
                <w:b w:val="1"/>
                <w:bCs w:val="1"/>
                <w:color w:val="auto"/>
              </w:rPr>
              <w:t>835</w:t>
            </w:r>
          </w:p>
        </w:tc>
        <w:tc>
          <w:tcPr>
            <w:tcW w:w="120" w:type="dxa"/>
            <w:vAlign w:val="bottom"/>
            <w:shd w:val="clear" w:color="auto" w:fill="DBDBDB"/>
          </w:tcPr>
          <w:p>
            <w:pPr>
              <w:spacing w:after="0"/>
              <w:rPr>
                <w:sz w:val="15"/>
                <w:szCs w:val="15"/>
                <w:color w:val="auto"/>
              </w:rPr>
            </w:pPr>
          </w:p>
        </w:tc>
        <w:tc>
          <w:tcPr>
            <w:tcW w:w="280" w:type="dxa"/>
            <w:vAlign w:val="bottom"/>
            <w:vMerge w:val="restart"/>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DBDBDB"/>
          </w:tcPr>
          <w:p>
            <w:pPr>
              <w:jc w:val="right"/>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43"/>
        </w:trPr>
        <w:tc>
          <w:tcPr>
            <w:tcW w:w="4360" w:type="dxa"/>
            <w:vAlign w:val="bottom"/>
            <w:shd w:val="clear" w:color="auto" w:fill="DBDBDB"/>
          </w:tcPr>
          <w:p>
            <w:pPr>
              <w:ind w:left="20"/>
              <w:spacing w:after="0"/>
              <w:rPr>
                <w:sz w:val="20"/>
                <w:szCs w:val="20"/>
                <w:color w:val="auto"/>
              </w:rPr>
            </w:pPr>
            <w:r>
              <w:rPr>
                <w:rFonts w:ascii="Arial" w:cs="Arial" w:eastAsia="Arial" w:hAnsi="Arial"/>
                <w:sz w:val="18"/>
                <w:szCs w:val="18"/>
                <w:color w:val="auto"/>
              </w:rPr>
              <w:t>rate)</w:t>
            </w:r>
          </w:p>
        </w:tc>
        <w:tc>
          <w:tcPr>
            <w:tcW w:w="1480" w:type="dxa"/>
            <w:vAlign w:val="bottom"/>
            <w:gridSpan w:val="3"/>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w:t>
            </w:r>
          </w:p>
        </w:tc>
        <w:tc>
          <w:tcPr>
            <w:tcW w:w="1100" w:type="dxa"/>
            <w:vAlign w:val="bottom"/>
            <w:vMerge w:val="continue"/>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280" w:type="dxa"/>
            <w:vAlign w:val="bottom"/>
            <w:vMerge w:val="continue"/>
            <w:shd w:val="clear" w:color="auto" w:fill="DBDBDB"/>
          </w:tcPr>
          <w:p>
            <w:pPr>
              <w:spacing w:after="0"/>
              <w:rPr>
                <w:sz w:val="21"/>
                <w:szCs w:val="21"/>
                <w:color w:val="auto"/>
              </w:rPr>
            </w:pPr>
          </w:p>
        </w:tc>
        <w:tc>
          <w:tcPr>
            <w:tcW w:w="1040" w:type="dxa"/>
            <w:vAlign w:val="bottom"/>
            <w:vMerge w:val="continue"/>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300" w:type="dxa"/>
            <w:vAlign w:val="bottom"/>
            <w:vMerge w:val="continue"/>
            <w:shd w:val="clear" w:color="auto" w:fill="DBDBDB"/>
          </w:tcPr>
          <w:p>
            <w:pPr>
              <w:spacing w:after="0"/>
              <w:rPr>
                <w:sz w:val="21"/>
                <w:szCs w:val="21"/>
                <w:color w:val="auto"/>
              </w:rPr>
            </w:pPr>
          </w:p>
        </w:tc>
        <w:tc>
          <w:tcPr>
            <w:tcW w:w="1020" w:type="dxa"/>
            <w:vAlign w:val="bottom"/>
            <w:vMerge w:val="continue"/>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280" w:type="dxa"/>
            <w:vAlign w:val="bottom"/>
            <w:vMerge w:val="continue"/>
            <w:shd w:val="clear" w:color="auto" w:fill="DBDBDB"/>
          </w:tcPr>
          <w:p>
            <w:pPr>
              <w:spacing w:after="0"/>
              <w:rPr>
                <w:sz w:val="21"/>
                <w:szCs w:val="21"/>
                <w:color w:val="auto"/>
              </w:rPr>
            </w:pPr>
          </w:p>
        </w:tc>
        <w:tc>
          <w:tcPr>
            <w:tcW w:w="1040" w:type="dxa"/>
            <w:vAlign w:val="bottom"/>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36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Discrete tax items</w:t>
            </w:r>
          </w:p>
        </w:tc>
        <w:tc>
          <w:tcPr>
            <w:tcW w:w="1160" w:type="dxa"/>
            <w:vAlign w:val="bottom"/>
            <w:tcBorders>
              <w:bottom w:val="single" w:sz="8" w:color="DBDBDB"/>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Provision for income taxes (effective taxes)</w:t>
            </w:r>
          </w:p>
        </w:tc>
        <w:tc>
          <w:tcPr>
            <w:tcW w:w="116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209</w:t>
            </w:r>
          </w:p>
        </w:tc>
        <w:tc>
          <w:tcPr>
            <w:tcW w:w="12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709</w:t>
            </w:r>
          </w:p>
        </w:tc>
        <w:tc>
          <w:tcPr>
            <w:tcW w:w="12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0"/>
        </w:trPr>
        <w:tc>
          <w:tcPr>
            <w:tcW w:w="4360" w:type="dxa"/>
            <w:vAlign w:val="bottom"/>
            <w:tcBorders>
              <w:top w:val="single" w:sz="8" w:color="DBDBDB"/>
            </w:tcBorders>
          </w:tcPr>
          <w:p>
            <w:pPr>
              <w:spacing w:after="0" w:line="20" w:lineRule="exact"/>
              <w:rPr>
                <w:sz w:val="1"/>
                <w:szCs w:val="1"/>
                <w:color w:val="auto"/>
              </w:rPr>
            </w:pPr>
          </w:p>
        </w:tc>
        <w:tc>
          <w:tcPr>
            <w:tcW w:w="116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20" w:right="800"/>
        <w:spacing w:after="0"/>
        <w:rPr>
          <w:sz w:val="20"/>
          <w:szCs w:val="20"/>
          <w:color w:val="auto"/>
        </w:rPr>
      </w:pPr>
      <w:r>
        <w:rPr>
          <w:rFonts w:ascii="Arial" w:cs="Arial" w:eastAsia="Arial" w:hAnsi="Arial"/>
          <w:sz w:val="18"/>
          <w:szCs w:val="18"/>
          <w:color w:val="auto"/>
        </w:rPr>
        <w:t>A portion of net income is allocated to unvested restricted stock units (RSUs) on which we pay dividend equivalents. Diluted EPS is calculated using the following:</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6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460" w:type="dxa"/>
            <w:vAlign w:val="bottom"/>
            <w:shd w:val="clear" w:color="auto" w:fill="DBDBDB"/>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1,163</w:t>
            </w:r>
          </w:p>
        </w:tc>
        <w:tc>
          <w:tcPr>
            <w:tcW w:w="120" w:type="dxa"/>
            <w:vAlign w:val="bottom"/>
            <w:shd w:val="clear" w:color="auto" w:fill="DBDBDB"/>
          </w:tcPr>
          <w:p>
            <w:pPr>
              <w:spacing w:after="0"/>
              <w:rPr>
                <w:sz w:val="19"/>
                <w:szCs w:val="19"/>
                <w:color w:val="auto"/>
              </w:rPr>
            </w:pPr>
          </w:p>
        </w:tc>
        <w:tc>
          <w:tcPr>
            <w:tcW w:w="460" w:type="dxa"/>
            <w:vAlign w:val="bottom"/>
            <w:shd w:val="clear" w:color="auto" w:fill="DBDBDB"/>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1,205</w:t>
            </w: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5,001</w:t>
            </w:r>
          </w:p>
        </w:tc>
        <w:tc>
          <w:tcPr>
            <w:tcW w:w="120" w:type="dxa"/>
            <w:vAlign w:val="bottom"/>
            <w:shd w:val="clear" w:color="auto" w:fill="DBDBDB"/>
          </w:tcPr>
          <w:p>
            <w:pPr>
              <w:spacing w:after="0"/>
              <w:rPr>
                <w:sz w:val="19"/>
                <w:szCs w:val="19"/>
                <w:color w:val="auto"/>
              </w:rPr>
            </w:pPr>
          </w:p>
        </w:tc>
        <w:tc>
          <w:tcPr>
            <w:tcW w:w="460" w:type="dxa"/>
            <w:vAlign w:val="bottom"/>
            <w:shd w:val="clear" w:color="auto" w:fill="DBDBDB"/>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4,799</w:t>
            </w:r>
          </w:p>
        </w:tc>
      </w:tr>
      <w:tr>
        <w:trPr>
          <w:trHeight w:val="230"/>
        </w:trPr>
        <w:tc>
          <w:tcPr>
            <w:tcW w:w="56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Income allocated to RSUs</w:t>
            </w: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120" w:type="dxa"/>
            <w:vAlign w:val="bottom"/>
            <w:tcBorders>
              <w:bottom w:val="single" w:sz="8" w:color="DBDBDB"/>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48"/>
        </w:trPr>
        <w:tc>
          <w:tcPr>
            <w:tcW w:w="56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Income allocated to common stock for diluted EPS</w:t>
            </w:r>
          </w:p>
        </w:tc>
        <w:tc>
          <w:tcPr>
            <w:tcW w:w="460" w:type="dxa"/>
            <w:vAlign w:val="bottom"/>
            <w:tcBorders>
              <w:bottom w:val="single" w:sz="8" w:color="auto"/>
            </w:tcBorders>
            <w:shd w:val="clear" w:color="auto" w:fill="DBDBDB"/>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1,156</w:t>
            </w:r>
          </w:p>
        </w:tc>
        <w:tc>
          <w:tcPr>
            <w:tcW w:w="120" w:type="dxa"/>
            <w:vAlign w:val="bottom"/>
            <w:tcBorders>
              <w:bottom w:val="single" w:sz="8" w:color="DBDBDB"/>
            </w:tcBorders>
            <w:shd w:val="clear" w:color="auto" w:fill="DBDBDB"/>
          </w:tcPr>
          <w:p>
            <w:pPr>
              <w:spacing w:after="0"/>
              <w:rPr>
                <w:sz w:val="21"/>
                <w:szCs w:val="21"/>
                <w:color w:val="auto"/>
              </w:rPr>
            </w:pPr>
          </w:p>
        </w:tc>
        <w:tc>
          <w:tcPr>
            <w:tcW w:w="460" w:type="dxa"/>
            <w:vAlign w:val="bottom"/>
            <w:tcBorders>
              <w:bottom w:val="single" w:sz="8" w:color="auto"/>
            </w:tcBorders>
            <w:shd w:val="clear" w:color="auto" w:fill="DBDBDB"/>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1,198</w:t>
            </w:r>
          </w:p>
        </w:tc>
        <w:tc>
          <w:tcPr>
            <w:tcW w:w="100" w:type="dxa"/>
            <w:vAlign w:val="bottom"/>
            <w:tcBorders>
              <w:bottom w:val="single" w:sz="8" w:color="DBDBDB"/>
            </w:tcBorders>
            <w:shd w:val="clear" w:color="auto" w:fill="DBDBDB"/>
          </w:tcPr>
          <w:p>
            <w:pPr>
              <w:spacing w:after="0"/>
              <w:rPr>
                <w:sz w:val="21"/>
                <w:szCs w:val="21"/>
                <w:color w:val="auto"/>
              </w:rPr>
            </w:pPr>
          </w:p>
        </w:tc>
        <w:tc>
          <w:tcPr>
            <w:tcW w:w="460" w:type="dxa"/>
            <w:vAlign w:val="bottom"/>
            <w:tcBorders>
              <w:bottom w:val="single" w:sz="8" w:color="auto"/>
            </w:tcBorders>
            <w:shd w:val="clear" w:color="auto" w:fill="DBDBDB"/>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4,973</w:t>
            </w:r>
          </w:p>
        </w:tc>
        <w:tc>
          <w:tcPr>
            <w:tcW w:w="120" w:type="dxa"/>
            <w:vAlign w:val="bottom"/>
            <w:tcBorders>
              <w:bottom w:val="single" w:sz="8" w:color="DBDBDB"/>
            </w:tcBorders>
            <w:shd w:val="clear" w:color="auto" w:fill="DBDBDB"/>
          </w:tcPr>
          <w:p>
            <w:pPr>
              <w:spacing w:after="0"/>
              <w:rPr>
                <w:sz w:val="21"/>
                <w:szCs w:val="21"/>
                <w:color w:val="auto"/>
              </w:rPr>
            </w:pPr>
          </w:p>
        </w:tc>
        <w:tc>
          <w:tcPr>
            <w:tcW w:w="460" w:type="dxa"/>
            <w:vAlign w:val="bottom"/>
            <w:tcBorders>
              <w:bottom w:val="single" w:sz="8" w:color="auto"/>
            </w:tcBorders>
            <w:shd w:val="clear" w:color="auto" w:fill="DBDBDB"/>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4,775</w:t>
            </w:r>
          </w:p>
        </w:tc>
      </w:tr>
      <w:tr>
        <w:trPr>
          <w:trHeight w:val="20"/>
        </w:trPr>
        <w:tc>
          <w:tcPr>
            <w:tcW w:w="562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86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0"/>
          </w:cols>
          <w:pgMar w:left="320" w:top="89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47"/>
        </w:trPr>
        <w:tc>
          <w:tcPr>
            <w:tcW w:w="8460" w:type="dxa"/>
            <w:vAlign w:val="bottom"/>
            <w:gridSpan w:val="2"/>
          </w:tcPr>
          <w:p>
            <w:pPr>
              <w:ind w:left="3020"/>
              <w:spacing w:after="0"/>
              <w:rPr>
                <w:sz w:val="20"/>
                <w:szCs w:val="20"/>
                <w:color w:val="auto"/>
              </w:rPr>
            </w:pPr>
            <w:r>
              <w:rPr>
                <w:rFonts w:ascii="Arial" w:cs="Arial" w:eastAsia="Arial" w:hAnsi="Arial"/>
                <w:sz w:val="18"/>
                <w:szCs w:val="18"/>
                <w:b w:val="1"/>
                <w:bCs w:val="1"/>
                <w:color w:val="auto"/>
              </w:rPr>
              <w:t>TEXAS INSTRUMENTS INCORPORATED AND SUBSIDIARIES</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45"/>
        </w:trPr>
        <w:tc>
          <w:tcPr>
            <w:tcW w:w="8460" w:type="dxa"/>
            <w:vAlign w:val="bottom"/>
            <w:gridSpan w:val="2"/>
          </w:tcPr>
          <w:p>
            <w:pPr>
              <w:ind w:left="20"/>
              <w:spacing w:after="0"/>
              <w:rPr>
                <w:sz w:val="20"/>
                <w:szCs w:val="20"/>
                <w:color w:val="auto"/>
              </w:rPr>
            </w:pPr>
            <w:r>
              <w:rPr>
                <w:rFonts w:ascii="Arial" w:cs="Arial" w:eastAsia="Arial" w:hAnsi="Arial"/>
                <w:sz w:val="18"/>
                <w:szCs w:val="18"/>
                <w:b w:val="1"/>
                <w:bCs w:val="1"/>
                <w:color w:val="auto"/>
              </w:rPr>
              <w:t>Consolidated Balance Sheets</w:t>
            </w:r>
          </w:p>
        </w:tc>
        <w:tc>
          <w:tcPr>
            <w:tcW w:w="300" w:type="dxa"/>
            <w:vAlign w:val="bottom"/>
          </w:tcPr>
          <w:p>
            <w:pPr>
              <w:spacing w:after="0"/>
              <w:rPr>
                <w:sz w:val="21"/>
                <w:szCs w:val="21"/>
                <w:color w:val="auto"/>
              </w:rPr>
            </w:pPr>
          </w:p>
        </w:tc>
        <w:tc>
          <w:tcPr>
            <w:tcW w:w="248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8360" w:type="dxa"/>
            <w:vAlign w:val="bottom"/>
            <w:tcBorders>
              <w:top w:val="single" w:sz="8" w:color="auto"/>
              <w:bottom w:val="single" w:sz="8" w:color="DBDBDB"/>
            </w:tcBorders>
          </w:tcPr>
          <w:p>
            <w:pPr>
              <w:ind w:left="20"/>
              <w:spacing w:after="0"/>
              <w:rPr>
                <w:sz w:val="20"/>
                <w:szCs w:val="20"/>
                <w:color w:val="auto"/>
              </w:rPr>
            </w:pPr>
            <w:r>
              <w:rPr>
                <w:rFonts w:ascii="Arial" w:cs="Arial" w:eastAsia="Arial" w:hAnsi="Arial"/>
                <w:sz w:val="18"/>
                <w:szCs w:val="18"/>
                <w:b w:val="1"/>
                <w:bCs w:val="1"/>
                <w:color w:val="auto"/>
              </w:rPr>
              <w:t>(In millions, except par value)</w:t>
            </w:r>
          </w:p>
        </w:tc>
        <w:tc>
          <w:tcPr>
            <w:tcW w:w="100" w:type="dxa"/>
            <w:vAlign w:val="bottom"/>
            <w:tcBorders>
              <w:bottom w:val="single" w:sz="8" w:color="DBDBDB"/>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bottom w:val="single" w:sz="8" w:color="DBDBDB"/>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r>
      <w:tr>
        <w:trPr>
          <w:trHeight w:val="223"/>
        </w:trPr>
        <w:tc>
          <w:tcPr>
            <w:tcW w:w="846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r>
      <w:tr>
        <w:trPr>
          <w:trHeight w:val="229"/>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4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3,225</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3,200</w:t>
            </w:r>
          </w:p>
        </w:tc>
      </w:tr>
      <w:tr>
        <w:trPr>
          <w:trHeight w:val="229"/>
        </w:trPr>
        <w:tc>
          <w:tcPr>
            <w:tcW w:w="8460" w:type="dxa"/>
            <w:vAlign w:val="bottom"/>
            <w:gridSpan w:val="2"/>
          </w:tcPr>
          <w:p>
            <w:pPr>
              <w:ind w:left="220"/>
              <w:spacing w:after="0"/>
              <w:rPr>
                <w:sz w:val="20"/>
                <w:szCs w:val="20"/>
                <w:color w:val="auto"/>
              </w:rPr>
            </w:pPr>
            <w:r>
              <w:rPr>
                <w:rFonts w:ascii="Arial" w:cs="Arial" w:eastAsia="Arial" w:hAnsi="Arial"/>
                <w:sz w:val="18"/>
                <w:szCs w:val="18"/>
                <w:color w:val="auto"/>
              </w:rPr>
              <w:t>Short-term investments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1,656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4,380</w:t>
            </w:r>
          </w:p>
        </w:tc>
      </w:tr>
      <w:tr>
        <w:trPr>
          <w:trHeight w:val="229"/>
        </w:trPr>
        <w:tc>
          <w:tcPr>
            <w:tcW w:w="84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Accounts receivable, net of allowances of ($22) and ($21)</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1,963</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1,719</w:t>
            </w:r>
          </w:p>
        </w:tc>
      </w:tr>
      <w:tr>
        <w:trPr>
          <w:trHeight w:val="230"/>
        </w:trPr>
        <w:tc>
          <w:tcPr>
            <w:tcW w:w="8460" w:type="dxa"/>
            <w:vAlign w:val="bottom"/>
            <w:gridSpan w:val="2"/>
          </w:tcPr>
          <w:p>
            <w:pPr>
              <w:ind w:left="480"/>
              <w:spacing w:after="0"/>
              <w:rPr>
                <w:sz w:val="20"/>
                <w:szCs w:val="20"/>
                <w:color w:val="auto"/>
              </w:rPr>
            </w:pPr>
            <w:r>
              <w:rPr>
                <w:rFonts w:ascii="Arial" w:cs="Arial" w:eastAsia="Arial" w:hAnsi="Arial"/>
                <w:sz w:val="18"/>
                <w:szCs w:val="18"/>
                <w:color w:val="auto"/>
              </w:rPr>
              <w:t>Raw materials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395</w:t>
            </w:r>
          </w:p>
        </w:tc>
      </w:tr>
      <w:tr>
        <w:trPr>
          <w:trHeight w:val="229"/>
        </w:trPr>
        <w:tc>
          <w:tcPr>
            <w:tcW w:w="8460" w:type="dxa"/>
            <w:vAlign w:val="bottom"/>
            <w:gridSpan w:val="2"/>
            <w:shd w:val="clear" w:color="auto" w:fill="DBDBDB"/>
          </w:tcPr>
          <w:p>
            <w:pPr>
              <w:ind w:left="480"/>
              <w:spacing w:after="0"/>
              <w:rPr>
                <w:sz w:val="20"/>
                <w:szCs w:val="20"/>
                <w:color w:val="auto"/>
              </w:rPr>
            </w:pPr>
            <w:r>
              <w:rPr>
                <w:rFonts w:ascii="Arial" w:cs="Arial" w:eastAsia="Arial" w:hAnsi="Arial"/>
                <w:sz w:val="18"/>
                <w:szCs w:val="18"/>
                <w:color w:val="auto"/>
              </w:rPr>
              <w:t>Work in process</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2,372</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2,214</w:t>
            </w:r>
          </w:p>
        </w:tc>
      </w:tr>
      <w:tr>
        <w:trPr>
          <w:trHeight w:val="230"/>
        </w:trPr>
        <w:tc>
          <w:tcPr>
            <w:tcW w:w="8460" w:type="dxa"/>
            <w:vAlign w:val="bottom"/>
            <w:tcBorders>
              <w:bottom w:val="single" w:sz="8" w:color="DBDBDB"/>
            </w:tcBorders>
            <w:gridSpan w:val="2"/>
          </w:tcPr>
          <w:p>
            <w:pPr>
              <w:ind w:left="480"/>
              <w:spacing w:after="0"/>
              <w:rPr>
                <w:sz w:val="20"/>
                <w:szCs w:val="20"/>
                <w:color w:val="auto"/>
              </w:rPr>
            </w:pPr>
            <w:r>
              <w:rPr>
                <w:rFonts w:ascii="Arial" w:cs="Arial" w:eastAsia="Arial" w:hAnsi="Arial"/>
                <w:sz w:val="18"/>
                <w:szCs w:val="18"/>
                <w:color w:val="auto"/>
              </w:rPr>
              <w:t>Finished goods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1,967</w:t>
            </w:r>
          </w:p>
        </w:tc>
        <w:tc>
          <w:tcPr>
            <w:tcW w:w="1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1,918</w:t>
            </w:r>
          </w:p>
        </w:tc>
      </w:tr>
      <w:tr>
        <w:trPr>
          <w:trHeight w:val="223"/>
        </w:trPr>
        <w:tc>
          <w:tcPr>
            <w:tcW w:w="84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4,804</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4,527</w:t>
            </w:r>
          </w:p>
        </w:tc>
      </w:tr>
      <w:tr>
        <w:trPr>
          <w:trHeight w:val="230"/>
        </w:trPr>
        <w:tc>
          <w:tcPr>
            <w:tcW w:w="846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2,102</w:t>
            </w:r>
          </w:p>
        </w:tc>
        <w:tc>
          <w:tcPr>
            <w:tcW w:w="1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w:t>
            </w:r>
          </w:p>
        </w:tc>
      </w:tr>
      <w:tr>
        <w:trPr>
          <w:trHeight w:val="223"/>
        </w:trPr>
        <w:tc>
          <w:tcPr>
            <w:tcW w:w="84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Total current assets</w:t>
            </w:r>
          </w:p>
        </w:tc>
        <w:tc>
          <w:tcPr>
            <w:tcW w:w="30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13,750</w:t>
            </w:r>
          </w:p>
        </w:tc>
        <w:tc>
          <w:tcPr>
            <w:tcW w:w="10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15,026</w:t>
            </w:r>
          </w:p>
        </w:tc>
      </w:tr>
      <w:tr>
        <w:trPr>
          <w:trHeight w:val="223"/>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 at cost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17,682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15,254</w:t>
            </w:r>
          </w:p>
        </w:tc>
      </w:tr>
      <w:tr>
        <w:trPr>
          <w:trHeight w:val="229"/>
        </w:trPr>
        <w:tc>
          <w:tcPr>
            <w:tcW w:w="84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Accumulated depreciation</w:t>
            </w:r>
          </w:p>
        </w:tc>
        <w:tc>
          <w:tcPr>
            <w:tcW w:w="30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(5,362)</w:t>
            </w:r>
          </w:p>
        </w:tc>
        <w:tc>
          <w:tcPr>
            <w:tcW w:w="10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(3,907)</w:t>
            </w:r>
          </w:p>
        </w:tc>
      </w:tr>
      <w:tr>
        <w:trPr>
          <w:trHeight w:val="223"/>
        </w:trPr>
        <w:tc>
          <w:tcPr>
            <w:tcW w:w="8460" w:type="dxa"/>
            <w:vAlign w:val="bottom"/>
            <w:gridSpan w:val="2"/>
          </w:tcPr>
          <w:p>
            <w:pPr>
              <w:ind w:left="220"/>
              <w:spacing w:after="0"/>
              <w:rPr>
                <w:sz w:val="20"/>
                <w:szCs w:val="20"/>
                <w:color w:val="auto"/>
              </w:rPr>
            </w:pPr>
            <w:r>
              <w:rPr>
                <w:rFonts w:ascii="Arial" w:cs="Arial" w:eastAsia="Arial" w:hAnsi="Arial"/>
                <w:sz w:val="18"/>
                <w:szCs w:val="18"/>
                <w:color w:val="auto"/>
              </w:rPr>
              <w:t>Property, plant and equipment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12,320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11,347</w:t>
            </w:r>
          </w:p>
        </w:tc>
      </w:tr>
      <w:tr>
        <w:trPr>
          <w:trHeight w:val="229"/>
        </w:trPr>
        <w:tc>
          <w:tcPr>
            <w:tcW w:w="84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4,330</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4,362</w:t>
            </w:r>
          </w:p>
        </w:tc>
      </w:tr>
      <w:tr>
        <w:trPr>
          <w:trHeight w:val="229"/>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Deferred tax assets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967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936</w:t>
            </w:r>
          </w:p>
        </w:tc>
      </w:tr>
      <w:tr>
        <w:trPr>
          <w:trHeight w:val="230"/>
        </w:trPr>
        <w:tc>
          <w:tcPr>
            <w:tcW w:w="84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Capitalized software licenses</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238</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257</w:t>
            </w:r>
          </w:p>
        </w:tc>
      </w:tr>
      <w:tr>
        <w:trPr>
          <w:trHeight w:val="229"/>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Overfunded retirement plans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230"/>
        </w:trPr>
        <w:tc>
          <w:tcPr>
            <w:tcW w:w="84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long-term assets</w:t>
            </w:r>
          </w:p>
        </w:tc>
        <w:tc>
          <w:tcPr>
            <w:tcW w:w="30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2,656</w:t>
            </w:r>
          </w:p>
        </w:tc>
        <w:tc>
          <w:tcPr>
            <w:tcW w:w="10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3,348</w:t>
            </w:r>
          </w:p>
        </w:tc>
      </w:tr>
      <w:tr>
        <w:trPr>
          <w:trHeight w:val="223"/>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34,585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35,509</w:t>
            </w:r>
          </w:p>
        </w:tc>
      </w:tr>
      <w:tr>
        <w:trPr>
          <w:trHeight w:val="20"/>
        </w:trPr>
        <w:tc>
          <w:tcPr>
            <w:tcW w:w="836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83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r>
      <w:tr>
        <w:trPr>
          <w:trHeight w:val="230"/>
        </w:trPr>
        <w:tc>
          <w:tcPr>
            <w:tcW w:w="846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4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r>
      <w:tr>
        <w:trPr>
          <w:trHeight w:val="230"/>
        </w:trPr>
        <w:tc>
          <w:tcPr>
            <w:tcW w:w="8460" w:type="dxa"/>
            <w:vAlign w:val="bottom"/>
            <w:gridSpan w:val="2"/>
          </w:tcPr>
          <w:p>
            <w:pPr>
              <w:ind w:left="22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30"/>
        </w:trPr>
        <w:tc>
          <w:tcPr>
            <w:tcW w:w="84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756</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820</w:t>
            </w:r>
          </w:p>
        </w:tc>
      </w:tr>
      <w:tr>
        <w:trPr>
          <w:trHeight w:val="229"/>
        </w:trPr>
        <w:tc>
          <w:tcPr>
            <w:tcW w:w="8460" w:type="dxa"/>
            <w:vAlign w:val="bottom"/>
            <w:gridSpan w:val="2"/>
          </w:tcPr>
          <w:p>
            <w:pPr>
              <w:ind w:left="220"/>
              <w:spacing w:after="0"/>
              <w:rPr>
                <w:sz w:val="20"/>
                <w:szCs w:val="20"/>
                <w:color w:val="auto"/>
              </w:rPr>
            </w:pPr>
            <w:r>
              <w:rPr>
                <w:rFonts w:ascii="Arial" w:cs="Arial" w:eastAsia="Arial" w:hAnsi="Arial"/>
                <w:sz w:val="18"/>
                <w:szCs w:val="18"/>
                <w:color w:val="auto"/>
              </w:rPr>
              <w:t>Accrued compensation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829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839</w:t>
            </w:r>
          </w:p>
        </w:tc>
      </w:tr>
      <w:tr>
        <w:trPr>
          <w:trHeight w:val="230"/>
        </w:trPr>
        <w:tc>
          <w:tcPr>
            <w:tcW w:w="84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Income taxes payable</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67</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159</w:t>
            </w:r>
          </w:p>
        </w:tc>
      </w:tr>
      <w:tr>
        <w:trPr>
          <w:trHeight w:val="230"/>
        </w:trPr>
        <w:tc>
          <w:tcPr>
            <w:tcW w:w="846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Accrued expenses and other liabilities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1,007</w:t>
            </w:r>
          </w:p>
        </w:tc>
        <w:tc>
          <w:tcPr>
            <w:tcW w:w="1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w:t>
            </w:r>
          </w:p>
        </w:tc>
      </w:tr>
      <w:tr>
        <w:trPr>
          <w:trHeight w:val="223"/>
        </w:trPr>
        <w:tc>
          <w:tcPr>
            <w:tcW w:w="84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3,159</w:t>
            </w:r>
          </w:p>
        </w:tc>
        <w:tc>
          <w:tcPr>
            <w:tcW w:w="10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3,643</w:t>
            </w:r>
          </w:p>
        </w:tc>
      </w:tr>
      <w:tr>
        <w:trPr>
          <w:trHeight w:val="223"/>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13,548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12,846</w:t>
            </w:r>
          </w:p>
        </w:tc>
      </w:tr>
      <w:tr>
        <w:trPr>
          <w:trHeight w:val="230"/>
        </w:trPr>
        <w:tc>
          <w:tcPr>
            <w:tcW w:w="84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Underfunded retirement plans</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124</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110</w:t>
            </w:r>
          </w:p>
        </w:tc>
      </w:tr>
      <w:tr>
        <w:trPr>
          <w:trHeight w:val="230"/>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Deferred tax liabilities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29"/>
        </w:trPr>
        <w:tc>
          <w:tcPr>
            <w:tcW w:w="84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long-term liabilities</w:t>
            </w:r>
          </w:p>
        </w:tc>
        <w:tc>
          <w:tcPr>
            <w:tcW w:w="30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1,415</w:t>
            </w:r>
          </w:p>
        </w:tc>
        <w:tc>
          <w:tcPr>
            <w:tcW w:w="10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1,954</w:t>
            </w:r>
          </w:p>
        </w:tc>
      </w:tr>
      <w:tr>
        <w:trPr>
          <w:trHeight w:val="223"/>
        </w:trPr>
        <w:tc>
          <w:tcPr>
            <w:tcW w:w="846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18,312</w:t>
            </w:r>
          </w:p>
        </w:tc>
        <w:tc>
          <w:tcPr>
            <w:tcW w:w="1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18,606</w:t>
            </w:r>
          </w:p>
        </w:tc>
      </w:tr>
      <w:tr>
        <w:trPr>
          <w:trHeight w:val="209"/>
        </w:trPr>
        <w:tc>
          <w:tcPr>
            <w:tcW w:w="84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Stockholders' equity:</w:t>
            </w: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r>
      <w:tr>
        <w:trPr>
          <w:trHeight w:val="230"/>
        </w:trPr>
        <w:tc>
          <w:tcPr>
            <w:tcW w:w="8460" w:type="dxa"/>
            <w:vAlign w:val="bottom"/>
            <w:gridSpan w:val="2"/>
          </w:tcPr>
          <w:p>
            <w:pPr>
              <w:ind w:left="220"/>
              <w:spacing w:after="0"/>
              <w:rPr>
                <w:sz w:val="20"/>
                <w:szCs w:val="20"/>
                <w:color w:val="auto"/>
              </w:rPr>
            </w:pPr>
            <w:r>
              <w:rPr>
                <w:rFonts w:ascii="Arial" w:cs="Arial" w:eastAsia="Arial" w:hAnsi="Arial"/>
                <w:sz w:val="18"/>
                <w:szCs w:val="18"/>
                <w:color w:val="auto"/>
              </w:rPr>
              <w:t>Preferred stock, $25 par value. Shares authorized – 10; none issued</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Common stock, $1 par value. Shares authorized – 2,400; shares issued – 1,741</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1,741</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1,741</w:t>
            </w:r>
          </w:p>
        </w:tc>
      </w:tr>
      <w:tr>
        <w:trPr>
          <w:trHeight w:val="230"/>
        </w:trPr>
        <w:tc>
          <w:tcPr>
            <w:tcW w:w="8460" w:type="dxa"/>
            <w:vAlign w:val="bottom"/>
            <w:gridSpan w:val="2"/>
          </w:tcPr>
          <w:p>
            <w:pPr>
              <w:ind w:left="220"/>
              <w:spacing w:after="0"/>
              <w:rPr>
                <w:sz w:val="20"/>
                <w:szCs w:val="20"/>
                <w:color w:val="auto"/>
              </w:rPr>
            </w:pPr>
            <w:r>
              <w:rPr>
                <w:rFonts w:ascii="Arial" w:cs="Arial" w:eastAsia="Arial" w:hAnsi="Arial"/>
                <w:sz w:val="18"/>
                <w:szCs w:val="18"/>
                <w:color w:val="auto"/>
              </w:rPr>
              <w:t>Paid-in capital</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4,511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3,935</w:t>
            </w:r>
          </w:p>
        </w:tc>
      </w:tr>
      <w:tr>
        <w:trPr>
          <w:trHeight w:val="229"/>
        </w:trPr>
        <w:tc>
          <w:tcPr>
            <w:tcW w:w="846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Retained earnings</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52,236</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52,262</w:t>
            </w:r>
          </w:p>
        </w:tc>
      </w:tr>
      <w:tr>
        <w:trPr>
          <w:trHeight w:val="230"/>
        </w:trPr>
        <w:tc>
          <w:tcPr>
            <w:tcW w:w="8460" w:type="dxa"/>
            <w:vAlign w:val="bottom"/>
            <w:gridSpan w:val="2"/>
          </w:tcPr>
          <w:p>
            <w:pPr>
              <w:ind w:left="220"/>
              <w:spacing w:after="0"/>
              <w:rPr>
                <w:sz w:val="20"/>
                <w:szCs w:val="20"/>
                <w:color w:val="auto"/>
              </w:rPr>
            </w:pPr>
            <w:r>
              <w:rPr>
                <w:rFonts w:ascii="Arial" w:cs="Arial" w:eastAsia="Arial" w:hAnsi="Arial"/>
                <w:sz w:val="18"/>
                <w:szCs w:val="18"/>
                <w:color w:val="auto"/>
              </w:rPr>
              <w:t>Treasury common stock at cost</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460" w:type="dxa"/>
            <w:vAlign w:val="bottom"/>
            <w:gridSpan w:val="2"/>
            <w:shd w:val="clear" w:color="auto" w:fill="DBDBDB"/>
          </w:tcPr>
          <w:p>
            <w:pPr>
              <w:ind w:left="460"/>
              <w:spacing w:after="0"/>
              <w:rPr>
                <w:sz w:val="20"/>
                <w:szCs w:val="20"/>
                <w:color w:val="auto"/>
              </w:rPr>
            </w:pPr>
            <w:r>
              <w:rPr>
                <w:rFonts w:ascii="Arial" w:cs="Arial" w:eastAsia="Arial" w:hAnsi="Arial"/>
                <w:sz w:val="18"/>
                <w:szCs w:val="18"/>
                <w:color w:val="auto"/>
              </w:rPr>
              <w:t>Shares: 2025 – 834; 2024 – 830</w:t>
            </w: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(42,130)</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(40,895)</w:t>
            </w:r>
          </w:p>
        </w:tc>
      </w:tr>
      <w:tr>
        <w:trPr>
          <w:trHeight w:val="230"/>
        </w:trPr>
        <w:tc>
          <w:tcPr>
            <w:tcW w:w="846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Accumulated other comprehensive income (loss), net of taxes (AOCI)</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w:t>
            </w:r>
          </w:p>
        </w:tc>
        <w:tc>
          <w:tcPr>
            <w:tcW w:w="1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r>
      <w:tr>
        <w:trPr>
          <w:trHeight w:val="223"/>
        </w:trPr>
        <w:tc>
          <w:tcPr>
            <w:tcW w:w="84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16,273</w:t>
            </w:r>
          </w:p>
        </w:tc>
        <w:tc>
          <w:tcPr>
            <w:tcW w:w="10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16,903</w:t>
            </w:r>
          </w:p>
        </w:tc>
      </w:tr>
      <w:tr>
        <w:trPr>
          <w:trHeight w:val="223"/>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34,585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35,509</w:t>
            </w:r>
          </w:p>
        </w:tc>
      </w:tr>
      <w:tr>
        <w:trPr>
          <w:trHeight w:val="20"/>
        </w:trPr>
        <w:tc>
          <w:tcPr>
            <w:tcW w:w="8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89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47"/>
        </w:trPr>
        <w:tc>
          <w:tcPr>
            <w:tcW w:w="8480" w:type="dxa"/>
            <w:vAlign w:val="bottom"/>
            <w:gridSpan w:val="8"/>
          </w:tcPr>
          <w:p>
            <w:pPr>
              <w:ind w:left="3020"/>
              <w:spacing w:after="0"/>
              <w:rPr>
                <w:sz w:val="20"/>
                <w:szCs w:val="20"/>
                <w:color w:val="auto"/>
              </w:rPr>
            </w:pPr>
            <w:r>
              <w:rPr>
                <w:rFonts w:ascii="Arial" w:cs="Arial" w:eastAsia="Arial" w:hAnsi="Arial"/>
                <w:sz w:val="18"/>
                <w:szCs w:val="18"/>
                <w:b w:val="1"/>
                <w:bCs w:val="1"/>
                <w:color w:val="auto"/>
              </w:rPr>
              <w:t>TEXAS INSTRUMENTS INCORPORATED AND SUBSIDIARIES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56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Consolidated Statements of Cash Flows</w:t>
            </w:r>
          </w:p>
        </w:tc>
        <w:tc>
          <w:tcPr>
            <w:tcW w:w="220" w:type="dxa"/>
            <w:vAlign w:val="bottom"/>
          </w:tcPr>
          <w:p>
            <w:pPr>
              <w:spacing w:after="0"/>
              <w:rPr>
                <w:sz w:val="16"/>
                <w:szCs w:val="16"/>
                <w:color w:val="auto"/>
              </w:rPr>
            </w:pPr>
          </w:p>
        </w:tc>
        <w:tc>
          <w:tcPr>
            <w:tcW w:w="2640" w:type="dxa"/>
            <w:vAlign w:val="bottom"/>
            <w:gridSpan w:val="5"/>
          </w:tcPr>
          <w:p>
            <w:pPr>
              <w:jc w:val="center"/>
              <w:ind w:right="320"/>
              <w:spacing w:after="0" w:line="190" w:lineRule="exact"/>
              <w:rPr>
                <w:sz w:val="20"/>
                <w:szCs w:val="20"/>
                <w:color w:val="auto"/>
              </w:rPr>
            </w:pPr>
            <w:r>
              <w:rPr>
                <w:rFonts w:ascii="Arial" w:cs="Arial" w:eastAsia="Arial" w:hAnsi="Arial"/>
                <w:sz w:val="18"/>
                <w:szCs w:val="18"/>
                <w:b w:val="1"/>
                <w:bCs w:val="1"/>
                <w:color w:val="auto"/>
                <w:w w:val="99"/>
              </w:rPr>
              <w:t>For Three Months Ended</w:t>
            </w:r>
          </w:p>
        </w:tc>
        <w:tc>
          <w:tcPr>
            <w:tcW w:w="300" w:type="dxa"/>
            <w:vAlign w:val="bottom"/>
          </w:tcPr>
          <w:p>
            <w:pPr>
              <w:spacing w:after="0"/>
              <w:rPr>
                <w:sz w:val="16"/>
                <w:szCs w:val="16"/>
                <w:color w:val="auto"/>
              </w:rPr>
            </w:pPr>
          </w:p>
        </w:tc>
        <w:tc>
          <w:tcPr>
            <w:tcW w:w="2460" w:type="dxa"/>
            <w:vAlign w:val="bottom"/>
            <w:gridSpan w:val="4"/>
          </w:tcPr>
          <w:p>
            <w:pPr>
              <w:jc w:val="right"/>
              <w:ind w:right="570"/>
              <w:spacing w:after="0" w:line="190" w:lineRule="exact"/>
              <w:rPr>
                <w:sz w:val="20"/>
                <w:szCs w:val="20"/>
                <w:color w:val="auto"/>
              </w:rPr>
            </w:pPr>
            <w:r>
              <w:rPr>
                <w:rFonts w:ascii="Arial" w:cs="Arial" w:eastAsia="Arial" w:hAnsi="Arial"/>
                <w:sz w:val="18"/>
                <w:szCs w:val="18"/>
                <w:b w:val="1"/>
                <w:bCs w:val="1"/>
                <w:color w:val="auto"/>
              </w:rPr>
              <w:t>For Years Ended</w:t>
            </w:r>
          </w:p>
        </w:tc>
        <w:tc>
          <w:tcPr>
            <w:tcW w:w="0" w:type="dxa"/>
            <w:vAlign w:val="bottom"/>
          </w:tcPr>
          <w:p>
            <w:pPr>
              <w:spacing w:after="0"/>
              <w:rPr>
                <w:sz w:val="1"/>
                <w:szCs w:val="1"/>
                <w:color w:val="auto"/>
              </w:rPr>
            </w:pPr>
          </w:p>
        </w:tc>
      </w:tr>
      <w:tr>
        <w:trPr>
          <w:trHeight w:val="243"/>
        </w:trPr>
        <w:tc>
          <w:tcPr>
            <w:tcW w:w="562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264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9"/>
              </w:rPr>
              <w:t>December 31,</w:t>
            </w:r>
          </w:p>
        </w:tc>
        <w:tc>
          <w:tcPr>
            <w:tcW w:w="300" w:type="dxa"/>
            <w:vAlign w:val="bottom"/>
          </w:tcPr>
          <w:p>
            <w:pPr>
              <w:spacing w:after="0"/>
              <w:rPr>
                <w:sz w:val="21"/>
                <w:szCs w:val="21"/>
                <w:color w:val="auto"/>
              </w:rPr>
            </w:pPr>
          </w:p>
        </w:tc>
        <w:tc>
          <w:tcPr>
            <w:tcW w:w="246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5520" w:type="dxa"/>
            <w:vAlign w:val="bottom"/>
            <w:tcBorders>
              <w:top w:val="single" w:sz="8" w:color="auto"/>
              <w:bottom w:val="single" w:sz="8" w:color="DBDBDB"/>
            </w:tcBorders>
          </w:tcPr>
          <w:p>
            <w:pPr>
              <w:ind w:left="20"/>
              <w:spacing w:after="0"/>
              <w:rPr>
                <w:sz w:val="20"/>
                <w:szCs w:val="20"/>
                <w:color w:val="auto"/>
              </w:rPr>
            </w:pPr>
            <w:r>
              <w:rPr>
                <w:rFonts w:ascii="Arial" w:cs="Arial" w:eastAsia="Arial" w:hAnsi="Arial"/>
                <w:sz w:val="18"/>
                <w:szCs w:val="18"/>
                <w:b w:val="1"/>
                <w:bCs w:val="1"/>
                <w:color w:val="auto"/>
              </w:rPr>
              <w:t>(In millions)</w:t>
            </w:r>
          </w:p>
        </w:tc>
        <w:tc>
          <w:tcPr>
            <w:tcW w:w="100" w:type="dxa"/>
            <w:vAlign w:val="bottom"/>
            <w:tcBorders>
              <w:bottom w:val="single" w:sz="8" w:color="DBDBDB"/>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top w:val="single" w:sz="8" w:color="auto"/>
              <w:bottom w:val="single" w:sz="8" w:color="DBDBDB"/>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DBDBDB"/>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top w:val="single" w:sz="8" w:color="auto"/>
              <w:bottom w:val="single" w:sz="8" w:color="DBDBDB"/>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10"/>
        </w:trPr>
        <w:tc>
          <w:tcPr>
            <w:tcW w:w="562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20" w:type="dxa"/>
            <w:vAlign w:val="bottom"/>
            <w:gridSpan w:val="2"/>
          </w:tcPr>
          <w:p>
            <w:pPr>
              <w:ind w:left="22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1,163</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1,205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5,001</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4,799</w:t>
            </w:r>
          </w:p>
        </w:tc>
        <w:tc>
          <w:tcPr>
            <w:tcW w:w="0" w:type="dxa"/>
            <w:vAlign w:val="bottom"/>
          </w:tcPr>
          <w:p>
            <w:pPr>
              <w:spacing w:after="0"/>
              <w:rPr>
                <w:sz w:val="1"/>
                <w:szCs w:val="1"/>
                <w:color w:val="auto"/>
              </w:rPr>
            </w:pPr>
          </w:p>
        </w:tc>
      </w:tr>
      <w:tr>
        <w:trPr>
          <w:trHeight w:val="229"/>
        </w:trPr>
        <w:tc>
          <w:tcPr>
            <w:tcW w:w="56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Adjustments to net income:</w:t>
            </w: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ind w:left="48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537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1,918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1,508</w:t>
            </w:r>
          </w:p>
        </w:tc>
        <w:tc>
          <w:tcPr>
            <w:tcW w:w="0" w:type="dxa"/>
            <w:vAlign w:val="bottom"/>
          </w:tcPr>
          <w:p>
            <w:pPr>
              <w:spacing w:after="0"/>
              <w:rPr>
                <w:sz w:val="1"/>
                <w:szCs w:val="1"/>
                <w:color w:val="auto"/>
              </w:rPr>
            </w:pPr>
          </w:p>
        </w:tc>
      </w:tr>
      <w:tr>
        <w:trPr>
          <w:trHeight w:val="229"/>
        </w:trPr>
        <w:tc>
          <w:tcPr>
            <w:tcW w:w="5620" w:type="dxa"/>
            <w:vAlign w:val="bottom"/>
            <w:gridSpan w:val="2"/>
            <w:shd w:val="clear" w:color="auto" w:fill="DBDBDB"/>
          </w:tcPr>
          <w:p>
            <w:pPr>
              <w:ind w:left="480"/>
              <w:spacing w:after="0"/>
              <w:rPr>
                <w:sz w:val="20"/>
                <w:szCs w:val="20"/>
                <w:color w:val="auto"/>
              </w:rPr>
            </w:pPr>
            <w:r>
              <w:rPr>
                <w:rFonts w:ascii="Arial" w:cs="Arial" w:eastAsia="Arial" w:hAnsi="Arial"/>
                <w:sz w:val="18"/>
                <w:szCs w:val="18"/>
                <w:color w:val="auto"/>
              </w:rPr>
              <w:t>Amortization of capitalized software</w:t>
            </w: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20</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81</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9"/>
        </w:trPr>
        <w:tc>
          <w:tcPr>
            <w:tcW w:w="5620" w:type="dxa"/>
            <w:vAlign w:val="bottom"/>
            <w:gridSpan w:val="2"/>
          </w:tcPr>
          <w:p>
            <w:pPr>
              <w:ind w:left="480"/>
              <w:spacing w:after="0"/>
              <w:rPr>
                <w:sz w:val="20"/>
                <w:szCs w:val="20"/>
                <w:color w:val="auto"/>
              </w:rPr>
            </w:pPr>
            <w:r>
              <w:rPr>
                <w:rFonts w:ascii="Arial" w:cs="Arial" w:eastAsia="Arial" w:hAnsi="Arial"/>
                <w:sz w:val="18"/>
                <w:szCs w:val="18"/>
                <w:color w:val="auto"/>
              </w:rPr>
              <w:t>Stock compensation</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DBDBDB"/>
          </w:tcPr>
          <w:p>
            <w:pPr>
              <w:ind w:left="480"/>
              <w:spacing w:after="0"/>
              <w:rPr>
                <w:sz w:val="20"/>
                <w:szCs w:val="20"/>
                <w:color w:val="auto"/>
              </w:rPr>
            </w:pPr>
            <w:r>
              <w:rPr>
                <w:rFonts w:ascii="Arial" w:cs="Arial" w:eastAsia="Arial" w:hAnsi="Arial"/>
                <w:sz w:val="18"/>
                <w:szCs w:val="18"/>
                <w:color w:val="auto"/>
              </w:rPr>
              <w:t>(Gains) losses on sales of assets</w:t>
            </w: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9"/>
        </w:trPr>
        <w:tc>
          <w:tcPr>
            <w:tcW w:w="5620" w:type="dxa"/>
            <w:vAlign w:val="bottom"/>
            <w:gridSpan w:val="2"/>
          </w:tcPr>
          <w:p>
            <w:pPr>
              <w:ind w:left="480"/>
              <w:spacing w:after="0"/>
              <w:rPr>
                <w:sz w:val="20"/>
                <w:szCs w:val="20"/>
                <w:color w:val="auto"/>
              </w:rPr>
            </w:pPr>
            <w:r>
              <w:rPr>
                <w:rFonts w:ascii="Arial" w:cs="Arial" w:eastAsia="Arial" w:hAnsi="Arial"/>
                <w:sz w:val="18"/>
                <w:szCs w:val="18"/>
                <w:color w:val="auto"/>
              </w:rPr>
              <w:t>Deferred taxes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115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Increase (decrease) from changes in:</w:t>
            </w: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gridSpan w:val="2"/>
          </w:tcPr>
          <w:p>
            <w:pPr>
              <w:ind w:left="48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(244)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9"/>
        </w:trPr>
        <w:tc>
          <w:tcPr>
            <w:tcW w:w="5620" w:type="dxa"/>
            <w:vAlign w:val="bottom"/>
            <w:gridSpan w:val="2"/>
            <w:shd w:val="clear" w:color="auto" w:fill="DBDBDB"/>
          </w:tcPr>
          <w:p>
            <w:pPr>
              <w:ind w:left="48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25</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(277)</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30"/>
        </w:trPr>
        <w:tc>
          <w:tcPr>
            <w:tcW w:w="5620" w:type="dxa"/>
            <w:vAlign w:val="bottom"/>
            <w:gridSpan w:val="2"/>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5620" w:type="dxa"/>
            <w:vAlign w:val="bottom"/>
            <w:gridSpan w:val="2"/>
            <w:shd w:val="clear" w:color="auto" w:fill="DBDBDB"/>
          </w:tcPr>
          <w:p>
            <w:pPr>
              <w:ind w:left="48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20</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77</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9"/>
        </w:trPr>
        <w:tc>
          <w:tcPr>
            <w:tcW w:w="5620" w:type="dxa"/>
            <w:vAlign w:val="bottom"/>
            <w:gridSpan w:val="2"/>
          </w:tcPr>
          <w:p>
            <w:pPr>
              <w:ind w:left="480"/>
              <w:spacing w:after="0"/>
              <w:rPr>
                <w:sz w:val="20"/>
                <w:szCs w:val="20"/>
                <w:color w:val="auto"/>
              </w:rPr>
            </w:pPr>
            <w:r>
              <w:rPr>
                <w:rFonts w:ascii="Arial" w:cs="Arial" w:eastAsia="Arial" w:hAnsi="Arial"/>
                <w:sz w:val="18"/>
                <w:szCs w:val="18"/>
                <w:color w:val="auto"/>
              </w:rPr>
              <w:t>Accrued compensation</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106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DBDBDB"/>
          </w:tcPr>
          <w:p>
            <w:pPr>
              <w:ind w:left="480"/>
              <w:spacing w:after="0"/>
              <w:rPr>
                <w:sz w:val="20"/>
                <w:szCs w:val="20"/>
                <w:color w:val="auto"/>
              </w:rPr>
            </w:pPr>
            <w:r>
              <w:rPr>
                <w:rFonts w:ascii="Arial" w:cs="Arial" w:eastAsia="Arial" w:hAnsi="Arial"/>
                <w:sz w:val="18"/>
                <w:szCs w:val="18"/>
                <w:color w:val="auto"/>
              </w:rPr>
              <w:t>Income taxes payable</w:t>
            </w: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23</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191</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29"/>
        </w:trPr>
        <w:tc>
          <w:tcPr>
            <w:tcW w:w="5620" w:type="dxa"/>
            <w:vAlign w:val="bottom"/>
            <w:gridSpan w:val="2"/>
          </w:tcPr>
          <w:p>
            <w:pPr>
              <w:ind w:left="220"/>
              <w:spacing w:after="0"/>
              <w:rPr>
                <w:sz w:val="20"/>
                <w:szCs w:val="20"/>
                <w:color w:val="auto"/>
              </w:rPr>
            </w:pPr>
            <w:r>
              <w:rPr>
                <w:rFonts w:ascii="Arial" w:cs="Arial" w:eastAsia="Arial" w:hAnsi="Arial"/>
                <w:sz w:val="18"/>
                <w:szCs w:val="18"/>
                <w:color w:val="auto"/>
              </w:rPr>
              <w:t>Changes in funded status of retirement plans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48</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29</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2,254</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1,998</w:t>
            </w:r>
          </w:p>
        </w:tc>
        <w:tc>
          <w:tcPr>
            <w:tcW w:w="1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7,153</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6,318</w:t>
            </w:r>
          </w:p>
        </w:tc>
        <w:tc>
          <w:tcPr>
            <w:tcW w:w="0" w:type="dxa"/>
            <w:vAlign w:val="bottom"/>
          </w:tcPr>
          <w:p>
            <w:pPr>
              <w:spacing w:after="0"/>
              <w:rPr>
                <w:sz w:val="1"/>
                <w:szCs w:val="1"/>
                <w:color w:val="auto"/>
              </w:rPr>
            </w:pPr>
          </w:p>
        </w:tc>
      </w:tr>
      <w:tr>
        <w:trPr>
          <w:trHeight w:val="237"/>
        </w:trPr>
        <w:tc>
          <w:tcPr>
            <w:tcW w:w="552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10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00" w:type="dxa"/>
            <w:vAlign w:val="bottom"/>
            <w:shd w:val="clear" w:color="auto" w:fill="DBDBDB"/>
          </w:tcPr>
          <w:p>
            <w:pPr>
              <w:spacing w:after="0"/>
              <w:rPr>
                <w:sz w:val="20"/>
                <w:szCs w:val="20"/>
                <w:color w:val="auto"/>
              </w:rPr>
            </w:pPr>
          </w:p>
        </w:tc>
        <w:tc>
          <w:tcPr>
            <w:tcW w:w="102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104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62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Capital expenditures</w:t>
            </w: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(925)</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(1,192)</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(4,550)</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(4,820)</w:t>
            </w:r>
          </w:p>
        </w:tc>
        <w:tc>
          <w:tcPr>
            <w:tcW w:w="0" w:type="dxa"/>
            <w:vAlign w:val="bottom"/>
          </w:tcPr>
          <w:p>
            <w:pPr>
              <w:spacing w:after="0"/>
              <w:rPr>
                <w:sz w:val="1"/>
                <w:szCs w:val="1"/>
                <w:color w:val="auto"/>
              </w:rPr>
            </w:pPr>
          </w:p>
        </w:tc>
      </w:tr>
      <w:tr>
        <w:trPr>
          <w:trHeight w:val="230"/>
        </w:trPr>
        <w:tc>
          <w:tcPr>
            <w:tcW w:w="5620" w:type="dxa"/>
            <w:vAlign w:val="bottom"/>
            <w:gridSpan w:val="2"/>
          </w:tcPr>
          <w:p>
            <w:pPr>
              <w:ind w:left="220"/>
              <w:spacing w:after="0"/>
              <w:rPr>
                <w:sz w:val="20"/>
                <w:szCs w:val="20"/>
                <w:color w:val="auto"/>
              </w:rPr>
            </w:pPr>
            <w:r>
              <w:rPr>
                <w:rFonts w:ascii="Arial" w:cs="Arial" w:eastAsia="Arial" w:hAnsi="Arial"/>
                <w:sz w:val="18"/>
                <w:szCs w:val="18"/>
                <w:color w:val="auto"/>
              </w:rPr>
              <w:t>Proceeds from CHIPS Act incentives</w:t>
            </w: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335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Proceeds from asset sales</w:t>
            </w:r>
          </w:p>
        </w:tc>
        <w:tc>
          <w:tcPr>
            <w:tcW w:w="220" w:type="dxa"/>
            <w:vAlign w:val="bottom"/>
            <w:shd w:val="clear" w:color="auto" w:fill="DBDBDB"/>
          </w:tcPr>
          <w:p>
            <w:pPr>
              <w:spacing w:after="0"/>
              <w:rPr>
                <w:sz w:val="19"/>
                <w:szCs w:val="19"/>
                <w:color w:val="auto"/>
              </w:rPr>
            </w:pPr>
          </w:p>
        </w:tc>
        <w:tc>
          <w:tcPr>
            <w:tcW w:w="12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30"/>
        </w:trPr>
        <w:tc>
          <w:tcPr>
            <w:tcW w:w="5620" w:type="dxa"/>
            <w:vAlign w:val="bottom"/>
            <w:gridSpan w:val="2"/>
          </w:tcPr>
          <w:p>
            <w:pPr>
              <w:ind w:left="220"/>
              <w:spacing w:after="0"/>
              <w:rPr>
                <w:sz w:val="20"/>
                <w:szCs w:val="20"/>
                <w:color w:val="auto"/>
              </w:rPr>
            </w:pPr>
            <w:r>
              <w:rPr>
                <w:rFonts w:ascii="Arial" w:cs="Arial" w:eastAsia="Arial" w:hAnsi="Arial"/>
                <w:sz w:val="18"/>
                <w:szCs w:val="18"/>
                <w:color w:val="auto"/>
              </w:rPr>
              <w:t>Purchases of short-term investments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(880)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(3,524)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(9,716)</w:t>
            </w:r>
          </w:p>
        </w:tc>
        <w:tc>
          <w:tcPr>
            <w:tcW w:w="0" w:type="dxa"/>
            <w:vAlign w:val="bottom"/>
          </w:tcPr>
          <w:p>
            <w:pPr>
              <w:spacing w:after="0"/>
              <w:rPr>
                <w:sz w:val="1"/>
                <w:szCs w:val="1"/>
                <w:color w:val="auto"/>
              </w:rPr>
            </w:pPr>
          </w:p>
        </w:tc>
      </w:tr>
      <w:tr>
        <w:trPr>
          <w:trHeight w:val="229"/>
        </w:trPr>
        <w:tc>
          <w:tcPr>
            <w:tcW w:w="56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Proceeds from short-term investments</w:t>
            </w: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1,110</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2,726</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6,308</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11,187</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56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Cash flows from investing activities</w:t>
            </w:r>
          </w:p>
        </w:tc>
        <w:tc>
          <w:tcPr>
            <w:tcW w:w="22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(676)</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614</w:t>
            </w:r>
          </w:p>
        </w:tc>
        <w:tc>
          <w:tcPr>
            <w:tcW w:w="10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(1,439)</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(3,202)</w:t>
            </w:r>
          </w:p>
        </w:tc>
        <w:tc>
          <w:tcPr>
            <w:tcW w:w="0" w:type="dxa"/>
            <w:vAlign w:val="bottom"/>
          </w:tcPr>
          <w:p>
            <w:pPr>
              <w:spacing w:after="0"/>
              <w:rPr>
                <w:sz w:val="1"/>
                <w:szCs w:val="1"/>
                <w:color w:val="auto"/>
              </w:rPr>
            </w:pPr>
          </w:p>
        </w:tc>
      </w:tr>
      <w:tr>
        <w:trPr>
          <w:trHeight w:val="237"/>
        </w:trPr>
        <w:tc>
          <w:tcPr>
            <w:tcW w:w="5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gridSpan w:val="2"/>
          </w:tcPr>
          <w:p>
            <w:pPr>
              <w:ind w:left="220"/>
              <w:spacing w:after="0"/>
              <w:rPr>
                <w:sz w:val="20"/>
                <w:szCs w:val="20"/>
                <w:color w:val="auto"/>
              </w:rPr>
            </w:pPr>
            <w:r>
              <w:rPr>
                <w:rFonts w:ascii="Arial" w:cs="Arial" w:eastAsia="Arial" w:hAnsi="Arial"/>
                <w:sz w:val="18"/>
                <w:szCs w:val="18"/>
                <w:color w:val="auto"/>
              </w:rPr>
              <w:t>Proceeds from issuance of long-term debt</w:t>
            </w: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1,199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2,980</w:t>
            </w: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Repayment of debt</w:t>
            </w:r>
          </w:p>
        </w:tc>
        <w:tc>
          <w:tcPr>
            <w:tcW w:w="220" w:type="dxa"/>
            <w:vAlign w:val="bottom"/>
            <w:shd w:val="clear" w:color="auto" w:fill="DBDBDB"/>
          </w:tcPr>
          <w:p>
            <w:pPr>
              <w:spacing w:after="0"/>
              <w:rPr>
                <w:sz w:val="19"/>
                <w:szCs w:val="19"/>
                <w:color w:val="auto"/>
              </w:rPr>
            </w:pPr>
          </w:p>
        </w:tc>
        <w:tc>
          <w:tcPr>
            <w:tcW w:w="1220" w:type="dxa"/>
            <w:vAlign w:val="bottom"/>
            <w:gridSpan w:val="2"/>
            <w:shd w:val="clear" w:color="auto" w:fill="DBDBDB"/>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(750)</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30"/>
        </w:trPr>
        <w:tc>
          <w:tcPr>
            <w:tcW w:w="5620" w:type="dxa"/>
            <w:vAlign w:val="bottom"/>
            <w:gridSpan w:val="2"/>
          </w:tcPr>
          <w:p>
            <w:pPr>
              <w:ind w:left="220"/>
              <w:spacing w:after="0"/>
              <w:rPr>
                <w:sz w:val="20"/>
                <w:szCs w:val="20"/>
                <w:color w:val="auto"/>
              </w:rPr>
            </w:pPr>
            <w:r>
              <w:rPr>
                <w:rFonts w:ascii="Arial" w:cs="Arial" w:eastAsia="Arial" w:hAnsi="Arial"/>
                <w:sz w:val="18"/>
                <w:szCs w:val="18"/>
                <w:color w:val="auto"/>
              </w:rPr>
              <w:t>Dividends paid</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(1,290)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(4,999)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(4,795)</w:t>
            </w: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Stock repurchases</w:t>
            </w: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(403)</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(537)</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(1,477)</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29"/>
        </w:trPr>
        <w:tc>
          <w:tcPr>
            <w:tcW w:w="5620" w:type="dxa"/>
            <w:vAlign w:val="bottom"/>
            <w:gridSpan w:val="2"/>
          </w:tcPr>
          <w:p>
            <w:pPr>
              <w:ind w:left="220"/>
              <w:spacing w:after="0"/>
              <w:rPr>
                <w:sz w:val="20"/>
                <w:szCs w:val="20"/>
                <w:color w:val="auto"/>
              </w:rPr>
            </w:pPr>
            <w:r>
              <w:rPr>
                <w:rFonts w:ascii="Arial" w:cs="Arial" w:eastAsia="Arial" w:hAnsi="Arial"/>
                <w:sz w:val="18"/>
                <w:szCs w:val="18"/>
                <w:color w:val="auto"/>
              </w:rPr>
              <w:t>Proceeds from common stock transactions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(62)</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Cash flows from financing activities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(1,664)</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(2,001)</w:t>
            </w:r>
          </w:p>
        </w:tc>
        <w:tc>
          <w:tcPr>
            <w:tcW w:w="100" w:type="dxa"/>
            <w:vAlign w:val="bottom"/>
            <w:tcBorders>
              <w:bottom w:val="single" w:sz="8" w:color="DBDBDB"/>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(5,689)</w:t>
            </w:r>
          </w:p>
        </w:tc>
        <w:tc>
          <w:tcPr>
            <w:tcW w:w="120" w:type="dxa"/>
            <w:vAlign w:val="bottom"/>
            <w:tcBorders>
              <w:bottom w:val="single" w:sz="8" w:color="DBDBDB"/>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(2,880)</w:t>
            </w:r>
          </w:p>
        </w:tc>
        <w:tc>
          <w:tcPr>
            <w:tcW w:w="0" w:type="dxa"/>
            <w:vAlign w:val="bottom"/>
          </w:tcPr>
          <w:p>
            <w:pPr>
              <w:spacing w:after="0"/>
              <w:rPr>
                <w:sz w:val="1"/>
                <w:szCs w:val="1"/>
                <w:color w:val="auto"/>
              </w:rPr>
            </w:pPr>
          </w:p>
        </w:tc>
      </w:tr>
      <w:tr>
        <w:trPr>
          <w:trHeight w:val="237"/>
        </w:trPr>
        <w:tc>
          <w:tcPr>
            <w:tcW w:w="552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220" w:type="dxa"/>
            <w:vAlign w:val="bottom"/>
            <w:shd w:val="clear" w:color="auto" w:fill="DBDBDB"/>
          </w:tcPr>
          <w:p>
            <w:pPr>
              <w:spacing w:after="0"/>
              <w:rPr>
                <w:sz w:val="20"/>
                <w:szCs w:val="20"/>
                <w:color w:val="auto"/>
              </w:rPr>
            </w:pPr>
          </w:p>
        </w:tc>
        <w:tc>
          <w:tcPr>
            <w:tcW w:w="110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10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00" w:type="dxa"/>
            <w:vAlign w:val="bottom"/>
            <w:shd w:val="clear" w:color="auto" w:fill="DBDBDB"/>
          </w:tcPr>
          <w:p>
            <w:pPr>
              <w:spacing w:after="0"/>
              <w:rPr>
                <w:sz w:val="20"/>
                <w:szCs w:val="20"/>
                <w:color w:val="auto"/>
              </w:rPr>
            </w:pPr>
          </w:p>
        </w:tc>
        <w:tc>
          <w:tcPr>
            <w:tcW w:w="102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104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29"/>
        </w:trPr>
        <w:tc>
          <w:tcPr>
            <w:tcW w:w="56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220" w:type="dxa"/>
            <w:vAlign w:val="bottom"/>
            <w:tcBorders>
              <w:bottom w:val="single" w:sz="8" w:color="auto"/>
            </w:tcBorders>
            <w:shd w:val="clear" w:color="auto" w:fill="DBDBDB"/>
          </w:tcPr>
          <w:p>
            <w:pPr>
              <w:spacing w:after="0"/>
              <w:rPr>
                <w:sz w:val="19"/>
                <w:szCs w:val="19"/>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3,311</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2,589</w:t>
            </w:r>
          </w:p>
        </w:tc>
        <w:tc>
          <w:tcPr>
            <w:tcW w:w="100" w:type="dxa"/>
            <w:vAlign w:val="bottom"/>
            <w:shd w:val="clear" w:color="auto" w:fill="DBDBDB"/>
          </w:tcPr>
          <w:p>
            <w:pPr>
              <w:spacing w:after="0"/>
              <w:rPr>
                <w:sz w:val="19"/>
                <w:szCs w:val="19"/>
                <w:color w:val="auto"/>
              </w:rPr>
            </w:pPr>
          </w:p>
        </w:tc>
        <w:tc>
          <w:tcPr>
            <w:tcW w:w="300" w:type="dxa"/>
            <w:vAlign w:val="bottom"/>
            <w:tcBorders>
              <w:bottom w:val="single" w:sz="8" w:color="auto"/>
            </w:tcBorders>
            <w:shd w:val="clear" w:color="auto" w:fill="DBDBDB"/>
          </w:tcPr>
          <w:p>
            <w:pPr>
              <w:spacing w:after="0"/>
              <w:rPr>
                <w:sz w:val="19"/>
                <w:szCs w:val="19"/>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3,200</w:t>
            </w:r>
          </w:p>
        </w:tc>
        <w:tc>
          <w:tcPr>
            <w:tcW w:w="120" w:type="dxa"/>
            <w:vAlign w:val="bottom"/>
            <w:shd w:val="clear" w:color="auto" w:fill="DBDBDB"/>
          </w:tcPr>
          <w:p>
            <w:pPr>
              <w:spacing w:after="0"/>
              <w:rPr>
                <w:sz w:val="19"/>
                <w:szCs w:val="19"/>
                <w:color w:val="auto"/>
              </w:rPr>
            </w:pPr>
          </w:p>
        </w:tc>
        <w:tc>
          <w:tcPr>
            <w:tcW w:w="280" w:type="dxa"/>
            <w:vAlign w:val="bottom"/>
            <w:tcBorders>
              <w:bottom w:val="single" w:sz="8" w:color="auto"/>
            </w:tcBorders>
            <w:shd w:val="clear" w:color="auto" w:fill="DBDBDB"/>
          </w:tcPr>
          <w:p>
            <w:pPr>
              <w:spacing w:after="0"/>
              <w:rPr>
                <w:sz w:val="19"/>
                <w:szCs w:val="19"/>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2,964</w:t>
            </w:r>
          </w:p>
        </w:tc>
        <w:tc>
          <w:tcPr>
            <w:tcW w:w="0" w:type="dxa"/>
            <w:vAlign w:val="bottom"/>
          </w:tcPr>
          <w:p>
            <w:pPr>
              <w:spacing w:after="0"/>
              <w:rPr>
                <w:sz w:val="1"/>
                <w:szCs w:val="1"/>
                <w:color w:val="auto"/>
              </w:rPr>
            </w:pPr>
          </w:p>
        </w:tc>
      </w:tr>
      <w:tr>
        <w:trPr>
          <w:trHeight w:val="223"/>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3,225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3,225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0"/>
        </w:trPr>
        <w:tc>
          <w:tcPr>
            <w:tcW w:w="552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spacing w:after="0"/>
              <w:rPr>
                <w:sz w:val="19"/>
                <w:szCs w:val="19"/>
                <w:color w:val="auto"/>
              </w:rPr>
            </w:pPr>
          </w:p>
        </w:tc>
        <w:tc>
          <w:tcPr>
            <w:tcW w:w="10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gridSpan w:val="2"/>
            <w:shd w:val="clear" w:color="auto" w:fill="DBDBDB"/>
          </w:tcPr>
          <w:p>
            <w:pPr>
              <w:ind w:left="240"/>
              <w:spacing w:after="0"/>
              <w:rPr>
                <w:sz w:val="20"/>
                <w:szCs w:val="20"/>
                <w:color w:val="auto"/>
              </w:rPr>
            </w:pPr>
            <w:r>
              <w:rPr>
                <w:rFonts w:ascii="Arial" w:cs="Arial" w:eastAsia="Arial" w:hAnsi="Arial"/>
                <w:sz w:val="18"/>
                <w:szCs w:val="18"/>
                <w:color w:val="auto"/>
              </w:rPr>
              <w:t>Investment tax credit (ITC) used to reduce income taxes payable</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89</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DBDBDB"/>
          </w:tcPr>
          <w:p>
            <w:pPr>
              <w:spacing w:after="0"/>
              <w:rPr>
                <w:sz w:val="19"/>
                <w:szCs w:val="19"/>
                <w:color w:val="auto"/>
              </w:rPr>
            </w:pPr>
          </w:p>
        </w:tc>
        <w:tc>
          <w:tcPr>
            <w:tcW w:w="300" w:type="dxa"/>
            <w:vAlign w:val="bottom"/>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335</w:t>
            </w:r>
          </w:p>
        </w:tc>
        <w:tc>
          <w:tcPr>
            <w:tcW w:w="120" w:type="dxa"/>
            <w:vAlign w:val="bottom"/>
            <w:shd w:val="clear" w:color="auto" w:fill="DBDBDB"/>
          </w:tcPr>
          <w:p>
            <w:pPr>
              <w:spacing w:after="0"/>
              <w:rPr>
                <w:sz w:val="19"/>
                <w:szCs w:val="19"/>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29"/>
        </w:trPr>
        <w:tc>
          <w:tcPr>
            <w:tcW w:w="5620" w:type="dxa"/>
            <w:vAlign w:val="bottom"/>
            <w:gridSpan w:val="2"/>
          </w:tcPr>
          <w:p>
            <w:pPr>
              <w:ind w:left="240"/>
              <w:spacing w:after="0"/>
              <w:rPr>
                <w:sz w:val="20"/>
                <w:szCs w:val="20"/>
                <w:color w:val="auto"/>
              </w:rPr>
            </w:pPr>
            <w:r>
              <w:rPr>
                <w:rFonts w:ascii="Arial" w:cs="Arial" w:eastAsia="Arial" w:hAnsi="Arial"/>
                <w:sz w:val="18"/>
                <w:szCs w:val="18"/>
                <w:color w:val="auto"/>
              </w:rPr>
              <w:t>Proceeds from CHIPS Act incentives</w:t>
            </w: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335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620" w:type="dxa"/>
            <w:vAlign w:val="bottom"/>
            <w:tcBorders>
              <w:top w:val="single" w:sz="8" w:color="DBDBDB"/>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Total cash benefit related to the CHIPS Act</w:t>
            </w:r>
          </w:p>
        </w:tc>
        <w:tc>
          <w:tcPr>
            <w:tcW w:w="220" w:type="dxa"/>
            <w:vAlign w:val="bottom"/>
            <w:tcBorders>
              <w:top w:val="single" w:sz="8" w:color="auto"/>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89</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80" w:type="dxa"/>
            <w:vAlign w:val="bottom"/>
            <w:tcBorders>
              <w:top w:val="single" w:sz="8" w:color="auto"/>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top w:val="single" w:sz="8" w:color="DBDBDB"/>
              <w:bottom w:val="single" w:sz="8" w:color="DBDBDB"/>
            </w:tcBorders>
            <w:shd w:val="clear" w:color="auto" w:fill="DBDBDB"/>
          </w:tcPr>
          <w:p>
            <w:pPr>
              <w:spacing w:after="0"/>
              <w:rPr>
                <w:sz w:val="21"/>
                <w:szCs w:val="21"/>
                <w:color w:val="auto"/>
              </w:rPr>
            </w:pPr>
          </w:p>
        </w:tc>
        <w:tc>
          <w:tcPr>
            <w:tcW w:w="300" w:type="dxa"/>
            <w:vAlign w:val="bottom"/>
            <w:tcBorders>
              <w:top w:val="single" w:sz="8" w:color="auto"/>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670</w:t>
            </w:r>
          </w:p>
        </w:tc>
        <w:tc>
          <w:tcPr>
            <w:tcW w:w="120" w:type="dxa"/>
            <w:vAlign w:val="bottom"/>
            <w:tcBorders>
              <w:top w:val="single" w:sz="8" w:color="DBDBDB"/>
              <w:bottom w:val="single" w:sz="8" w:color="DBDBDB"/>
            </w:tcBorders>
            <w:shd w:val="clear" w:color="auto" w:fill="DBDBDB"/>
          </w:tcPr>
          <w:p>
            <w:pPr>
              <w:spacing w:after="0"/>
              <w:rPr>
                <w:sz w:val="21"/>
                <w:szCs w:val="21"/>
                <w:color w:val="auto"/>
              </w:rPr>
            </w:pPr>
          </w:p>
        </w:tc>
        <w:tc>
          <w:tcPr>
            <w:tcW w:w="280" w:type="dxa"/>
            <w:vAlign w:val="bottom"/>
            <w:tcBorders>
              <w:top w:val="single" w:sz="8" w:color="auto"/>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0"/>
        </w:trPr>
        <w:tc>
          <w:tcPr>
            <w:tcW w:w="552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890"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2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Quarterly segment results</w:t>
            </w:r>
          </w:p>
        </w:tc>
        <w:tc>
          <w:tcPr>
            <w:tcW w:w="4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385"/>
        </w:trPr>
        <w:tc>
          <w:tcPr>
            <w:tcW w:w="6900" w:type="dxa"/>
            <w:vAlign w:val="bottom"/>
            <w:gridSpan w:val="3"/>
          </w:tcPr>
          <w:p>
            <w:pPr>
              <w:ind w:left="20"/>
              <w:spacing w:after="0"/>
              <w:rPr>
                <w:sz w:val="20"/>
                <w:szCs w:val="20"/>
                <w:color w:val="auto"/>
              </w:rPr>
            </w:pPr>
            <w:r>
              <w:rPr>
                <w:rFonts w:ascii="Arial" w:cs="Arial" w:eastAsia="Arial" w:hAnsi="Arial"/>
                <w:sz w:val="18"/>
                <w:szCs w:val="18"/>
                <w:i w:val="1"/>
                <w:iCs w:val="1"/>
                <w:color w:val="auto"/>
              </w:rPr>
              <w:t>(In millions)</w:t>
            </w:r>
          </w:p>
        </w:tc>
        <w:tc>
          <w:tcPr>
            <w:tcW w:w="220" w:type="dxa"/>
            <w:vAlign w:val="bottom"/>
          </w:tcPr>
          <w:p>
            <w:pPr>
              <w:spacing w:after="0"/>
              <w:rPr>
                <w:sz w:val="24"/>
                <w:szCs w:val="2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rPr>
              <w:t>Q4 2025</w:t>
            </w:r>
          </w:p>
        </w:tc>
        <w:tc>
          <w:tcPr>
            <w:tcW w:w="220" w:type="dxa"/>
            <w:vAlign w:val="bottom"/>
          </w:tcPr>
          <w:p>
            <w:pPr>
              <w:spacing w:after="0"/>
              <w:rPr>
                <w:sz w:val="24"/>
                <w:szCs w:val="2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98"/>
              </w:rPr>
              <w:t>Q4 2024</w:t>
            </w:r>
          </w:p>
        </w:tc>
        <w:tc>
          <w:tcPr>
            <w:tcW w:w="1480" w:type="dxa"/>
            <w:vAlign w:val="bottom"/>
          </w:tcPr>
          <w:p>
            <w:pPr>
              <w:jc w:val="right"/>
              <w:ind w:right="330"/>
              <w:spacing w:after="0"/>
              <w:rPr>
                <w:sz w:val="20"/>
                <w:szCs w:val="20"/>
                <w:color w:val="auto"/>
              </w:rPr>
            </w:pPr>
            <w:r>
              <w:rPr>
                <w:rFonts w:ascii="Arial" w:cs="Arial" w:eastAsia="Arial" w:hAnsi="Arial"/>
                <w:sz w:val="18"/>
                <w:szCs w:val="18"/>
                <w:color w:val="auto"/>
              </w:rPr>
              <w:t>Change</w:t>
            </w:r>
          </w:p>
        </w:tc>
      </w:tr>
      <w:tr>
        <w:trPr>
          <w:trHeight w:val="223"/>
        </w:trPr>
        <w:tc>
          <w:tcPr>
            <w:tcW w:w="6900" w:type="dxa"/>
            <w:vAlign w:val="bottom"/>
            <w:tcBorders>
              <w:top w:val="single" w:sz="8" w:color="DBDBDB"/>
            </w:tcBorders>
            <w:gridSpan w:val="3"/>
            <w:shd w:val="clear" w:color="auto" w:fill="DBDBDB"/>
          </w:tcPr>
          <w:p>
            <w:pPr>
              <w:ind w:left="20"/>
              <w:spacing w:after="0"/>
              <w:rPr>
                <w:sz w:val="20"/>
                <w:szCs w:val="20"/>
                <w:color w:val="auto"/>
              </w:rPr>
            </w:pPr>
            <w:r>
              <w:rPr>
                <w:rFonts w:ascii="Arial" w:cs="Arial" w:eastAsia="Arial" w:hAnsi="Arial"/>
                <w:sz w:val="18"/>
                <w:szCs w:val="18"/>
                <w:color w:val="auto"/>
              </w:rPr>
              <w:t>Analog:</w:t>
            </w:r>
          </w:p>
        </w:tc>
        <w:tc>
          <w:tcPr>
            <w:tcW w:w="220" w:type="dxa"/>
            <w:vAlign w:val="bottom"/>
            <w:tcBorders>
              <w:top w:val="single" w:sz="8" w:color="auto"/>
            </w:tcBorders>
            <w:shd w:val="clear" w:color="auto" w:fill="DBDBDB"/>
          </w:tcPr>
          <w:p>
            <w:pPr>
              <w:spacing w:after="0"/>
              <w:rPr>
                <w:sz w:val="19"/>
                <w:szCs w:val="19"/>
                <w:color w:val="auto"/>
              </w:rPr>
            </w:pPr>
          </w:p>
        </w:tc>
        <w:tc>
          <w:tcPr>
            <w:tcW w:w="1100" w:type="dxa"/>
            <w:vAlign w:val="bottom"/>
            <w:tcBorders>
              <w:top w:val="single" w:sz="8" w:color="auto"/>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220" w:type="dxa"/>
            <w:vAlign w:val="bottom"/>
            <w:tcBorders>
              <w:top w:val="single" w:sz="8" w:color="auto"/>
            </w:tcBorders>
            <w:shd w:val="clear" w:color="auto" w:fill="DBDBDB"/>
          </w:tcPr>
          <w:p>
            <w:pPr>
              <w:spacing w:after="0"/>
              <w:rPr>
                <w:sz w:val="19"/>
                <w:szCs w:val="19"/>
                <w:color w:val="auto"/>
              </w:rPr>
            </w:pPr>
          </w:p>
        </w:tc>
        <w:tc>
          <w:tcPr>
            <w:tcW w:w="110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480" w:type="dxa"/>
            <w:vAlign w:val="bottom"/>
            <w:tcBorders>
              <w:top w:val="single" w:sz="8" w:color="auto"/>
            </w:tcBorders>
            <w:shd w:val="clear" w:color="auto" w:fill="DBDBDB"/>
          </w:tcPr>
          <w:p>
            <w:pPr>
              <w:spacing w:after="0"/>
              <w:rPr>
                <w:sz w:val="19"/>
                <w:szCs w:val="19"/>
                <w:color w:val="auto"/>
              </w:rPr>
            </w:pPr>
          </w:p>
        </w:tc>
      </w:tr>
      <w:tr>
        <w:trPr>
          <w:trHeight w:val="229"/>
        </w:trPr>
        <w:tc>
          <w:tcPr>
            <w:tcW w:w="6900" w:type="dxa"/>
            <w:vAlign w:val="bottom"/>
            <w:gridSpan w:val="3"/>
          </w:tcPr>
          <w:p>
            <w:pPr>
              <w:ind w:left="220"/>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3,615</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3,174</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30"/>
        </w:trPr>
        <w:tc>
          <w:tcPr>
            <w:tcW w:w="6900" w:type="dxa"/>
            <w:vAlign w:val="bottom"/>
            <w:gridSpan w:val="3"/>
            <w:shd w:val="clear" w:color="auto" w:fill="DBDBDB"/>
          </w:tcPr>
          <w:p>
            <w:pPr>
              <w:ind w:left="220"/>
              <w:spacing w:after="0"/>
              <w:rPr>
                <w:sz w:val="20"/>
                <w:szCs w:val="20"/>
                <w:color w:val="auto"/>
              </w:rPr>
            </w:pPr>
            <w:r>
              <w:rPr>
                <w:rFonts w:ascii="Arial" w:cs="Arial" w:eastAsia="Arial" w:hAnsi="Arial"/>
                <w:sz w:val="18"/>
                <w:szCs w:val="18"/>
                <w:color w:val="auto"/>
              </w:rPr>
              <w:t>Operating profit</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1,395</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1,237</w:t>
            </w:r>
          </w:p>
        </w:tc>
        <w:tc>
          <w:tcPr>
            <w:tcW w:w="100" w:type="dxa"/>
            <w:vAlign w:val="bottom"/>
            <w:shd w:val="clear" w:color="auto" w:fill="DBDBDB"/>
          </w:tcPr>
          <w:p>
            <w:pPr>
              <w:spacing w:after="0"/>
              <w:rPr>
                <w:sz w:val="19"/>
                <w:szCs w:val="19"/>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13 %</w:t>
            </w:r>
          </w:p>
        </w:tc>
      </w:tr>
      <w:tr>
        <w:trPr>
          <w:trHeight w:val="229"/>
        </w:trPr>
        <w:tc>
          <w:tcPr>
            <w:tcW w:w="6900" w:type="dxa"/>
            <w:vAlign w:val="bottom"/>
            <w:gridSpan w:val="3"/>
          </w:tcPr>
          <w:p>
            <w:pPr>
              <w:ind w:left="20"/>
              <w:spacing w:after="0"/>
              <w:rPr>
                <w:sz w:val="20"/>
                <w:szCs w:val="20"/>
                <w:color w:val="auto"/>
              </w:rPr>
            </w:pPr>
            <w:r>
              <w:rPr>
                <w:rFonts w:ascii="Arial" w:cs="Arial" w:eastAsia="Arial" w:hAnsi="Arial"/>
                <w:sz w:val="18"/>
                <w:szCs w:val="18"/>
                <w:color w:val="auto"/>
              </w:rPr>
              <w:t>Embedded Processing:</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6900" w:type="dxa"/>
            <w:vAlign w:val="bottom"/>
            <w:gridSpan w:val="3"/>
            <w:shd w:val="clear" w:color="auto" w:fill="DBDBDB"/>
          </w:tcPr>
          <w:p>
            <w:pPr>
              <w:ind w:left="2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662</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613</w:t>
            </w:r>
          </w:p>
        </w:tc>
        <w:tc>
          <w:tcPr>
            <w:tcW w:w="100" w:type="dxa"/>
            <w:vAlign w:val="bottom"/>
            <w:shd w:val="clear" w:color="auto" w:fill="DBDBDB"/>
          </w:tcPr>
          <w:p>
            <w:pPr>
              <w:spacing w:after="0"/>
              <w:rPr>
                <w:sz w:val="19"/>
                <w:szCs w:val="19"/>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8 %</w:t>
            </w:r>
          </w:p>
        </w:tc>
      </w:tr>
      <w:tr>
        <w:trPr>
          <w:trHeight w:val="229"/>
        </w:trPr>
        <w:tc>
          <w:tcPr>
            <w:tcW w:w="6900" w:type="dxa"/>
            <w:vAlign w:val="bottom"/>
            <w:gridSpan w:val="3"/>
          </w:tcPr>
          <w:p>
            <w:pPr>
              <w:ind w:left="220"/>
              <w:spacing w:after="0"/>
              <w:rPr>
                <w:sz w:val="20"/>
                <w:szCs w:val="20"/>
                <w:color w:val="auto"/>
              </w:rPr>
            </w:pPr>
            <w:r>
              <w:rPr>
                <w:rFonts w:ascii="Arial" w:cs="Arial" w:eastAsia="Arial" w:hAnsi="Arial"/>
                <w:sz w:val="18"/>
                <w:szCs w:val="18"/>
                <w:color w:val="auto"/>
              </w:rPr>
              <w:t>Operating profit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22 %</w:t>
            </w:r>
          </w:p>
        </w:tc>
      </w:tr>
      <w:tr>
        <w:trPr>
          <w:trHeight w:val="229"/>
        </w:trPr>
        <w:tc>
          <w:tcPr>
            <w:tcW w:w="6900" w:type="dxa"/>
            <w:vAlign w:val="bottom"/>
            <w:gridSpan w:val="3"/>
            <w:shd w:val="clear" w:color="auto" w:fill="DBDBDB"/>
          </w:tcPr>
          <w:p>
            <w:pPr>
              <w:ind w:left="2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80" w:type="dxa"/>
            <w:vAlign w:val="bottom"/>
            <w:shd w:val="clear" w:color="auto" w:fill="DBDBDB"/>
          </w:tcPr>
          <w:p>
            <w:pPr>
              <w:spacing w:after="0"/>
              <w:rPr>
                <w:sz w:val="19"/>
                <w:szCs w:val="19"/>
                <w:color w:val="auto"/>
              </w:rPr>
            </w:pPr>
          </w:p>
        </w:tc>
      </w:tr>
      <w:tr>
        <w:trPr>
          <w:trHeight w:val="230"/>
        </w:trPr>
        <w:tc>
          <w:tcPr>
            <w:tcW w:w="6900" w:type="dxa"/>
            <w:vAlign w:val="bottom"/>
            <w:gridSpan w:val="3"/>
          </w:tcPr>
          <w:p>
            <w:pPr>
              <w:ind w:left="220"/>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6900" w:type="dxa"/>
            <w:vAlign w:val="bottom"/>
            <w:gridSpan w:val="3"/>
            <w:shd w:val="clear" w:color="auto" w:fill="DBDBDB"/>
          </w:tcPr>
          <w:p>
            <w:pPr>
              <w:ind w:left="220"/>
              <w:spacing w:after="0"/>
              <w:rPr>
                <w:sz w:val="20"/>
                <w:szCs w:val="20"/>
                <w:color w:val="auto"/>
              </w:rPr>
            </w:pPr>
            <w:r>
              <w:rPr>
                <w:rFonts w:ascii="Arial" w:cs="Arial" w:eastAsia="Arial" w:hAnsi="Arial"/>
                <w:sz w:val="18"/>
                <w:szCs w:val="18"/>
                <w:color w:val="auto"/>
              </w:rPr>
              <w:t>Operating profit *</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DBDBDB"/>
          </w:tcPr>
          <w:p>
            <w:pPr>
              <w:spacing w:after="0"/>
              <w:rPr>
                <w:sz w:val="19"/>
                <w:szCs w:val="19"/>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(91)%</w:t>
            </w:r>
          </w:p>
        </w:tc>
      </w:tr>
      <w:tr>
        <w:trPr>
          <w:trHeight w:val="531"/>
        </w:trPr>
        <w:tc>
          <w:tcPr>
            <w:tcW w:w="6900" w:type="dxa"/>
            <w:vAlign w:val="bottom"/>
            <w:gridSpan w:val="3"/>
          </w:tcPr>
          <w:p>
            <w:pPr>
              <w:spacing w:after="0"/>
              <w:rPr>
                <w:sz w:val="20"/>
                <w:szCs w:val="20"/>
                <w:color w:val="auto"/>
              </w:rPr>
            </w:pPr>
            <w:r>
              <w:rPr>
                <w:rFonts w:ascii="Arial" w:cs="Arial" w:eastAsia="Arial" w:hAnsi="Arial"/>
                <w:sz w:val="18"/>
                <w:szCs w:val="18"/>
                <w:i w:val="1"/>
                <w:iCs w:val="1"/>
                <w:color w:val="auto"/>
              </w:rPr>
              <w:t>* Includes Restructuring charges/other</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95"/>
        </w:trPr>
        <w:tc>
          <w:tcPr>
            <w:tcW w:w="6900" w:type="dxa"/>
            <w:vAlign w:val="bottom"/>
            <w:gridSpan w:val="3"/>
          </w:tcPr>
          <w:p>
            <w:pPr>
              <w:spacing w:after="0"/>
              <w:rPr>
                <w:sz w:val="20"/>
                <w:szCs w:val="20"/>
                <w:color w:val="auto"/>
              </w:rPr>
            </w:pPr>
            <w:r>
              <w:rPr>
                <w:rFonts w:ascii="Arial" w:cs="Arial" w:eastAsia="Arial" w:hAnsi="Arial"/>
                <w:sz w:val="18"/>
                <w:szCs w:val="18"/>
                <w:b w:val="1"/>
                <w:bCs w:val="1"/>
                <w:color w:val="auto"/>
              </w:rPr>
              <w:t>Annual segment results</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85"/>
        </w:trPr>
        <w:tc>
          <w:tcPr>
            <w:tcW w:w="2040" w:type="dxa"/>
            <w:vAlign w:val="bottom"/>
            <w:tcBorders>
              <w:top w:val="single" w:sz="8" w:color="auto"/>
              <w:bottom w:val="single" w:sz="8" w:color="DBDBDB"/>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4860" w:type="dxa"/>
            <w:vAlign w:val="bottom"/>
            <w:tcBorders>
              <w:bottom w:val="single" w:sz="8" w:color="DBDBDB"/>
            </w:tcBorders>
            <w:gridSpan w:val="2"/>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2025</w:t>
            </w:r>
          </w:p>
        </w:tc>
        <w:tc>
          <w:tcPr>
            <w:tcW w:w="120" w:type="dxa"/>
            <w:vAlign w:val="bottom"/>
            <w:tcBorders>
              <w:bottom w:val="single" w:sz="8" w:color="DBDBDB"/>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DBDBDB"/>
            </w:tcBorders>
          </w:tcPr>
          <w:p>
            <w:pPr>
              <w:spacing w:after="0"/>
              <w:rPr>
                <w:sz w:val="24"/>
                <w:szCs w:val="24"/>
                <w:color w:val="auto"/>
              </w:rPr>
            </w:pPr>
          </w:p>
        </w:tc>
        <w:tc>
          <w:tcPr>
            <w:tcW w:w="14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Change</w:t>
            </w:r>
          </w:p>
        </w:tc>
      </w:tr>
      <w:tr>
        <w:trPr>
          <w:trHeight w:val="223"/>
        </w:trPr>
        <w:tc>
          <w:tcPr>
            <w:tcW w:w="6900" w:type="dxa"/>
            <w:vAlign w:val="bottom"/>
            <w:gridSpan w:val="3"/>
            <w:shd w:val="clear" w:color="auto" w:fill="DBDBDB"/>
          </w:tcPr>
          <w:p>
            <w:pPr>
              <w:ind w:left="20"/>
              <w:spacing w:after="0"/>
              <w:rPr>
                <w:sz w:val="20"/>
                <w:szCs w:val="20"/>
                <w:color w:val="auto"/>
              </w:rPr>
            </w:pPr>
            <w:r>
              <w:rPr>
                <w:rFonts w:ascii="Arial" w:cs="Arial" w:eastAsia="Arial" w:hAnsi="Arial"/>
                <w:sz w:val="18"/>
                <w:szCs w:val="18"/>
                <w:color w:val="auto"/>
              </w:rPr>
              <w:t>Analog:</w:t>
            </w: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80" w:type="dxa"/>
            <w:vAlign w:val="bottom"/>
            <w:shd w:val="clear" w:color="auto" w:fill="DBDBDB"/>
          </w:tcPr>
          <w:p>
            <w:pPr>
              <w:spacing w:after="0"/>
              <w:rPr>
                <w:sz w:val="19"/>
                <w:szCs w:val="19"/>
                <w:color w:val="auto"/>
              </w:rPr>
            </w:pPr>
          </w:p>
        </w:tc>
      </w:tr>
      <w:tr>
        <w:trPr>
          <w:trHeight w:val="229"/>
        </w:trPr>
        <w:tc>
          <w:tcPr>
            <w:tcW w:w="6900" w:type="dxa"/>
            <w:vAlign w:val="bottom"/>
            <w:gridSpan w:val="3"/>
          </w:tcPr>
          <w:p>
            <w:pPr>
              <w:ind w:left="220"/>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14,006</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12,161</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15 %</w:t>
            </w:r>
          </w:p>
        </w:tc>
      </w:tr>
      <w:tr>
        <w:trPr>
          <w:trHeight w:val="229"/>
        </w:trPr>
        <w:tc>
          <w:tcPr>
            <w:tcW w:w="6900" w:type="dxa"/>
            <w:vAlign w:val="bottom"/>
            <w:gridSpan w:val="3"/>
            <w:shd w:val="clear" w:color="auto" w:fill="DBDBDB"/>
          </w:tcPr>
          <w:p>
            <w:pPr>
              <w:ind w:left="220"/>
              <w:spacing w:after="0"/>
              <w:rPr>
                <w:sz w:val="20"/>
                <w:szCs w:val="20"/>
                <w:color w:val="auto"/>
              </w:rPr>
            </w:pPr>
            <w:r>
              <w:rPr>
                <w:rFonts w:ascii="Arial" w:cs="Arial" w:eastAsia="Arial" w:hAnsi="Arial"/>
                <w:sz w:val="18"/>
                <w:szCs w:val="18"/>
                <w:color w:val="auto"/>
              </w:rPr>
              <w:t>Operating profit</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5,412</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4,608</w:t>
            </w:r>
          </w:p>
        </w:tc>
        <w:tc>
          <w:tcPr>
            <w:tcW w:w="100" w:type="dxa"/>
            <w:vAlign w:val="bottom"/>
            <w:shd w:val="clear" w:color="auto" w:fill="DBDBDB"/>
          </w:tcPr>
          <w:p>
            <w:pPr>
              <w:spacing w:after="0"/>
              <w:rPr>
                <w:sz w:val="19"/>
                <w:szCs w:val="19"/>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17 %</w:t>
            </w:r>
          </w:p>
        </w:tc>
      </w:tr>
      <w:tr>
        <w:trPr>
          <w:trHeight w:val="230"/>
        </w:trPr>
        <w:tc>
          <w:tcPr>
            <w:tcW w:w="6900" w:type="dxa"/>
            <w:vAlign w:val="bottom"/>
            <w:gridSpan w:val="3"/>
          </w:tcPr>
          <w:p>
            <w:pPr>
              <w:ind w:left="20"/>
              <w:spacing w:after="0"/>
              <w:rPr>
                <w:sz w:val="20"/>
                <w:szCs w:val="20"/>
                <w:color w:val="auto"/>
              </w:rPr>
            </w:pPr>
            <w:r>
              <w:rPr>
                <w:rFonts w:ascii="Arial" w:cs="Arial" w:eastAsia="Arial" w:hAnsi="Arial"/>
                <w:sz w:val="18"/>
                <w:szCs w:val="18"/>
                <w:color w:val="auto"/>
              </w:rPr>
              <w:t>Embedded Processing:</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6900" w:type="dxa"/>
            <w:vAlign w:val="bottom"/>
            <w:gridSpan w:val="3"/>
            <w:shd w:val="clear" w:color="auto" w:fill="DBDBDB"/>
          </w:tcPr>
          <w:p>
            <w:pPr>
              <w:ind w:left="2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2,697</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2,533</w:t>
            </w:r>
          </w:p>
        </w:tc>
        <w:tc>
          <w:tcPr>
            <w:tcW w:w="100" w:type="dxa"/>
            <w:vAlign w:val="bottom"/>
            <w:shd w:val="clear" w:color="auto" w:fill="DBDBDB"/>
          </w:tcPr>
          <w:p>
            <w:pPr>
              <w:spacing w:after="0"/>
              <w:rPr>
                <w:sz w:val="19"/>
                <w:szCs w:val="19"/>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6 %</w:t>
            </w:r>
          </w:p>
        </w:tc>
      </w:tr>
      <w:tr>
        <w:trPr>
          <w:trHeight w:val="230"/>
        </w:trPr>
        <w:tc>
          <w:tcPr>
            <w:tcW w:w="6900" w:type="dxa"/>
            <w:vAlign w:val="bottom"/>
            <w:gridSpan w:val="3"/>
          </w:tcPr>
          <w:p>
            <w:pPr>
              <w:ind w:left="220"/>
              <w:spacing w:after="0"/>
              <w:rPr>
                <w:sz w:val="20"/>
                <w:szCs w:val="20"/>
                <w:color w:val="auto"/>
              </w:rPr>
            </w:pPr>
            <w:r>
              <w:rPr>
                <w:rFonts w:ascii="Arial" w:cs="Arial" w:eastAsia="Arial" w:hAnsi="Arial"/>
                <w:sz w:val="18"/>
                <w:szCs w:val="18"/>
                <w:color w:val="auto"/>
              </w:rPr>
              <w:t>Operating profit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6900" w:type="dxa"/>
            <w:vAlign w:val="bottom"/>
            <w:gridSpan w:val="3"/>
            <w:shd w:val="clear" w:color="auto" w:fill="DBDBDB"/>
          </w:tcPr>
          <w:p>
            <w:pPr>
              <w:ind w:left="2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480" w:type="dxa"/>
            <w:vAlign w:val="bottom"/>
            <w:shd w:val="clear" w:color="auto" w:fill="DBDBDB"/>
          </w:tcPr>
          <w:p>
            <w:pPr>
              <w:spacing w:after="0"/>
              <w:rPr>
                <w:sz w:val="19"/>
                <w:szCs w:val="19"/>
                <w:color w:val="auto"/>
              </w:rPr>
            </w:pPr>
          </w:p>
        </w:tc>
      </w:tr>
      <w:tr>
        <w:trPr>
          <w:trHeight w:val="230"/>
        </w:trPr>
        <w:tc>
          <w:tcPr>
            <w:tcW w:w="6900" w:type="dxa"/>
            <w:vAlign w:val="bottom"/>
            <w:gridSpan w:val="3"/>
          </w:tcPr>
          <w:p>
            <w:pPr>
              <w:ind w:left="220"/>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979</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947</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29"/>
        </w:trPr>
        <w:tc>
          <w:tcPr>
            <w:tcW w:w="6900" w:type="dxa"/>
            <w:vAlign w:val="bottom"/>
            <w:gridSpan w:val="3"/>
            <w:shd w:val="clear" w:color="auto" w:fill="DBDBDB"/>
          </w:tcPr>
          <w:p>
            <w:pPr>
              <w:ind w:left="220"/>
              <w:spacing w:after="0"/>
              <w:rPr>
                <w:sz w:val="20"/>
                <w:szCs w:val="20"/>
                <w:color w:val="auto"/>
              </w:rPr>
            </w:pPr>
            <w:r>
              <w:rPr>
                <w:rFonts w:ascii="Arial" w:cs="Arial" w:eastAsia="Arial" w:hAnsi="Arial"/>
                <w:sz w:val="18"/>
                <w:szCs w:val="18"/>
                <w:color w:val="auto"/>
              </w:rPr>
              <w:t>Operating profit *</w:t>
            </w: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307</w:t>
            </w:r>
          </w:p>
        </w:tc>
        <w:tc>
          <w:tcPr>
            <w:tcW w:w="12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505</w:t>
            </w:r>
          </w:p>
        </w:tc>
        <w:tc>
          <w:tcPr>
            <w:tcW w:w="100" w:type="dxa"/>
            <w:vAlign w:val="bottom"/>
            <w:shd w:val="clear" w:color="auto" w:fill="DBDBDB"/>
          </w:tcPr>
          <w:p>
            <w:pPr>
              <w:spacing w:after="0"/>
              <w:rPr>
                <w:sz w:val="19"/>
                <w:szCs w:val="19"/>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w:t>
            </w: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Includes Restructuring charges/other</w:t>
      </w: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7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Non-GAAP financial information</w:t>
      </w:r>
    </w:p>
    <w:p>
      <w:pPr>
        <w:spacing w:after="0" w:line="11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This release includes references to free cash flow and ratios based on that measure. These are financial measures that were not prepared in accordance with GAAP. Free cash flow is calculated as cash flows from operating activities (also referred to as cash flow from operations) less capital expenditures, plus proceeds from CHIPS Act incentives.</w:t>
      </w:r>
    </w:p>
    <w:p>
      <w:pPr>
        <w:spacing w:after="0" w:line="17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shareholders, as well as insight into our financial performance. These non-GAAP measures are supplemental to the comparable GAAP measures.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 measures is provided in the table below.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Borders>
              <w:right w:val="single" w:sz="8" w:color="auto"/>
            </w:tcBorders>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8"/>
              </w:rPr>
              <w:t>For Three</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80" w:type="dxa"/>
            <w:vAlign w:val="bottom"/>
            <w:gridSpan w:val="3"/>
          </w:tcPr>
          <w:p>
            <w:pPr>
              <w:jc w:val="center"/>
              <w:ind w:left="530"/>
              <w:spacing w:after="0"/>
              <w:rPr>
                <w:sz w:val="20"/>
                <w:szCs w:val="20"/>
                <w:color w:val="auto"/>
              </w:rPr>
            </w:pPr>
            <w:r>
              <w:rPr>
                <w:rFonts w:ascii="Arial" w:cs="Arial" w:eastAsia="Arial" w:hAnsi="Arial"/>
                <w:sz w:val="18"/>
                <w:szCs w:val="18"/>
                <w:b w:val="1"/>
                <w:bCs w:val="1"/>
                <w:color w:val="auto"/>
                <w:w w:val="99"/>
              </w:rPr>
              <w:t>For 12</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Borders>
              <w:right w:val="single" w:sz="8" w:color="auto"/>
            </w:tcBorders>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80" w:type="dxa"/>
            <w:vAlign w:val="bottom"/>
            <w:gridSpan w:val="3"/>
          </w:tcPr>
          <w:p>
            <w:pPr>
              <w:jc w:val="center"/>
              <w:ind w:left="510"/>
              <w:spacing w:after="0" w:line="176" w:lineRule="exact"/>
              <w:rPr>
                <w:sz w:val="20"/>
                <w:szCs w:val="20"/>
                <w:color w:val="auto"/>
              </w:rPr>
            </w:pPr>
            <w:r>
              <w:rPr>
                <w:rFonts w:ascii="Arial" w:cs="Arial" w:eastAsia="Arial" w:hAnsi="Arial"/>
                <w:sz w:val="18"/>
                <w:szCs w:val="18"/>
                <w:b w:val="1"/>
                <w:bCs w:val="1"/>
                <w:color w:val="auto"/>
                <w:w w:val="99"/>
              </w:rPr>
              <w:t>Months</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40" w:type="dxa"/>
            <w:vAlign w:val="bottom"/>
          </w:tcPr>
          <w:p>
            <w:pPr>
              <w:spacing w:after="0"/>
              <w:rPr>
                <w:sz w:val="16"/>
                <w:szCs w:val="16"/>
                <w:color w:val="auto"/>
              </w:rPr>
            </w:pPr>
          </w:p>
        </w:tc>
        <w:tc>
          <w:tcPr>
            <w:tcW w:w="1540" w:type="dxa"/>
            <w:vAlign w:val="bottom"/>
            <w:tcBorders>
              <w:right w:val="single" w:sz="8" w:color="auto"/>
            </w:tcBorders>
            <w:gridSpan w:val="3"/>
          </w:tcPr>
          <w:p>
            <w:pPr>
              <w:jc w:val="center"/>
              <w:ind w:right="140"/>
              <w:spacing w:after="0" w:line="189" w:lineRule="exact"/>
              <w:rPr>
                <w:sz w:val="20"/>
                <w:szCs w:val="20"/>
                <w:color w:val="auto"/>
              </w:rPr>
            </w:pPr>
            <w:r>
              <w:rPr>
                <w:rFonts w:ascii="Arial" w:cs="Arial" w:eastAsia="Arial" w:hAnsi="Arial"/>
                <w:sz w:val="18"/>
                <w:szCs w:val="18"/>
                <w:b w:val="1"/>
                <w:bCs w:val="1"/>
                <w:color w:val="auto"/>
                <w:w w:val="99"/>
              </w:rPr>
              <w:t>Months Ended</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gridSpan w:val="3"/>
          </w:tcPr>
          <w:p>
            <w:pPr>
              <w:jc w:val="center"/>
              <w:ind w:left="570"/>
              <w:spacing w:after="0" w:line="189" w:lineRule="exact"/>
              <w:rPr>
                <w:sz w:val="20"/>
                <w:szCs w:val="20"/>
                <w:color w:val="auto"/>
              </w:rPr>
            </w:pPr>
            <w:r>
              <w:rPr>
                <w:rFonts w:ascii="Arial" w:cs="Arial" w:eastAsia="Arial" w:hAnsi="Arial"/>
                <w:sz w:val="18"/>
                <w:szCs w:val="18"/>
                <w:b w:val="1"/>
                <w:bCs w:val="1"/>
                <w:color w:val="auto"/>
                <w:w w:val="98"/>
              </w:rPr>
              <w:t>Ended</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5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120" w:type="dxa"/>
            <w:vAlign w:val="bottom"/>
          </w:tcPr>
          <w:p>
            <w:pPr>
              <w:spacing w:after="0"/>
              <w:rPr>
                <w:sz w:val="19"/>
                <w:szCs w:val="19"/>
                <w:color w:val="auto"/>
              </w:rPr>
            </w:pPr>
          </w:p>
        </w:tc>
        <w:tc>
          <w:tcPr>
            <w:tcW w:w="14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80" w:type="dxa"/>
            <w:vAlign w:val="bottom"/>
            <w:gridSpan w:val="3"/>
          </w:tcPr>
          <w:p>
            <w:pPr>
              <w:jc w:val="center"/>
              <w:ind w:left="570"/>
              <w:spacing w:after="0"/>
              <w:rPr>
                <w:sz w:val="20"/>
                <w:szCs w:val="20"/>
                <w:color w:val="auto"/>
              </w:rPr>
            </w:pPr>
            <w:r>
              <w:rPr>
                <w:rFonts w:ascii="Arial" w:cs="Arial" w:eastAsia="Arial" w:hAnsi="Arial"/>
                <w:sz w:val="18"/>
                <w:szCs w:val="18"/>
                <w:b w:val="1"/>
                <w:bCs w:val="1"/>
                <w:color w:val="auto"/>
              </w:rPr>
              <w:t>December 31,</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4540" w:type="dxa"/>
            <w:vAlign w:val="bottom"/>
            <w:tcBorders>
              <w:bottom w:val="single" w:sz="8" w:color="DBDBDB"/>
            </w:tcBorders>
            <w:vMerge w:val="continue"/>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2025</w:t>
            </w:r>
          </w:p>
        </w:tc>
        <w:tc>
          <w:tcPr>
            <w:tcW w:w="120" w:type="dxa"/>
            <w:vAlign w:val="bottom"/>
            <w:tcBorders>
              <w:bottom w:val="single" w:sz="8" w:color="DBDBDB"/>
              <w:right w:val="single" w:sz="8" w:color="auto"/>
            </w:tcBorders>
          </w:tcPr>
          <w:p>
            <w:pPr>
              <w:spacing w:after="0"/>
              <w:rPr>
                <w:sz w:val="19"/>
                <w:szCs w:val="19"/>
                <w:color w:val="auto"/>
              </w:rPr>
            </w:pPr>
          </w:p>
        </w:tc>
        <w:tc>
          <w:tcPr>
            <w:tcW w:w="100" w:type="dxa"/>
            <w:vAlign w:val="bottom"/>
            <w:tcBorders>
              <w:bottom w:val="single" w:sz="8" w:color="DBDBDB"/>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top w:val="single" w:sz="8" w:color="auto"/>
              <w:bottom w:val="single" w:sz="8" w:color="DBDBDB"/>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bottom w:val="single" w:sz="8" w:color="DBDBDB"/>
            </w:tcBorders>
          </w:tcPr>
          <w:p>
            <w:pPr>
              <w:spacing w:after="0"/>
              <w:rPr>
                <w:sz w:val="19"/>
                <w:szCs w:val="19"/>
                <w:color w:val="auto"/>
              </w:rPr>
            </w:pPr>
          </w:p>
        </w:tc>
        <w:tc>
          <w:tcPr>
            <w:tcW w:w="15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 from operations (GAAP) *</w:t>
            </w: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2,254</w:t>
            </w:r>
          </w:p>
        </w:tc>
        <w:tc>
          <w:tcPr>
            <w:tcW w:w="120" w:type="dxa"/>
            <w:vAlign w:val="bottom"/>
            <w:tcBorders>
              <w:right w:val="single" w:sz="8" w:color="auto"/>
            </w:tcBorders>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DBDBDB"/>
          </w:tcPr>
          <w:p>
            <w:pPr>
              <w:jc w:val="right"/>
              <w:ind w:right="150"/>
              <w:spacing w:after="0"/>
              <w:rPr>
                <w:sz w:val="20"/>
                <w:szCs w:val="20"/>
                <w:color w:val="auto"/>
              </w:rPr>
            </w:pPr>
            <w:r>
              <w:rPr>
                <w:rFonts w:ascii="Arial" w:cs="Arial" w:eastAsia="Arial" w:hAnsi="Arial"/>
                <w:sz w:val="18"/>
                <w:szCs w:val="18"/>
                <w:b w:val="1"/>
                <w:bCs w:val="1"/>
                <w:color w:val="auto"/>
              </w:rPr>
              <w:t>7,153</w:t>
            </w:r>
          </w:p>
        </w:tc>
        <w:tc>
          <w:tcPr>
            <w:tcW w:w="100" w:type="dxa"/>
            <w:vAlign w:val="bottom"/>
            <w:shd w:val="clear" w:color="auto" w:fill="DBDBDB"/>
          </w:tcPr>
          <w:p>
            <w:pPr>
              <w:spacing w:after="0"/>
              <w:rPr>
                <w:sz w:val="19"/>
                <w:szCs w:val="19"/>
                <w:color w:val="auto"/>
              </w:rPr>
            </w:pPr>
          </w:p>
        </w:tc>
        <w:tc>
          <w:tcPr>
            <w:tcW w:w="560" w:type="dxa"/>
            <w:vAlign w:val="bottom"/>
            <w:shd w:val="clear" w:color="auto" w:fill="DBDBDB"/>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6,318</w:t>
            </w:r>
          </w:p>
        </w:tc>
        <w:tc>
          <w:tcPr>
            <w:tcW w:w="120" w:type="dxa"/>
            <w:vAlign w:val="bottom"/>
            <w:shd w:val="clear" w:color="auto" w:fill="DBDBDB"/>
          </w:tcPr>
          <w:p>
            <w:pPr>
              <w:spacing w:after="0"/>
              <w:rPr>
                <w:sz w:val="19"/>
                <w:szCs w:val="19"/>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(925)</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b w:val="1"/>
                <w:bCs w:val="1"/>
                <w:color w:val="auto"/>
              </w:rPr>
              <w:t>(4,550)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(4,820)</w:t>
            </w: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Proceeds from CHIPS Act incentives</w:t>
            </w:r>
          </w:p>
        </w:tc>
        <w:tc>
          <w:tcPr>
            <w:tcW w:w="120" w:type="dxa"/>
            <w:vAlign w:val="bottom"/>
            <w:shd w:val="clear" w:color="auto" w:fill="DBDBDB"/>
          </w:tcPr>
          <w:p>
            <w:pPr>
              <w:spacing w:after="0"/>
              <w:rPr>
                <w:sz w:val="19"/>
                <w:szCs w:val="19"/>
                <w:color w:val="auto"/>
              </w:rPr>
            </w:pPr>
          </w:p>
        </w:tc>
        <w:tc>
          <w:tcPr>
            <w:tcW w:w="1420" w:type="dxa"/>
            <w:vAlign w:val="bottom"/>
            <w:tcBorders>
              <w:right w:val="single" w:sz="8" w:color="auto"/>
            </w:tcBorders>
            <w:gridSpan w:val="2"/>
            <w:shd w:val="clear" w:color="auto" w:fill="DBDBDB"/>
          </w:tcPr>
          <w:p>
            <w:pPr>
              <w:jc w:val="right"/>
              <w:ind w:right="2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20" w:type="dxa"/>
            <w:vAlign w:val="bottom"/>
            <w:shd w:val="clear" w:color="auto" w:fill="DBDBDB"/>
          </w:tcPr>
          <w:p>
            <w:pPr>
              <w:jc w:val="right"/>
              <w:ind w:right="150"/>
              <w:spacing w:after="0"/>
              <w:rPr>
                <w:sz w:val="20"/>
                <w:szCs w:val="20"/>
                <w:color w:val="auto"/>
              </w:rPr>
            </w:pPr>
            <w:r>
              <w:rPr>
                <w:rFonts w:ascii="Arial" w:cs="Arial" w:eastAsia="Arial" w:hAnsi="Arial"/>
                <w:sz w:val="18"/>
                <w:szCs w:val="18"/>
                <w:b w:val="1"/>
                <w:bCs w:val="1"/>
                <w:color w:val="auto"/>
              </w:rPr>
              <w:t>335</w:t>
            </w:r>
          </w:p>
        </w:tc>
        <w:tc>
          <w:tcPr>
            <w:tcW w:w="100" w:type="dxa"/>
            <w:vAlign w:val="bottom"/>
            <w:shd w:val="clear" w:color="auto" w:fill="DBDBDB"/>
          </w:tcPr>
          <w:p>
            <w:pPr>
              <w:spacing w:after="0"/>
              <w:rPr>
                <w:sz w:val="19"/>
                <w:szCs w:val="19"/>
                <w:color w:val="auto"/>
              </w:rPr>
            </w:pPr>
          </w:p>
        </w:tc>
        <w:tc>
          <w:tcPr>
            <w:tcW w:w="560" w:type="dxa"/>
            <w:vAlign w:val="bottom"/>
            <w:shd w:val="clear" w:color="auto" w:fill="DBDBDB"/>
          </w:tcPr>
          <w:p>
            <w:pPr>
              <w:spacing w:after="0"/>
              <w:rPr>
                <w:sz w:val="19"/>
                <w:szCs w:val="19"/>
                <w:color w:val="auto"/>
              </w:rPr>
            </w:pPr>
          </w:p>
        </w:tc>
        <w:tc>
          <w:tcPr>
            <w:tcW w:w="102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shd w:val="clear" w:color="auto" w:fill="DBDBDB"/>
          </w:tcPr>
          <w:p>
            <w:pPr>
              <w:spacing w:after="0"/>
              <w:rPr>
                <w:sz w:val="19"/>
                <w:szCs w:val="19"/>
                <w:color w:val="auto"/>
              </w:rPr>
            </w:pPr>
          </w:p>
        </w:tc>
        <w:tc>
          <w:tcPr>
            <w:tcW w:w="15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540" w:type="dxa"/>
            <w:vAlign w:val="bottom"/>
          </w:tcPr>
          <w:p>
            <w:pPr>
              <w:ind w:left="20"/>
              <w:spacing w:after="0"/>
              <w:rPr>
                <w:sz w:val="20"/>
                <w:szCs w:val="20"/>
                <w:color w:val="auto"/>
              </w:rPr>
            </w:pPr>
            <w:r>
              <w:rPr>
                <w:rFonts w:ascii="Arial" w:cs="Arial" w:eastAsia="Arial" w:hAnsi="Arial"/>
                <w:sz w:val="18"/>
                <w:szCs w:val="18"/>
                <w:color w:val="auto"/>
              </w:rPr>
              <w:t>Free cash flow (non-GAAP)</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1,329</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2,938</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1,498</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96 %</w:t>
            </w:r>
          </w:p>
        </w:tc>
        <w:tc>
          <w:tcPr>
            <w:tcW w:w="0" w:type="dxa"/>
            <w:vAlign w:val="bottom"/>
          </w:tcPr>
          <w:p>
            <w:pPr>
              <w:spacing w:after="0"/>
              <w:rPr>
                <w:sz w:val="1"/>
                <w:szCs w:val="1"/>
                <w:color w:val="auto"/>
              </w:rPr>
            </w:pPr>
          </w:p>
        </w:tc>
      </w:tr>
      <w:tr>
        <w:trPr>
          <w:trHeight w:val="237"/>
        </w:trPr>
        <w:tc>
          <w:tcPr>
            <w:tcW w:w="4540" w:type="dxa"/>
            <w:vAlign w:val="bottom"/>
            <w:tcBorders>
              <w:top w:val="single" w:sz="8" w:color="DBDBDB"/>
            </w:tcBorders>
            <w:shd w:val="clear" w:color="auto" w:fill="DBDBDB"/>
          </w:tcPr>
          <w:p>
            <w:pPr>
              <w:spacing w:after="0"/>
              <w:rPr>
                <w:sz w:val="20"/>
                <w:szCs w:val="20"/>
                <w:color w:val="auto"/>
              </w:rPr>
            </w:pPr>
          </w:p>
        </w:tc>
        <w:tc>
          <w:tcPr>
            <w:tcW w:w="120" w:type="dxa"/>
            <w:vAlign w:val="bottom"/>
            <w:tcBorders>
              <w:top w:val="single" w:sz="8" w:color="auto"/>
            </w:tcBorders>
            <w:shd w:val="clear" w:color="auto" w:fill="DBDBDB"/>
          </w:tcPr>
          <w:p>
            <w:pPr>
              <w:spacing w:after="0"/>
              <w:rPr>
                <w:sz w:val="20"/>
                <w:szCs w:val="20"/>
                <w:color w:val="auto"/>
              </w:rPr>
            </w:pPr>
          </w:p>
        </w:tc>
        <w:tc>
          <w:tcPr>
            <w:tcW w:w="1300" w:type="dxa"/>
            <w:vAlign w:val="bottom"/>
            <w:tcBorders>
              <w:top w:val="single" w:sz="8" w:color="auto"/>
            </w:tcBorders>
            <w:shd w:val="clear" w:color="auto" w:fill="DBDBDB"/>
          </w:tcPr>
          <w:p>
            <w:pPr>
              <w:spacing w:after="0"/>
              <w:rPr>
                <w:sz w:val="20"/>
                <w:szCs w:val="20"/>
                <w:color w:val="auto"/>
              </w:rPr>
            </w:pPr>
          </w:p>
        </w:tc>
        <w:tc>
          <w:tcPr>
            <w:tcW w:w="120" w:type="dxa"/>
            <w:vAlign w:val="bottom"/>
            <w:tcBorders>
              <w:top w:val="single" w:sz="8" w:color="DBDBDB"/>
              <w:right w:val="single" w:sz="8" w:color="DBDBDB"/>
            </w:tcBorders>
            <w:shd w:val="clear" w:color="auto" w:fill="DBDBDB"/>
          </w:tcPr>
          <w:p>
            <w:pPr>
              <w:spacing w:after="0"/>
              <w:rPr>
                <w:sz w:val="20"/>
                <w:szCs w:val="20"/>
                <w:color w:val="auto"/>
              </w:rPr>
            </w:pPr>
          </w:p>
        </w:tc>
        <w:tc>
          <w:tcPr>
            <w:tcW w:w="100" w:type="dxa"/>
            <w:vAlign w:val="bottom"/>
            <w:tcBorders>
              <w:top w:val="single" w:sz="8" w:color="DBDBDB"/>
            </w:tcBorders>
            <w:shd w:val="clear" w:color="auto" w:fill="DBDBDB"/>
          </w:tcPr>
          <w:p>
            <w:pPr>
              <w:spacing w:after="0"/>
              <w:rPr>
                <w:sz w:val="20"/>
                <w:szCs w:val="20"/>
                <w:color w:val="auto"/>
              </w:rPr>
            </w:pPr>
          </w:p>
        </w:tc>
        <w:tc>
          <w:tcPr>
            <w:tcW w:w="360" w:type="dxa"/>
            <w:vAlign w:val="bottom"/>
            <w:tcBorders>
              <w:top w:val="single" w:sz="8" w:color="auto"/>
            </w:tcBorders>
            <w:shd w:val="clear" w:color="auto" w:fill="DBDBDB"/>
          </w:tcPr>
          <w:p>
            <w:pPr>
              <w:spacing w:after="0"/>
              <w:rPr>
                <w:sz w:val="20"/>
                <w:szCs w:val="20"/>
                <w:color w:val="auto"/>
              </w:rPr>
            </w:pPr>
          </w:p>
        </w:tc>
        <w:tc>
          <w:tcPr>
            <w:tcW w:w="1220" w:type="dxa"/>
            <w:vAlign w:val="bottom"/>
            <w:tcBorders>
              <w:top w:val="single" w:sz="8" w:color="auto"/>
            </w:tcBorders>
            <w:shd w:val="clear" w:color="auto" w:fill="DBDBDB"/>
          </w:tcPr>
          <w:p>
            <w:pPr>
              <w:spacing w:after="0"/>
              <w:rPr>
                <w:sz w:val="20"/>
                <w:szCs w:val="20"/>
                <w:color w:val="auto"/>
              </w:rPr>
            </w:pPr>
          </w:p>
        </w:tc>
        <w:tc>
          <w:tcPr>
            <w:tcW w:w="100" w:type="dxa"/>
            <w:vAlign w:val="bottom"/>
            <w:tcBorders>
              <w:top w:val="single" w:sz="8" w:color="DBDBDB"/>
            </w:tcBorders>
            <w:shd w:val="clear" w:color="auto" w:fill="DBDBDB"/>
          </w:tcPr>
          <w:p>
            <w:pPr>
              <w:spacing w:after="0"/>
              <w:rPr>
                <w:sz w:val="20"/>
                <w:szCs w:val="20"/>
                <w:color w:val="auto"/>
              </w:rPr>
            </w:pPr>
          </w:p>
        </w:tc>
        <w:tc>
          <w:tcPr>
            <w:tcW w:w="560" w:type="dxa"/>
            <w:vAlign w:val="bottom"/>
            <w:tcBorders>
              <w:top w:val="single" w:sz="8" w:color="auto"/>
            </w:tcBorders>
            <w:shd w:val="clear" w:color="auto" w:fill="DBDBDB"/>
          </w:tcPr>
          <w:p>
            <w:pPr>
              <w:spacing w:after="0"/>
              <w:rPr>
                <w:sz w:val="20"/>
                <w:szCs w:val="20"/>
                <w:color w:val="auto"/>
              </w:rPr>
            </w:pPr>
          </w:p>
        </w:tc>
        <w:tc>
          <w:tcPr>
            <w:tcW w:w="1020" w:type="dxa"/>
            <w:vAlign w:val="bottom"/>
            <w:tcBorders>
              <w:top w:val="single" w:sz="8" w:color="auto"/>
            </w:tcBorders>
            <w:shd w:val="clear" w:color="auto" w:fill="DBDBDB"/>
          </w:tcPr>
          <w:p>
            <w:pPr>
              <w:spacing w:after="0"/>
              <w:rPr>
                <w:sz w:val="20"/>
                <w:szCs w:val="20"/>
                <w:color w:val="auto"/>
              </w:rPr>
            </w:pPr>
          </w:p>
        </w:tc>
        <w:tc>
          <w:tcPr>
            <w:tcW w:w="120" w:type="dxa"/>
            <w:vAlign w:val="bottom"/>
            <w:tcBorders>
              <w:top w:val="single" w:sz="8" w:color="DBDBDB"/>
            </w:tcBorders>
            <w:shd w:val="clear" w:color="auto" w:fill="DBDBDB"/>
          </w:tcPr>
          <w:p>
            <w:pPr>
              <w:spacing w:after="0"/>
              <w:rPr>
                <w:sz w:val="20"/>
                <w:szCs w:val="20"/>
                <w:color w:val="auto"/>
              </w:rPr>
            </w:pPr>
          </w:p>
        </w:tc>
        <w:tc>
          <w:tcPr>
            <w:tcW w:w="1560" w:type="dxa"/>
            <w:vAlign w:val="bottom"/>
            <w:tcBorders>
              <w:top w:val="single" w:sz="8" w:color="DBDBDB"/>
            </w:tcBorders>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17,682</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15,641</w:t>
            </w: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3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1560" w:type="dxa"/>
            <w:vAlign w:val="bottom"/>
            <w:tcBorders>
              <w:bottom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4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300" w:type="dxa"/>
            <w:vAlign w:val="bottom"/>
            <w:shd w:val="clear" w:color="auto" w:fill="DBDBDB"/>
          </w:tcPr>
          <w:p>
            <w:pPr>
              <w:spacing w:after="0"/>
              <w:rPr>
                <w:sz w:val="20"/>
                <w:szCs w:val="20"/>
                <w:color w:val="auto"/>
              </w:rPr>
            </w:pPr>
          </w:p>
        </w:tc>
        <w:tc>
          <w:tcPr>
            <w:tcW w:w="120" w:type="dxa"/>
            <w:vAlign w:val="bottom"/>
            <w:tcBorders>
              <w:right w:val="single" w:sz="8" w:color="DBDBDB"/>
            </w:tcBorders>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22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560" w:type="dxa"/>
            <w:vAlign w:val="bottom"/>
            <w:shd w:val="clear" w:color="auto" w:fill="DBDBDB"/>
          </w:tcPr>
          <w:p>
            <w:pPr>
              <w:spacing w:after="0"/>
              <w:rPr>
                <w:sz w:val="20"/>
                <w:szCs w:val="20"/>
                <w:color w:val="auto"/>
              </w:rPr>
            </w:pPr>
          </w:p>
        </w:tc>
        <w:tc>
          <w:tcPr>
            <w:tcW w:w="102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156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540" w:type="dxa"/>
            <w:vAlign w:val="bottom"/>
          </w:tcPr>
          <w:p>
            <w:pPr>
              <w:ind w:left="20"/>
              <w:spacing w:after="0" w:line="176" w:lineRule="exact"/>
              <w:rPr>
                <w:sz w:val="20"/>
                <w:szCs w:val="20"/>
                <w:color w:val="auto"/>
              </w:rPr>
            </w:pPr>
            <w:r>
              <w:rPr>
                <w:rFonts w:ascii="Arial" w:cs="Arial" w:eastAsia="Arial" w:hAnsi="Arial"/>
                <w:sz w:val="18"/>
                <w:szCs w:val="18"/>
                <w:color w:val="auto"/>
              </w:rPr>
              <w:t>Cash flow from operations as a percentage of revenue</w:t>
            </w: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40.5%</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20"/>
              <w:spacing w:after="0"/>
              <w:rPr>
                <w:sz w:val="20"/>
                <w:szCs w:val="20"/>
                <w:color w:val="auto"/>
              </w:rPr>
            </w:pPr>
            <w:r>
              <w:rPr>
                <w:rFonts w:ascii="Arial" w:cs="Arial" w:eastAsia="Arial" w:hAnsi="Arial"/>
                <w:sz w:val="18"/>
                <w:szCs w:val="18"/>
                <w:color w:val="auto"/>
              </w:rPr>
              <w:t>(GAAP)</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DBDBDB"/>
          </w:tcPr>
          <w:p>
            <w:pPr>
              <w:ind w:left="20"/>
              <w:spacing w:after="0"/>
              <w:rPr>
                <w:sz w:val="20"/>
                <w:szCs w:val="20"/>
                <w:color w:val="auto"/>
              </w:rPr>
            </w:pPr>
            <w:r>
              <w:rPr>
                <w:rFonts w:ascii="Arial" w:cs="Arial" w:eastAsia="Arial" w:hAnsi="Arial"/>
                <w:sz w:val="18"/>
                <w:szCs w:val="18"/>
                <w:color w:val="auto"/>
              </w:rPr>
              <w:t>Free cash flow as a percentage of revenue (non-GAAP)</w:t>
            </w:r>
          </w:p>
        </w:tc>
        <w:tc>
          <w:tcPr>
            <w:tcW w:w="120" w:type="dxa"/>
            <w:vAlign w:val="bottom"/>
            <w:shd w:val="clear" w:color="auto" w:fill="DBDBDB"/>
          </w:tcPr>
          <w:p>
            <w:pPr>
              <w:spacing w:after="0"/>
              <w:rPr>
                <w:sz w:val="19"/>
                <w:szCs w:val="19"/>
                <w:color w:val="auto"/>
              </w:rPr>
            </w:pPr>
          </w:p>
        </w:tc>
        <w:tc>
          <w:tcPr>
            <w:tcW w:w="1300" w:type="dxa"/>
            <w:vAlign w:val="bottom"/>
            <w:shd w:val="clear" w:color="auto" w:fill="DBDBDB"/>
          </w:tcPr>
          <w:p>
            <w:pPr>
              <w:spacing w:after="0"/>
              <w:rPr>
                <w:sz w:val="19"/>
                <w:szCs w:val="19"/>
                <w:color w:val="auto"/>
              </w:rPr>
            </w:pPr>
          </w:p>
        </w:tc>
        <w:tc>
          <w:tcPr>
            <w:tcW w:w="120" w:type="dxa"/>
            <w:vAlign w:val="bottom"/>
            <w:tcBorders>
              <w:right w:val="single" w:sz="8" w:color="DBDBDB"/>
            </w:tcBorders>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spacing w:after="0"/>
              <w:rPr>
                <w:sz w:val="19"/>
                <w:szCs w:val="19"/>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16.6%</w:t>
            </w:r>
          </w:p>
        </w:tc>
        <w:tc>
          <w:tcPr>
            <w:tcW w:w="100" w:type="dxa"/>
            <w:vAlign w:val="bottom"/>
            <w:shd w:val="clear" w:color="auto" w:fill="DBDBDB"/>
          </w:tcPr>
          <w:p>
            <w:pPr>
              <w:spacing w:after="0"/>
              <w:rPr>
                <w:sz w:val="19"/>
                <w:szCs w:val="19"/>
                <w:color w:val="auto"/>
              </w:rPr>
            </w:pPr>
          </w:p>
        </w:tc>
        <w:tc>
          <w:tcPr>
            <w:tcW w:w="560" w:type="dxa"/>
            <w:vAlign w:val="bottom"/>
            <w:shd w:val="clear" w:color="auto" w:fill="DBDBDB"/>
          </w:tcPr>
          <w:p>
            <w:pPr>
              <w:spacing w:after="0"/>
              <w:rPr>
                <w:sz w:val="19"/>
                <w:szCs w:val="19"/>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DBDBDB"/>
          </w:tcPr>
          <w:p>
            <w:pPr>
              <w:spacing w:after="0"/>
              <w:rPr>
                <w:sz w:val="19"/>
                <w:szCs w:val="19"/>
                <w:color w:val="auto"/>
              </w:rPr>
            </w:pPr>
          </w:p>
        </w:tc>
        <w:tc>
          <w:tcPr>
            <w:tcW w:w="15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ind w:right="260" w:firstLine="8"/>
        <w:spacing w:after="0" w:line="285" w:lineRule="auto"/>
        <w:tabs>
          <w:tab w:leader="none" w:pos="12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Includes cash benefits of $89 million, $335 million and $588 million from the CHIPS Act ITC used to reduce income taxes payable for the three months ended December 31, 2025, and the twelve months ended December 31, 2025 and 2024, respectively.</w:t>
      </w:r>
    </w:p>
    <w:p>
      <w:pPr>
        <w:spacing w:after="0" w:line="15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This release also includes references to operating taxes, a non-GAAP term we use to describe taxes calculated using the estimated annual effective tax rate, a GAAP measure that by definition does not include discrete tax items. We believe the term operating taxes helps to differentiate from effective taxes, which include discrete tax items.</w:t>
      </w: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1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5"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8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our management:</w:t>
      </w:r>
    </w:p>
    <w:p>
      <w:pPr>
        <w:spacing w:after="0" w:line="153" w:lineRule="exact"/>
        <w:rPr>
          <w:sz w:val="20"/>
          <w:szCs w:val="20"/>
          <w:color w:val="auto"/>
        </w:rPr>
      </w:pPr>
    </w:p>
    <w:p>
      <w:pPr>
        <w:ind w:left="620" w:right="340" w:hanging="329"/>
        <w:spacing w:after="0" w:line="26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Economic, social and political conditions, and natural events in the countries in which we, our customers or our suppliers operate, including global trade policies;</w:t>
      </w:r>
    </w:p>
    <w:p>
      <w:pPr>
        <w:spacing w:after="0" w:line="1" w:lineRule="exact"/>
        <w:rPr>
          <w:rFonts w:ascii="Arial" w:cs="Arial" w:eastAsia="Arial" w:hAnsi="Arial"/>
          <w:sz w:val="18"/>
          <w:szCs w:val="18"/>
          <w:color w:val="auto"/>
        </w:rPr>
      </w:pPr>
    </w:p>
    <w:p>
      <w:pPr>
        <w:ind w:left="620" w:right="42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 demand for semiconductors, particularly in the industrial and automotive markets, and customer demand that differs from forecasts;</w:t>
      </w:r>
    </w:p>
    <w:p>
      <w:pPr>
        <w:ind w:left="620" w:hanging="32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9" w:lineRule="exact"/>
        <w:rPr>
          <w:rFonts w:ascii="Arial" w:cs="Arial" w:eastAsia="Arial" w:hAnsi="Arial"/>
          <w:sz w:val="18"/>
          <w:szCs w:val="18"/>
          <w:color w:val="auto"/>
        </w:rPr>
      </w:pPr>
    </w:p>
    <w:p>
      <w:pPr>
        <w:ind w:left="620" w:right="44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Evolving cybersecurity and other threats relating to our information technology systems or those of our customers, suppliers and other third parties;</w:t>
      </w:r>
    </w:p>
    <w:p>
      <w:pPr>
        <w:ind w:left="620" w:right="22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successfully implement and realize opportunities from strategic, business and organizational changes, or our ability to realize our expectations regarding the amount and timing of associated restructuring charges and cost savings;</w:t>
      </w:r>
    </w:p>
    <w:p>
      <w:pPr>
        <w:ind w:left="620" w:right="26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 our timely implementation of new manufacturing technologies and installation of manufacturing equipment, and our ability to realize expected returns on significant investments in manufacturing capacity;</w:t>
      </w:r>
    </w:p>
    <w:p>
      <w:pPr>
        <w:spacing w:after="0" w:line="1" w:lineRule="exact"/>
        <w:rPr>
          <w:rFonts w:ascii="Arial" w:cs="Arial" w:eastAsia="Arial" w:hAnsi="Arial"/>
          <w:sz w:val="18"/>
          <w:szCs w:val="18"/>
          <w:color w:val="auto"/>
        </w:rPr>
      </w:pPr>
    </w:p>
    <w:p>
      <w:pPr>
        <w:ind w:left="620" w:right="62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Availability and cost of key materials, utilities, manufacturing equipment, third-party manufacturing services and manufacturing technology;</w:t>
      </w:r>
    </w:p>
    <w:p>
      <w:pPr>
        <w:ind w:left="620" w:hanging="32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recruit and retain skilled personnel and effectively manage key employee succession;</w:t>
      </w:r>
    </w:p>
    <w:p>
      <w:pPr>
        <w:spacing w:after="0" w:line="9" w:lineRule="exact"/>
        <w:rPr>
          <w:rFonts w:ascii="Arial" w:cs="Arial" w:eastAsia="Arial" w:hAnsi="Arial"/>
          <w:sz w:val="18"/>
          <w:szCs w:val="18"/>
          <w:color w:val="auto"/>
        </w:rPr>
      </w:pPr>
    </w:p>
    <w:p>
      <w:pPr>
        <w:ind w:left="620" w:right="120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 liability, warranty or other claims relating to our products, software, manufacturing, delivery, services, design or communications, or recalls by our customers for a product containing one of our parts;</w:t>
      </w:r>
    </w:p>
    <w:p>
      <w:pPr>
        <w:jc w:val="both"/>
        <w:ind w:left="620" w:right="68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ind w:left="620" w:right="32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1" w:lineRule="exact"/>
        <w:rPr>
          <w:rFonts w:ascii="Arial" w:cs="Arial" w:eastAsia="Arial" w:hAnsi="Arial"/>
          <w:sz w:val="18"/>
          <w:szCs w:val="18"/>
          <w:color w:val="auto"/>
        </w:rPr>
      </w:pPr>
    </w:p>
    <w:p>
      <w:pPr>
        <w:ind w:left="620" w:right="66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Financial difficulties of our distributors or semiconductor distributors' promotion of competing product lines to our detriment; or disputes with current or former distributors;</w:t>
      </w:r>
    </w:p>
    <w:p>
      <w:pPr>
        <w:ind w:left="620" w:hanging="32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Losses or curtailments of purchases from key customers or the timing and amount of customer inventory adjustments;</w:t>
      </w:r>
    </w:p>
    <w:p>
      <w:pPr>
        <w:spacing w:after="0" w:line="9" w:lineRule="exact"/>
        <w:rPr>
          <w:rFonts w:ascii="Arial" w:cs="Arial" w:eastAsia="Arial" w:hAnsi="Arial"/>
          <w:sz w:val="18"/>
          <w:szCs w:val="18"/>
          <w:color w:val="auto"/>
        </w:rPr>
      </w:pPr>
    </w:p>
    <w:p>
      <w:pPr>
        <w:ind w:left="620" w:right="16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ind w:left="620" w:right="14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ind w:left="620" w:hanging="32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 and</w:t>
      </w:r>
    </w:p>
    <w:p>
      <w:pPr>
        <w:spacing w:after="0" w:line="9" w:lineRule="exact"/>
        <w:rPr>
          <w:rFonts w:ascii="Arial" w:cs="Arial" w:eastAsia="Arial" w:hAnsi="Arial"/>
          <w:sz w:val="18"/>
          <w:szCs w:val="18"/>
          <w:color w:val="auto"/>
        </w:rPr>
      </w:pPr>
    </w:p>
    <w:p>
      <w:pPr>
        <w:ind w:left="620" w:hanging="32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07"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For a more detailed discussion of these factors, see the Risk factors discussion in Item 1A of TI's most recent Form 10-K. The forward-looking statements included in this release are made only as of the date of this release,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106"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About Texas Instruments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Texas Instruments Incorporated (Nasdaq: TXN) is a global semiconductor company that designs, manufactures and sells analog and embedded processing chips for markets such as industrial, automotive, personal electronics, enterprise systems and communications equipment. At our core, we have a passion to create a better world by making electronics more affordable through semiconductors. This passion is alive today as each generation of innovation builds upon the last to make our technology more reliable, more affordable and lower power, making it possible for semiconductors to go into electronics everywhere. Learn more at </w:t>
      </w:r>
      <w:r>
        <w:rPr>
          <w:rFonts w:ascii="Arial" w:cs="Arial" w:eastAsia="Arial" w:hAnsi="Arial"/>
          <w:sz w:val="18"/>
          <w:szCs w:val="18"/>
          <w:u w:val="single" w:color="auto"/>
          <w:color w:val="3A3AFF"/>
        </w:rPr>
        <w:t>TI.com</w:t>
      </w:r>
      <w:r>
        <w:rPr>
          <w:rFonts w:ascii="Arial" w:cs="Arial" w:eastAsia="Arial" w:hAnsi="Arial"/>
          <w:sz w:val="18"/>
          <w:szCs w:val="18"/>
          <w:color w:val="auto"/>
        </w:rPr>
        <w:t>.</w:t>
      </w: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sectPr>
      <w:pgSz w:w="11900" w:h="16838" w:orient="portrait"/>
      <w:cols w:equalWidth="0" w:num="1">
        <w:col w:w="11240"/>
      </w:cols>
      <w:pgMar w:left="320" w:top="110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99"/>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2026-01-27T15:52:41Z</dcterms:created>
  <dcterms:modified xsi:type="dcterms:W3CDTF">2026-01-27T15:52:41Z</dcterms:modified>
</cp:coreProperties>
</file>