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UNITED STATES</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218"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14A</w:t>
      </w: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(Rule 14a-101)</w:t>
      </w: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INFORMATION REQUIRED IN PROXY STATEMENT</w:t>
      </w: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14A INFORMATION</w:t>
      </w: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Proxy Statement Pursuant to Section 14(a) of the</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Securities Exchange Act of 1934 (Amendment No. )</w:t>
      </w:r>
    </w:p>
    <w:p>
      <w:pPr>
        <w:sectPr>
          <w:pgSz w:w="11900" w:h="16838" w:orient="portrait"/>
          <w:cols w:equalWidth="0" w:num="1">
            <w:col w:w="11260"/>
          </w:cols>
          <w:pgMar w:left="240" w:top="472" w:right="399" w:bottom="1440" w:gutter="0" w:footer="0" w:header="0"/>
        </w:sectPr>
      </w:pP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4"/>
          <w:szCs w:val="24"/>
          <w:color w:val="auto"/>
        </w:rPr>
      </w:pPr>
    </w:p>
    <w:p>
      <w:pPr>
        <w:sectPr>
          <w:pgSz w:w="11900" w:h="16838" w:orient="portrait"/>
          <w:cols w:equalWidth="0" w:num="2">
            <w:col w:w="2920" w:space="120"/>
            <w:col w:w="8220"/>
          </w:cols>
          <w:pgMar w:left="240" w:top="472" w:right="399" w:bottom="1440" w:gutter="0" w:footer="0" w:header="0"/>
          <w:type w:val="continuous"/>
        </w:sectPr>
      </w:pPr>
    </w:p>
    <w:p>
      <w:pPr>
        <w:spacing w:after="0" w:line="7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40"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Preliminary Proxy Statement</w:t>
      </w:r>
    </w:p>
    <w:p>
      <w:pPr>
        <w:spacing w:after="0" w:line="27"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Confidential, For Use of the</w:t>
      </w:r>
    </w:p>
    <w:p>
      <w:pPr>
        <w:spacing w:after="0" w:line="20" w:lineRule="exact"/>
        <w:rPr>
          <w:sz w:val="24"/>
          <w:szCs w:val="24"/>
          <w:color w:val="auto"/>
        </w:rPr>
      </w:pPr>
    </w:p>
    <w:p>
      <w:pPr>
        <w:ind w:left="520"/>
        <w:spacing w:after="0"/>
        <w:rPr>
          <w:sz w:val="20"/>
          <w:szCs w:val="20"/>
          <w:color w:val="auto"/>
        </w:rPr>
      </w:pPr>
      <w:r>
        <w:rPr>
          <w:rFonts w:ascii="Arial" w:cs="Arial" w:eastAsia="Arial" w:hAnsi="Arial"/>
          <w:sz w:val="15"/>
          <w:szCs w:val="15"/>
          <w:color w:val="auto"/>
        </w:rPr>
        <w:t>Commission Only (as permitted</w:t>
      </w:r>
    </w:p>
    <w:p>
      <w:pPr>
        <w:spacing w:after="0" w:line="37" w:lineRule="exact"/>
        <w:rPr>
          <w:sz w:val="24"/>
          <w:szCs w:val="24"/>
          <w:color w:val="auto"/>
        </w:rPr>
      </w:pPr>
    </w:p>
    <w:p>
      <w:pPr>
        <w:ind w:left="520"/>
        <w:spacing w:after="0"/>
        <w:rPr>
          <w:sz w:val="20"/>
          <w:szCs w:val="20"/>
          <w:color w:val="auto"/>
        </w:rPr>
      </w:pPr>
      <w:r>
        <w:rPr>
          <w:rFonts w:ascii="Arial" w:cs="Arial" w:eastAsia="Arial" w:hAnsi="Arial"/>
          <w:sz w:val="17"/>
          <w:szCs w:val="17"/>
          <w:color w:val="auto"/>
        </w:rPr>
        <w:t>by Rule 14a-6(e)(2))</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Arial" w:cs="Arial" w:eastAsia="Arial" w:hAnsi="Arial"/>
          <w:sz w:val="16"/>
          <w:szCs w:val="16"/>
          <w:color w:val="auto"/>
        </w:rPr>
        <w:t>[  ] Soliciting Material Under Rule 14a-12</w:t>
      </w:r>
    </w:p>
    <w:p>
      <w:pPr>
        <w:spacing w:after="0" w:line="680" w:lineRule="exact"/>
        <w:rPr>
          <w:sz w:val="24"/>
          <w:szCs w:val="24"/>
          <w:color w:val="auto"/>
        </w:rPr>
      </w:pPr>
    </w:p>
    <w:p>
      <w:pPr>
        <w:sectPr>
          <w:pgSz w:w="11900" w:h="16838" w:orient="portrait"/>
          <w:cols w:equalWidth="0" w:num="2">
            <w:col w:w="2720" w:space="440"/>
            <w:col w:w="8100"/>
          </w:cols>
          <w:pgMar w:left="240" w:top="472" w:right="399" w:bottom="1440" w:gutter="0" w:footer="0" w:header="0"/>
          <w:type w:val="continuous"/>
        </w:sect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40" w:lineRule="exact"/>
        <w:rPr>
          <w:sz w:val="24"/>
          <w:szCs w:val="24"/>
          <w:color w:val="auto"/>
        </w:rPr>
      </w:pPr>
    </w:p>
    <w:p>
      <w:pPr>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6"/>
          <w:szCs w:val="16"/>
          <w:color w:val="auto"/>
        </w:rPr>
        <w:t>Definitive Additional Materials</w:t>
      </w: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22860</wp:posOffset>
            </wp:positionV>
            <wp:extent cx="68091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255"/>
                    </a:xfrm>
                    <a:prstGeom prst="rect">
                      <a:avLst/>
                    </a:prstGeom>
                    <a:noFill/>
                  </pic:spPr>
                </pic:pic>
              </a:graphicData>
            </a:graphic>
          </wp:anchor>
        </w:drawing>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322580</wp:posOffset>
            </wp:positionV>
            <wp:extent cx="6809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76"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40" w:lineRule="exact"/>
        <w:rPr>
          <w:sz w:val="24"/>
          <w:szCs w:val="24"/>
          <w:color w:val="auto"/>
        </w:rPr>
      </w:pPr>
    </w:p>
    <w:p>
      <w:pPr>
        <w:ind w:left="520" w:hanging="502"/>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spacing w:after="0" w:line="40" w:lineRule="exact"/>
        <w:rPr>
          <w:sz w:val="24"/>
          <w:szCs w:val="24"/>
          <w:color w:val="auto"/>
        </w:rPr>
      </w:pPr>
    </w:p>
    <w:p>
      <w:pPr>
        <w:ind w:left="200" w:hanging="187"/>
        <w:spacing w:after="0"/>
        <w:tabs>
          <w:tab w:leader="none" w:pos="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   Fee computed on table below per Exchange Act Rules 14a-6(i)(4) and 0-11.</w:t>
      </w:r>
    </w:p>
    <w:p>
      <w:pPr>
        <w:spacing w:after="0" w:line="40" w:lineRule="exact"/>
        <w:rPr>
          <w:rFonts w:ascii="Arial" w:cs="Arial" w:eastAsia="Arial" w:hAnsi="Arial"/>
          <w:sz w:val="17"/>
          <w:szCs w:val="17"/>
          <w:color w:val="auto"/>
        </w:rPr>
      </w:pPr>
    </w:p>
    <w:p>
      <w:pPr>
        <w:ind w:left="980" w:hanging="462"/>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15" w:lineRule="exact"/>
        <w:rPr>
          <w:rFonts w:ascii="Arial" w:cs="Arial" w:eastAsia="Arial" w:hAnsi="Arial"/>
          <w:sz w:val="17"/>
          <w:szCs w:val="17"/>
          <w:color w:val="auto"/>
        </w:rPr>
      </w:pPr>
    </w:p>
    <w:p>
      <w:pPr>
        <w:ind w:left="980" w:hanging="462"/>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89" w:lineRule="exact"/>
        <w:rPr>
          <w:rFonts w:ascii="Arial" w:cs="Arial" w:eastAsia="Arial" w:hAnsi="Arial"/>
          <w:sz w:val="17"/>
          <w:szCs w:val="17"/>
          <w:color w:val="auto"/>
        </w:rPr>
      </w:pPr>
    </w:p>
    <w:p>
      <w:pPr>
        <w:ind w:left="980" w:right="180" w:hanging="462"/>
        <w:spacing w:after="0" w:line="314"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9" w:lineRule="exact"/>
        <w:rPr>
          <w:rFonts w:ascii="Arial" w:cs="Arial" w:eastAsia="Arial" w:hAnsi="Arial"/>
          <w:sz w:val="17"/>
          <w:szCs w:val="17"/>
          <w:color w:val="auto"/>
        </w:rPr>
      </w:pPr>
    </w:p>
    <w:p>
      <w:pPr>
        <w:ind w:left="980" w:hanging="462"/>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89" w:lineRule="exact"/>
        <w:rPr>
          <w:rFonts w:ascii="Arial" w:cs="Arial" w:eastAsia="Arial" w:hAnsi="Arial"/>
          <w:sz w:val="17"/>
          <w:szCs w:val="17"/>
          <w:color w:val="auto"/>
        </w:rPr>
      </w:pPr>
    </w:p>
    <w:p>
      <w:pPr>
        <w:ind w:left="980" w:hanging="462"/>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619125</wp:posOffset>
            </wp:positionH>
            <wp:positionV relativeFrom="paragraph">
              <wp:posOffset>172720</wp:posOffset>
            </wp:positionV>
            <wp:extent cx="6634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34480"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-134620</wp:posOffset>
            </wp:positionV>
            <wp:extent cx="6634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4480"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-442595</wp:posOffset>
            </wp:positionV>
            <wp:extent cx="6634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34480"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-900430</wp:posOffset>
            </wp:positionV>
            <wp:extent cx="6634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4480"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-1208405</wp:posOffset>
            </wp:positionV>
            <wp:extent cx="6634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4480" cy="8255"/>
                    </a:xfrm>
                    <a:prstGeom prst="rect">
                      <a:avLst/>
                    </a:prstGeom>
                    <a:noFill/>
                  </pic:spPr>
                </pic:pic>
              </a:graphicData>
            </a:graphic>
          </wp:anchor>
        </w:drawing>
      </w:r>
    </w:p>
    <w:p>
      <w:pPr>
        <w:spacing w:after="0" w:line="256" w:lineRule="exact"/>
        <w:rPr>
          <w:sz w:val="24"/>
          <w:szCs w:val="24"/>
          <w:color w:val="auto"/>
        </w:rPr>
      </w:pPr>
    </w:p>
    <w:p>
      <w:pPr>
        <w:ind w:left="20"/>
        <w:spacing w:after="0"/>
        <w:tabs>
          <w:tab w:leader="none" w:pos="5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Fee paid previously with preliminary materials:</w:t>
      </w:r>
    </w:p>
    <w:p>
      <w:pPr>
        <w:spacing w:after="0" w:line="27" w:lineRule="exact"/>
        <w:rPr>
          <w:sz w:val="24"/>
          <w:szCs w:val="24"/>
          <w:color w:val="auto"/>
        </w:rPr>
      </w:pPr>
    </w:p>
    <w:p>
      <w:pPr>
        <w:ind w:left="520" w:hanging="507"/>
        <w:spacing w:after="0" w:line="265" w:lineRule="auto"/>
        <w:tabs>
          <w:tab w:leader="none" w:pos="201" w:val="left"/>
        </w:tabs>
        <w:numPr>
          <w:ilvl w:val="0"/>
          <w:numId w:val="4"/>
        </w:numPr>
        <w:rPr>
          <w:rFonts w:ascii="Arial" w:cs="Arial" w:eastAsia="Arial" w:hAnsi="Arial"/>
          <w:sz w:val="17"/>
          <w:szCs w:val="17"/>
          <w:color w:val="auto"/>
        </w:rPr>
      </w:pPr>
      <w:r>
        <w:rPr>
          <w:rFonts w:ascii="Arial" w:cs="Arial" w:eastAsia="Arial" w:hAnsi="Arial"/>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80" w:hanging="464"/>
        <w:spacing w:after="0"/>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68" w:lineRule="exact"/>
        <w:rPr>
          <w:rFonts w:ascii="Arial" w:cs="Arial" w:eastAsia="Arial" w:hAnsi="Arial"/>
          <w:sz w:val="17"/>
          <w:szCs w:val="17"/>
          <w:color w:val="auto"/>
        </w:rPr>
      </w:pPr>
    </w:p>
    <w:p>
      <w:pPr>
        <w:ind w:left="980" w:hanging="464"/>
        <w:spacing w:after="0"/>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55" w:lineRule="exact"/>
        <w:rPr>
          <w:rFonts w:ascii="Arial" w:cs="Arial" w:eastAsia="Arial" w:hAnsi="Arial"/>
          <w:sz w:val="17"/>
          <w:szCs w:val="17"/>
          <w:color w:val="auto"/>
        </w:rPr>
      </w:pPr>
    </w:p>
    <w:p>
      <w:pPr>
        <w:ind w:left="980" w:hanging="464"/>
        <w:spacing w:after="0"/>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55" w:lineRule="exact"/>
        <w:rPr>
          <w:rFonts w:ascii="Arial" w:cs="Arial" w:eastAsia="Arial" w:hAnsi="Arial"/>
          <w:sz w:val="17"/>
          <w:szCs w:val="17"/>
          <w:color w:val="auto"/>
        </w:rPr>
      </w:pPr>
    </w:p>
    <w:p>
      <w:pPr>
        <w:ind w:left="980" w:hanging="464"/>
        <w:spacing w:after="0"/>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619125</wp:posOffset>
            </wp:positionH>
            <wp:positionV relativeFrom="paragraph">
              <wp:posOffset>172720</wp:posOffset>
            </wp:positionV>
            <wp:extent cx="6634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4480"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-134620</wp:posOffset>
            </wp:positionV>
            <wp:extent cx="66344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4480"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-484505</wp:posOffset>
            </wp:positionV>
            <wp:extent cx="66344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4480" cy="8255"/>
                    </a:xfrm>
                    <a:prstGeom prst="rect">
                      <a:avLst/>
                    </a:prstGeom>
                    <a:noFill/>
                  </pic:spPr>
                </pic:pic>
              </a:graphicData>
            </a:graphic>
          </wp:anchor>
        </w:drawing>
        <w:drawing>
          <wp:anchor simplePos="0" relativeHeight="251657728" behindDoc="1" locked="0" layoutInCell="0" allowOverlap="1">
            <wp:simplePos x="0" y="0"/>
            <wp:positionH relativeFrom="column">
              <wp:posOffset>619125</wp:posOffset>
            </wp:positionH>
            <wp:positionV relativeFrom="paragraph">
              <wp:posOffset>-833755</wp:posOffset>
            </wp:positionV>
            <wp:extent cx="66344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44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394970</wp:posOffset>
            </wp:positionV>
            <wp:extent cx="727138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260"/>
          </w:cols>
          <w:pgMar w:left="240" w:top="472" w:right="399" w:bottom="1440" w:gutter="0" w:footer="0" w:header="0"/>
          <w:type w:val="continuous"/>
        </w:sectPr>
      </w:pPr>
    </w:p>
    <w:bookmarkStart w:id="1" w:name="page2"/>
    <w:bookmarkEnd w:id="1"/>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49</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250430" cy="715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1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Notice of annual meeting of stockholders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21, 2011</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37"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You are cordially invited to attend the 2011 annual meeting of stockholders on Thursday, April 21, 2011, at the cafeteria on our property at 12500 TI Boulevard, Dallas, Texas, at 10:00 a.m. (Dallas time). At the meeting we will consider and act upon the following matters: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election of directors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an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an advisory vote on the frequency of future advisory votes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080"/>
        <w:spacing w:after="0" w:line="268" w:lineRule="auto"/>
        <w:rPr>
          <w:sz w:val="20"/>
          <w:szCs w:val="20"/>
          <w:color w:val="auto"/>
        </w:rPr>
      </w:pPr>
      <w:r>
        <w:rPr>
          <w:rFonts w:ascii="Arial" w:cs="Arial" w:eastAsia="Arial" w:hAnsi="Arial"/>
          <w:sz w:val="17"/>
          <w:szCs w:val="17"/>
          <w:color w:val="auto"/>
        </w:rPr>
        <w:t>ratification of the appointment of Ernst &amp; Young LLP as the company’s independent registered public accounting firm for 2011, and such other matters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-241300</wp:posOffset>
            </wp:positionV>
            <wp:extent cx="58420" cy="58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-107950</wp:posOffset>
            </wp:positionV>
            <wp:extent cx="58420" cy="5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 at the close of business on February 22, 2011, are entitled to vote at the annual meeting.</w:t>
      </w:r>
    </w:p>
    <w:p>
      <w:pPr>
        <w:spacing w:after="0" w:line="217"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We urge you to vote your shares as promptly as possible by: (1) accessing the Internet website, (2) calling the toll-free number or (3) signing, dating and mailing the enclosed proxy.</w:t>
      </w:r>
    </w:p>
    <w:p>
      <w:pPr>
        <w:spacing w:after="0" w:line="200"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5264150</wp:posOffset>
            </wp:positionH>
            <wp:positionV relativeFrom="paragraph">
              <wp:posOffset>-635</wp:posOffset>
            </wp:positionV>
            <wp:extent cx="1989455" cy="599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9455"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Joseph F. Hubach</w:t>
      </w:r>
    </w:p>
    <w:p>
      <w:pPr>
        <w:spacing w:after="0" w:line="1"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Senior Vice President,</w:t>
      </w:r>
    </w:p>
    <w:p>
      <w:pPr>
        <w:spacing w:after="0" w:line="1"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Secretary and</w:t>
      </w:r>
    </w:p>
    <w:p>
      <w:pPr>
        <w:spacing w:after="0" w:line="1"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General Counsel</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March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845820</wp:posOffset>
            </wp:positionV>
            <wp:extent cx="72713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4"/>
        </w:trPr>
        <w:tc>
          <w:tcPr>
            <w:tcW w:w="5360" w:type="dxa"/>
            <w:vAlign w:val="bottom"/>
          </w:tcPr>
          <w:p>
            <w:pPr>
              <w:ind w:left="3780"/>
              <w:spacing w:after="0"/>
              <w:rPr>
                <w:sz w:val="20"/>
                <w:szCs w:val="20"/>
                <w:color w:val="auto"/>
              </w:rPr>
            </w:pPr>
            <w:r>
              <w:rPr>
                <w:rFonts w:ascii="Arial" w:cs="Arial" w:eastAsia="Arial" w:hAnsi="Arial"/>
                <w:sz w:val="13"/>
                <w:szCs w:val="13"/>
                <w:b w:val="1"/>
                <w:bCs w:val="1"/>
                <w:color w:val="808285"/>
              </w:rPr>
              <w:t>TEXAS INSTRUMENTS</w:t>
            </w:r>
          </w:p>
        </w:tc>
        <w:tc>
          <w:tcPr>
            <w:tcW w:w="460" w:type="dxa"/>
            <w:vAlign w:val="bottom"/>
            <w:gridSpan w:val="2"/>
          </w:tcPr>
          <w:p>
            <w:pPr>
              <w:jc w:val="right"/>
              <w:spacing w:after="0"/>
              <w:rPr>
                <w:sz w:val="20"/>
                <w:szCs w:val="20"/>
                <w:color w:val="auto"/>
              </w:rPr>
            </w:pP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50</w:t>
            </w:r>
            <w:r>
              <w:rPr>
                <w:rFonts w:ascii="Arial" w:cs="Arial" w:eastAsia="Arial" w:hAnsi="Arial"/>
                <w:sz w:val="17"/>
                <w:szCs w:val="17"/>
                <w:b w:val="1"/>
                <w:bCs w:val="1"/>
                <w:color w:val="808285"/>
              </w:rPr>
              <w:t xml:space="preserve"> |</w:t>
            </w:r>
          </w:p>
        </w:tc>
        <w:tc>
          <w:tcPr>
            <w:tcW w:w="4720" w:type="dxa"/>
            <w:vAlign w:val="bottom"/>
          </w:tcPr>
          <w:p>
            <w:pPr>
              <w:ind w:left="220"/>
              <w:spacing w:after="0"/>
              <w:rPr>
                <w:sz w:val="20"/>
                <w:szCs w:val="20"/>
                <w:color w:val="auto"/>
              </w:rPr>
            </w:pPr>
            <w:r>
              <w:rPr>
                <w:rFonts w:ascii="Arial" w:cs="Arial" w:eastAsia="Arial" w:hAnsi="Arial"/>
                <w:sz w:val="13"/>
                <w:szCs w:val="13"/>
                <w:b w:val="1"/>
                <w:bCs w:val="1"/>
                <w:color w:val="808285"/>
              </w:rPr>
              <w:t>2011 PROXY STATEMENT</w:t>
            </w:r>
          </w:p>
        </w:tc>
        <w:tc>
          <w:tcPr>
            <w:tcW w:w="880" w:type="dxa"/>
            <w:vAlign w:val="bottom"/>
          </w:tcPr>
          <w:p>
            <w:pPr>
              <w:spacing w:after="0"/>
              <w:rPr>
                <w:sz w:val="19"/>
                <w:szCs w:val="19"/>
                <w:color w:val="auto"/>
              </w:rPr>
            </w:pPr>
          </w:p>
        </w:tc>
      </w:tr>
      <w:tr>
        <w:trPr>
          <w:trHeight w:val="505"/>
        </w:trPr>
        <w:tc>
          <w:tcPr>
            <w:tcW w:w="5360" w:type="dxa"/>
            <w:vAlign w:val="bottom"/>
          </w:tcPr>
          <w:p>
            <w:pPr>
              <w:spacing w:after="0"/>
              <w:rPr>
                <w:sz w:val="20"/>
                <w:szCs w:val="20"/>
                <w:color w:val="auto"/>
              </w:rPr>
            </w:pPr>
            <w:r>
              <w:rPr>
                <w:rFonts w:ascii="Arial" w:cs="Arial" w:eastAsia="Arial" w:hAnsi="Arial"/>
                <w:sz w:val="24"/>
                <w:szCs w:val="24"/>
                <w:b w:val="1"/>
                <w:bCs w:val="1"/>
                <w:color w:val="auto"/>
              </w:rPr>
              <w:t>Table of contents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2"/>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05"/>
        </w:trPr>
        <w:tc>
          <w:tcPr>
            <w:tcW w:w="5360" w:type="dxa"/>
            <w:vAlign w:val="bottom"/>
            <w:shd w:val="clear" w:color="auto" w:fill="808285"/>
          </w:tcPr>
          <w:p>
            <w:pPr>
              <w:spacing w:after="0"/>
              <w:rPr>
                <w:sz w:val="9"/>
                <w:szCs w:val="9"/>
                <w:color w:val="auto"/>
              </w:rPr>
            </w:pPr>
          </w:p>
        </w:tc>
        <w:tc>
          <w:tcPr>
            <w:tcW w:w="200" w:type="dxa"/>
            <w:vAlign w:val="bottom"/>
            <w:shd w:val="clear" w:color="auto" w:fill="808285"/>
          </w:tcPr>
          <w:p>
            <w:pPr>
              <w:spacing w:after="0"/>
              <w:rPr>
                <w:sz w:val="9"/>
                <w:szCs w:val="9"/>
                <w:color w:val="auto"/>
              </w:rPr>
            </w:pPr>
          </w:p>
        </w:tc>
        <w:tc>
          <w:tcPr>
            <w:tcW w:w="260" w:type="dxa"/>
            <w:vAlign w:val="bottom"/>
            <w:shd w:val="clear" w:color="auto" w:fill="808285"/>
          </w:tcPr>
          <w:p>
            <w:pPr>
              <w:spacing w:after="0"/>
              <w:rPr>
                <w:sz w:val="9"/>
                <w:szCs w:val="9"/>
                <w:color w:val="auto"/>
              </w:rPr>
            </w:pPr>
          </w:p>
        </w:tc>
        <w:tc>
          <w:tcPr>
            <w:tcW w:w="4720" w:type="dxa"/>
            <w:vAlign w:val="bottom"/>
            <w:shd w:val="clear" w:color="auto" w:fill="808285"/>
          </w:tcPr>
          <w:p>
            <w:pPr>
              <w:spacing w:after="0"/>
              <w:rPr>
                <w:sz w:val="9"/>
                <w:szCs w:val="9"/>
                <w:color w:val="auto"/>
              </w:rPr>
            </w:pPr>
          </w:p>
        </w:tc>
        <w:tc>
          <w:tcPr>
            <w:tcW w:w="880" w:type="dxa"/>
            <w:vAlign w:val="bottom"/>
            <w:shd w:val="clear" w:color="auto" w:fill="808285"/>
          </w:tcPr>
          <w:p>
            <w:pPr>
              <w:spacing w:after="0"/>
              <w:rPr>
                <w:sz w:val="9"/>
                <w:szCs w:val="9"/>
                <w:color w:val="auto"/>
              </w:rPr>
            </w:pPr>
          </w:p>
        </w:tc>
      </w:tr>
      <w:tr>
        <w:trPr>
          <w:trHeight w:val="236"/>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6"/>
        </w:trPr>
        <w:tc>
          <w:tcPr>
            <w:tcW w:w="5360" w:type="dxa"/>
            <w:vAlign w:val="bottom"/>
            <w:shd w:val="clear" w:color="auto" w:fill="E9E9E9"/>
          </w:tcPr>
          <w:p>
            <w:pPr>
              <w:spacing w:after="0"/>
              <w:rPr>
                <w:sz w:val="20"/>
                <w:szCs w:val="20"/>
                <w:color w:val="auto"/>
              </w:rPr>
            </w:pPr>
            <w:r>
              <w:rPr>
                <w:rFonts w:ascii="Arial" w:cs="Arial" w:eastAsia="Arial" w:hAnsi="Arial"/>
                <w:sz w:val="17"/>
                <w:szCs w:val="17"/>
                <w:color w:val="auto"/>
              </w:rPr>
              <w:t>Voting procedures and quorum</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50</w:t>
            </w:r>
          </w:p>
        </w:tc>
        <w:tc>
          <w:tcPr>
            <w:tcW w:w="260" w:type="dxa"/>
            <w:vAlign w:val="bottom"/>
          </w:tcPr>
          <w:p>
            <w:pPr>
              <w:spacing w:after="0"/>
              <w:rPr>
                <w:sz w:val="20"/>
                <w:szCs w:val="20"/>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Grants of plan-based awards in 2010</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w:t>
            </w:r>
          </w:p>
        </w:tc>
      </w:tr>
      <w:tr>
        <w:trPr>
          <w:trHeight w:val="228"/>
        </w:trPr>
        <w:tc>
          <w:tcPr>
            <w:tcW w:w="5360" w:type="dxa"/>
            <w:vAlign w:val="bottom"/>
          </w:tcPr>
          <w:p>
            <w:pPr>
              <w:spacing w:after="0"/>
              <w:rPr>
                <w:sz w:val="20"/>
                <w:szCs w:val="20"/>
                <w:color w:val="auto"/>
              </w:rPr>
            </w:pPr>
            <w:r>
              <w:rPr>
                <w:rFonts w:ascii="Arial" w:cs="Arial" w:eastAsia="Arial" w:hAnsi="Arial"/>
                <w:sz w:val="17"/>
                <w:szCs w:val="17"/>
                <w:color w:val="auto"/>
              </w:rPr>
              <w:t>Election of directors</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51</w:t>
            </w: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Outstanding equity awards at fiscal year-end 2010</w:t>
            </w:r>
          </w:p>
        </w:tc>
        <w:tc>
          <w:tcPr>
            <w:tcW w:w="8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44"/>
        </w:trPr>
        <w:tc>
          <w:tcPr>
            <w:tcW w:w="5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Nominees for directorship</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51</w:t>
            </w:r>
          </w:p>
        </w:tc>
        <w:tc>
          <w:tcPr>
            <w:tcW w:w="260" w:type="dxa"/>
            <w:vAlign w:val="bottom"/>
          </w:tcPr>
          <w:p>
            <w:pPr>
              <w:spacing w:after="0"/>
              <w:rPr>
                <w:sz w:val="21"/>
                <w:szCs w:val="21"/>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2010 option exercises and stock vested</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79</w:t>
            </w:r>
          </w:p>
        </w:tc>
      </w:tr>
      <w:tr>
        <w:trPr>
          <w:trHeight w:val="228"/>
        </w:trPr>
        <w:tc>
          <w:tcPr>
            <w:tcW w:w="5360" w:type="dxa"/>
            <w:vAlign w:val="bottom"/>
          </w:tcPr>
          <w:p>
            <w:pPr>
              <w:ind w:left="240"/>
              <w:spacing w:after="0"/>
              <w:rPr>
                <w:sz w:val="20"/>
                <w:szCs w:val="20"/>
                <w:color w:val="auto"/>
              </w:rPr>
            </w:pPr>
            <w:r>
              <w:rPr>
                <w:rFonts w:ascii="Arial" w:cs="Arial" w:eastAsia="Arial" w:hAnsi="Arial"/>
                <w:sz w:val="17"/>
                <w:szCs w:val="17"/>
                <w:color w:val="auto"/>
              </w:rPr>
              <w:t>Director nomination process</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52</w:t>
            </w: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2010 pension benefits</w:t>
            </w:r>
          </w:p>
        </w:tc>
        <w:tc>
          <w:tcPr>
            <w:tcW w:w="8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44"/>
        </w:trPr>
        <w:tc>
          <w:tcPr>
            <w:tcW w:w="5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Board diversity and nominee qualifications</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52</w:t>
            </w:r>
          </w:p>
        </w:tc>
        <w:tc>
          <w:tcPr>
            <w:tcW w:w="260" w:type="dxa"/>
            <w:vAlign w:val="bottom"/>
          </w:tcPr>
          <w:p>
            <w:pPr>
              <w:spacing w:after="0"/>
              <w:rPr>
                <w:sz w:val="21"/>
                <w:szCs w:val="21"/>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2010 non-qualified deferred compensation</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w:t>
            </w:r>
          </w:p>
        </w:tc>
      </w:tr>
      <w:tr>
        <w:trPr>
          <w:trHeight w:val="228"/>
        </w:trPr>
        <w:tc>
          <w:tcPr>
            <w:tcW w:w="5360" w:type="dxa"/>
            <w:vAlign w:val="bottom"/>
          </w:tcPr>
          <w:p>
            <w:pPr>
              <w:ind w:left="240"/>
              <w:spacing w:after="0"/>
              <w:rPr>
                <w:sz w:val="20"/>
                <w:szCs w:val="20"/>
                <w:color w:val="auto"/>
              </w:rPr>
            </w:pPr>
            <w:r>
              <w:rPr>
                <w:rFonts w:ascii="Arial" w:cs="Arial" w:eastAsia="Arial" w:hAnsi="Arial"/>
                <w:sz w:val="17"/>
                <w:szCs w:val="17"/>
                <w:color w:val="auto"/>
              </w:rPr>
              <w:t>Communications with the board</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54</w:t>
            </w: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Potential payments upon termination or</w:t>
            </w:r>
          </w:p>
        </w:tc>
        <w:tc>
          <w:tcPr>
            <w:tcW w:w="880" w:type="dxa"/>
            <w:vAlign w:val="bottom"/>
          </w:tcPr>
          <w:p>
            <w:pPr>
              <w:spacing w:after="0"/>
              <w:rPr>
                <w:sz w:val="19"/>
                <w:szCs w:val="19"/>
                <w:color w:val="auto"/>
              </w:rPr>
            </w:pPr>
          </w:p>
        </w:tc>
      </w:tr>
      <w:tr>
        <w:trPr>
          <w:trHeight w:val="244"/>
        </w:trPr>
        <w:tc>
          <w:tcPr>
            <w:tcW w:w="5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Corporate governance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54</w:t>
            </w:r>
          </w:p>
        </w:tc>
        <w:tc>
          <w:tcPr>
            <w:tcW w:w="260" w:type="dxa"/>
            <w:vAlign w:val="bottom"/>
          </w:tcPr>
          <w:p>
            <w:pPr>
              <w:spacing w:after="0"/>
              <w:rPr>
                <w:sz w:val="21"/>
                <w:szCs w:val="21"/>
                <w:color w:val="auto"/>
              </w:rPr>
            </w:pPr>
          </w:p>
        </w:tc>
        <w:tc>
          <w:tcPr>
            <w:tcW w:w="4720" w:type="dxa"/>
            <w:vAlign w:val="bottom"/>
          </w:tcPr>
          <w:p>
            <w:pPr>
              <w:ind w:left="480"/>
              <w:spacing w:after="0"/>
              <w:rPr>
                <w:sz w:val="20"/>
                <w:szCs w:val="20"/>
                <w:color w:val="auto"/>
              </w:rPr>
            </w:pPr>
            <w:r>
              <w:rPr>
                <w:rFonts w:ascii="Arial" w:cs="Arial" w:eastAsia="Arial" w:hAnsi="Arial"/>
                <w:sz w:val="17"/>
                <w:szCs w:val="17"/>
                <w:color w:val="auto"/>
              </w:rPr>
              <w:t>change in control</w:t>
            </w:r>
          </w:p>
        </w:tc>
        <w:tc>
          <w:tcPr>
            <w:tcW w:w="8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36"/>
        </w:trPr>
        <w:tc>
          <w:tcPr>
            <w:tcW w:w="5360" w:type="dxa"/>
            <w:vAlign w:val="bottom"/>
          </w:tcPr>
          <w:p>
            <w:pPr>
              <w:ind w:left="240"/>
              <w:spacing w:after="0"/>
              <w:rPr>
                <w:sz w:val="20"/>
                <w:szCs w:val="20"/>
                <w:color w:val="auto"/>
              </w:rPr>
            </w:pPr>
            <w:r>
              <w:rPr>
                <w:rFonts w:ascii="Arial" w:cs="Arial" w:eastAsia="Arial" w:hAnsi="Arial"/>
                <w:sz w:val="17"/>
                <w:szCs w:val="17"/>
                <w:color w:val="auto"/>
              </w:rPr>
              <w:t>Annual meeting attendance</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54</w:t>
            </w:r>
          </w:p>
        </w:tc>
        <w:tc>
          <w:tcPr>
            <w:tcW w:w="260" w:type="dxa"/>
            <w:vAlign w:val="bottom"/>
          </w:tcPr>
          <w:p>
            <w:pPr>
              <w:spacing w:after="0"/>
              <w:rPr>
                <w:sz w:val="20"/>
                <w:szCs w:val="20"/>
                <w:color w:val="auto"/>
              </w:rPr>
            </w:pPr>
          </w:p>
        </w:tc>
        <w:tc>
          <w:tcPr>
            <w:tcW w:w="4720" w:type="dxa"/>
            <w:vAlign w:val="bottom"/>
            <w:shd w:val="clear" w:color="auto" w:fill="E9E9E9"/>
          </w:tcPr>
          <w:p>
            <w:pPr>
              <w:spacing w:after="0"/>
              <w:rPr>
                <w:sz w:val="20"/>
                <w:szCs w:val="20"/>
                <w:color w:val="auto"/>
              </w:rPr>
            </w:pPr>
            <w:r>
              <w:rPr>
                <w:rFonts w:ascii="Arial" w:cs="Arial" w:eastAsia="Arial" w:hAnsi="Arial"/>
                <w:sz w:val="17"/>
                <w:szCs w:val="17"/>
                <w:color w:val="auto"/>
              </w:rPr>
              <w:t>Audit Committee report</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86</w:t>
            </w:r>
          </w:p>
        </w:tc>
      </w:tr>
      <w:tr>
        <w:trPr>
          <w:trHeight w:val="236"/>
        </w:trPr>
        <w:tc>
          <w:tcPr>
            <w:tcW w:w="5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Director independence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54</w:t>
            </w:r>
          </w:p>
        </w:tc>
        <w:tc>
          <w:tcPr>
            <w:tcW w:w="2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Proposal to ratify appointment of independent</w:t>
            </w:r>
          </w:p>
        </w:tc>
        <w:tc>
          <w:tcPr>
            <w:tcW w:w="880" w:type="dxa"/>
            <w:vAlign w:val="bottom"/>
          </w:tcPr>
          <w:p>
            <w:pPr>
              <w:spacing w:after="0"/>
              <w:rPr>
                <w:sz w:val="20"/>
                <w:szCs w:val="20"/>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7"/>
                <w:szCs w:val="17"/>
                <w:color w:val="auto"/>
              </w:rPr>
              <w:t>Board organization</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55</w:t>
            </w: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registered public accounting firm</w:t>
            </w:r>
          </w:p>
        </w:tc>
        <w:tc>
          <w:tcPr>
            <w:tcW w:w="8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44"/>
        </w:trPr>
        <w:tc>
          <w:tcPr>
            <w:tcW w:w="5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Board and committee meetings</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55</w:t>
            </w:r>
          </w:p>
        </w:tc>
        <w:tc>
          <w:tcPr>
            <w:tcW w:w="260" w:type="dxa"/>
            <w:vAlign w:val="bottom"/>
          </w:tcPr>
          <w:p>
            <w:pPr>
              <w:spacing w:after="0"/>
              <w:rPr>
                <w:sz w:val="21"/>
                <w:szCs w:val="21"/>
                <w:color w:val="auto"/>
              </w:rPr>
            </w:pPr>
          </w:p>
        </w:tc>
        <w:tc>
          <w:tcPr>
            <w:tcW w:w="4720" w:type="dxa"/>
            <w:vAlign w:val="bottom"/>
            <w:shd w:val="clear" w:color="auto" w:fill="E9E9E9"/>
          </w:tcPr>
          <w:p>
            <w:pPr>
              <w:spacing w:after="0"/>
              <w:rPr>
                <w:sz w:val="20"/>
                <w:szCs w:val="20"/>
                <w:color w:val="auto"/>
              </w:rPr>
            </w:pPr>
            <w:r>
              <w:rPr>
                <w:rFonts w:ascii="Arial" w:cs="Arial" w:eastAsia="Arial" w:hAnsi="Arial"/>
                <w:sz w:val="17"/>
                <w:szCs w:val="17"/>
                <w:color w:val="auto"/>
              </w:rPr>
              <w:t>Additional information</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88</w:t>
            </w:r>
          </w:p>
        </w:tc>
      </w:tr>
      <w:tr>
        <w:trPr>
          <w:trHeight w:val="228"/>
        </w:trPr>
        <w:tc>
          <w:tcPr>
            <w:tcW w:w="5360" w:type="dxa"/>
            <w:vAlign w:val="bottom"/>
          </w:tcPr>
          <w:p>
            <w:pPr>
              <w:ind w:left="240"/>
              <w:spacing w:after="0"/>
              <w:rPr>
                <w:sz w:val="20"/>
                <w:szCs w:val="20"/>
                <w:color w:val="auto"/>
              </w:rPr>
            </w:pPr>
            <w:r>
              <w:rPr>
                <w:rFonts w:ascii="Arial" w:cs="Arial" w:eastAsia="Arial" w:hAnsi="Arial"/>
                <w:sz w:val="17"/>
                <w:szCs w:val="17"/>
                <w:color w:val="auto"/>
              </w:rPr>
              <w:t>Committees of the board</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55</w:t>
            </w: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Voting securities</w:t>
            </w:r>
          </w:p>
        </w:tc>
        <w:tc>
          <w:tcPr>
            <w:tcW w:w="8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44"/>
        </w:trPr>
        <w:tc>
          <w:tcPr>
            <w:tcW w:w="5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Board leadership structure</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57</w:t>
            </w:r>
          </w:p>
        </w:tc>
        <w:tc>
          <w:tcPr>
            <w:tcW w:w="260" w:type="dxa"/>
            <w:vAlign w:val="bottom"/>
          </w:tcPr>
          <w:p>
            <w:pPr>
              <w:spacing w:after="0"/>
              <w:rPr>
                <w:sz w:val="21"/>
                <w:szCs w:val="21"/>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Security ownership of certain beneficial owners</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88</w:t>
            </w:r>
          </w:p>
        </w:tc>
      </w:tr>
      <w:tr>
        <w:trPr>
          <w:trHeight w:val="228"/>
        </w:trPr>
        <w:tc>
          <w:tcPr>
            <w:tcW w:w="5360" w:type="dxa"/>
            <w:vAlign w:val="bottom"/>
          </w:tcPr>
          <w:p>
            <w:pPr>
              <w:ind w:left="240"/>
              <w:spacing w:after="0"/>
              <w:rPr>
                <w:sz w:val="20"/>
                <w:szCs w:val="20"/>
                <w:color w:val="auto"/>
              </w:rPr>
            </w:pPr>
            <w:r>
              <w:rPr>
                <w:rFonts w:ascii="Arial" w:cs="Arial" w:eastAsia="Arial" w:hAnsi="Arial"/>
                <w:sz w:val="17"/>
                <w:szCs w:val="17"/>
                <w:color w:val="auto"/>
              </w:rPr>
              <w:t>Risk oversight by the board</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58</w:t>
            </w: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Security ownership of directors and management</w:t>
            </w:r>
          </w:p>
        </w:tc>
        <w:tc>
          <w:tcPr>
            <w:tcW w:w="8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44"/>
        </w:trPr>
        <w:tc>
          <w:tcPr>
            <w:tcW w:w="5360" w:type="dxa"/>
            <w:vAlign w:val="bottom"/>
            <w:shd w:val="clear" w:color="auto" w:fill="E9E9E9"/>
          </w:tcPr>
          <w:p>
            <w:pPr>
              <w:spacing w:after="0"/>
              <w:rPr>
                <w:sz w:val="20"/>
                <w:szCs w:val="20"/>
                <w:color w:val="auto"/>
              </w:rPr>
            </w:pPr>
            <w:r>
              <w:rPr>
                <w:rFonts w:ascii="Arial" w:cs="Arial" w:eastAsia="Arial" w:hAnsi="Arial"/>
                <w:sz w:val="17"/>
                <w:szCs w:val="17"/>
                <w:color w:val="auto"/>
              </w:rPr>
              <w:t>Director compensation</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58</w:t>
            </w:r>
          </w:p>
        </w:tc>
        <w:tc>
          <w:tcPr>
            <w:tcW w:w="260" w:type="dxa"/>
            <w:vAlign w:val="bottom"/>
          </w:tcPr>
          <w:p>
            <w:pPr>
              <w:spacing w:after="0"/>
              <w:rPr>
                <w:sz w:val="21"/>
                <w:szCs w:val="21"/>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Related person transactions</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90</w:t>
            </w:r>
          </w:p>
        </w:tc>
      </w:tr>
      <w:tr>
        <w:trPr>
          <w:trHeight w:val="228"/>
        </w:trPr>
        <w:tc>
          <w:tcPr>
            <w:tcW w:w="5360" w:type="dxa"/>
            <w:vAlign w:val="bottom"/>
          </w:tcPr>
          <w:p>
            <w:pPr>
              <w:ind w:left="240"/>
              <w:spacing w:after="0"/>
              <w:rPr>
                <w:sz w:val="20"/>
                <w:szCs w:val="20"/>
                <w:color w:val="auto"/>
              </w:rPr>
            </w:pPr>
            <w:r>
              <w:rPr>
                <w:rFonts w:ascii="Arial" w:cs="Arial" w:eastAsia="Arial" w:hAnsi="Arial"/>
                <w:sz w:val="17"/>
                <w:szCs w:val="17"/>
                <w:color w:val="auto"/>
              </w:rPr>
              <w:t>2010 director compensation</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59</w:t>
            </w: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Compensation committee interlocks and</w:t>
            </w:r>
          </w:p>
        </w:tc>
        <w:tc>
          <w:tcPr>
            <w:tcW w:w="880" w:type="dxa"/>
            <w:vAlign w:val="bottom"/>
          </w:tcPr>
          <w:p>
            <w:pPr>
              <w:spacing w:after="0"/>
              <w:rPr>
                <w:sz w:val="19"/>
                <w:szCs w:val="19"/>
                <w:color w:val="auto"/>
              </w:rPr>
            </w:pPr>
          </w:p>
        </w:tc>
      </w:tr>
      <w:tr>
        <w:trPr>
          <w:trHeight w:val="244"/>
        </w:trPr>
        <w:tc>
          <w:tcPr>
            <w:tcW w:w="5360" w:type="dxa"/>
            <w:vAlign w:val="bottom"/>
            <w:shd w:val="clear" w:color="auto" w:fill="E9E9E9"/>
          </w:tcPr>
          <w:p>
            <w:pPr>
              <w:spacing w:after="0"/>
              <w:rPr>
                <w:sz w:val="20"/>
                <w:szCs w:val="20"/>
                <w:color w:val="auto"/>
              </w:rPr>
            </w:pPr>
            <w:r>
              <w:rPr>
                <w:rFonts w:ascii="Arial" w:cs="Arial" w:eastAsia="Arial" w:hAnsi="Arial"/>
                <w:sz w:val="17"/>
                <w:szCs w:val="17"/>
                <w:color w:val="auto"/>
              </w:rPr>
              <w:t>Executive compensation</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61</w:t>
            </w:r>
          </w:p>
        </w:tc>
        <w:tc>
          <w:tcPr>
            <w:tcW w:w="260" w:type="dxa"/>
            <w:vAlign w:val="bottom"/>
          </w:tcPr>
          <w:p>
            <w:pPr>
              <w:spacing w:after="0"/>
              <w:rPr>
                <w:sz w:val="21"/>
                <w:szCs w:val="21"/>
                <w:color w:val="auto"/>
              </w:rPr>
            </w:pPr>
          </w:p>
        </w:tc>
        <w:tc>
          <w:tcPr>
            <w:tcW w:w="4720" w:type="dxa"/>
            <w:vAlign w:val="bottom"/>
          </w:tcPr>
          <w:p>
            <w:pPr>
              <w:ind w:left="480"/>
              <w:spacing w:after="0"/>
              <w:rPr>
                <w:sz w:val="20"/>
                <w:szCs w:val="20"/>
                <w:color w:val="auto"/>
              </w:rPr>
            </w:pPr>
            <w:r>
              <w:rPr>
                <w:rFonts w:ascii="Arial" w:cs="Arial" w:eastAsia="Arial" w:hAnsi="Arial"/>
                <w:sz w:val="17"/>
                <w:szCs w:val="17"/>
                <w:color w:val="auto"/>
              </w:rPr>
              <w:t>insider participation</w:t>
            </w:r>
          </w:p>
        </w:tc>
        <w:tc>
          <w:tcPr>
            <w:tcW w:w="88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36"/>
        </w:trPr>
        <w:tc>
          <w:tcPr>
            <w:tcW w:w="5360" w:type="dxa"/>
            <w:vAlign w:val="bottom"/>
          </w:tcPr>
          <w:p>
            <w:pPr>
              <w:ind w:left="240"/>
              <w:spacing w:after="0"/>
              <w:rPr>
                <w:sz w:val="20"/>
                <w:szCs w:val="20"/>
                <w:color w:val="auto"/>
              </w:rPr>
            </w:pPr>
            <w:r>
              <w:rPr>
                <w:rFonts w:ascii="Arial" w:cs="Arial" w:eastAsia="Arial" w:hAnsi="Arial"/>
                <w:sz w:val="17"/>
                <w:szCs w:val="17"/>
                <w:color w:val="auto"/>
              </w:rPr>
              <w:t>Proposal regarding advisory vote on</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Cost of solicitation</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91</w:t>
            </w:r>
          </w:p>
        </w:tc>
      </w:tr>
      <w:tr>
        <w:trPr>
          <w:trHeight w:val="228"/>
        </w:trPr>
        <w:tc>
          <w:tcPr>
            <w:tcW w:w="5360" w:type="dxa"/>
            <w:vAlign w:val="bottom"/>
          </w:tcPr>
          <w:p>
            <w:pPr>
              <w:ind w:left="480"/>
              <w:spacing w:after="0"/>
              <w:rPr>
                <w:sz w:val="20"/>
                <w:szCs w:val="20"/>
                <w:color w:val="auto"/>
              </w:rPr>
            </w:pPr>
            <w:r>
              <w:rPr>
                <w:rFonts w:ascii="Arial" w:cs="Arial" w:eastAsia="Arial" w:hAnsi="Arial"/>
                <w:sz w:val="17"/>
                <w:szCs w:val="17"/>
                <w:color w:val="auto"/>
              </w:rPr>
              <w:t>named executive officer compensation</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61</w:t>
            </w: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Stockholder proposals for 2012</w:t>
            </w:r>
          </w:p>
        </w:tc>
        <w:tc>
          <w:tcPr>
            <w:tcW w:w="88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44"/>
        </w:trPr>
        <w:tc>
          <w:tcPr>
            <w:tcW w:w="5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Proposal regarding advisory vote on the</w:t>
            </w:r>
          </w:p>
        </w:tc>
        <w:tc>
          <w:tcPr>
            <w:tcW w:w="200" w:type="dxa"/>
            <w:vAlign w:val="bottom"/>
            <w:shd w:val="clear" w:color="auto" w:fill="E9E9E9"/>
          </w:tcPr>
          <w:p>
            <w:pPr>
              <w:spacing w:after="0"/>
              <w:rPr>
                <w:sz w:val="21"/>
                <w:szCs w:val="21"/>
                <w:color w:val="auto"/>
              </w:rPr>
            </w:pPr>
          </w:p>
        </w:tc>
        <w:tc>
          <w:tcPr>
            <w:tcW w:w="260" w:type="dxa"/>
            <w:vAlign w:val="bottom"/>
          </w:tcPr>
          <w:p>
            <w:pPr>
              <w:spacing w:after="0"/>
              <w:rPr>
                <w:sz w:val="21"/>
                <w:szCs w:val="21"/>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Benefit plan voting</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91</w:t>
            </w:r>
          </w:p>
        </w:tc>
      </w:tr>
      <w:tr>
        <w:trPr>
          <w:trHeight w:val="220"/>
        </w:trPr>
        <w:tc>
          <w:tcPr>
            <w:tcW w:w="5360" w:type="dxa"/>
            <w:vAlign w:val="bottom"/>
            <w:shd w:val="clear" w:color="auto" w:fill="E9E9E9"/>
          </w:tcPr>
          <w:p>
            <w:pPr>
              <w:ind w:left="480"/>
              <w:spacing w:after="0"/>
              <w:rPr>
                <w:sz w:val="20"/>
                <w:szCs w:val="20"/>
                <w:color w:val="auto"/>
              </w:rPr>
            </w:pPr>
            <w:r>
              <w:rPr>
                <w:rFonts w:ascii="Arial" w:cs="Arial" w:eastAsia="Arial" w:hAnsi="Arial"/>
                <w:sz w:val="17"/>
                <w:szCs w:val="17"/>
                <w:color w:val="auto"/>
              </w:rPr>
              <w:t>frequency of future advisory votes on</w:t>
            </w:r>
          </w:p>
        </w:tc>
        <w:tc>
          <w:tcPr>
            <w:tcW w:w="200" w:type="dxa"/>
            <w:vAlign w:val="bottom"/>
            <w:shd w:val="clear" w:color="auto" w:fill="E9E9E9"/>
          </w:tcPr>
          <w:p>
            <w:pPr>
              <w:spacing w:after="0"/>
              <w:rPr>
                <w:sz w:val="19"/>
                <w:szCs w:val="19"/>
                <w:color w:val="auto"/>
              </w:rPr>
            </w:pPr>
          </w:p>
        </w:tc>
        <w:tc>
          <w:tcPr>
            <w:tcW w:w="26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Section 16(a) beneficial ownership reporting</w:t>
            </w:r>
          </w:p>
        </w:tc>
        <w:tc>
          <w:tcPr>
            <w:tcW w:w="880" w:type="dxa"/>
            <w:vAlign w:val="bottom"/>
          </w:tcPr>
          <w:p>
            <w:pPr>
              <w:spacing w:after="0"/>
              <w:rPr>
                <w:sz w:val="19"/>
                <w:szCs w:val="19"/>
                <w:color w:val="auto"/>
              </w:rPr>
            </w:pPr>
          </w:p>
        </w:tc>
      </w:tr>
      <w:tr>
        <w:trPr>
          <w:trHeight w:val="252"/>
        </w:trPr>
        <w:tc>
          <w:tcPr>
            <w:tcW w:w="5360" w:type="dxa"/>
            <w:vAlign w:val="bottom"/>
            <w:shd w:val="clear" w:color="auto" w:fill="E9E9E9"/>
          </w:tcPr>
          <w:p>
            <w:pPr>
              <w:ind w:left="480"/>
              <w:spacing w:after="0"/>
              <w:rPr>
                <w:sz w:val="20"/>
                <w:szCs w:val="20"/>
                <w:color w:val="auto"/>
              </w:rPr>
            </w:pPr>
            <w:r>
              <w:rPr>
                <w:rFonts w:ascii="Arial" w:cs="Arial" w:eastAsia="Arial" w:hAnsi="Arial"/>
                <w:sz w:val="17"/>
                <w:szCs w:val="17"/>
                <w:color w:val="auto"/>
              </w:rPr>
              <w:t>named executive officer compensation</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61</w:t>
            </w:r>
          </w:p>
        </w:tc>
        <w:tc>
          <w:tcPr>
            <w:tcW w:w="260" w:type="dxa"/>
            <w:vAlign w:val="bottom"/>
          </w:tcPr>
          <w:p>
            <w:pPr>
              <w:spacing w:after="0"/>
              <w:rPr>
                <w:sz w:val="21"/>
                <w:szCs w:val="21"/>
                <w:color w:val="auto"/>
              </w:rPr>
            </w:pPr>
          </w:p>
        </w:tc>
        <w:tc>
          <w:tcPr>
            <w:tcW w:w="4720" w:type="dxa"/>
            <w:vAlign w:val="bottom"/>
          </w:tcPr>
          <w:p>
            <w:pPr>
              <w:ind w:left="480"/>
              <w:spacing w:after="0"/>
              <w:rPr>
                <w:sz w:val="20"/>
                <w:szCs w:val="20"/>
                <w:color w:val="auto"/>
              </w:rPr>
            </w:pPr>
            <w:r>
              <w:rPr>
                <w:rFonts w:ascii="Arial" w:cs="Arial" w:eastAsia="Arial" w:hAnsi="Arial"/>
                <w:sz w:val="17"/>
                <w:szCs w:val="17"/>
                <w:color w:val="auto"/>
              </w:rPr>
              <w:t>compliance</w:t>
            </w:r>
          </w:p>
        </w:tc>
        <w:tc>
          <w:tcPr>
            <w:tcW w:w="88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36"/>
        </w:trPr>
        <w:tc>
          <w:tcPr>
            <w:tcW w:w="5360" w:type="dxa"/>
            <w:vAlign w:val="bottom"/>
          </w:tcPr>
          <w:p>
            <w:pPr>
              <w:ind w:left="240"/>
              <w:spacing w:after="0"/>
              <w:rPr>
                <w:sz w:val="20"/>
                <w:szCs w:val="20"/>
                <w:color w:val="auto"/>
              </w:rPr>
            </w:pPr>
            <w:r>
              <w:rPr>
                <w:rFonts w:ascii="Arial" w:cs="Arial" w:eastAsia="Arial" w:hAnsi="Arial"/>
                <w:sz w:val="17"/>
                <w:szCs w:val="17"/>
                <w:color w:val="auto"/>
              </w:rPr>
              <w:t>Compensation discussion and analysis</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62</w:t>
            </w:r>
          </w:p>
        </w:tc>
        <w:tc>
          <w:tcPr>
            <w:tcW w:w="260" w:type="dxa"/>
            <w:vAlign w:val="bottom"/>
          </w:tcPr>
          <w:p>
            <w:pPr>
              <w:spacing w:after="0"/>
              <w:rPr>
                <w:sz w:val="20"/>
                <w:szCs w:val="20"/>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Telephone and Internet voting</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91</w:t>
            </w:r>
          </w:p>
        </w:tc>
      </w:tr>
      <w:tr>
        <w:trPr>
          <w:trHeight w:val="236"/>
        </w:trPr>
        <w:tc>
          <w:tcPr>
            <w:tcW w:w="536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Compensation Committee report</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73</w:t>
            </w:r>
          </w:p>
        </w:tc>
        <w:tc>
          <w:tcPr>
            <w:tcW w:w="260" w:type="dxa"/>
            <w:vAlign w:val="bottom"/>
          </w:tcPr>
          <w:p>
            <w:pPr>
              <w:spacing w:after="0"/>
              <w:rPr>
                <w:sz w:val="20"/>
                <w:szCs w:val="20"/>
                <w:color w:val="auto"/>
              </w:rPr>
            </w:pPr>
          </w:p>
        </w:tc>
        <w:tc>
          <w:tcPr>
            <w:tcW w:w="4720" w:type="dxa"/>
            <w:vAlign w:val="bottom"/>
          </w:tcPr>
          <w:p>
            <w:pPr>
              <w:ind w:left="240"/>
              <w:spacing w:after="0"/>
              <w:rPr>
                <w:sz w:val="20"/>
                <w:szCs w:val="20"/>
                <w:color w:val="auto"/>
              </w:rPr>
            </w:pPr>
            <w:r>
              <w:rPr>
                <w:rFonts w:ascii="Arial" w:cs="Arial" w:eastAsia="Arial" w:hAnsi="Arial"/>
                <w:sz w:val="17"/>
                <w:szCs w:val="17"/>
                <w:color w:val="auto"/>
              </w:rPr>
              <w:t>Stockholders sharing the same address</w:t>
            </w:r>
          </w:p>
        </w:tc>
        <w:tc>
          <w:tcPr>
            <w:tcW w:w="88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36"/>
        </w:trPr>
        <w:tc>
          <w:tcPr>
            <w:tcW w:w="5360" w:type="dxa"/>
            <w:vAlign w:val="bottom"/>
          </w:tcPr>
          <w:p>
            <w:pPr>
              <w:ind w:left="240"/>
              <w:spacing w:after="0"/>
              <w:rPr>
                <w:sz w:val="20"/>
                <w:szCs w:val="20"/>
                <w:color w:val="auto"/>
              </w:rPr>
            </w:pPr>
            <w:r>
              <w:rPr>
                <w:rFonts w:ascii="Arial" w:cs="Arial" w:eastAsia="Arial" w:hAnsi="Arial"/>
                <w:sz w:val="17"/>
                <w:szCs w:val="17"/>
                <w:color w:val="auto"/>
              </w:rPr>
              <w:t>2010 summary compensation table</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73</w:t>
            </w:r>
          </w:p>
        </w:tc>
        <w:tc>
          <w:tcPr>
            <w:tcW w:w="260" w:type="dxa"/>
            <w:vAlign w:val="bottom"/>
          </w:tcPr>
          <w:p>
            <w:pPr>
              <w:spacing w:after="0"/>
              <w:rPr>
                <w:sz w:val="20"/>
                <w:szCs w:val="20"/>
                <w:color w:val="auto"/>
              </w:rPr>
            </w:pPr>
          </w:p>
        </w:tc>
        <w:tc>
          <w:tcPr>
            <w:tcW w:w="4720" w:type="dxa"/>
            <w:vAlign w:val="bottom"/>
            <w:shd w:val="clear" w:color="auto" w:fill="E9E9E9"/>
          </w:tcPr>
          <w:p>
            <w:pPr>
              <w:ind w:left="240"/>
              <w:spacing w:after="0"/>
              <w:rPr>
                <w:sz w:val="20"/>
                <w:szCs w:val="20"/>
                <w:color w:val="auto"/>
              </w:rPr>
            </w:pPr>
            <w:r>
              <w:rPr>
                <w:rFonts w:ascii="Arial" w:cs="Arial" w:eastAsia="Arial" w:hAnsi="Arial"/>
                <w:sz w:val="17"/>
                <w:szCs w:val="17"/>
                <w:color w:val="auto"/>
              </w:rPr>
              <w:t>Electronic delivery of proxy materials</w:t>
            </w:r>
          </w:p>
        </w:tc>
        <w:tc>
          <w:tcPr>
            <w:tcW w:w="8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 xml:space="preserve">Proxy statement – </w:t>
      </w:r>
      <w:r>
        <w:rPr>
          <w:rFonts w:ascii="Arial" w:cs="Arial" w:eastAsia="Arial" w:hAnsi="Arial"/>
          <w:sz w:val="20"/>
          <w:szCs w:val="20"/>
          <w:b w:val="1"/>
          <w:bCs w:val="1"/>
          <w:color w:val="auto"/>
        </w:rPr>
        <w:t>March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170815</wp:posOffset>
            </wp:positionV>
            <wp:extent cx="7250430" cy="66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667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offices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12500 TI BOULEVARD, DALLAS, TEXAS 75243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MAILING ADDRESS: P. O. BOX 660199, DALLAS, TEXAS 75266-0199</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Voting procedures and quorum</w:t>
      </w:r>
    </w:p>
    <w:p>
      <w:pPr>
        <w:spacing w:after="0" w:line="30"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TI’s board of directors requests your proxy for the annual meeting of stockholders on April 21, 2011.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7, 2011. If you come to the meeting, you can vote in person. If you don’t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7" w:lineRule="exact"/>
        <w:rPr>
          <w:sz w:val="20"/>
          <w:szCs w:val="20"/>
          <w:color w:val="auto"/>
        </w:rPr>
      </w:pPr>
    </w:p>
    <w:p>
      <w:pPr>
        <w:ind w:right="120" w:firstLine="262"/>
        <w:spacing w:after="0" w:line="250" w:lineRule="auto"/>
        <w:rPr>
          <w:sz w:val="20"/>
          <w:szCs w:val="20"/>
          <w:color w:val="auto"/>
        </w:rPr>
      </w:pPr>
      <w:r>
        <w:rPr>
          <w:rFonts w:ascii="Arial" w:cs="Arial" w:eastAsia="Arial" w:hAnsi="Arial"/>
          <w:sz w:val="17"/>
          <w:szCs w:val="17"/>
          <w:color w:val="auto"/>
        </w:rPr>
        <w:t>A quorum of stockholders is necessary to hold a valid meeting. If at least a majority of the shares of TI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11" w:lineRule="exact"/>
        <w:rPr>
          <w:sz w:val="20"/>
          <w:szCs w:val="20"/>
          <w:color w:val="auto"/>
        </w:rPr>
      </w:pPr>
    </w:p>
    <w:p>
      <w:pPr>
        <w:ind w:right="280" w:firstLine="262"/>
        <w:spacing w:after="0" w:line="265" w:lineRule="auto"/>
        <w:rPr>
          <w:sz w:val="20"/>
          <w:szCs w:val="20"/>
          <w:color w:val="auto"/>
        </w:rPr>
      </w:pPr>
      <w:r>
        <w:rPr>
          <w:rFonts w:ascii="Arial" w:cs="Arial" w:eastAsia="Arial" w:hAnsi="Arial"/>
          <w:sz w:val="17"/>
          <w:szCs w:val="17"/>
          <w:color w:val="auto"/>
        </w:rPr>
        <w:t>Scheduled to be considered at the meeting are the election of directors, advisory votes relating to executive compensation, and ratification of the appointment of our independent registered public accounting firm. Each of these matters is discussed elsewhere in this proxy statement.</w:t>
      </w:r>
    </w:p>
    <w:p>
      <w:pPr>
        <w:spacing w:after="0" w:line="1" w:lineRule="exact"/>
        <w:rPr>
          <w:sz w:val="20"/>
          <w:szCs w:val="20"/>
          <w:color w:val="auto"/>
        </w:rPr>
      </w:pPr>
    </w:p>
    <w:p>
      <w:pPr>
        <w:ind w:right="100" w:firstLine="262"/>
        <w:spacing w:after="0" w:line="268" w:lineRule="auto"/>
        <w:rPr>
          <w:sz w:val="20"/>
          <w:szCs w:val="20"/>
          <w:color w:val="auto"/>
        </w:rPr>
      </w:pPr>
      <w:r>
        <w:rPr>
          <w:rFonts w:ascii="Arial" w:cs="Arial" w:eastAsia="Arial" w:hAnsi="Arial"/>
          <w:sz w:val="17"/>
          <w:szCs w:val="17"/>
          <w:color w:val="auto"/>
        </w:rPr>
        <w:t>Any other matter that may properly be submitted at the meeting is approved if a majority of the votes present at the meeting vote “for” the proposal. On such matters you may vote “for,” “against” or “abstain”; abstentions and broker non-votes have the same effect as votes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2713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 w:name="page4"/>
    <w:bookmarkEnd w:id="3"/>
    <w:p>
      <w:pPr>
        <w:jc w:val="center"/>
        <w:ind w:right="20"/>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51</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Election of directors</w:t>
      </w:r>
    </w:p>
    <w:p>
      <w:pPr>
        <w:spacing w:after="0" w:line="30"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Directors are elected at the annual meeting to hold office until the next annual meeting and until their successors are elected and qualified. The board of directors has designated the following persons as nominees: RALPH W. BABB, JR., DANIEL A. CARP, CARRIE S. COX, STEPHEN P. MACMILLAN, PAMELA H. PATSLEY, ROBERT E. SANCHEZ, WAYNE R. SANDERS, RUTH J. SIMMONS, RICHARD K. TEMPLETON and CHRISTINE TODD WHITMAN.</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If you return a proxy that is not otherwise marked, your shares will be voted FOR each of the nominees.</w:t>
      </w:r>
    </w:p>
    <w:p>
      <w:pPr>
        <w:spacing w:after="0" w:line="40" w:lineRule="exact"/>
        <w:rPr>
          <w:sz w:val="20"/>
          <w:szCs w:val="20"/>
          <w:color w:val="auto"/>
        </w:rPr>
      </w:pPr>
    </w:p>
    <w:p>
      <w:pPr>
        <w:ind w:right="260" w:firstLine="262"/>
        <w:spacing w:after="0" w:line="268" w:lineRule="auto"/>
        <w:rPr>
          <w:sz w:val="20"/>
          <w:szCs w:val="20"/>
          <w:color w:val="auto"/>
        </w:rPr>
      </w:pPr>
      <w:r>
        <w:rPr>
          <w:rFonts w:ascii="Arial" w:cs="Arial" w:eastAsia="Arial" w:hAnsi="Arial"/>
          <w:sz w:val="17"/>
          <w:szCs w:val="17"/>
          <w:color w:val="auto"/>
        </w:rPr>
        <w:t>Directors must be elected by a majority of the votes present at the meeting and entitled to be cast in the election. You may vote “for,” “against,” or “abstain.” Abstentions have the same effect as votes “against.” Broker non-votes are not counted as votes “for” or “against.”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directorship</w:t>
      </w:r>
    </w:p>
    <w:p>
      <w:pPr>
        <w:spacing w:after="0" w:line="25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All of the nominees for directorship will be directors of the company at the time of the annual meeting. For a discussion of each nominee’s qualifications to serve as a director of the company, please see pages 52-54. If any nominee becomes unable to serve before the meeting, the people named as proxies may vote for a substitute or the number of directors will be reduced accordingly.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250430" cy="66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6675"/>
                    </a:xfrm>
                    <a:prstGeom prst="rect">
                      <a:avLst/>
                    </a:prstGeom>
                    <a:noFill/>
                  </pic:spPr>
                </pic:pic>
              </a:graphicData>
            </a:graphic>
          </wp:anchor>
        </w:drawing>
      </w:r>
    </w:p>
    <w:p>
      <w:pPr>
        <w:sectPr>
          <w:pgSz w:w="11900" w:h="16838" w:orient="portrait"/>
          <w:cols w:equalWidth="0" w:num="1">
            <w:col w:w="11440"/>
          </w:cols>
          <w:pgMar w:left="240" w:top="595" w:right="21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98830" cy="974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8830" cy="974090"/>
                    </a:xfrm>
                    <a:prstGeom prst="rect">
                      <a:avLst/>
                    </a:prstGeom>
                    <a:noFill/>
                  </pic:spPr>
                </pic:pic>
              </a:graphicData>
            </a:graphic>
          </wp:anchor>
        </w:drawing>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Age 62</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 since 2010</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Member,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-113030</wp:posOffset>
            </wp:positionV>
            <wp:extent cx="782320" cy="965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2320" cy="96583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 45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Member, Audit Committee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(Effective March 15, 2011)</w:t>
      </w:r>
    </w:p>
    <w:p>
      <w:pPr>
        <w:spacing w:after="0" w:line="200" w:lineRule="exact"/>
        <w:rPr>
          <w:sz w:val="20"/>
          <w:szCs w:val="20"/>
          <w:color w:val="auto"/>
        </w:rPr>
      </w:pPr>
    </w:p>
    <w:p>
      <w:pPr>
        <w:sectPr>
          <w:pgSz w:w="11900" w:h="16838" w:orient="portrait"/>
          <w:cols w:equalWidth="0" w:num="2">
            <w:col w:w="6240" w:space="720"/>
            <w:col w:w="4480"/>
          </w:cols>
          <w:pgMar w:left="240" w:top="59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98830" cy="982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8830" cy="982345"/>
                    </a:xfrm>
                    <a:prstGeom prst="rect">
                      <a:avLst/>
                    </a:prstGeom>
                    <a:noFill/>
                  </pic:spPr>
                </pic:pic>
              </a:graphicData>
            </a:graphic>
          </wp:anchor>
        </w:drawing>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Age 62</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 since 1997</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Member,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-113030</wp:posOffset>
            </wp:positionV>
            <wp:extent cx="790575" cy="974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0575" cy="9740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 63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1997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 Governance and Stockholder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 Committee</w:t>
      </w:r>
    </w:p>
    <w:p>
      <w:pPr>
        <w:spacing w:after="0" w:line="200" w:lineRule="exact"/>
        <w:rPr>
          <w:sz w:val="20"/>
          <w:szCs w:val="20"/>
          <w:color w:val="auto"/>
        </w:rPr>
      </w:pPr>
    </w:p>
    <w:p>
      <w:pPr>
        <w:sectPr>
          <w:pgSz w:w="11900" w:h="16838" w:orient="portrait"/>
          <w:cols w:equalWidth="0" w:num="2">
            <w:col w:w="6240" w:space="720"/>
            <w:col w:w="4480"/>
          </w:cols>
          <w:pgMar w:left="240" w:top="595" w:right="21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90575" cy="974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0575" cy="974090"/>
                    </a:xfrm>
                    <a:prstGeom prst="rect">
                      <a:avLst/>
                    </a:prstGeom>
                    <a:noFill/>
                  </pic:spPr>
                </pic:pic>
              </a:graphicData>
            </a:graphic>
          </wp:anchor>
        </w:drawing>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Age 53</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 since 2004</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Chair,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-113030</wp:posOffset>
            </wp:positionV>
            <wp:extent cx="790575" cy="982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90575" cy="98234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 65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1999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 Governance and Stockholder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 Committee</w:t>
      </w:r>
    </w:p>
    <w:p>
      <w:pPr>
        <w:spacing w:after="0" w:line="200" w:lineRule="exact"/>
        <w:rPr>
          <w:sz w:val="20"/>
          <w:szCs w:val="20"/>
          <w:color w:val="auto"/>
        </w:rPr>
      </w:pPr>
    </w:p>
    <w:p>
      <w:pPr>
        <w:sectPr>
          <w:pgSz w:w="11900" w:h="16838" w:orient="portrait"/>
          <w:cols w:equalWidth="0" w:num="2">
            <w:col w:w="6240" w:space="720"/>
            <w:col w:w="4480"/>
          </w:cols>
          <w:pgMar w:left="240" w:top="595" w:right="21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STEPHEN P. MACMILLAN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82320" cy="957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2320" cy="957580"/>
                    </a:xfrm>
                    <a:prstGeom prst="rect">
                      <a:avLst/>
                    </a:prstGeom>
                    <a:noFill/>
                  </pic:spPr>
                </pic:pic>
              </a:graphicData>
            </a:graphic>
          </wp:anchor>
        </w:drawing>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Age 47</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 since 2008</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Member,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-113030</wp:posOffset>
            </wp:positionV>
            <wp:extent cx="782320" cy="957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82320" cy="95758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Age 52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Chairman since 2008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since 2003</w:t>
      </w:r>
    </w:p>
    <w:p>
      <w:pPr>
        <w:spacing w:after="0" w:line="200" w:lineRule="exact"/>
        <w:rPr>
          <w:sz w:val="20"/>
          <w:szCs w:val="20"/>
          <w:color w:val="auto"/>
        </w:rPr>
      </w:pPr>
    </w:p>
    <w:p>
      <w:pPr>
        <w:sectPr>
          <w:pgSz w:w="11900" w:h="16838" w:orient="portrait"/>
          <w:cols w:equalWidth="0" w:num="2">
            <w:col w:w="6240" w:space="720"/>
            <w:col w:w="4480"/>
          </w:cols>
          <w:pgMar w:left="240" w:top="595"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ind w:left="1260"/>
              <w:spacing w:after="0"/>
              <w:rPr>
                <w:sz w:val="20"/>
                <w:szCs w:val="20"/>
                <w:color w:val="auto"/>
              </w:rPr>
            </w:pPr>
            <w:r>
              <w:rPr>
                <w:rFonts w:ascii="Arial" w:cs="Arial" w:eastAsia="Arial" w:hAnsi="Arial"/>
                <w:sz w:val="17"/>
                <w:szCs w:val="17"/>
                <w:b w:val="1"/>
                <w:bCs w:val="1"/>
                <w:color w:val="auto"/>
              </w:rPr>
              <w:t>PAMELA H. PATSLEY</w:t>
            </w:r>
          </w:p>
        </w:tc>
        <w:tc>
          <w:tcPr>
            <w:tcW w:w="6440" w:type="dxa"/>
            <w:vAlign w:val="bottom"/>
          </w:tcPr>
          <w:p>
            <w:pPr>
              <w:ind w:left="1960"/>
              <w:spacing w:after="0"/>
              <w:rPr>
                <w:sz w:val="20"/>
                <w:szCs w:val="20"/>
                <w:color w:val="auto"/>
              </w:rPr>
            </w:pPr>
            <w:r>
              <w:rPr>
                <w:rFonts w:ascii="Arial" w:cs="Arial" w:eastAsia="Arial" w:hAnsi="Arial"/>
                <w:sz w:val="17"/>
                <w:szCs w:val="17"/>
                <w:b w:val="1"/>
                <w:bCs w:val="1"/>
                <w:color w:val="auto"/>
              </w:rPr>
              <w:t>CHRISTINE TODD WHITMAN</w:t>
            </w:r>
          </w:p>
        </w:tc>
      </w:tr>
      <w:tr>
        <w:trPr>
          <w:trHeight w:val="197"/>
        </w:trPr>
        <w:tc>
          <w:tcPr>
            <w:tcW w:w="5000" w:type="dxa"/>
            <w:vAlign w:val="bottom"/>
          </w:tcPr>
          <w:p>
            <w:pPr>
              <w:ind w:left="1260"/>
              <w:spacing w:after="0"/>
              <w:rPr>
                <w:sz w:val="20"/>
                <w:szCs w:val="20"/>
                <w:color w:val="auto"/>
              </w:rPr>
            </w:pPr>
            <w:r>
              <w:rPr>
                <w:rFonts w:ascii="Arial" w:cs="Arial" w:eastAsia="Arial" w:hAnsi="Arial"/>
                <w:sz w:val="17"/>
                <w:szCs w:val="17"/>
                <w:color w:val="auto"/>
              </w:rPr>
              <w:t>Age 54</w:t>
            </w:r>
          </w:p>
        </w:tc>
        <w:tc>
          <w:tcPr>
            <w:tcW w:w="6440" w:type="dxa"/>
            <w:vAlign w:val="bottom"/>
          </w:tcPr>
          <w:p>
            <w:pPr>
              <w:ind w:left="1960"/>
              <w:spacing w:after="0"/>
              <w:rPr>
                <w:sz w:val="20"/>
                <w:szCs w:val="20"/>
                <w:color w:val="auto"/>
              </w:rPr>
            </w:pPr>
            <w:r>
              <w:rPr>
                <w:rFonts w:ascii="Arial" w:cs="Arial" w:eastAsia="Arial" w:hAnsi="Arial"/>
                <w:sz w:val="17"/>
                <w:szCs w:val="17"/>
                <w:color w:val="auto"/>
              </w:rPr>
              <w:t>Age 64</w:t>
            </w:r>
          </w:p>
        </w:tc>
      </w:tr>
      <w:tr>
        <w:trPr>
          <w:trHeight w:val="179"/>
        </w:trPr>
        <w:tc>
          <w:tcPr>
            <w:tcW w:w="5000" w:type="dxa"/>
            <w:vAlign w:val="bottom"/>
          </w:tcPr>
          <w:p>
            <w:pPr>
              <w:ind w:left="1260"/>
              <w:spacing w:after="0" w:line="179" w:lineRule="exact"/>
              <w:rPr>
                <w:sz w:val="20"/>
                <w:szCs w:val="20"/>
                <w:color w:val="auto"/>
              </w:rPr>
            </w:pPr>
            <w:r>
              <w:rPr>
                <w:rFonts w:ascii="Arial" w:cs="Arial" w:eastAsia="Arial" w:hAnsi="Arial"/>
                <w:sz w:val="17"/>
                <w:szCs w:val="17"/>
                <w:color w:val="auto"/>
              </w:rPr>
              <w:t>Director since 2004</w:t>
            </w:r>
          </w:p>
        </w:tc>
        <w:tc>
          <w:tcPr>
            <w:tcW w:w="6440" w:type="dxa"/>
            <w:vAlign w:val="bottom"/>
          </w:tcPr>
          <w:p>
            <w:pPr>
              <w:ind w:left="1960"/>
              <w:spacing w:after="0" w:line="179" w:lineRule="exact"/>
              <w:rPr>
                <w:sz w:val="20"/>
                <w:szCs w:val="20"/>
                <w:color w:val="auto"/>
              </w:rPr>
            </w:pPr>
            <w:r>
              <w:rPr>
                <w:rFonts w:ascii="Arial" w:cs="Arial" w:eastAsia="Arial" w:hAnsi="Arial"/>
                <w:sz w:val="17"/>
                <w:szCs w:val="17"/>
                <w:color w:val="auto"/>
              </w:rPr>
              <w:t>Director since 2003</w:t>
            </w:r>
          </w:p>
        </w:tc>
      </w:tr>
      <w:tr>
        <w:trPr>
          <w:trHeight w:val="197"/>
        </w:trPr>
        <w:tc>
          <w:tcPr>
            <w:tcW w:w="5000" w:type="dxa"/>
            <w:vAlign w:val="bottom"/>
          </w:tcPr>
          <w:p>
            <w:pPr>
              <w:ind w:left="1260"/>
              <w:spacing w:after="0"/>
              <w:rPr>
                <w:sz w:val="20"/>
                <w:szCs w:val="20"/>
                <w:color w:val="auto"/>
              </w:rPr>
            </w:pPr>
            <w:r>
              <w:rPr>
                <w:rFonts w:ascii="Arial" w:cs="Arial" w:eastAsia="Arial" w:hAnsi="Arial"/>
                <w:sz w:val="17"/>
                <w:szCs w:val="17"/>
                <w:i w:val="1"/>
                <w:iCs w:val="1"/>
                <w:color w:val="auto"/>
              </w:rPr>
              <w:t>Chair, Audit Committee</w:t>
            </w:r>
          </w:p>
        </w:tc>
        <w:tc>
          <w:tcPr>
            <w:tcW w:w="6440" w:type="dxa"/>
            <w:vAlign w:val="bottom"/>
          </w:tcPr>
          <w:p>
            <w:pPr>
              <w:ind w:left="1960"/>
              <w:spacing w:after="0"/>
              <w:rPr>
                <w:sz w:val="20"/>
                <w:szCs w:val="20"/>
                <w:color w:val="auto"/>
              </w:rPr>
            </w:pPr>
            <w:r>
              <w:rPr>
                <w:rFonts w:ascii="Arial" w:cs="Arial" w:eastAsia="Arial" w:hAnsi="Arial"/>
                <w:sz w:val="17"/>
                <w:szCs w:val="17"/>
                <w:i w:val="1"/>
                <w:iCs w:val="1"/>
                <w:color w:val="auto"/>
              </w:rPr>
              <w:t>Member, Governance and Stockholder</w:t>
            </w:r>
          </w:p>
        </w:tc>
      </w:tr>
      <w:tr>
        <w:trPr>
          <w:trHeight w:val="222"/>
        </w:trPr>
        <w:tc>
          <w:tcPr>
            <w:tcW w:w="5000" w:type="dxa"/>
            <w:vAlign w:val="bottom"/>
          </w:tcPr>
          <w:p>
            <w:pPr>
              <w:spacing w:after="0"/>
              <w:rPr>
                <w:sz w:val="19"/>
                <w:szCs w:val="19"/>
                <w:color w:val="auto"/>
              </w:rPr>
            </w:pPr>
          </w:p>
        </w:tc>
        <w:tc>
          <w:tcPr>
            <w:tcW w:w="6440" w:type="dxa"/>
            <w:vAlign w:val="bottom"/>
          </w:tcPr>
          <w:p>
            <w:pPr>
              <w:ind w:left="1960"/>
              <w:spacing w:after="0"/>
              <w:rPr>
                <w:sz w:val="20"/>
                <w:szCs w:val="20"/>
                <w:color w:val="auto"/>
              </w:rPr>
            </w:pPr>
            <w:r>
              <w:rPr>
                <w:rFonts w:ascii="Arial" w:cs="Arial" w:eastAsia="Arial" w:hAnsi="Arial"/>
                <w:sz w:val="17"/>
                <w:szCs w:val="17"/>
                <w:i w:val="1"/>
                <w:iCs w:val="1"/>
                <w:color w:val="auto"/>
              </w:rPr>
              <w:t>Relations Committee</w:t>
            </w:r>
          </w:p>
        </w:tc>
      </w:tr>
      <w:tr>
        <w:trPr>
          <w:trHeight w:val="890"/>
        </w:trPr>
        <w:tc>
          <w:tcPr>
            <w:tcW w:w="500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-1208405</wp:posOffset>
            </wp:positionV>
            <wp:extent cx="790575" cy="965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90575" cy="96583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-1208405</wp:posOffset>
            </wp:positionV>
            <wp:extent cx="782320" cy="974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2320" cy="974090"/>
                    </a:xfrm>
                    <a:prstGeom prst="rect">
                      <a:avLst/>
                    </a:prstGeom>
                    <a:noFill/>
                  </pic:spPr>
                </pic:pic>
              </a:graphicData>
            </a:graphic>
          </wp:anchor>
        </w:drawing>
      </w:r>
    </w:p>
    <w:p>
      <w:pPr>
        <w:sectPr>
          <w:pgSz w:w="11900" w:h="16838" w:orient="portrait"/>
          <w:cols w:equalWidth="0" w:num="1">
            <w:col w:w="11440"/>
          </w:cols>
          <w:pgMar w:left="240" w:top="595" w:right="2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5340" w:type="dxa"/>
            <w:vAlign w:val="bottom"/>
          </w:tcPr>
          <w:p>
            <w:pPr>
              <w:ind w:left="3800"/>
              <w:spacing w:after="0"/>
              <w:rPr>
                <w:sz w:val="20"/>
                <w:szCs w:val="20"/>
                <w:color w:val="auto"/>
              </w:rPr>
            </w:pPr>
            <w:r>
              <w:rPr>
                <w:rFonts w:ascii="Arial" w:cs="Arial" w:eastAsia="Arial" w:hAnsi="Arial"/>
                <w:sz w:val="13"/>
                <w:szCs w:val="13"/>
                <w:b w:val="1"/>
                <w:bCs w:val="1"/>
                <w:color w:val="808285"/>
              </w:rPr>
              <w:t>TEXAS INSTRUMENTS</w:t>
            </w:r>
          </w:p>
        </w:tc>
        <w:tc>
          <w:tcPr>
            <w:tcW w:w="6080" w:type="dxa"/>
            <w:vAlign w:val="bottom"/>
          </w:tcPr>
          <w:p>
            <w:pPr>
              <w:ind w:left="100"/>
              <w:spacing w:after="0"/>
              <w:rPr>
                <w:sz w:val="20"/>
                <w:szCs w:val="20"/>
                <w:color w:val="auto"/>
              </w:rPr>
            </w:pP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52</w:t>
            </w:r>
            <w:r>
              <w:rPr>
                <w:rFonts w:ascii="Arial" w:cs="Arial" w:eastAsia="Arial" w:hAnsi="Arial"/>
                <w:sz w:val="17"/>
                <w:szCs w:val="17"/>
                <w:b w:val="1"/>
                <w:bCs w:val="1"/>
                <w:color w:val="808285"/>
              </w:rPr>
              <w:t xml:space="preserve"> |   </w:t>
            </w:r>
            <w:r>
              <w:rPr>
                <w:rFonts w:ascii="Arial" w:cs="Arial" w:eastAsia="Arial" w:hAnsi="Arial"/>
                <w:sz w:val="13"/>
                <w:szCs w:val="13"/>
                <w:b w:val="1"/>
                <w:bCs w:val="1"/>
                <w:color w:val="808285"/>
              </w:rPr>
              <w:t>2011 PROXY STATEMENT</w:t>
            </w:r>
          </w:p>
        </w:tc>
      </w:tr>
      <w:tr>
        <w:trPr>
          <w:trHeight w:val="433"/>
        </w:trPr>
        <w:tc>
          <w:tcPr>
            <w:tcW w:w="5340" w:type="dxa"/>
            <w:vAlign w:val="bottom"/>
          </w:tcPr>
          <w:p>
            <w:pPr>
              <w:spacing w:after="0"/>
              <w:rPr>
                <w:sz w:val="20"/>
                <w:szCs w:val="20"/>
                <w:color w:val="auto"/>
              </w:rPr>
            </w:pPr>
            <w:r>
              <w:rPr>
                <w:rFonts w:ascii="Arial" w:cs="Arial" w:eastAsia="Arial" w:hAnsi="Arial"/>
                <w:sz w:val="17"/>
                <w:szCs w:val="17"/>
                <w:b w:val="1"/>
                <w:bCs w:val="1"/>
                <w:color w:val="auto"/>
              </w:rPr>
              <w:t>Directors (cont’d)</w:t>
            </w:r>
          </w:p>
        </w:tc>
        <w:tc>
          <w:tcPr>
            <w:tcW w:w="6080" w:type="dxa"/>
            <w:vAlign w:val="bottom"/>
          </w:tcPr>
          <w:p>
            <w:pPr>
              <w:spacing w:after="0"/>
              <w:rPr>
                <w:sz w:val="24"/>
                <w:szCs w:val="24"/>
                <w:color w:val="auto"/>
              </w:rPr>
            </w:pPr>
          </w:p>
        </w:tc>
      </w:tr>
      <w:tr>
        <w:trPr>
          <w:trHeight w:val="225"/>
        </w:trPr>
        <w:tc>
          <w:tcPr>
            <w:tcW w:w="5340" w:type="dxa"/>
            <w:vAlign w:val="bottom"/>
          </w:tcPr>
          <w:p>
            <w:pPr>
              <w:spacing w:after="0"/>
              <w:rPr>
                <w:sz w:val="19"/>
                <w:szCs w:val="19"/>
                <w:color w:val="auto"/>
              </w:rPr>
            </w:pPr>
          </w:p>
        </w:tc>
        <w:tc>
          <w:tcPr>
            <w:tcW w:w="6080" w:type="dxa"/>
            <w:vAlign w:val="bottom"/>
          </w:tcPr>
          <w:p>
            <w:pPr>
              <w:spacing w:after="0"/>
              <w:rPr>
                <w:sz w:val="19"/>
                <w:szCs w:val="19"/>
                <w:color w:val="auto"/>
              </w:rPr>
            </w:pPr>
          </w:p>
        </w:tc>
      </w:tr>
      <w:tr>
        <w:trPr>
          <w:trHeight w:val="105"/>
        </w:trPr>
        <w:tc>
          <w:tcPr>
            <w:tcW w:w="5340" w:type="dxa"/>
            <w:vAlign w:val="bottom"/>
            <w:shd w:val="clear" w:color="auto" w:fill="808285"/>
          </w:tcPr>
          <w:p>
            <w:pPr>
              <w:spacing w:after="0"/>
              <w:rPr>
                <w:sz w:val="9"/>
                <w:szCs w:val="9"/>
                <w:color w:val="auto"/>
              </w:rPr>
            </w:pPr>
          </w:p>
        </w:tc>
        <w:tc>
          <w:tcPr>
            <w:tcW w:w="6080" w:type="dxa"/>
            <w:vAlign w:val="bottom"/>
            <w:shd w:val="clear" w:color="auto" w:fill="808285"/>
          </w:tcPr>
          <w:p>
            <w:pPr>
              <w:spacing w:after="0"/>
              <w:rPr>
                <w:sz w:val="9"/>
                <w:szCs w:val="9"/>
                <w:color w:val="auto"/>
              </w:rPr>
            </w:pPr>
          </w:p>
        </w:tc>
      </w:tr>
      <w:tr>
        <w:trPr>
          <w:trHeight w:val="443"/>
        </w:trPr>
        <w:tc>
          <w:tcPr>
            <w:tcW w:w="5340" w:type="dxa"/>
            <w:vAlign w:val="bottom"/>
          </w:tcPr>
          <w:p>
            <w:pPr>
              <w:spacing w:after="0"/>
              <w:rPr>
                <w:sz w:val="20"/>
                <w:szCs w:val="20"/>
                <w:color w:val="auto"/>
              </w:rPr>
            </w:pPr>
            <w:r>
              <w:rPr>
                <w:rFonts w:ascii="Arial" w:cs="Arial" w:eastAsia="Arial" w:hAnsi="Arial"/>
                <w:sz w:val="17"/>
                <w:szCs w:val="17"/>
                <w:b w:val="1"/>
                <w:bCs w:val="1"/>
                <w:color w:val="auto"/>
              </w:rPr>
              <w:t>Directors not standing for re-election</w:t>
            </w:r>
          </w:p>
        </w:tc>
        <w:tc>
          <w:tcPr>
            <w:tcW w:w="6080" w:type="dxa"/>
            <w:vAlign w:val="bottom"/>
          </w:tcPr>
          <w:p>
            <w:pPr>
              <w:spacing w:after="0"/>
              <w:rPr>
                <w:sz w:val="24"/>
                <w:szCs w:val="24"/>
                <w:color w:val="auto"/>
              </w:rPr>
            </w:pPr>
          </w:p>
        </w:tc>
      </w:tr>
      <w:tr>
        <w:trPr>
          <w:trHeight w:val="407"/>
        </w:trPr>
        <w:tc>
          <w:tcPr>
            <w:tcW w:w="5340" w:type="dxa"/>
            <w:vAlign w:val="bottom"/>
          </w:tcPr>
          <w:p>
            <w:pPr>
              <w:ind w:left="1260"/>
              <w:spacing w:after="0"/>
              <w:rPr>
                <w:sz w:val="20"/>
                <w:szCs w:val="20"/>
                <w:color w:val="auto"/>
              </w:rPr>
            </w:pPr>
            <w:r>
              <w:rPr>
                <w:rFonts w:ascii="Arial" w:cs="Arial" w:eastAsia="Arial" w:hAnsi="Arial"/>
                <w:sz w:val="17"/>
                <w:szCs w:val="17"/>
                <w:b w:val="1"/>
                <w:bCs w:val="1"/>
                <w:color w:val="auto"/>
              </w:rPr>
              <w:t>DAVID L. BOREN</w:t>
            </w:r>
          </w:p>
        </w:tc>
        <w:tc>
          <w:tcPr>
            <w:tcW w:w="6080" w:type="dxa"/>
            <w:vAlign w:val="bottom"/>
          </w:tcPr>
          <w:p>
            <w:pPr>
              <w:ind w:left="1600"/>
              <w:spacing w:after="0"/>
              <w:rPr>
                <w:sz w:val="20"/>
                <w:szCs w:val="20"/>
                <w:color w:val="auto"/>
              </w:rPr>
            </w:pPr>
            <w:r>
              <w:rPr>
                <w:rFonts w:ascii="Arial" w:cs="Arial" w:eastAsia="Arial" w:hAnsi="Arial"/>
                <w:sz w:val="17"/>
                <w:szCs w:val="17"/>
                <w:b w:val="1"/>
                <w:bCs w:val="1"/>
                <w:color w:val="auto"/>
              </w:rPr>
              <w:t>DAVID R. GOODE</w:t>
            </w:r>
          </w:p>
        </w:tc>
      </w:tr>
      <w:tr>
        <w:trPr>
          <w:trHeight w:val="222"/>
        </w:trPr>
        <w:tc>
          <w:tcPr>
            <w:tcW w:w="5340" w:type="dxa"/>
            <w:vAlign w:val="bottom"/>
          </w:tcPr>
          <w:p>
            <w:pPr>
              <w:ind w:left="1260"/>
              <w:spacing w:after="0"/>
              <w:rPr>
                <w:sz w:val="20"/>
                <w:szCs w:val="20"/>
                <w:color w:val="auto"/>
              </w:rPr>
            </w:pPr>
            <w:r>
              <w:rPr>
                <w:rFonts w:ascii="Arial" w:cs="Arial" w:eastAsia="Arial" w:hAnsi="Arial"/>
                <w:sz w:val="17"/>
                <w:szCs w:val="17"/>
                <w:i w:val="1"/>
                <w:iCs w:val="1"/>
                <w:color w:val="auto"/>
              </w:rPr>
              <w:t>Member, Audit Committee</w:t>
            </w:r>
          </w:p>
        </w:tc>
        <w:tc>
          <w:tcPr>
            <w:tcW w:w="6080" w:type="dxa"/>
            <w:vAlign w:val="bottom"/>
          </w:tcPr>
          <w:p>
            <w:pPr>
              <w:ind w:left="1600"/>
              <w:spacing w:after="0"/>
              <w:rPr>
                <w:sz w:val="20"/>
                <w:szCs w:val="20"/>
                <w:color w:val="auto"/>
              </w:rPr>
            </w:pPr>
            <w:r>
              <w:rPr>
                <w:rFonts w:ascii="Arial" w:cs="Arial" w:eastAsia="Arial" w:hAnsi="Arial"/>
                <w:sz w:val="17"/>
                <w:szCs w:val="17"/>
                <w:i w:val="1"/>
                <w:iCs w:val="1"/>
                <w:color w:val="auto"/>
              </w:rPr>
              <w:t>Member, Compensation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-255905</wp:posOffset>
            </wp:positionV>
            <wp:extent cx="798830" cy="9823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8830" cy="982345"/>
                    </a:xfrm>
                    <a:prstGeom prst="rect">
                      <a:avLst/>
                    </a:prstGeom>
                    <a:noFill/>
                  </pic:spPr>
                </pic:pic>
              </a:graphicData>
            </a:graphic>
          </wp:anchor>
        </w:drawing>
        <w:drawing>
          <wp:anchor simplePos="0" relativeHeight="251657728" behindDoc="1" locked="0" layoutInCell="0" allowOverlap="1">
            <wp:simplePos x="0" y="0"/>
            <wp:positionH relativeFrom="column">
              <wp:posOffset>3615690</wp:posOffset>
            </wp:positionH>
            <wp:positionV relativeFrom="paragraph">
              <wp:posOffset>-255905</wp:posOffset>
            </wp:positionV>
            <wp:extent cx="790575" cy="974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0575"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Messrs. Boren and Goode, highly valued directors since 1995 and 1996, respectively, will have attained the age of 70 on or before the date of the 2011 annual meeting and are, therefore, ineligible under the company’s by-laws to stand for re-election in 2011.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 process</w:t>
      </w:r>
    </w:p>
    <w:p>
      <w:pPr>
        <w:spacing w:after="0" w:line="257"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board is responsible for approving nominees for election as directors. To assist in this task, the board has designated a standing committee, the Governance and Stockholder Relations Committee (the G&amp;SR Committee), which is responsible for reviewing and recommending nominees to the board. The G&amp;SR Committee is comprised solely of independent directors as defined by the rules of the New York Stock Exchange (NYSE) and the board’s corporate governance guidelines. Our board of directors has adopted a written charter for the G&amp;SR Committee. It can be found on our website at www.ti.com/corporategovernance.</w:t>
      </w:r>
    </w:p>
    <w:p>
      <w:pPr>
        <w:spacing w:after="0" w:line="16" w:lineRule="exact"/>
        <w:rPr>
          <w:sz w:val="20"/>
          <w:szCs w:val="20"/>
          <w:color w:val="auto"/>
        </w:rPr>
      </w:pPr>
    </w:p>
    <w:p>
      <w:pPr>
        <w:ind w:right="560" w:firstLine="262"/>
        <w:spacing w:after="0" w:line="250" w:lineRule="auto"/>
        <w:rPr>
          <w:sz w:val="20"/>
          <w:szCs w:val="20"/>
          <w:color w:val="auto"/>
        </w:rPr>
      </w:pPr>
      <w:r>
        <w:rPr>
          <w:rFonts w:ascii="Arial" w:cs="Arial" w:eastAsia="Arial" w:hAnsi="Arial"/>
          <w:sz w:val="17"/>
          <w:szCs w:val="17"/>
          <w:color w:val="auto"/>
        </w:rPr>
        <w:t>It is a long-standing policy of the board to consider prospective board nominees recommended by stockholders. A stockholder who wishes to recommend a prospective board nominee for the G&amp;SR Committee’s consideration can write to the Secretary of the G&amp;SR Committee, Texas Instruments Incorporated, Post Office Box 655936, MS 8658, Dallas, Texas 75265-5936. The G&amp;SR Committee will evaluate the stockholder’s prospective board nominee in the same manner as it evaluates other nominees.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evaluating prospective nominees, the G&amp;SR Committee looks for the following minimum qualifications, qualities and skills: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Outstanding achievement in the individual’s personal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Breadth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Soundness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Ability to make independent, analytical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Ability to contribute to a diversity of viewpoints among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80"/>
        <w:spacing w:after="0" w:line="257" w:lineRule="auto"/>
        <w:rPr>
          <w:sz w:val="20"/>
          <w:szCs w:val="20"/>
          <w:color w:val="auto"/>
        </w:rPr>
      </w:pPr>
      <w:r>
        <w:rPr>
          <w:rFonts w:ascii="Arial" w:cs="Arial" w:eastAsia="Arial" w:hAnsi="Arial"/>
          <w:sz w:val="17"/>
          <w:szCs w:val="17"/>
          <w:color w:val="auto"/>
        </w:rPr>
        <w:t>Willingness and ability to devote the time required to perform board activities adequately (in this regard, the G&amp;SR Committee will consider the number of other boards on which the individual serves as a director, and in particular the board’s policy that directors should not serve on the boards of more than three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60"/>
        <w:spacing w:after="0" w:line="265" w:lineRule="auto"/>
        <w:rPr>
          <w:sz w:val="20"/>
          <w:szCs w:val="20"/>
          <w:color w:val="auto"/>
        </w:rPr>
      </w:pPr>
      <w:r>
        <w:rPr>
          <w:rFonts w:ascii="Arial" w:cs="Arial" w:eastAsia="Arial" w:hAnsi="Arial"/>
          <w:sz w:val="17"/>
          <w:szCs w:val="17"/>
          <w:color w:val="auto"/>
        </w:rPr>
        <w:t>Ability to represent the total corporate interests of TI (a director will not be selected to, nor will he or she be expected to, represent the interests of any particular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-238125</wp:posOffset>
            </wp:positionV>
            <wp:extent cx="58420" cy="58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Stockholders, non-employee directors, management and others may submit recommendations to the G&amp;SR Committee.</w:t>
      </w:r>
    </w:p>
    <w:p>
      <w:pPr>
        <w:spacing w:after="0" w:line="40" w:lineRule="exact"/>
        <w:rPr>
          <w:sz w:val="20"/>
          <w:szCs w:val="20"/>
          <w:color w:val="auto"/>
        </w:rPr>
      </w:pPr>
    </w:p>
    <w:p>
      <w:pPr>
        <w:ind w:right="20" w:firstLine="262"/>
        <w:spacing w:after="0" w:line="246" w:lineRule="auto"/>
        <w:rPr>
          <w:sz w:val="20"/>
          <w:szCs w:val="20"/>
          <w:color w:val="auto"/>
        </w:rPr>
      </w:pPr>
      <w:r>
        <w:rPr>
          <w:rFonts w:ascii="Arial" w:cs="Arial" w:eastAsia="Arial" w:hAnsi="Arial"/>
          <w:sz w:val="17"/>
          <w:szCs w:val="17"/>
          <w:color w:val="auto"/>
        </w:rPr>
        <w:t>Mr. Sanchez was elected to the board effective March 15, 2011. He is the only director nominee for the 2011 annual meeting of stockholders who is standing for election by the stockholders for the first time. A search firm retained by the company to assist the G&amp;SR Committee in identifying and evaluating potential nominees initially identified Mr. Sanchez as a potential director candidate. The search firm conducted research to identify a number of potential candidates, based on qualifications and skills the G&amp;SR Committee determined that candidates should possess. It then conducted further research on the candidates in whom the G&amp;SR Committee had the most interest. With the election of Mr. Sanchez, the board believes its current size is within the desired range as stated in the board’s corporate governance guidelines.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diversity and nominee qualifications</w:t>
      </w:r>
    </w:p>
    <w:p>
      <w:pPr>
        <w:spacing w:after="0" w:line="25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As indicated by the criteria above, 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effectiveness of this approach is evidenced by the directors’ participation in the insightful and robust yet collegial deliberation that occurs at board and committee meetings and in shaping the agendas for those meetings.</w:t>
      </w:r>
    </w:p>
    <w:p>
      <w:pPr>
        <w:spacing w:after="0" w:line="16" w:lineRule="exact"/>
        <w:rPr>
          <w:sz w:val="20"/>
          <w:szCs w:val="20"/>
          <w:color w:val="auto"/>
        </w:rPr>
      </w:pPr>
    </w:p>
    <w:p>
      <w:pPr>
        <w:ind w:right="40" w:firstLine="262"/>
        <w:spacing w:after="0" w:line="248" w:lineRule="auto"/>
        <w:rPr>
          <w:sz w:val="20"/>
          <w:szCs w:val="20"/>
          <w:color w:val="auto"/>
        </w:rPr>
      </w:pPr>
      <w:r>
        <w:rPr>
          <w:rFonts w:ascii="Arial" w:cs="Arial" w:eastAsia="Arial" w:hAnsi="Arial"/>
          <w:sz w:val="17"/>
          <w:szCs w:val="17"/>
          <w:color w:val="auto"/>
        </w:rPr>
        <w:t>As it considered director nominees for the 2011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capital investment and research and development (R&amp;D) decisions. These issues arise in the context of the company’s operations, which primarily involve the manufacture and sale of semiconductors all over the world into communications, computing, industrial and consumer electronics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203835</wp:posOffset>
            </wp:positionV>
            <wp:extent cx="727138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5" w:name="page6"/>
    <w:bookmarkEnd w:id="5"/>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53</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83" w:lineRule="exact"/>
        <w:rPr>
          <w:sz w:val="20"/>
          <w:szCs w:val="20"/>
          <w:color w:val="auto"/>
        </w:rPr>
      </w:pPr>
    </w:p>
    <w:p>
      <w:pPr>
        <w:ind w:right="20" w:firstLine="262"/>
        <w:spacing w:after="0" w:line="246" w:lineRule="auto"/>
        <w:rPr>
          <w:sz w:val="20"/>
          <w:szCs w:val="20"/>
          <w:color w:val="auto"/>
        </w:rPr>
      </w:pPr>
      <w:r>
        <w:rPr>
          <w:rFonts w:ascii="Arial" w:cs="Arial" w:eastAsia="Arial" w:hAnsi="Arial"/>
          <w:sz w:val="17"/>
          <w:szCs w:val="17"/>
          <w:color w:val="auto"/>
        </w:rPr>
        <w:t>As described below, each of our director nominees has achieved an extremely high level of success in his or her career, whether at multi-billion dollar multinational corporate enterprises, major U.S. universities or large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Eight of them have experience in serving on the board of directors of at least one other major corporation, and one has served in high political office, all of which provides additional relevant experience on which each nominee can draw.</w:t>
      </w:r>
    </w:p>
    <w:p>
      <w:pPr>
        <w:spacing w:after="0" w:line="17" w:lineRule="exact"/>
        <w:rPr>
          <w:sz w:val="20"/>
          <w:szCs w:val="20"/>
          <w:color w:val="auto"/>
        </w:rPr>
      </w:pPr>
    </w:p>
    <w:p>
      <w:pPr>
        <w:ind w:right="220" w:firstLine="262"/>
        <w:spacing w:after="0" w:line="254" w:lineRule="auto"/>
        <w:rPr>
          <w:sz w:val="20"/>
          <w:szCs w:val="20"/>
          <w:color w:val="auto"/>
        </w:rPr>
      </w:pPr>
      <w:r>
        <w:rPr>
          <w:rFonts w:ascii="Arial" w:cs="Arial" w:eastAsia="Arial" w:hAnsi="Arial"/>
          <w:sz w:val="17"/>
          <w:szCs w:val="17"/>
          <w:color w:val="auto"/>
        </w:rPr>
        <w:t>In concluding that each nominee should serve as a director, the board relied on the specific experiences and attributes listed below and on the direct personal knowledge (except as to Mr. Sanchez, who will join the board March 15, 2011), born of previous service on the board that each of the nominees brings insight and collegiality to board deliberations.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Babb</w:t>
      </w:r>
    </w:p>
    <w:p>
      <w:pPr>
        <w:ind w:left="520"/>
        <w:spacing w:after="0" w:line="257" w:lineRule="auto"/>
        <w:rPr>
          <w:sz w:val="20"/>
          <w:szCs w:val="20"/>
          <w:color w:val="auto"/>
        </w:rPr>
      </w:pPr>
      <w:r>
        <w:rPr>
          <w:rFonts w:ascii="Arial" w:cs="Arial" w:eastAsia="Arial" w:hAnsi="Arial"/>
          <w:sz w:val="17"/>
          <w:szCs w:val="17"/>
          <w:color w:val="auto"/>
        </w:rPr>
        <w:t>As chairman and CEO of Comerica Incorporated and Comerica Bank (2002-present) and through a long career in banking, has gained first-hand experience in managing large, complex institutions, as well as insight into financial markets, which experience is particularly relevant to the company due to its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60"/>
        <w:spacing w:after="0" w:line="252" w:lineRule="auto"/>
        <w:rPr>
          <w:sz w:val="20"/>
          <w:szCs w:val="20"/>
          <w:color w:val="auto"/>
        </w:rPr>
      </w:pPr>
      <w:r>
        <w:rPr>
          <w:rFonts w:ascii="Arial" w:cs="Arial" w:eastAsia="Arial" w:hAnsi="Arial"/>
          <w:sz w:val="17"/>
          <w:szCs w:val="17"/>
          <w:color w:val="auto"/>
        </w:rPr>
        <w:t>As chief financial officer of Comerica Incorporated and Comerica Bank (1995-2002), controller and later chief financial officer of Mercantile Bancorporation (1978-1995), and auditor and later audit manager at the accounting firm of Peat Marwick Mitchell &amp; Co. (1971-1978), gained extensive audit knowledge and experience in audit- and financial control-related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-354965</wp:posOffset>
            </wp:positionV>
            <wp:extent cx="58420" cy="58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u w:val="single" w:color="auto"/>
          <w:color w:val="auto"/>
        </w:rPr>
        <w:t>Mr. Carp</w:t>
      </w:r>
    </w:p>
    <w:p>
      <w:pPr>
        <w:spacing w:after="0" w:line="1" w:lineRule="exact"/>
        <w:rPr>
          <w:sz w:val="20"/>
          <w:szCs w:val="20"/>
          <w:color w:val="auto"/>
        </w:rPr>
      </w:pPr>
    </w:p>
    <w:p>
      <w:pPr>
        <w:ind w:left="520" w:right="240"/>
        <w:spacing w:after="0" w:line="257" w:lineRule="auto"/>
        <w:rPr>
          <w:sz w:val="20"/>
          <w:szCs w:val="20"/>
          <w:color w:val="auto"/>
        </w:rPr>
      </w:pPr>
      <w:r>
        <w:rPr>
          <w:rFonts w:ascii="Arial" w:cs="Arial" w:eastAsia="Arial" w:hAnsi="Arial"/>
          <w:sz w:val="17"/>
          <w:szCs w:val="17"/>
          <w:color w:val="auto"/>
        </w:rPr>
        <w:t>As chairman and CEO (2000-2005) and president (1997-2001, 2002-2003) of Eastman Kodak Company, gained first-hand experience in managing a large, multinational corporation focused on worldwide electronic consumer markets (which are of relevance to the company), with ultimate management responsibility for the corporation’s financial performance and its significant investments in capital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60"/>
        <w:spacing w:after="0" w:line="252" w:lineRule="auto"/>
        <w:rPr>
          <w:sz w:val="20"/>
          <w:szCs w:val="20"/>
          <w:color w:val="auto"/>
        </w:rPr>
      </w:pPr>
      <w:r>
        <w:rPr>
          <w:rFonts w:ascii="Arial" w:cs="Arial" w:eastAsia="Arial" w:hAnsi="Arial"/>
          <w:sz w:val="17"/>
          <w:szCs w:val="17"/>
          <w:color w:val="auto"/>
        </w:rPr>
        <w:t>As chairman of the board of directors of Delta Air Lines (2007-present), a director of Norfolk Southern Corporation (2006-present) and a former director of Liz Claiborne, Inc. (2006-2009), has helped oversee the strategy and operations of major multinational corporations in various industries, including some that are capital-intensive.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-354965</wp:posOffset>
            </wp:positionV>
            <wp:extent cx="58420" cy="58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u w:val="single" w:color="auto"/>
          <w:color w:val="auto"/>
        </w:rPr>
        <w:t>Ms. Cox</w:t>
      </w:r>
    </w:p>
    <w:p>
      <w:pPr>
        <w:spacing w:after="0" w:line="1" w:lineRule="exact"/>
        <w:rPr>
          <w:sz w:val="20"/>
          <w:szCs w:val="20"/>
          <w:color w:val="auto"/>
        </w:rPr>
      </w:pPr>
    </w:p>
    <w:p>
      <w:pPr>
        <w:ind w:left="520"/>
        <w:spacing w:after="0" w:line="254" w:lineRule="auto"/>
        <w:rPr>
          <w:sz w:val="20"/>
          <w:szCs w:val="20"/>
          <w:color w:val="auto"/>
        </w:rPr>
      </w:pPr>
      <w:r>
        <w:rPr>
          <w:rFonts w:ascii="Arial" w:cs="Arial" w:eastAsia="Arial" w:hAnsi="Arial"/>
          <w:sz w:val="17"/>
          <w:szCs w:val="17"/>
          <w:color w:val="auto"/>
        </w:rPr>
        <w:t>As CEO and a director of Humacyte, Inc. (2010-present), executive vice president and president of Global Pharmaceuticals at Schering-Plough Corporation (2003-2009) and executive vice president and president of Global Prescription Business at Pharmacia Corporation (1997-2003), has gained first-hand experience in managing large, multinational organizations focused on medical-related markets (which are of relevance to the company), with responsibility for those organizations’ financial performance and significant capital and R&amp;D investments. Is also a director of Cardinal Health, Inc. (2009-present) and Celgene Corporation (2009-present).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-621030</wp:posOffset>
            </wp:positionV>
            <wp:extent cx="58420" cy="584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7"/>
          <w:szCs w:val="17"/>
          <w:u w:val="single" w:color="auto"/>
          <w:color w:val="auto"/>
        </w:rPr>
        <w:t>Mr. MacMillan</w:t>
      </w:r>
    </w:p>
    <w:p>
      <w:pPr>
        <w:spacing w:after="0" w:line="1" w:lineRule="exact"/>
        <w:rPr>
          <w:sz w:val="20"/>
          <w:szCs w:val="20"/>
          <w:color w:val="auto"/>
        </w:rPr>
      </w:pPr>
    </w:p>
    <w:p>
      <w:pPr>
        <w:jc w:val="both"/>
        <w:ind w:left="520" w:right="60"/>
        <w:spacing w:after="0" w:line="253" w:lineRule="auto"/>
        <w:rPr>
          <w:sz w:val="20"/>
          <w:szCs w:val="20"/>
          <w:color w:val="auto"/>
        </w:rPr>
      </w:pPr>
      <w:r>
        <w:rPr>
          <w:rFonts w:ascii="Arial" w:cs="Arial" w:eastAsia="Arial" w:hAnsi="Arial"/>
          <w:sz w:val="17"/>
          <w:szCs w:val="17"/>
          <w:color w:val="auto"/>
        </w:rPr>
        <w:t>As chairman (2009-present), director and CEO (2005-present) and president and chief operating officer (2003-2004) of Stryker Corporation, and sector vice president, global specialty operations at Pharmacia Corporation (1999-2003), has gained first-hand experience in managing a large, multinational corporation focused on medical-related markets (which are of relevance to the company), with ultimate management responsibility for the corporation’s financial performance and its significant investments in capital and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-487680</wp:posOffset>
            </wp:positionV>
            <wp:extent cx="58420" cy="58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17"/>
          <w:szCs w:val="17"/>
          <w:u w:val="single" w:color="auto"/>
          <w:color w:val="auto"/>
        </w:rPr>
        <w:t>Ms. Patsley</w:t>
      </w:r>
    </w:p>
    <w:p>
      <w:pPr>
        <w:ind w:left="520" w:right="140"/>
        <w:spacing w:after="0" w:line="257" w:lineRule="auto"/>
        <w:rPr>
          <w:sz w:val="20"/>
          <w:szCs w:val="20"/>
          <w:color w:val="auto"/>
        </w:rPr>
      </w:pPr>
      <w:r>
        <w:rPr>
          <w:rFonts w:ascii="Arial" w:cs="Arial" w:eastAsia="Arial" w:hAnsi="Arial"/>
          <w:sz w:val="17"/>
          <w:szCs w:val="17"/>
          <w:color w:val="auto"/>
        </w:rPr>
        <w:t>As chairman and CEO (2009-present) of MoneyGram International, Inc., senior executive vice president of First Data Corporation (2000-2007), and president and CEO of Paymentech, Inc. (1991-2000), has gained first-hand experience managing large, multinational organizations, including the application of technology in the financial services sector, with ultimate management responsibility for their financial performance and significant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-495935</wp:posOffset>
            </wp:positionV>
            <wp:extent cx="58420" cy="58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jc w:val="both"/>
        <w:ind w:left="520" w:right="20"/>
        <w:spacing w:after="0" w:line="257" w:lineRule="auto"/>
        <w:rPr>
          <w:sz w:val="20"/>
          <w:szCs w:val="20"/>
          <w:color w:val="auto"/>
        </w:rPr>
      </w:pPr>
      <w:r>
        <w:rPr>
          <w:rFonts w:ascii="Arial" w:cs="Arial" w:eastAsia="Arial" w:hAnsi="Arial"/>
          <w:sz w:val="17"/>
          <w:szCs w:val="17"/>
          <w:color w:val="auto"/>
        </w:rPr>
        <w:t>As audit committee chair at the company, a member of the audit committee at Dr Pepper Snapple Group, Inc., chief financial officer of First USA, Inc. (1987-1994), and a former auditor at KPMG Peat Marwick for almost six years before joining First USA, has developed a keen appreciation for audit- and financial control-related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40"/>
        <w:spacing w:after="0" w:line="249" w:lineRule="auto"/>
        <w:rPr>
          <w:sz w:val="20"/>
          <w:szCs w:val="20"/>
          <w:color w:val="auto"/>
        </w:rPr>
      </w:pPr>
      <w:r>
        <w:rPr>
          <w:rFonts w:ascii="Arial" w:cs="Arial" w:eastAsia="Arial" w:hAnsi="Arial"/>
          <w:sz w:val="17"/>
          <w:szCs w:val="17"/>
          <w:color w:val="auto"/>
        </w:rPr>
        <w:t>As a director of Dr Pepper Snapple Group, Inc. (2008-present) and a former director of Molson Coors Brewing Company (2005- 2009), has helped oversee the strategy and operations of other major multinational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-221615</wp:posOffset>
            </wp:positionV>
            <wp:extent cx="58420" cy="584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7"/>
          <w:szCs w:val="17"/>
          <w:u w:val="single" w:color="auto"/>
          <w:color w:val="auto"/>
        </w:rPr>
        <w:t>Mr. Sanchez</w:t>
      </w:r>
    </w:p>
    <w:p>
      <w:pPr>
        <w:ind w:left="520" w:right="480"/>
        <w:spacing w:after="0" w:line="257" w:lineRule="auto"/>
        <w:rPr>
          <w:sz w:val="20"/>
          <w:szCs w:val="20"/>
          <w:color w:val="auto"/>
        </w:rPr>
      </w:pPr>
      <w:r>
        <w:rPr>
          <w:rFonts w:ascii="Arial" w:cs="Arial" w:eastAsia="Arial" w:hAnsi="Arial"/>
          <w:sz w:val="17"/>
          <w:szCs w:val="17"/>
          <w:color w:val="auto"/>
        </w:rPr>
        <w:t>As president of Global Fleet Management Solutions for Ryder System, Inc. (September 2010-present), has gained first-hand experience in managing a large, multinational, transportation-related organization, with responsibility for the organization’s financial performance and significant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20"/>
        <w:spacing w:after="0" w:line="262" w:lineRule="auto"/>
        <w:rPr>
          <w:sz w:val="20"/>
          <w:szCs w:val="20"/>
          <w:color w:val="auto"/>
        </w:rPr>
      </w:pPr>
      <w:r>
        <w:rPr>
          <w:rFonts w:ascii="Arial" w:cs="Arial" w:eastAsia="Arial" w:hAnsi="Arial"/>
          <w:sz w:val="17"/>
          <w:szCs w:val="17"/>
          <w:color w:val="auto"/>
        </w:rPr>
        <w:t>As executive vice president and chief financial officer (October 2007 to September 2010) and as senior vice president and chief information officer (2003-2005) of Ryder System, Inc., developed a keen appreciation for audit- and financial control-related issues and gained first-hand experience with all technology-related functions of a large multinational corporation focused on transportation and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180340</wp:posOffset>
            </wp:positionV>
            <wp:extent cx="727138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209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-370840</wp:posOffset>
            </wp:positionV>
            <wp:extent cx="58420" cy="58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6" w:name="page7"/>
    <w:bookmarkEnd w:id="6"/>
    <w:p>
      <w:pPr>
        <w:jc w:val="center"/>
        <w:ind w:right="-19"/>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54</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Sanders</w:t>
      </w:r>
    </w:p>
    <w:p>
      <w:pPr>
        <w:ind w:left="520" w:right="100"/>
        <w:spacing w:after="0" w:line="257" w:lineRule="auto"/>
        <w:rPr>
          <w:sz w:val="20"/>
          <w:szCs w:val="20"/>
          <w:color w:val="auto"/>
        </w:rPr>
      </w:pPr>
      <w:r>
        <w:rPr>
          <w:rFonts w:ascii="Arial" w:cs="Arial" w:eastAsia="Arial" w:hAnsi="Arial"/>
          <w:sz w:val="17"/>
          <w:szCs w:val="17"/>
          <w:color w:val="auto"/>
        </w:rPr>
        <w:t>As chairman (1992-2003) and CEO (1991-2002) of Kimberly-Clark Corporation, gained first-hand experience in managing a large, multinational consumer goods corporation, with ultimate management responsibility for its financial performance and its significant capital and R&amp;D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
        <w:spacing w:after="0" w:line="249" w:lineRule="auto"/>
        <w:rPr>
          <w:sz w:val="20"/>
          <w:szCs w:val="20"/>
          <w:color w:val="auto"/>
        </w:rPr>
      </w:pPr>
      <w:r>
        <w:rPr>
          <w:rFonts w:ascii="Arial" w:cs="Arial" w:eastAsia="Arial" w:hAnsi="Arial"/>
          <w:sz w:val="17"/>
          <w:szCs w:val="17"/>
          <w:color w:val="auto"/>
        </w:rPr>
        <w:t>As chairman of Dr Pepper Snapple Group, Inc. (2008-present) and director of Belo Corporation (2003-present), has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-221615</wp:posOffset>
            </wp:positionV>
            <wp:extent cx="58420" cy="58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7"/>
          <w:szCs w:val="17"/>
          <w:u w:val="single" w:color="auto"/>
          <w:color w:val="auto"/>
        </w:rPr>
        <w:t>Ms. Simmons</w:t>
      </w:r>
    </w:p>
    <w:p>
      <w:pPr>
        <w:jc w:val="both"/>
        <w:ind w:left="520" w:right="300"/>
        <w:spacing w:after="0" w:line="257" w:lineRule="auto"/>
        <w:rPr>
          <w:sz w:val="20"/>
          <w:szCs w:val="20"/>
          <w:color w:val="auto"/>
        </w:rPr>
      </w:pPr>
      <w:r>
        <w:rPr>
          <w:rFonts w:ascii="Arial" w:cs="Arial" w:eastAsia="Arial" w:hAnsi="Arial"/>
          <w:sz w:val="17"/>
          <w:szCs w:val="17"/>
          <w:color w:val="auto"/>
        </w:rPr>
        <w:t>As president of Brown University (2001-present) and president of Smith College (1995-2001), has gained first-hand experience in managing large, complex institutions, and has developed deep insight into the development and training of professionals including engineers, scientists and technologists, on whom the company relies for its next generation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49" w:lineRule="auto"/>
        <w:rPr>
          <w:sz w:val="20"/>
          <w:szCs w:val="20"/>
          <w:color w:val="auto"/>
        </w:rPr>
      </w:pPr>
      <w:r>
        <w:rPr>
          <w:rFonts w:ascii="Arial" w:cs="Arial" w:eastAsia="Arial" w:hAnsi="Arial"/>
          <w:sz w:val="17"/>
          <w:szCs w:val="17"/>
          <w:color w:val="auto"/>
        </w:rPr>
        <w:t>As a former director of The Goldman Sachs Group, Inc. (2000-2010) and Pfizer, Inc. (1997-2007),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-221615</wp:posOffset>
            </wp:positionV>
            <wp:extent cx="58420" cy="5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7"/>
          <w:szCs w:val="17"/>
          <w:u w:val="single" w:color="auto"/>
          <w:color w:val="auto"/>
        </w:rPr>
        <w:t>Mr. Templeton</w:t>
      </w:r>
    </w:p>
    <w:p>
      <w:pPr>
        <w:ind w:left="520" w:right="80"/>
        <w:spacing w:after="0" w:line="252" w:lineRule="auto"/>
        <w:rPr>
          <w:sz w:val="20"/>
          <w:szCs w:val="20"/>
          <w:color w:val="auto"/>
        </w:rPr>
      </w:pPr>
      <w:r>
        <w:rPr>
          <w:rFonts w:ascii="Arial" w:cs="Arial" w:eastAsia="Arial" w:hAnsi="Arial"/>
          <w:sz w:val="17"/>
          <w:szCs w:val="17"/>
          <w:color w:val="auto"/>
        </w:rPr>
        <w:t>As a 30-year veteran of the semiconductor industry, serving the last 15 years at a senior level at the company, including as chairman since April 2008, CEO since 2004 and director since 2003, has developed a deep knowledge of all aspects of the company and of the semiconductor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-354965</wp:posOffset>
            </wp:positionV>
            <wp:extent cx="58420" cy="58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5" w:lineRule="auto"/>
        <w:rPr>
          <w:sz w:val="20"/>
          <w:szCs w:val="20"/>
          <w:color w:val="auto"/>
        </w:rPr>
      </w:pPr>
      <w:r>
        <w:rPr>
          <w:rFonts w:ascii="Arial" w:cs="Arial" w:eastAsia="Arial" w:hAnsi="Arial"/>
          <w:sz w:val="17"/>
          <w:szCs w:val="17"/>
          <w:u w:val="single" w:color="auto"/>
          <w:color w:val="auto"/>
        </w:rPr>
        <w:t>Ms. Whitman</w:t>
      </w:r>
    </w:p>
    <w:p>
      <w:pPr>
        <w:spacing w:after="0" w:line="1" w:lineRule="exact"/>
        <w:rPr>
          <w:sz w:val="20"/>
          <w:szCs w:val="20"/>
          <w:color w:val="auto"/>
        </w:rPr>
      </w:pPr>
    </w:p>
    <w:p>
      <w:pPr>
        <w:jc w:val="both"/>
        <w:ind w:left="520" w:right="160"/>
        <w:spacing w:after="0" w:line="257" w:lineRule="auto"/>
        <w:rPr>
          <w:sz w:val="20"/>
          <w:szCs w:val="20"/>
          <w:color w:val="auto"/>
        </w:rPr>
      </w:pPr>
      <w:r>
        <w:rPr>
          <w:rFonts w:ascii="Arial" w:cs="Arial" w:eastAsia="Arial" w:hAnsi="Arial"/>
          <w:sz w:val="17"/>
          <w:szCs w:val="17"/>
          <w:color w:val="auto"/>
        </w:rPr>
        <w:t>As Administrator of the Environmental Protection Agency (2001-2003) and Governor of the state of New Jersey (1994-2000), gained first-hand experience managing a large, complex organization and developed keen insight into the workings of government on the federal and state level and how they might impact company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20"/>
        <w:spacing w:after="0" w:line="268" w:lineRule="auto"/>
        <w:rPr>
          <w:sz w:val="20"/>
          <w:szCs w:val="20"/>
          <w:color w:val="auto"/>
        </w:rPr>
      </w:pPr>
      <w:r>
        <w:rPr>
          <w:rFonts w:ascii="Arial" w:cs="Arial" w:eastAsia="Arial" w:hAnsi="Arial"/>
          <w:sz w:val="17"/>
          <w:szCs w:val="17"/>
          <w:color w:val="auto"/>
        </w:rPr>
        <w:t>As a director of S.C. Johnson &amp; Son, Inc. (2003-present) and United Technologies Corp. (2003-present), has helped oversee the strategy and operations of other large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-241300</wp:posOffset>
            </wp:positionV>
            <wp:extent cx="58420" cy="58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257"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Stockholders and others who wish to communicate with the board as a whole, or to individual directors, may write to them at: P.O. Box 655936, MS 8658, Dallas, Texas 75265-5936. All communications sent to this address will be shared with the board or the individual director, if so addressed.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w:t>
      </w:r>
    </w:p>
    <w:p>
      <w:pPr>
        <w:spacing w:after="0" w:line="257"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board has a long-standing commitment to responsible and effective corporate governance. The board’s corporate governance guidelines (which include the director independence standards), the charters of each of the board’s committees, TI’s code of business conduct and our code of ethics for our chief executive officer and senior financial officers are available on our website at www.ti.com/corporategovernance. Stockholders may request copies of these documents free of charge by writing to Texas Instruments Incorporated, P.O. Box 660199, MS 8657, Dallas, Texas, 75266-0199, Attn: Investor Relations.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attendance</w:t>
      </w:r>
    </w:p>
    <w:p>
      <w:pPr>
        <w:spacing w:after="0" w:line="25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It is a policy of the board to encourage directors to attend each annual meeting of stockholders. Such attendance allows for direct interaction between stockholders and board members. In 2010, all but one director attended TI’s annual meeting of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57"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Each of our directors and director nominees is independent except for Mr. Templeton. The board has adopted the following standards for determining independence.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 In no event will a director be considered independent if:</w:t>
      </w:r>
    </w:p>
    <w:p>
      <w:pPr>
        <w:spacing w:after="0" w:line="14" w:lineRule="exact"/>
        <w:rPr>
          <w:sz w:val="20"/>
          <w:szCs w:val="20"/>
          <w:color w:val="auto"/>
        </w:rPr>
      </w:pPr>
    </w:p>
    <w:p>
      <w:pPr>
        <w:ind w:left="420" w:hanging="205"/>
        <w:spacing w:after="0"/>
        <w:tabs>
          <w:tab w:leader="none" w:pos="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He or she is a current partner of or is employed by the company’s independent auditors; or</w:t>
      </w:r>
    </w:p>
    <w:p>
      <w:pPr>
        <w:spacing w:after="0" w:line="27" w:lineRule="exact"/>
        <w:rPr>
          <w:rFonts w:ascii="Arial" w:cs="Arial" w:eastAsia="Arial" w:hAnsi="Arial"/>
          <w:sz w:val="17"/>
          <w:szCs w:val="17"/>
          <w:color w:val="auto"/>
        </w:rPr>
      </w:pPr>
    </w:p>
    <w:p>
      <w:pPr>
        <w:ind w:left="420" w:right="540" w:hanging="205"/>
        <w:spacing w:after="0" w:line="241" w:lineRule="auto"/>
        <w:tabs>
          <w:tab w:leader="none" w:pos="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An immediate family member of the director is (a) a current partner of the company’s independent auditors or (b) currently employed by the company’s independent auditors and personally works on the company’s audit.</w:t>
      </w:r>
    </w:p>
    <w:p>
      <w:pPr>
        <w:spacing w:after="0"/>
        <w:rPr>
          <w:rFonts w:ascii="Arial" w:cs="Arial" w:eastAsia="Arial" w:hAnsi="Arial"/>
          <w:sz w:val="17"/>
          <w:szCs w:val="17"/>
          <w:color w:val="auto"/>
        </w:rPr>
      </w:pPr>
      <w:r>
        <w:rPr>
          <w:rFonts w:ascii="Arial" w:cs="Arial" w:eastAsia="Arial" w:hAnsi="Arial"/>
          <w:sz w:val="17"/>
          <w:szCs w:val="17"/>
          <w:color w:val="auto"/>
        </w:rPr>
        <w:t>B. In no event will a director be considered independent if, within the preceding three years:</w:t>
      </w:r>
    </w:p>
    <w:p>
      <w:pPr>
        <w:spacing w:after="0" w:line="1" w:lineRule="exact"/>
        <w:rPr>
          <w:rFonts w:ascii="Arial" w:cs="Arial" w:eastAsia="Arial" w:hAnsi="Arial"/>
          <w:sz w:val="17"/>
          <w:szCs w:val="17"/>
          <w:color w:val="auto"/>
        </w:rPr>
      </w:pPr>
    </w:p>
    <w:p>
      <w:pPr>
        <w:ind w:left="420" w:right="540" w:hanging="205"/>
        <w:spacing w:after="0" w:line="241" w:lineRule="auto"/>
        <w:tabs>
          <w:tab w:leader="none" w:pos="420" w:val="left"/>
        </w:tabs>
        <w:numPr>
          <w:ilvl w:val="1"/>
          <w:numId w:val="6"/>
        </w:numPr>
        <w:rPr>
          <w:rFonts w:ascii="Arial" w:cs="Arial" w:eastAsia="Arial" w:hAnsi="Arial"/>
          <w:sz w:val="17"/>
          <w:szCs w:val="17"/>
          <w:color w:val="auto"/>
        </w:rPr>
      </w:pPr>
      <w:r>
        <w:rPr>
          <w:rFonts w:ascii="Arial" w:cs="Arial" w:eastAsia="Arial" w:hAnsi="Arial"/>
          <w:sz w:val="17"/>
          <w:szCs w:val="17"/>
          <w:color w:val="auto"/>
        </w:rPr>
        <w:t>He or she was employed by the company (except in the capacity of interim chairman of the board, chief executive officer or other executive officer) or any of its subsidiaries;</w:t>
      </w:r>
    </w:p>
    <w:p>
      <w:pPr>
        <w:ind w:left="420" w:right="60" w:hanging="205"/>
        <w:spacing w:after="0" w:line="244" w:lineRule="auto"/>
        <w:tabs>
          <w:tab w:leader="none" w:pos="420" w:val="left"/>
        </w:tabs>
        <w:numPr>
          <w:ilvl w:val="1"/>
          <w:numId w:val="6"/>
        </w:numPr>
        <w:rPr>
          <w:rFonts w:ascii="Arial" w:cs="Arial" w:eastAsia="Arial" w:hAnsi="Arial"/>
          <w:sz w:val="17"/>
          <w:szCs w:val="17"/>
          <w:color w:val="auto"/>
        </w:rPr>
      </w:pPr>
      <w:r>
        <w:rPr>
          <w:rFonts w:ascii="Arial" w:cs="Arial" w:eastAsia="Arial" w:hAnsi="Arial"/>
          <w:sz w:val="17"/>
          <w:szCs w:val="17"/>
          <w:color w:val="auto"/>
        </w:rPr>
        <w:t>He or she received more than $120,000 during any twelve-month period in direct compensation from TI (other than (a) director and committee fees and pension or other forms of deferred compensation and (b) compensation received for former service as an interim chairman of the board, chief executive officer or other executive officer);</w:t>
      </w:r>
    </w:p>
    <w:p>
      <w:pPr>
        <w:spacing w:after="0" w:line="6" w:lineRule="exact"/>
        <w:rPr>
          <w:rFonts w:ascii="Arial" w:cs="Arial" w:eastAsia="Arial" w:hAnsi="Arial"/>
          <w:sz w:val="17"/>
          <w:szCs w:val="17"/>
          <w:color w:val="auto"/>
        </w:rPr>
      </w:pPr>
    </w:p>
    <w:p>
      <w:pPr>
        <w:ind w:left="420" w:hanging="205"/>
        <w:spacing w:after="0"/>
        <w:tabs>
          <w:tab w:leader="none" w:pos="420" w:val="left"/>
        </w:tabs>
        <w:numPr>
          <w:ilvl w:val="1"/>
          <w:numId w:val="6"/>
        </w:numPr>
        <w:rPr>
          <w:rFonts w:ascii="Arial" w:cs="Arial" w:eastAsia="Arial" w:hAnsi="Arial"/>
          <w:sz w:val="17"/>
          <w:szCs w:val="17"/>
          <w:color w:val="auto"/>
        </w:rPr>
      </w:pPr>
      <w:r>
        <w:rPr>
          <w:rFonts w:ascii="Arial" w:cs="Arial" w:eastAsia="Arial" w:hAnsi="Arial"/>
          <w:sz w:val="17"/>
          <w:szCs w:val="17"/>
          <w:color w:val="auto"/>
        </w:rPr>
        <w:t>An immediate family member of the director was employed as an executive officer by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229870</wp:posOffset>
            </wp:positionV>
            <wp:extent cx="727138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00"/>
          </w:cols>
          <w:pgMar w:left="240" w:top="595" w:right="259" w:bottom="1440" w:gutter="0" w:footer="0" w:header="0"/>
        </w:sectPr>
      </w:pPr>
    </w:p>
    <w:bookmarkStart w:id="7" w:name="page8"/>
    <w:bookmarkEnd w:id="7"/>
    <w:p>
      <w:pPr>
        <w:jc w:val="center"/>
        <w:ind w:right="-19"/>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55</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left="520" w:right="560" w:hanging="193"/>
        <w:spacing w:after="0" w:line="241" w:lineRule="auto"/>
        <w:tabs>
          <w:tab w:leader="none" w:pos="5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An immediate family member of the director received more than $120,000 during any twelve-month period in direct compensation from TI (excluding compensation as a non-executive officer employee of the company);</w:t>
      </w:r>
    </w:p>
    <w:p>
      <w:pPr>
        <w:ind w:left="520" w:right="240" w:hanging="193"/>
        <w:spacing w:after="0" w:line="241" w:lineRule="auto"/>
        <w:tabs>
          <w:tab w:leader="none" w:pos="520" w:val="left"/>
        </w:tabs>
        <w:numPr>
          <w:ilvl w:val="2"/>
          <w:numId w:val="7"/>
        </w:numPr>
        <w:rPr>
          <w:rFonts w:ascii="Arial" w:cs="Arial" w:eastAsia="Arial" w:hAnsi="Arial"/>
          <w:sz w:val="17"/>
          <w:szCs w:val="17"/>
          <w:color w:val="auto"/>
        </w:rPr>
      </w:pPr>
      <w:r>
        <w:rPr>
          <w:rFonts w:ascii="Arial" w:cs="Arial" w:eastAsia="Arial" w:hAnsi="Arial"/>
          <w:sz w:val="17"/>
          <w:szCs w:val="17"/>
          <w:color w:val="auto"/>
        </w:rPr>
        <w:t>He or she was (but is no longer) a partner or employee of the company’s independent auditors and personally worked on the company’s audit within that time;</w:t>
      </w:r>
    </w:p>
    <w:p>
      <w:pPr>
        <w:ind w:left="520" w:right="60" w:hanging="193"/>
        <w:spacing w:after="0" w:line="241" w:lineRule="auto"/>
        <w:tabs>
          <w:tab w:leader="none" w:pos="5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An immediate family member of the director was (but is no longer) a partner or employee of the company’s independent auditors and personally worked on the company’s audit within that time;</w:t>
      </w:r>
    </w:p>
    <w:p>
      <w:pPr>
        <w:ind w:left="520" w:right="820" w:hanging="193"/>
        <w:spacing w:after="0" w:line="241" w:lineRule="auto"/>
        <w:tabs>
          <w:tab w:leader="none" w:pos="520" w:val="left"/>
        </w:tabs>
        <w:numPr>
          <w:ilvl w:val="2"/>
          <w:numId w:val="7"/>
        </w:numPr>
        <w:rPr>
          <w:rFonts w:ascii="Arial" w:cs="Arial" w:eastAsia="Arial" w:hAnsi="Arial"/>
          <w:sz w:val="17"/>
          <w:szCs w:val="17"/>
          <w:color w:val="auto"/>
        </w:rPr>
      </w:pPr>
      <w:r>
        <w:rPr>
          <w:rFonts w:ascii="Arial" w:cs="Arial" w:eastAsia="Arial" w:hAnsi="Arial"/>
          <w:sz w:val="17"/>
          <w:szCs w:val="17"/>
          <w:color w:val="auto"/>
        </w:rPr>
        <w:t>He or she was an executive officer of another company, at which any of TI’s current executive officers at the same time served on that company’s compensation committee;</w:t>
      </w:r>
    </w:p>
    <w:p>
      <w:pPr>
        <w:ind w:left="520" w:right="260" w:hanging="193"/>
        <w:spacing w:after="0" w:line="241" w:lineRule="auto"/>
        <w:tabs>
          <w:tab w:leader="none" w:pos="5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An immediate family member of the director was an executive officer of another company at which any of TI’s current executive officers at the same time served on that company’s compensation committee;</w:t>
      </w:r>
    </w:p>
    <w:p>
      <w:pPr>
        <w:ind w:left="520" w:right="40" w:hanging="193"/>
        <w:spacing w:after="0" w:line="241" w:lineRule="auto"/>
        <w:tabs>
          <w:tab w:leader="none" w:pos="520" w:val="left"/>
        </w:tabs>
        <w:numPr>
          <w:ilvl w:val="2"/>
          <w:numId w:val="7"/>
        </w:numPr>
        <w:rPr>
          <w:rFonts w:ascii="Arial" w:cs="Arial" w:eastAsia="Arial" w:hAnsi="Arial"/>
          <w:sz w:val="17"/>
          <w:szCs w:val="17"/>
          <w:color w:val="auto"/>
        </w:rPr>
      </w:pPr>
      <w:r>
        <w:rPr>
          <w:rFonts w:ascii="Arial" w:cs="Arial" w:eastAsia="Arial" w:hAnsi="Arial"/>
          <w:sz w:val="17"/>
          <w:szCs w:val="17"/>
          <w:color w:val="auto"/>
        </w:rPr>
        <w:t>He or she was, and remains at the time of the determination, an executive officer or employee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 or</w:t>
      </w:r>
    </w:p>
    <w:p>
      <w:pPr>
        <w:spacing w:after="0" w:line="1" w:lineRule="exact"/>
        <w:rPr>
          <w:rFonts w:ascii="Arial" w:cs="Arial" w:eastAsia="Arial" w:hAnsi="Arial"/>
          <w:sz w:val="17"/>
          <w:szCs w:val="17"/>
          <w:color w:val="auto"/>
        </w:rPr>
      </w:pPr>
    </w:p>
    <w:p>
      <w:pPr>
        <w:ind w:left="520" w:right="320" w:hanging="288"/>
        <w:spacing w:after="0" w:line="241" w:lineRule="auto"/>
        <w:tabs>
          <w:tab w:leader="none" w:pos="5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An immediate family member of the director was, and remains at the time of the determination, an executive officer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w:t>
      </w:r>
    </w:p>
    <w:p>
      <w:pPr>
        <w:spacing w:after="0" w:line="1" w:lineRule="exact"/>
        <w:rPr>
          <w:rFonts w:ascii="Arial" w:cs="Arial" w:eastAsia="Arial" w:hAnsi="Arial"/>
          <w:sz w:val="17"/>
          <w:szCs w:val="17"/>
          <w:color w:val="auto"/>
        </w:rPr>
      </w:pPr>
    </w:p>
    <w:p>
      <w:pPr>
        <w:ind w:left="220" w:right="200" w:hanging="215"/>
        <w:spacing w:after="0" w:line="241" w:lineRule="auto"/>
        <w:tabs>
          <w:tab w:leader="none" w:pos="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pacing w:after="0" w:line="1" w:lineRule="exact"/>
        <w:rPr>
          <w:rFonts w:ascii="Arial" w:cs="Arial" w:eastAsia="Arial" w:hAnsi="Arial"/>
          <w:sz w:val="17"/>
          <w:szCs w:val="17"/>
          <w:color w:val="auto"/>
        </w:rPr>
      </w:pPr>
    </w:p>
    <w:p>
      <w:pPr>
        <w:ind w:left="220" w:hanging="215"/>
        <w:spacing w:after="0"/>
        <w:tabs>
          <w:tab w:leader="none" w:pos="2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relationships will not be considered material relationships with the company for the purpose of determining director independence:</w:t>
      </w:r>
    </w:p>
    <w:p>
      <w:pPr>
        <w:spacing w:after="0" w:line="1" w:lineRule="exact"/>
        <w:rPr>
          <w:rFonts w:ascii="Arial" w:cs="Arial" w:eastAsia="Arial" w:hAnsi="Arial"/>
          <w:sz w:val="17"/>
          <w:szCs w:val="17"/>
          <w:color w:val="auto"/>
        </w:rPr>
      </w:pPr>
    </w:p>
    <w:p>
      <w:pPr>
        <w:ind w:left="420" w:right="320" w:hanging="192"/>
        <w:spacing w:after="0" w:line="241" w:lineRule="auto"/>
        <w:tabs>
          <w:tab w:leader="none" w:pos="4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 director is an employee, director or trustee of a charitable organization and TI or the TI Foundation makes discretionary contributions to that organization that are less than the greater of $50,000 or 2 percent of the organization’s latest publicly available consolidated gross revenue.</w:t>
      </w:r>
    </w:p>
    <w:p>
      <w:pPr>
        <w:ind w:left="420" w:right="140" w:hanging="192"/>
        <w:spacing w:after="0" w:line="246" w:lineRule="auto"/>
        <w:tabs>
          <w:tab w:leader="none" w:pos="420" w:val="left"/>
        </w:tabs>
        <w:numPr>
          <w:ilvl w:val="1"/>
          <w:numId w:val="8"/>
        </w:numPr>
        <w:rPr>
          <w:rFonts w:ascii="Arial" w:cs="Arial" w:eastAsia="Arial" w:hAnsi="Arial"/>
          <w:sz w:val="17"/>
          <w:szCs w:val="17"/>
          <w:color w:val="auto"/>
        </w:rPr>
      </w:pPr>
      <w:r>
        <w:rPr>
          <w:rFonts w:ascii="Arial" w:cs="Arial" w:eastAsia="Arial" w:hAnsi="Arial"/>
          <w:sz w:val="17"/>
          <w:szCs w:val="17"/>
          <w:color w:val="auto"/>
        </w:rPr>
        <w:t>A director is an employee, director or trustee of another entity that is indebted to TI or to which TI is indebted, and the total amount of either company’s indebtedness to the other is less than 2 percent of the total consolidated assets of the entity he or she serves as an executive officer, director or trustee.</w:t>
      </w:r>
    </w:p>
    <w:p>
      <w:pPr>
        <w:spacing w:after="0" w:line="15" w:lineRule="exact"/>
        <w:rPr>
          <w:sz w:val="20"/>
          <w:szCs w:val="20"/>
          <w:color w:val="auto"/>
        </w:rPr>
      </w:pPr>
    </w:p>
    <w:p>
      <w:pPr>
        <w:ind w:right="140" w:firstLine="262"/>
        <w:spacing w:after="0" w:line="265" w:lineRule="auto"/>
        <w:rPr>
          <w:sz w:val="20"/>
          <w:szCs w:val="20"/>
          <w:color w:val="auto"/>
        </w:rPr>
      </w:pPr>
      <w:r>
        <w:rPr>
          <w:rFonts w:ascii="Arial" w:cs="Arial" w:eastAsia="Arial" w:hAnsi="Arial"/>
          <w:sz w:val="17"/>
          <w:szCs w:val="17"/>
          <w:color w:val="auto"/>
        </w:rPr>
        <w:t>For any other relationship, the determination of whether it is material, and consequently whether the director involved is independent, will be made by directors who satisfy the independence criteria set forth in this section.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purposes of these independence determinations, “immediate family member” will have the same meaning as under the NYSE rules.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organization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meetings</w:t>
      </w:r>
    </w:p>
    <w:p>
      <w:pPr>
        <w:spacing w:after="0" w:line="25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During 2010, the board held nine meetings. The board has three standing committees described below. The committees of the board collectively held 23 meetings in 2010. Each director attended at least 88 percent of board and relevant committee meetings combined. Overall attendance at board and committee meetings was approximately 97 percent.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Audit Committee</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Audit Committee is a separately designated standing committee established in accordance with Section 3(a)(58)(A) of the Securities Exchange Act of 1934, as amended. All members of the Audit Committee are independent under the rules of the NYSE and the board’s corporate governance guidelines. From January 1, 2010, to April 30, 2010, the committee members were Ms. Patsley (Chair), Mr. Boren, Mr. MacMillan and Mr. Sanders, with Mr. Babb joining the committee effective March 15, 2010. Since May 1, the committee members have been Ms. Patsley (Chair), Mr. Babb, Mr. Boren and Mr. Carp. Mr. Sanchez will join the committee effective March 15, 2011. The Audit Committee is generally responsible for: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Appointing, compensating, retaining and overseeing TI’s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the annual report of TI’s independent registered public accounting firm related to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annual reports to the SEC, including the financial statements and the “Management’s Discussion and Analysis” portion of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reports, and recommending appropriate action to the board.</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audit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80"/>
        <w:spacing w:after="0" w:line="268" w:lineRule="auto"/>
        <w:rPr>
          <w:sz w:val="20"/>
          <w:szCs w:val="20"/>
          <w:color w:val="auto"/>
        </w:rPr>
      </w:pPr>
      <w:r>
        <w:rPr>
          <w:rFonts w:ascii="Arial" w:cs="Arial" w:eastAsia="Arial" w:hAnsi="Arial"/>
          <w:sz w:val="17"/>
          <w:szCs w:val="17"/>
          <w:color w:val="auto"/>
        </w:rPr>
        <w:t>Reviewing before issuance TI’s news releases regarding annual and interim financial results and discussing with management any related earnings guidance that may be provided to analysts and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326390</wp:posOffset>
            </wp:positionV>
            <wp:extent cx="727138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1385" cy="209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-241300</wp:posOffset>
            </wp:positionV>
            <wp:extent cx="58420" cy="584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400"/>
          </w:cols>
          <w:pgMar w:left="240" w:top="595" w:right="259" w:bottom="1440" w:gutter="0" w:footer="0" w:header="0"/>
        </w:sectPr>
      </w:pPr>
    </w:p>
    <w:bookmarkStart w:id="8" w:name="page9"/>
    <w:bookmarkEnd w:id="8"/>
    <w:p>
      <w:pPr>
        <w:jc w:val="center"/>
        <w:ind w:right="-59"/>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56</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192" w:lineRule="exact"/>
        <w:rPr>
          <w:sz w:val="20"/>
          <w:szCs w:val="20"/>
          <w:color w:val="auto"/>
        </w:rPr>
      </w:pPr>
    </w:p>
    <w:p>
      <w:pPr>
        <w:ind w:left="520" w:right="280"/>
        <w:spacing w:after="0" w:line="257" w:lineRule="auto"/>
        <w:rPr>
          <w:sz w:val="20"/>
          <w:szCs w:val="20"/>
          <w:color w:val="auto"/>
        </w:rPr>
      </w:pPr>
      <w:r>
        <w:rPr>
          <w:rFonts w:ascii="Arial" w:cs="Arial" w:eastAsia="Arial" w:hAnsi="Arial"/>
          <w:sz w:val="17"/>
          <w:szCs w:val="17"/>
          <w:color w:val="auto"/>
        </w:rPr>
        <w:t>Discussing TI’s audited financial statements with management and the independent registered public accounting firm, including a discussion with the firm regarding the matters required to be reviewed under applicable legal or regulatory requirements. Reviewing relationships between the independent registered public accounting firm and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-96520</wp:posOffset>
            </wp:positionV>
            <wp:extent cx="58420" cy="584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20"/>
        <w:spacing w:after="0" w:line="270" w:lineRule="auto"/>
        <w:rPr>
          <w:sz w:val="20"/>
          <w:szCs w:val="20"/>
          <w:color w:val="auto"/>
        </w:rPr>
      </w:pPr>
      <w:r>
        <w:rPr>
          <w:rFonts w:ascii="Arial" w:cs="Arial" w:eastAsia="Arial" w:hAnsi="Arial"/>
          <w:sz w:val="17"/>
          <w:szCs w:val="17"/>
          <w:color w:val="auto"/>
        </w:rPr>
        <w:t>Reviewing and discussing the adequacy of TI’s internal accounting controls and other factors affecting the integrity of TI’s financial reports with management and with the independent registered public accounting firm. Creating and periodically reviewing TI’s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-243205</wp:posOffset>
            </wp:positionV>
            <wp:extent cx="58420" cy="58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22225</wp:posOffset>
            </wp:positionV>
            <wp:extent cx="58420" cy="584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TI’s risk assessment and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compliance and ethics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00"/>
        <w:spacing w:after="0" w:line="257" w:lineRule="auto"/>
        <w:rPr>
          <w:sz w:val="20"/>
          <w:szCs w:val="20"/>
          <w:color w:val="auto"/>
        </w:rPr>
      </w:pPr>
      <w:r>
        <w:rPr>
          <w:rFonts w:ascii="Arial" w:cs="Arial" w:eastAsia="Arial" w:hAnsi="Arial"/>
          <w:sz w:val="17"/>
          <w:szCs w:val="17"/>
          <w:color w:val="auto"/>
        </w:rPr>
        <w:t>Reviewing a report of compliance of management and operating personnel with TI’s code of business conduct, including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-229870</wp:posOffset>
            </wp:positionV>
            <wp:extent cx="58420" cy="584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TI’s non-employee-related insurance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changes, if any, in major accounting policies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trends in accounting policy changes that are relevant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 the company’s policy regarding investments and financial derivative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47" w:lineRule="exact"/>
        <w:rPr>
          <w:sz w:val="20"/>
          <w:szCs w:val="20"/>
          <w:color w:val="auto"/>
        </w:rPr>
      </w:pPr>
    </w:p>
    <w:p>
      <w:pPr>
        <w:jc w:val="both"/>
        <w:ind w:right="80" w:firstLine="262"/>
        <w:spacing w:after="0" w:line="254" w:lineRule="auto"/>
        <w:rPr>
          <w:sz w:val="20"/>
          <w:szCs w:val="20"/>
          <w:color w:val="auto"/>
        </w:rPr>
      </w:pPr>
      <w:r>
        <w:rPr>
          <w:rFonts w:ascii="Arial" w:cs="Arial" w:eastAsia="Arial" w:hAnsi="Arial"/>
          <w:sz w:val="17"/>
          <w:szCs w:val="17"/>
          <w:color w:val="auto"/>
        </w:rPr>
        <w:t>The board has determined that all members of the Audit Committee are financially literate and have financial management expertise, as the board has interpreted such qualifications in its business judgment. In addition, the board has designated Ms. Patsley as the Audit Committee financial expert as defined in the Securities Exchange Act of 1934, as amended.</w:t>
      </w:r>
    </w:p>
    <w:p>
      <w:pPr>
        <w:spacing w:after="0" w:line="9" w:lineRule="exact"/>
        <w:rPr>
          <w:sz w:val="20"/>
          <w:szCs w:val="20"/>
          <w:color w:val="auto"/>
        </w:rPr>
      </w:pPr>
    </w:p>
    <w:p>
      <w:pPr>
        <w:ind w:right="100" w:firstLine="262"/>
        <w:spacing w:after="0" w:line="254" w:lineRule="auto"/>
        <w:rPr>
          <w:sz w:val="20"/>
          <w:szCs w:val="20"/>
          <w:color w:val="auto"/>
        </w:rPr>
      </w:pPr>
      <w:r>
        <w:rPr>
          <w:rFonts w:ascii="Arial" w:cs="Arial" w:eastAsia="Arial" w:hAnsi="Arial"/>
          <w:sz w:val="17"/>
          <w:szCs w:val="17"/>
          <w:color w:val="auto"/>
        </w:rPr>
        <w:t>The Audit Committee met eight times in 2010.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Please see page 86 for a report of the committee.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Committee</w:t>
      </w:r>
    </w:p>
    <w:p>
      <w:pPr>
        <w:spacing w:after="0" w:line="1"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The Compensation Committee consists of three independent directors. From January 1 to April 30, 2010, the committee members were Mr. Carp (Chair), Ms. Cox and Mr. Goode. Since May 1, the committee members have been Ms. Cox (Chair), Mr. Goode and Mr. MacMillan. The committee is responsible for:</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Reviewing and approving company goals and objectives relevant to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Evaluating the CEO’s performance in light of those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Setting the compensation of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Overseeing administration of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right="40"/>
        <w:spacing w:after="0" w:line="257" w:lineRule="auto"/>
        <w:rPr>
          <w:sz w:val="20"/>
          <w:szCs w:val="20"/>
          <w:color w:val="auto"/>
        </w:rPr>
      </w:pPr>
      <w:r>
        <w:rPr>
          <w:rFonts w:ascii="Arial" w:cs="Arial" w:eastAsia="Arial" w:hAnsi="Arial"/>
          <w:sz w:val="17"/>
          <w:szCs w:val="17"/>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-362585</wp:posOffset>
            </wp:positionV>
            <wp:extent cx="58420" cy="584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right="320"/>
        <w:spacing w:after="0" w:line="265" w:lineRule="auto"/>
        <w:rPr>
          <w:sz w:val="20"/>
          <w:szCs w:val="20"/>
          <w:color w:val="auto"/>
        </w:rPr>
      </w:pPr>
      <w:r>
        <w:rPr>
          <w:rFonts w:ascii="Arial" w:cs="Arial" w:eastAsia="Arial" w:hAnsi="Arial"/>
          <w:sz w:val="17"/>
          <w:szCs w:val="17"/>
          <w:color w:val="auto"/>
        </w:rPr>
        <w:t>Reservation of company stock for use as awards of grants under plans or as contributions or sales to any trustee of any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-238125</wp:posOffset>
            </wp:positionV>
            <wp:extent cx="58420" cy="584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0"/>
        <w:spacing w:after="0" w:line="268" w:lineRule="auto"/>
        <w:rPr>
          <w:sz w:val="20"/>
          <w:szCs w:val="20"/>
          <w:color w:val="auto"/>
        </w:rPr>
      </w:pPr>
      <w:r>
        <w:rPr>
          <w:rFonts w:ascii="Arial" w:cs="Arial" w:eastAsia="Arial" w:hAnsi="Arial"/>
          <w:sz w:val="17"/>
          <w:szCs w:val="17"/>
          <w:color w:val="auto"/>
        </w:rPr>
        <w:t>Taking action as appropriate regarding the institution and termination of, revisions in and actions under employee benefit plans that are not required to be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-241300</wp:posOffset>
            </wp:positionV>
            <wp:extent cx="58420" cy="584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 w:lineRule="exact"/>
        <w:rPr>
          <w:sz w:val="20"/>
          <w:szCs w:val="20"/>
          <w:color w:val="auto"/>
        </w:rPr>
      </w:pPr>
    </w:p>
    <w:p>
      <w:pPr>
        <w:ind w:right="320" w:firstLine="262"/>
        <w:spacing w:after="0" w:line="265" w:lineRule="auto"/>
        <w:rPr>
          <w:sz w:val="20"/>
          <w:szCs w:val="20"/>
          <w:color w:val="auto"/>
        </w:rPr>
      </w:pPr>
      <w:r>
        <w:rPr>
          <w:rFonts w:ascii="Arial" w:cs="Arial" w:eastAsia="Arial" w:hAnsi="Arial"/>
          <w:sz w:val="17"/>
          <w:szCs w:val="17"/>
          <w:color w:val="auto"/>
        </w:rPr>
        <w:t>The Compensation Committee holds regularly scheduled meetings, reports its activities to the board, and consults with the board before setting annual executive compensation. During 2010, the committee met seven times. Please see page 73 for a report of the committee.</w:t>
      </w:r>
    </w:p>
    <w:p>
      <w:pPr>
        <w:spacing w:after="0" w:line="1" w:lineRule="exact"/>
        <w:rPr>
          <w:sz w:val="20"/>
          <w:szCs w:val="20"/>
          <w:color w:val="auto"/>
        </w:rPr>
      </w:pPr>
    </w:p>
    <w:p>
      <w:pPr>
        <w:ind w:firstLine="262"/>
        <w:spacing w:after="0" w:line="246" w:lineRule="auto"/>
        <w:rPr>
          <w:sz w:val="20"/>
          <w:szCs w:val="20"/>
          <w:color w:val="auto"/>
        </w:rPr>
      </w:pPr>
      <w:r>
        <w:rPr>
          <w:rFonts w:ascii="Arial" w:cs="Arial" w:eastAsia="Arial" w:hAnsi="Arial"/>
          <w:sz w:val="17"/>
          <w:szCs w:val="17"/>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2010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7" w:lineRule="exact"/>
        <w:rPr>
          <w:sz w:val="20"/>
          <w:szCs w:val="20"/>
          <w:color w:val="auto"/>
        </w:rPr>
      </w:pPr>
    </w:p>
    <w:p>
      <w:pPr>
        <w:ind w:right="40" w:firstLine="262"/>
        <w:spacing w:after="0" w:line="250" w:lineRule="auto"/>
        <w:rPr>
          <w:sz w:val="20"/>
          <w:szCs w:val="20"/>
          <w:color w:val="auto"/>
        </w:rPr>
      </w:pPr>
      <w:r>
        <w:rPr>
          <w:rFonts w:ascii="Arial" w:cs="Arial" w:eastAsia="Arial" w:hAnsi="Arial"/>
          <w:sz w:val="17"/>
          <w:szCs w:val="17"/>
          <w:color w:val="auto"/>
        </w:rPr>
        <w:t>The Compensation Committee considers it important that its compensation consultant’s objectivity not be compromised by other business engagements with the company or its management. In support of this belief, the committee has a policy on compensation consultants, a copy of which may be found on www.ti.com/corporategovernance. During 2010, neither the consultant nor any of its affiliates performed services for TI other than pursuant to the engagement by the committee.</w:t>
      </w:r>
    </w:p>
    <w:p>
      <w:pPr>
        <w:spacing w:after="0" w:line="11" w:lineRule="exact"/>
        <w:rPr>
          <w:sz w:val="20"/>
          <w:szCs w:val="20"/>
          <w:color w:val="auto"/>
        </w:rPr>
      </w:pPr>
    </w:p>
    <w:p>
      <w:pPr>
        <w:ind w:right="180" w:firstLine="262"/>
        <w:spacing w:after="0" w:line="250" w:lineRule="auto"/>
        <w:rPr>
          <w:sz w:val="20"/>
          <w:szCs w:val="20"/>
          <w:color w:val="auto"/>
        </w:rPr>
      </w:pPr>
      <w:r>
        <w:rPr>
          <w:rFonts w:ascii="Arial" w:cs="Arial" w:eastAsia="Arial" w:hAnsi="Arial"/>
          <w:sz w:val="17"/>
          <w:szCs w:val="17"/>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138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360"/>
          </w:cols>
          <w:pgMar w:left="240" w:top="595" w:right="299" w:bottom="1440" w:gutter="0" w:footer="0" w:header="0"/>
        </w:sectPr>
      </w:pPr>
    </w:p>
    <w:bookmarkStart w:id="9" w:name="page10"/>
    <w:bookmarkEnd w:id="9"/>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57</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83" w:lineRule="exact"/>
        <w:rPr>
          <w:sz w:val="20"/>
          <w:szCs w:val="20"/>
          <w:color w:val="auto"/>
        </w:rPr>
      </w:pPr>
    </w:p>
    <w:p>
      <w:pPr>
        <w:ind w:firstLine="262"/>
        <w:spacing w:after="0" w:line="245" w:lineRule="auto"/>
        <w:rPr>
          <w:sz w:val="20"/>
          <w:szCs w:val="20"/>
          <w:color w:val="auto"/>
        </w:rPr>
      </w:pPr>
      <w:r>
        <w:rPr>
          <w:rFonts w:ascii="Arial" w:cs="Arial" w:eastAsia="Arial" w:hAnsi="Arial"/>
          <w:sz w:val="17"/>
          <w:szCs w:val="17"/>
          <w:color w:val="auto"/>
        </w:rPr>
        <w:t>The CEO and the senior vice president responsible for Human Resources, who is an executive officer, are regularly invited to attend meetings of the committee. The CEO is excused from the meeting during any discussion of his own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During the committee’s deliberations on executive compensation,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16" w:lineRule="exact"/>
        <w:rPr>
          <w:sz w:val="20"/>
          <w:szCs w:val="20"/>
          <w:color w:val="auto"/>
        </w:rPr>
      </w:pPr>
    </w:p>
    <w:p>
      <w:pPr>
        <w:ind w:right="200" w:firstLine="262"/>
        <w:spacing w:after="0" w:line="250" w:lineRule="auto"/>
        <w:rPr>
          <w:sz w:val="20"/>
          <w:szCs w:val="20"/>
          <w:color w:val="auto"/>
        </w:rPr>
      </w:pPr>
      <w:r>
        <w:rPr>
          <w:rFonts w:ascii="Arial" w:cs="Arial" w:eastAsia="Arial" w:hAnsi="Arial"/>
          <w:sz w:val="17"/>
          <w:szCs w:val="17"/>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1" w:lineRule="exact"/>
        <w:rPr>
          <w:sz w:val="20"/>
          <w:szCs w:val="20"/>
          <w:color w:val="auto"/>
        </w:rPr>
      </w:pPr>
    </w:p>
    <w:p>
      <w:pPr>
        <w:ind w:right="80" w:firstLine="262"/>
        <w:spacing w:after="0" w:line="250" w:lineRule="auto"/>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grant a limited number of stock options and restricted stock units under the company’s long-term incentive plans. The sole member of the special committee is Mr. Templeton. The special committee has no authority to grant, amend or terminate any form of compensation to TI’s executive officers. The Compensation Committee reviews the grant activity of the special committee.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Governance and Stockholder Relations Committee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All members of the G&amp;SR Committee are independent. From January 1 to April 30, 2010, the committee members were Ms. Simmons (Chair), Ms. Whitman and Mr. Adams, who retired from the board in April 2010. Since May 1, the committee members have been Ms. Simmons (Chair), Mr. Sanders and Ms. Whitman. The G&amp;SR Committee is generally responsible for:</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The development and revision of our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The size, composition and functioning of the board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Candidates to fill board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Nominees to be designated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Compensation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Organization and responsibilities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Succession planning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Issues of potential conflicts of interest involving a board member raised under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Election of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Topics affecting the relationship between the company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Public issues likely to affect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Responses to proposals submitted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Contribution policies of the company and of the TI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Revisions to TI’s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Electing officers of the company other than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Overseeing an annual evaluation of the board and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G&amp;SR Committee met eight times in 2010. The G&amp;SR Committee holds regularly scheduled meetings and reports its activities to the board.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Please see page 52 for a discussion of stockholder nominations and page 54 for a discussion of communications with the board.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57"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 board, led by its G&amp;SR Committee, reviews the board’s leadership structure. The board’s current leadership structure combines the positions of chairman and CEO, and uses a rotating lead director approach whereby the chair of the appropriate board committee leads independent directors’ executive sessions at which the principal item to be discussed is within the scope of authority of his or her committee. If there is no principal item, the chair of the G&amp;SR Committee presides. The board chose this structure to facilitate oversight of management and to fully engage all independent directors. At each meeting of the board, immediately preceding the executive session the chairman reviews with the board the proposed strategic agenda for future board meetings. The independent directors offer comment and directly influence the agenda. The independent directors then meet in executive session to voice their observations of the meeting including the discussion of future board agendas. Immediately following each session, the director who served as lead notifies the CEO of the independent directors’ assessment of the meeting and desired agendas for future meetings. Each director has an equal stake in the board’s actions and equal accountability to the corporation and its stockholders.</w:t>
      </w:r>
    </w:p>
    <w:p>
      <w:pPr>
        <w:spacing w:after="0" w:line="22" w:lineRule="exact"/>
        <w:rPr>
          <w:sz w:val="20"/>
          <w:szCs w:val="20"/>
          <w:color w:val="auto"/>
        </w:rPr>
      </w:pPr>
    </w:p>
    <w:p>
      <w:pPr>
        <w:ind w:right="120" w:firstLine="262"/>
        <w:spacing w:after="0" w:line="254" w:lineRule="auto"/>
        <w:rPr>
          <w:sz w:val="20"/>
          <w:szCs w:val="20"/>
          <w:color w:val="auto"/>
        </w:rPr>
      </w:pPr>
      <w:r>
        <w:rPr>
          <w:rFonts w:ascii="Arial" w:cs="Arial" w:eastAsia="Arial" w:hAnsi="Arial"/>
          <w:sz w:val="17"/>
          <w:szCs w:val="17"/>
          <w:color w:val="auto"/>
        </w:rPr>
        <w:t>The board’s consideration of its leadership structure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10" w:name="page11"/>
    <w:bookmarkEnd w:id="10"/>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58</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also considers how board roles and interactions would change if it established a permanent lead director. For example, implementation of such a model could result in less engagement by independent directors (other than the permanent lead director) than exists under the current model, an outcome considered highly undesirable by the board.</w:t>
      </w:r>
    </w:p>
    <w:p>
      <w:pPr>
        <w:spacing w:after="0" w:line="15" w:lineRule="exact"/>
        <w:rPr>
          <w:sz w:val="20"/>
          <w:szCs w:val="20"/>
          <w:color w:val="auto"/>
        </w:rPr>
      </w:pPr>
    </w:p>
    <w:p>
      <w:pPr>
        <w:ind w:right="80" w:firstLine="262"/>
        <w:spacing w:after="0" w:line="246" w:lineRule="auto"/>
        <w:rPr>
          <w:sz w:val="20"/>
          <w:szCs w:val="20"/>
          <w:color w:val="auto"/>
        </w:rPr>
      </w:pPr>
      <w:r>
        <w:rPr>
          <w:rFonts w:ascii="Arial" w:cs="Arial" w:eastAsia="Arial" w:hAnsi="Arial"/>
          <w:sz w:val="17"/>
          <w:szCs w:val="17"/>
          <w:color w:val="auto"/>
        </w:rPr>
        <w:t>The board has determined that a change in leadership structure would offer no net benefit to stockholders, and in fact, the current practice of a rotating director is superior in its ability to encourage active involvement, independent thinking and an environment of equal influence among all directors. The board continues to believe that there is no uniform solution for a board leadership structure. Indeed, the company has had varying board leadership models over its history, at times separating the positions of chairman and CEO and at times combining the two. The board believes that the right structure should be informed by the needs and circumstances of the company, its board and its stockholders, and directors should remain adaptable to shaping the leadership structure as those needs change.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 by the board</w:t>
      </w:r>
    </w:p>
    <w:p>
      <w:pPr>
        <w:spacing w:after="0" w:line="257"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5" w:lineRule="exact"/>
        <w:rPr>
          <w:sz w:val="20"/>
          <w:szCs w:val="20"/>
          <w:color w:val="auto"/>
        </w:rPr>
      </w:pPr>
    </w:p>
    <w:p>
      <w:pPr>
        <w:ind w:firstLine="262"/>
        <w:spacing w:after="0" w:line="250" w:lineRule="auto"/>
        <w:rPr>
          <w:sz w:val="20"/>
          <w:szCs w:val="20"/>
          <w:color w:val="auto"/>
        </w:rPr>
      </w:pPr>
      <w:r>
        <w:rPr>
          <w:rFonts w:ascii="Arial" w:cs="Arial" w:eastAsia="Arial" w:hAnsi="Arial"/>
          <w:sz w:val="17"/>
          <w:szCs w:val="17"/>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and research and development). Throughout the year the CEO discusses these risks with the board during strategy reviews that focus on a particular business or function. In addition, at the end of the year, the CEO provides a formal report on the top strategic and operational risks.</w:t>
      </w:r>
    </w:p>
    <w:p>
      <w:pPr>
        <w:spacing w:after="0" w:line="11" w:lineRule="exact"/>
        <w:rPr>
          <w:sz w:val="20"/>
          <w:szCs w:val="20"/>
          <w:color w:val="auto"/>
        </w:rPr>
      </w:pPr>
    </w:p>
    <w:p>
      <w:pPr>
        <w:ind w:right="80" w:firstLine="262"/>
        <w:spacing w:after="0" w:line="248" w:lineRule="auto"/>
        <w:rPr>
          <w:sz w:val="20"/>
          <w:szCs w:val="20"/>
          <w:color w:val="auto"/>
        </w:rPr>
      </w:pPr>
      <w:r>
        <w:rPr>
          <w:rFonts w:ascii="Arial" w:cs="Arial" w:eastAsia="Arial" w:hAnsi="Arial"/>
          <w:sz w:val="17"/>
          <w:szCs w:val="17"/>
          <w:color w:val="auto"/>
        </w:rPr>
        <w:t>TI’s Audit Committee has oversight responsibility for financial risk (such as accounting, finance, internal controls and tax strategy). Oversight responsibility for compliance risk is shared among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G&amp;SR Committee oversees compliance with governance-related laws and policies, including the company’s corporate governance guidelines.</w:t>
      </w:r>
    </w:p>
    <w:p>
      <w:pPr>
        <w:spacing w:after="0" w:line="13" w:lineRule="exact"/>
        <w:rPr>
          <w:sz w:val="20"/>
          <w:szCs w:val="20"/>
          <w:color w:val="auto"/>
        </w:rPr>
      </w:pPr>
    </w:p>
    <w:p>
      <w:pPr>
        <w:ind w:right="360" w:firstLine="262"/>
        <w:spacing w:after="0" w:line="265" w:lineRule="auto"/>
        <w:rPr>
          <w:sz w:val="20"/>
          <w:szCs w:val="20"/>
          <w:color w:val="auto"/>
        </w:rPr>
      </w:pPr>
      <w:r>
        <w:rPr>
          <w:rFonts w:ascii="Arial" w:cs="Arial" w:eastAsia="Arial" w:hAnsi="Arial"/>
          <w:sz w:val="17"/>
          <w:szCs w:val="17"/>
          <w:color w:val="auto"/>
        </w:rPr>
        <w:t>The Audit Committee oversees the company’s approach to risk management as a whole. It reviews the company’s risk management process at least annually by means of a presentation by the CFO.</w:t>
      </w:r>
    </w:p>
    <w:p>
      <w:pPr>
        <w:spacing w:after="0" w:line="1" w:lineRule="exact"/>
        <w:rPr>
          <w:sz w:val="20"/>
          <w:szCs w:val="20"/>
          <w:color w:val="auto"/>
        </w:rPr>
      </w:pPr>
    </w:p>
    <w:p>
      <w:pPr>
        <w:ind w:right="120" w:firstLine="262"/>
        <w:spacing w:after="0" w:line="248" w:lineRule="auto"/>
        <w:rPr>
          <w:sz w:val="20"/>
          <w:szCs w:val="20"/>
          <w:color w:val="auto"/>
        </w:rPr>
      </w:pPr>
      <w:r>
        <w:rPr>
          <w:rFonts w:ascii="Arial" w:cs="Arial" w:eastAsia="Arial" w:hAnsi="Arial"/>
          <w:sz w:val="17"/>
          <w:szCs w:val="17"/>
          <w:color w:val="auto"/>
        </w:rPr>
        <w:t>The board’s leadership structure is consistent with the board and committees’ roles in risk oversight. As discussed above, the board has found that its current structure, which relies on each of the committee chairs for leadership of the independent directors, is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compensation</w:t>
      </w:r>
    </w:p>
    <w:p>
      <w:pPr>
        <w:spacing w:after="0" w:line="3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G&amp;SR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compensation arrangements in 2010 for the non-employee directors were:</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Annual retainer of $80,000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Additional annual retainer of $20,000 for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60"/>
        <w:spacing w:after="0" w:line="257" w:lineRule="auto"/>
        <w:rPr>
          <w:sz w:val="20"/>
          <w:szCs w:val="20"/>
          <w:color w:val="auto"/>
        </w:rPr>
      </w:pPr>
      <w:r>
        <w:rPr>
          <w:rFonts w:ascii="Arial" w:cs="Arial" w:eastAsia="Arial" w:hAnsi="Arial"/>
          <w:sz w:val="17"/>
          <w:szCs w:val="17"/>
          <w:color w:val="auto"/>
        </w:rPr>
        <w:t>Additional annual retainer of $10,000 for each of the chairs of the Compensation Committee and the Governance and Stockholder Relations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-229870</wp:posOffset>
            </wp:positionV>
            <wp:extent cx="58420" cy="584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57" w:lineRule="auto"/>
        <w:rPr>
          <w:sz w:val="20"/>
          <w:szCs w:val="20"/>
          <w:color w:val="auto"/>
        </w:rPr>
      </w:pPr>
      <w:r>
        <w:rPr>
          <w:rFonts w:ascii="Arial" w:cs="Arial" w:eastAsia="Arial" w:hAnsi="Arial"/>
          <w:sz w:val="17"/>
          <w:szCs w:val="17"/>
          <w:color w:val="auto"/>
        </w:rPr>
        <w:t>Annual grant of a 10-year option to purchase 7,000 shares of TI common stock pursuant to the terms of the Texas Instruments 2009 Director Compensation Plan (Director Plan), which was approved by stockholders in April 2009. The exercise price of the option is the closing price of the company’s common stock on the date of the grant. These non-qualified (NQ) options become exercisable in four equal annual installments beginning on the first anniversary of the grant and also will become fully exercisable in the event of termination of service following a change in control (as defined in the Director Plan)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-628650</wp:posOffset>
            </wp:positionV>
            <wp:extent cx="58420" cy="584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57" w:lineRule="auto"/>
        <w:rPr>
          <w:sz w:val="20"/>
          <w:szCs w:val="20"/>
          <w:color w:val="auto"/>
        </w:rPr>
      </w:pPr>
      <w:r>
        <w:rPr>
          <w:rFonts w:ascii="Arial" w:cs="Arial" w:eastAsia="Arial" w:hAnsi="Arial"/>
          <w:sz w:val="17"/>
          <w:szCs w:val="17"/>
          <w:color w:val="auto"/>
        </w:rPr>
        <w:t>Annual grant of 2,500 restricted stock units pursuant to the terms of the Director Plan. The restricted stock units vest on the fourth anniversary of their date of grant and upon a change in control as defined in the Director Plan. If a director is not a member of the board on the fourth anniversary of the grant, restricted stock units will nonetheless settle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-894715</wp:posOffset>
            </wp:positionV>
            <wp:extent cx="58420" cy="58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27138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1385" cy="209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11" w:name="page12"/>
    <w:bookmarkEnd w:id="11"/>
    <w:p>
      <w:pPr>
        <w:ind w:left="3780"/>
        <w:spacing w:after="0"/>
        <w:tabs>
          <w:tab w:leader="none" w:pos="5400" w:val="left"/>
          <w:tab w:leader="none" w:pos="602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59</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Effective January 1, 2011, the compensation arrangements for the non-employee directors are:</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Annual retainer of $80,000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Additional annual retainer of $30,000 for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Additional annual retainer of $20,000 for the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Additional annual retainer of $15,000 for the chair of the Governance and Stockholder Relations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80"/>
        <w:spacing w:after="0" w:line="257" w:lineRule="auto"/>
        <w:rPr>
          <w:sz w:val="20"/>
          <w:szCs w:val="20"/>
          <w:color w:val="auto"/>
        </w:rPr>
      </w:pPr>
      <w:r>
        <w:rPr>
          <w:rFonts w:ascii="Arial" w:cs="Arial" w:eastAsia="Arial" w:hAnsi="Arial"/>
          <w:sz w:val="17"/>
          <w:szCs w:val="17"/>
          <w:color w:val="auto"/>
        </w:rPr>
        <w:t>Annual grant of a 10-year option to purchase TI common stock with a grant-date value of approximately $100,000, determined using a Black-Scholes option-pricing model (subject to the board’s ability to adjust the grant downward).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-229870</wp:posOffset>
            </wp:positionV>
            <wp:extent cx="58420" cy="58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700"/>
        <w:spacing w:after="0" w:line="257" w:lineRule="auto"/>
        <w:rPr>
          <w:sz w:val="20"/>
          <w:szCs w:val="20"/>
          <w:color w:val="auto"/>
        </w:rPr>
      </w:pPr>
      <w:r>
        <w:rPr>
          <w:rFonts w:ascii="Arial" w:cs="Arial" w:eastAsia="Arial" w:hAnsi="Arial"/>
          <w:sz w:val="17"/>
          <w:szCs w:val="17"/>
          <w:color w:val="auto"/>
        </w:rPr>
        <w:t>Annual grant of restricted stock units with a grant-date value of approximately $100,000 (subject to the board’s ability to adjust the grant downward).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-229870</wp:posOffset>
            </wp:positionV>
            <wp:extent cx="58420" cy="584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board has determined that grants of equity compensation to non-employee directors will be timed to occur when grants are made to our 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employees in connection with the annual compensation review process. Accordingly, equity grants to non-employee directors are made in January.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Please see the discussion regarding the timing of equity compensation grants in the Compensation Discussion and Analysis on page 70.</w:t>
      </w:r>
    </w:p>
    <w:p>
      <w:pPr>
        <w:spacing w:after="0" w:line="27" w:lineRule="exact"/>
        <w:rPr>
          <w:sz w:val="20"/>
          <w:szCs w:val="20"/>
          <w:color w:val="auto"/>
        </w:rPr>
      </w:pPr>
    </w:p>
    <w:p>
      <w:pPr>
        <w:ind w:firstLine="262"/>
        <w:spacing w:after="0" w:line="250" w:lineRule="auto"/>
        <w:rPr>
          <w:sz w:val="20"/>
          <w:szCs w:val="20"/>
          <w:color w:val="auto"/>
        </w:rPr>
      </w:pPr>
      <w:r>
        <w:rPr>
          <w:rFonts w:ascii="Arial" w:cs="Arial" w:eastAsia="Arial" w:hAnsi="Arial"/>
          <w:sz w:val="17"/>
          <w:szCs w:val="17"/>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11" w:lineRule="exact"/>
        <w:rPr>
          <w:sz w:val="20"/>
          <w:szCs w:val="20"/>
          <w:color w:val="auto"/>
        </w:rPr>
      </w:pPr>
    </w:p>
    <w:p>
      <w:pPr>
        <w:ind w:right="100" w:firstLine="262"/>
        <w:spacing w:after="0" w:line="248" w:lineRule="auto"/>
        <w:rPr>
          <w:sz w:val="20"/>
          <w:szCs w:val="20"/>
          <w:color w:val="auto"/>
        </w:rPr>
      </w:pPr>
      <w:r>
        <w:rPr>
          <w:rFonts w:ascii="Arial" w:cs="Arial" w:eastAsia="Arial" w:hAnsi="Arial"/>
          <w:sz w:val="17"/>
          <w:szCs w:val="17"/>
          <w:color w:val="auto"/>
        </w:rPr>
        <w:t>Under the Director Plan, some directors have chosen to defer all or part of their cash compensation until they leave the board (or certain other specified times). These deferred amounts were credited to either a cash account or stock unit account. Cash accounts earn interest from TI at a rate currently based on Moody’s Seasoned Aaa Corporate Bonds. For 2010, that rate was 5.04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3" w:lineRule="exact"/>
        <w:rPr>
          <w:sz w:val="20"/>
          <w:szCs w:val="20"/>
          <w:color w:val="auto"/>
        </w:rPr>
      </w:pPr>
    </w:p>
    <w:p>
      <w:pPr>
        <w:ind w:right="320" w:firstLine="262"/>
        <w:spacing w:after="0" w:line="254" w:lineRule="auto"/>
        <w:rPr>
          <w:sz w:val="20"/>
          <w:szCs w:val="20"/>
          <w:color w:val="auto"/>
        </w:rPr>
      </w:pPr>
      <w:r>
        <w:rPr>
          <w:rFonts w:ascii="Arial" w:cs="Arial" w:eastAsia="Arial" w:hAnsi="Arial"/>
          <w:sz w:val="17"/>
          <w:szCs w:val="17"/>
          <w:color w:val="auto"/>
        </w:rPr>
        <w:t>We have arrangements with certain customers whereby our employees may purchase specific consumer products containing TI-manufactured components at discounted pricing. In addition, the TI Foundation has an educational and cultural matching gift program. In both cases, directors are entitled to participate on the same terms and conditions available to employees.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Non-employee directors are not eligible to participate in any TI-sponsored pension plan.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director compensation</w:t>
      </w:r>
    </w:p>
    <w:p>
      <w:pPr>
        <w:spacing w:after="0" w:line="25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following table shows the compensation of all persons who were non-employee members of the board during 2010 for services in all capacities to TI in 2010, except as otherwise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Change in</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6"/>
        </w:trPr>
        <w:tc>
          <w:tcPr>
            <w:tcW w:w="3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3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Value and</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3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Non-qualified</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3140" w:type="dxa"/>
            <w:vAlign w:val="bottom"/>
          </w:tcPr>
          <w:p>
            <w:pPr>
              <w:spacing w:after="0"/>
              <w:rPr>
                <w:sz w:val="20"/>
                <w:szCs w:val="20"/>
                <w:color w:val="auto"/>
              </w:rPr>
            </w:pPr>
          </w:p>
        </w:tc>
        <w:tc>
          <w:tcPr>
            <w:tcW w:w="2060" w:type="dxa"/>
            <w:vAlign w:val="bottom"/>
          </w:tcPr>
          <w:p>
            <w:pPr>
              <w:jc w:val="center"/>
              <w:ind w:left="719"/>
              <w:spacing w:after="0"/>
              <w:rPr>
                <w:sz w:val="20"/>
                <w:szCs w:val="20"/>
                <w:color w:val="auto"/>
              </w:rPr>
            </w:pPr>
            <w:r>
              <w:rPr>
                <w:rFonts w:ascii="Arial" w:cs="Arial" w:eastAsia="Arial" w:hAnsi="Arial"/>
                <w:sz w:val="13"/>
                <w:szCs w:val="13"/>
                <w:b w:val="1"/>
                <w:bCs w:val="1"/>
                <w:color w:val="auto"/>
              </w:rPr>
              <w:t>Fees Earned or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Incentive Plan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Deferred</w:t>
            </w:r>
          </w:p>
        </w:tc>
        <w:tc>
          <w:tcPr>
            <w:tcW w:w="1200" w:type="dxa"/>
            <w:vAlign w:val="bottom"/>
            <w:gridSpan w:val="2"/>
          </w:tcPr>
          <w:p>
            <w:pPr>
              <w:ind w:left="320"/>
              <w:spacing w:after="0"/>
              <w:rPr>
                <w:sz w:val="20"/>
                <w:szCs w:val="20"/>
                <w:color w:val="auto"/>
              </w:rPr>
            </w:pPr>
            <w:r>
              <w:rPr>
                <w:rFonts w:ascii="Arial" w:cs="Arial" w:eastAsia="Arial" w:hAnsi="Arial"/>
                <w:sz w:val="13"/>
                <w:szCs w:val="13"/>
                <w:b w:val="1"/>
                <w:bCs w:val="1"/>
                <w:color w:val="auto"/>
              </w:rPr>
              <w:t>All Other</w:t>
            </w:r>
          </w:p>
        </w:tc>
        <w:tc>
          <w:tcPr>
            <w:tcW w:w="860" w:type="dxa"/>
            <w:vAlign w:val="bottom"/>
          </w:tcPr>
          <w:p>
            <w:pPr>
              <w:spacing w:after="0"/>
              <w:rPr>
                <w:sz w:val="20"/>
                <w:szCs w:val="20"/>
                <w:color w:val="auto"/>
              </w:rPr>
            </w:pPr>
          </w:p>
        </w:tc>
      </w:tr>
      <w:tr>
        <w:trPr>
          <w:trHeight w:val="236"/>
        </w:trPr>
        <w:tc>
          <w:tcPr>
            <w:tcW w:w="3140" w:type="dxa"/>
            <w:vAlign w:val="bottom"/>
          </w:tcPr>
          <w:p>
            <w:pPr>
              <w:spacing w:after="0"/>
              <w:rPr>
                <w:sz w:val="20"/>
                <w:szCs w:val="20"/>
                <w:color w:val="auto"/>
              </w:rPr>
            </w:pPr>
          </w:p>
        </w:tc>
        <w:tc>
          <w:tcPr>
            <w:tcW w:w="2060" w:type="dxa"/>
            <w:vAlign w:val="bottom"/>
          </w:tcPr>
          <w:p>
            <w:pPr>
              <w:jc w:val="center"/>
              <w:ind w:left="719"/>
              <w:spacing w:after="0"/>
              <w:rPr>
                <w:sz w:val="20"/>
                <w:szCs w:val="20"/>
                <w:color w:val="auto"/>
              </w:rPr>
            </w:pPr>
            <w:r>
              <w:rPr>
                <w:rFonts w:ascii="Arial" w:cs="Arial" w:eastAsia="Arial" w:hAnsi="Arial"/>
                <w:sz w:val="13"/>
                <w:szCs w:val="13"/>
                <w:b w:val="1"/>
                <w:bCs w:val="1"/>
                <w:color w:val="auto"/>
                <w:w w:val="98"/>
              </w:rPr>
              <w:t>Paid in</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Compensation</w:t>
            </w:r>
          </w:p>
        </w:tc>
        <w:tc>
          <w:tcPr>
            <w:tcW w:w="860" w:type="dxa"/>
            <w:vAlign w:val="bottom"/>
          </w:tcPr>
          <w:p>
            <w:pPr>
              <w:spacing w:after="0"/>
              <w:rPr>
                <w:sz w:val="20"/>
                <w:szCs w:val="20"/>
                <w:color w:val="auto"/>
              </w:rPr>
            </w:pPr>
          </w:p>
        </w:tc>
      </w:tr>
      <w:tr>
        <w:trPr>
          <w:trHeight w:val="236"/>
        </w:trPr>
        <w:tc>
          <w:tcPr>
            <w:tcW w:w="3140" w:type="dxa"/>
            <w:vAlign w:val="bottom"/>
          </w:tcPr>
          <w:p>
            <w:pPr>
              <w:ind w:left="1620"/>
              <w:spacing w:after="0"/>
              <w:rPr>
                <w:sz w:val="20"/>
                <w:szCs w:val="20"/>
                <w:color w:val="auto"/>
              </w:rPr>
            </w:pPr>
            <w:r>
              <w:rPr>
                <w:rFonts w:ascii="Arial" w:cs="Arial" w:eastAsia="Arial" w:hAnsi="Arial"/>
                <w:sz w:val="13"/>
                <w:szCs w:val="13"/>
                <w:b w:val="1"/>
                <w:bCs w:val="1"/>
                <w:color w:val="auto"/>
              </w:rPr>
              <w:t>Name (1)</w:t>
            </w:r>
          </w:p>
        </w:tc>
        <w:tc>
          <w:tcPr>
            <w:tcW w:w="2060" w:type="dxa"/>
            <w:vAlign w:val="bottom"/>
          </w:tcPr>
          <w:p>
            <w:pPr>
              <w:jc w:val="center"/>
              <w:ind w:left="739"/>
              <w:spacing w:after="0"/>
              <w:rPr>
                <w:sz w:val="20"/>
                <w:szCs w:val="20"/>
                <w:color w:val="auto"/>
              </w:rPr>
            </w:pPr>
            <w:r>
              <w:rPr>
                <w:rFonts w:ascii="Arial" w:cs="Arial" w:eastAsia="Arial" w:hAnsi="Arial"/>
                <w:sz w:val="13"/>
                <w:szCs w:val="13"/>
                <w:b w:val="1"/>
                <w:bCs w:val="1"/>
                <w:color w:val="auto"/>
              </w:rPr>
              <w:t>Cash ($)(2)</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Earnings</w:t>
            </w:r>
          </w:p>
        </w:tc>
        <w:tc>
          <w:tcPr>
            <w:tcW w:w="420" w:type="dxa"/>
            <w:vAlign w:val="bottom"/>
          </w:tcPr>
          <w:p>
            <w:pPr>
              <w:spacing w:after="0"/>
              <w:rPr>
                <w:sz w:val="20"/>
                <w:szCs w:val="20"/>
                <w:color w:val="auto"/>
              </w:rPr>
            </w:pPr>
          </w:p>
        </w:tc>
        <w:tc>
          <w:tcPr>
            <w:tcW w:w="780" w:type="dxa"/>
            <w:vAlign w:val="bottom"/>
          </w:tcPr>
          <w:p>
            <w:pPr>
              <w:jc w:val="right"/>
              <w:ind w:right="360"/>
              <w:spacing w:after="0"/>
              <w:rPr>
                <w:sz w:val="20"/>
                <w:szCs w:val="20"/>
                <w:color w:val="auto"/>
              </w:rPr>
            </w:pPr>
            <w:r>
              <w:rPr>
                <w:rFonts w:ascii="Arial" w:cs="Arial" w:eastAsia="Arial" w:hAnsi="Arial"/>
                <w:sz w:val="13"/>
                <w:szCs w:val="13"/>
                <w:b w:val="1"/>
                <w:bCs w:val="1"/>
                <w:color w:val="auto"/>
              </w:rPr>
              <w:t>($)(5)</w:t>
            </w:r>
          </w:p>
        </w:tc>
        <w:tc>
          <w:tcPr>
            <w:tcW w:w="860" w:type="dxa"/>
            <w:vAlign w:val="bottom"/>
          </w:tcPr>
          <w:p>
            <w:pPr>
              <w:jc w:val="center"/>
              <w:ind w:left="76"/>
              <w:spacing w:after="0"/>
              <w:rPr>
                <w:sz w:val="20"/>
                <w:szCs w:val="20"/>
                <w:color w:val="auto"/>
              </w:rPr>
            </w:pPr>
            <w:r>
              <w:rPr>
                <w:rFonts w:ascii="Arial" w:cs="Arial" w:eastAsia="Arial" w:hAnsi="Arial"/>
                <w:sz w:val="13"/>
                <w:szCs w:val="13"/>
                <w:b w:val="1"/>
                <w:bCs w:val="1"/>
                <w:color w:val="auto"/>
                <w:w w:val="98"/>
              </w:rPr>
              <w:t>Total ($)</w:t>
            </w:r>
          </w:p>
        </w:tc>
      </w:tr>
      <w:tr>
        <w:trPr>
          <w:trHeight w:val="41"/>
        </w:trPr>
        <w:tc>
          <w:tcPr>
            <w:tcW w:w="3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66"/>
        </w:trPr>
        <w:tc>
          <w:tcPr>
            <w:tcW w:w="3140" w:type="dxa"/>
            <w:vAlign w:val="bottom"/>
            <w:shd w:val="clear" w:color="auto" w:fill="808285"/>
          </w:tcPr>
          <w:p>
            <w:pPr>
              <w:spacing w:after="0"/>
              <w:rPr>
                <w:sz w:val="5"/>
                <w:szCs w:val="5"/>
                <w:color w:val="auto"/>
              </w:rPr>
            </w:pPr>
          </w:p>
        </w:tc>
        <w:tc>
          <w:tcPr>
            <w:tcW w:w="2060" w:type="dxa"/>
            <w:vAlign w:val="bottom"/>
            <w:shd w:val="clear" w:color="auto" w:fill="808285"/>
          </w:tcPr>
          <w:p>
            <w:pPr>
              <w:spacing w:after="0"/>
              <w:rPr>
                <w:sz w:val="5"/>
                <w:szCs w:val="5"/>
                <w:color w:val="auto"/>
              </w:rPr>
            </w:pPr>
          </w:p>
        </w:tc>
        <w:tc>
          <w:tcPr>
            <w:tcW w:w="900" w:type="dxa"/>
            <w:vAlign w:val="bottom"/>
            <w:shd w:val="clear" w:color="auto" w:fill="808285"/>
          </w:tcPr>
          <w:p>
            <w:pPr>
              <w:spacing w:after="0"/>
              <w:rPr>
                <w:sz w:val="5"/>
                <w:szCs w:val="5"/>
                <w:color w:val="auto"/>
              </w:rPr>
            </w:pPr>
          </w:p>
        </w:tc>
        <w:tc>
          <w:tcPr>
            <w:tcW w:w="900" w:type="dxa"/>
            <w:vAlign w:val="bottom"/>
            <w:shd w:val="clear" w:color="auto" w:fill="808285"/>
          </w:tcPr>
          <w:p>
            <w:pPr>
              <w:spacing w:after="0"/>
              <w:rPr>
                <w:sz w:val="5"/>
                <w:szCs w:val="5"/>
                <w:color w:val="auto"/>
              </w:rPr>
            </w:pPr>
          </w:p>
        </w:tc>
        <w:tc>
          <w:tcPr>
            <w:tcW w:w="1180" w:type="dxa"/>
            <w:vAlign w:val="bottom"/>
            <w:shd w:val="clear" w:color="auto" w:fill="808285"/>
          </w:tcPr>
          <w:p>
            <w:pPr>
              <w:spacing w:after="0"/>
              <w:rPr>
                <w:sz w:val="5"/>
                <w:szCs w:val="5"/>
                <w:color w:val="auto"/>
              </w:rPr>
            </w:pPr>
          </w:p>
        </w:tc>
        <w:tc>
          <w:tcPr>
            <w:tcW w:w="1180" w:type="dxa"/>
            <w:vAlign w:val="bottom"/>
            <w:shd w:val="clear" w:color="auto" w:fill="808285"/>
          </w:tcPr>
          <w:p>
            <w:pPr>
              <w:spacing w:after="0"/>
              <w:rPr>
                <w:sz w:val="5"/>
                <w:szCs w:val="5"/>
                <w:color w:val="auto"/>
              </w:rPr>
            </w:pPr>
          </w:p>
        </w:tc>
        <w:tc>
          <w:tcPr>
            <w:tcW w:w="420" w:type="dxa"/>
            <w:vAlign w:val="bottom"/>
            <w:shd w:val="clear" w:color="auto" w:fill="808285"/>
          </w:tcPr>
          <w:p>
            <w:pPr>
              <w:spacing w:after="0"/>
              <w:rPr>
                <w:sz w:val="5"/>
                <w:szCs w:val="5"/>
                <w:color w:val="auto"/>
              </w:rPr>
            </w:pPr>
          </w:p>
        </w:tc>
        <w:tc>
          <w:tcPr>
            <w:tcW w:w="78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r>
      <w:tr>
        <w:trPr>
          <w:trHeight w:val="236"/>
        </w:trPr>
        <w:tc>
          <w:tcPr>
            <w:tcW w:w="3140" w:type="dxa"/>
            <w:vAlign w:val="bottom"/>
            <w:shd w:val="clear" w:color="auto" w:fill="E9E9E9"/>
          </w:tcPr>
          <w:p>
            <w:pPr>
              <w:spacing w:after="0"/>
              <w:rPr>
                <w:sz w:val="20"/>
                <w:szCs w:val="20"/>
                <w:color w:val="auto"/>
              </w:rPr>
            </w:pPr>
            <w:r>
              <w:rPr>
                <w:rFonts w:ascii="Arial" w:cs="Arial" w:eastAsia="Arial" w:hAnsi="Arial"/>
                <w:sz w:val="17"/>
                <w:szCs w:val="17"/>
                <w:color w:val="auto"/>
              </w:rPr>
              <w:t>J. R. Adams</w:t>
            </w:r>
          </w:p>
        </w:tc>
        <w:tc>
          <w:tcPr>
            <w:tcW w:w="2060" w:type="dxa"/>
            <w:vAlign w:val="bottom"/>
            <w:shd w:val="clear" w:color="auto" w:fill="E9E9E9"/>
          </w:tcPr>
          <w:p>
            <w:pPr>
              <w:jc w:val="center"/>
              <w:ind w:left="759"/>
              <w:spacing w:after="0"/>
              <w:rPr>
                <w:sz w:val="20"/>
                <w:szCs w:val="20"/>
                <w:color w:val="auto"/>
              </w:rPr>
            </w:pPr>
            <w:r>
              <w:rPr>
                <w:rFonts w:ascii="Arial" w:cs="Arial" w:eastAsia="Arial" w:hAnsi="Arial"/>
                <w:sz w:val="17"/>
                <w:szCs w:val="17"/>
                <w:color w:val="auto"/>
              </w:rPr>
              <w:t>$ 26,668</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420" w:type="dxa"/>
            <w:vAlign w:val="bottom"/>
            <w:shd w:val="clear" w:color="auto" w:fill="E9E9E9"/>
          </w:tcPr>
          <w:p>
            <w:pPr>
              <w:ind w:left="32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E9E9E9"/>
          </w:tcPr>
          <w:p>
            <w:pPr>
              <w:jc w:val="right"/>
              <w:ind w:right="180"/>
              <w:spacing w:after="0"/>
              <w:rPr>
                <w:sz w:val="20"/>
                <w:szCs w:val="20"/>
                <w:color w:val="auto"/>
              </w:rPr>
            </w:pPr>
            <w:r>
              <w:rPr>
                <w:rFonts w:ascii="Arial" w:cs="Arial" w:eastAsia="Arial" w:hAnsi="Arial"/>
                <w:sz w:val="17"/>
                <w:szCs w:val="17"/>
                <w:color w:val="auto"/>
              </w:rPr>
              <w:t>655</w:t>
            </w:r>
          </w:p>
        </w:tc>
        <w:tc>
          <w:tcPr>
            <w:tcW w:w="86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w w:val="98"/>
              </w:rPr>
              <w:t>$131,175</w:t>
            </w:r>
          </w:p>
        </w:tc>
      </w:tr>
      <w:tr>
        <w:trPr>
          <w:trHeight w:val="228"/>
        </w:trPr>
        <w:tc>
          <w:tcPr>
            <w:tcW w:w="3140" w:type="dxa"/>
            <w:vAlign w:val="bottom"/>
          </w:tcPr>
          <w:p>
            <w:pPr>
              <w:spacing w:after="0"/>
              <w:rPr>
                <w:sz w:val="20"/>
                <w:szCs w:val="20"/>
                <w:color w:val="auto"/>
              </w:rPr>
            </w:pPr>
            <w:r>
              <w:rPr>
                <w:rFonts w:ascii="Arial" w:cs="Arial" w:eastAsia="Arial" w:hAnsi="Arial"/>
                <w:sz w:val="17"/>
                <w:szCs w:val="17"/>
                <w:color w:val="auto"/>
              </w:rPr>
              <w:t>R.W. Babb, Jr.</w:t>
            </w:r>
          </w:p>
        </w:tc>
        <w:tc>
          <w:tcPr>
            <w:tcW w:w="2060" w:type="dxa"/>
            <w:vAlign w:val="bottom"/>
          </w:tcPr>
          <w:p>
            <w:pPr>
              <w:jc w:val="center"/>
              <w:ind w:left="759"/>
              <w:spacing w:after="0"/>
              <w:rPr>
                <w:sz w:val="20"/>
                <w:szCs w:val="20"/>
                <w:color w:val="auto"/>
              </w:rPr>
            </w:pPr>
            <w:r>
              <w:rPr>
                <w:rFonts w:ascii="Arial" w:cs="Arial" w:eastAsia="Arial" w:hAnsi="Arial"/>
                <w:sz w:val="17"/>
                <w:szCs w:val="17"/>
                <w:color w:val="auto"/>
              </w:rPr>
              <w:t>$ 63,656</w:t>
            </w:r>
          </w:p>
        </w:tc>
        <w:tc>
          <w:tcPr>
            <w:tcW w:w="900" w:type="dxa"/>
            <w:vAlign w:val="bottom"/>
          </w:tcPr>
          <w:p>
            <w:pPr>
              <w:jc w:val="center"/>
              <w:spacing w:after="0"/>
              <w:rPr>
                <w:sz w:val="20"/>
                <w:szCs w:val="20"/>
                <w:color w:val="auto"/>
              </w:rPr>
            </w:pPr>
            <w:r>
              <w:rPr>
                <w:rFonts w:ascii="Arial" w:cs="Arial" w:eastAsia="Arial" w:hAnsi="Arial"/>
                <w:sz w:val="17"/>
                <w:szCs w:val="17"/>
                <w:color w:val="auto"/>
                <w:w w:val="97"/>
              </w:rPr>
              <w:t>$47,880</w:t>
            </w:r>
          </w:p>
        </w:tc>
        <w:tc>
          <w:tcPr>
            <w:tcW w:w="90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420" w:type="dxa"/>
            <w:vAlign w:val="bottom"/>
          </w:tcPr>
          <w:p>
            <w:pPr>
              <w:ind w:left="32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80"/>
              <w:spacing w:after="0"/>
              <w:rPr>
                <w:sz w:val="20"/>
                <w:szCs w:val="20"/>
                <w:color w:val="auto"/>
              </w:rPr>
            </w:pPr>
            <w:r>
              <w:rPr>
                <w:rFonts w:ascii="Arial" w:cs="Arial" w:eastAsia="Arial" w:hAnsi="Arial"/>
                <w:sz w:val="17"/>
                <w:szCs w:val="17"/>
                <w:color w:val="auto"/>
              </w:rPr>
              <w:t>20</w:t>
            </w:r>
          </w:p>
        </w:tc>
        <w:tc>
          <w:tcPr>
            <w:tcW w:w="860" w:type="dxa"/>
            <w:vAlign w:val="bottom"/>
          </w:tcPr>
          <w:p>
            <w:pPr>
              <w:jc w:val="center"/>
              <w:ind w:left="76"/>
              <w:spacing w:after="0"/>
              <w:rPr>
                <w:sz w:val="20"/>
                <w:szCs w:val="20"/>
                <w:color w:val="auto"/>
              </w:rPr>
            </w:pPr>
            <w:r>
              <w:rPr>
                <w:rFonts w:ascii="Arial" w:cs="Arial" w:eastAsia="Arial" w:hAnsi="Arial"/>
                <w:sz w:val="17"/>
                <w:szCs w:val="17"/>
                <w:color w:val="auto"/>
                <w:w w:val="98"/>
              </w:rPr>
              <w:t>$111,556</w:t>
            </w:r>
          </w:p>
        </w:tc>
      </w:tr>
      <w:tr>
        <w:trPr>
          <w:trHeight w:val="244"/>
        </w:trPr>
        <w:tc>
          <w:tcPr>
            <w:tcW w:w="3140" w:type="dxa"/>
            <w:vAlign w:val="bottom"/>
            <w:shd w:val="clear" w:color="auto" w:fill="E9E9E9"/>
          </w:tcPr>
          <w:p>
            <w:pPr>
              <w:spacing w:after="0"/>
              <w:rPr>
                <w:sz w:val="20"/>
                <w:szCs w:val="20"/>
                <w:color w:val="auto"/>
              </w:rPr>
            </w:pPr>
            <w:r>
              <w:rPr>
                <w:rFonts w:ascii="Arial" w:cs="Arial" w:eastAsia="Arial" w:hAnsi="Arial"/>
                <w:sz w:val="17"/>
                <w:szCs w:val="17"/>
                <w:color w:val="auto"/>
              </w:rPr>
              <w:t>D. L. Boren</w:t>
            </w:r>
          </w:p>
        </w:tc>
        <w:tc>
          <w:tcPr>
            <w:tcW w:w="2060" w:type="dxa"/>
            <w:vAlign w:val="bottom"/>
            <w:shd w:val="clear" w:color="auto" w:fill="E9E9E9"/>
          </w:tcPr>
          <w:p>
            <w:pPr>
              <w:jc w:val="center"/>
              <w:ind w:left="759"/>
              <w:spacing w:after="0"/>
              <w:rPr>
                <w:sz w:val="20"/>
                <w:szCs w:val="20"/>
                <w:color w:val="auto"/>
              </w:rPr>
            </w:pPr>
            <w:r>
              <w:rPr>
                <w:rFonts w:ascii="Arial" w:cs="Arial" w:eastAsia="Arial" w:hAnsi="Arial"/>
                <w:sz w:val="17"/>
                <w:szCs w:val="17"/>
                <w:color w:val="auto"/>
              </w:rPr>
              <w:t>$ 80,000</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$11,761</w:t>
            </w:r>
          </w:p>
        </w:tc>
        <w:tc>
          <w:tcPr>
            <w:tcW w:w="86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w w:val="98"/>
              </w:rPr>
              <w:t>$195,613</w:t>
            </w:r>
          </w:p>
        </w:tc>
      </w:tr>
      <w:tr>
        <w:trPr>
          <w:trHeight w:val="228"/>
        </w:trPr>
        <w:tc>
          <w:tcPr>
            <w:tcW w:w="3140" w:type="dxa"/>
            <w:vAlign w:val="bottom"/>
          </w:tcPr>
          <w:p>
            <w:pPr>
              <w:spacing w:after="0"/>
              <w:rPr>
                <w:sz w:val="20"/>
                <w:szCs w:val="20"/>
                <w:color w:val="auto"/>
              </w:rPr>
            </w:pPr>
            <w:r>
              <w:rPr>
                <w:rFonts w:ascii="Arial" w:cs="Arial" w:eastAsia="Arial" w:hAnsi="Arial"/>
                <w:sz w:val="17"/>
                <w:szCs w:val="17"/>
                <w:color w:val="auto"/>
              </w:rPr>
              <w:t>D. A. Carp</w:t>
            </w:r>
          </w:p>
        </w:tc>
        <w:tc>
          <w:tcPr>
            <w:tcW w:w="2060" w:type="dxa"/>
            <w:vAlign w:val="bottom"/>
          </w:tcPr>
          <w:p>
            <w:pPr>
              <w:jc w:val="center"/>
              <w:ind w:left="759"/>
              <w:spacing w:after="0"/>
              <w:rPr>
                <w:sz w:val="20"/>
                <w:szCs w:val="20"/>
                <w:color w:val="auto"/>
              </w:rPr>
            </w:pPr>
            <w:r>
              <w:rPr>
                <w:rFonts w:ascii="Arial" w:cs="Arial" w:eastAsia="Arial" w:hAnsi="Arial"/>
                <w:sz w:val="17"/>
                <w:szCs w:val="17"/>
                <w:color w:val="auto"/>
              </w:rPr>
              <w:t>$ 83,334</w:t>
            </w:r>
          </w:p>
        </w:tc>
        <w:tc>
          <w:tcPr>
            <w:tcW w:w="900" w:type="dxa"/>
            <w:vAlign w:val="bottom"/>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$ 8,531</w:t>
            </w:r>
          </w:p>
        </w:tc>
        <w:tc>
          <w:tcPr>
            <w:tcW w:w="860" w:type="dxa"/>
            <w:vAlign w:val="bottom"/>
          </w:tcPr>
          <w:p>
            <w:pPr>
              <w:jc w:val="center"/>
              <w:ind w:left="76"/>
              <w:spacing w:after="0"/>
              <w:rPr>
                <w:sz w:val="20"/>
                <w:szCs w:val="20"/>
                <w:color w:val="auto"/>
              </w:rPr>
            </w:pPr>
            <w:r>
              <w:rPr>
                <w:rFonts w:ascii="Arial" w:cs="Arial" w:eastAsia="Arial" w:hAnsi="Arial"/>
                <w:sz w:val="17"/>
                <w:szCs w:val="17"/>
                <w:color w:val="auto"/>
                <w:w w:val="98"/>
              </w:rPr>
              <w:t>$195,717</w:t>
            </w:r>
          </w:p>
        </w:tc>
      </w:tr>
      <w:tr>
        <w:trPr>
          <w:trHeight w:val="244"/>
        </w:trPr>
        <w:tc>
          <w:tcPr>
            <w:tcW w:w="314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2060" w:type="dxa"/>
            <w:vAlign w:val="bottom"/>
            <w:shd w:val="clear" w:color="auto" w:fill="E9E9E9"/>
          </w:tcPr>
          <w:p>
            <w:pPr>
              <w:jc w:val="center"/>
              <w:ind w:left="759"/>
              <w:spacing w:after="0"/>
              <w:rPr>
                <w:sz w:val="20"/>
                <w:szCs w:val="20"/>
                <w:color w:val="auto"/>
              </w:rPr>
            </w:pPr>
            <w:r>
              <w:rPr>
                <w:rFonts w:ascii="Arial" w:cs="Arial" w:eastAsia="Arial" w:hAnsi="Arial"/>
                <w:sz w:val="17"/>
                <w:szCs w:val="17"/>
                <w:color w:val="auto"/>
              </w:rPr>
              <w:t>$ 86,667</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$10,020</w:t>
            </w:r>
          </w:p>
        </w:tc>
        <w:tc>
          <w:tcPr>
            <w:tcW w:w="86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w w:val="98"/>
              </w:rPr>
              <w:t>$200,539</w:t>
            </w:r>
          </w:p>
        </w:tc>
      </w:tr>
      <w:tr>
        <w:trPr>
          <w:trHeight w:val="228"/>
        </w:trPr>
        <w:tc>
          <w:tcPr>
            <w:tcW w:w="3140" w:type="dxa"/>
            <w:vAlign w:val="bottom"/>
          </w:tcPr>
          <w:p>
            <w:pPr>
              <w:spacing w:after="0"/>
              <w:rPr>
                <w:sz w:val="20"/>
                <w:szCs w:val="20"/>
                <w:color w:val="auto"/>
              </w:rPr>
            </w:pPr>
            <w:r>
              <w:rPr>
                <w:rFonts w:ascii="Arial" w:cs="Arial" w:eastAsia="Arial" w:hAnsi="Arial"/>
                <w:sz w:val="17"/>
                <w:szCs w:val="17"/>
                <w:color w:val="auto"/>
              </w:rPr>
              <w:t>D. R. Goode</w:t>
            </w:r>
          </w:p>
        </w:tc>
        <w:tc>
          <w:tcPr>
            <w:tcW w:w="2060" w:type="dxa"/>
            <w:vAlign w:val="bottom"/>
          </w:tcPr>
          <w:p>
            <w:pPr>
              <w:jc w:val="center"/>
              <w:ind w:left="759"/>
              <w:spacing w:after="0"/>
              <w:rPr>
                <w:sz w:val="20"/>
                <w:szCs w:val="20"/>
                <w:color w:val="auto"/>
              </w:rPr>
            </w:pPr>
            <w:r>
              <w:rPr>
                <w:rFonts w:ascii="Arial" w:cs="Arial" w:eastAsia="Arial" w:hAnsi="Arial"/>
                <w:sz w:val="17"/>
                <w:szCs w:val="17"/>
                <w:color w:val="auto"/>
              </w:rPr>
              <w:t>$ 80,000</w:t>
            </w:r>
          </w:p>
        </w:tc>
        <w:tc>
          <w:tcPr>
            <w:tcW w:w="900" w:type="dxa"/>
            <w:vAlign w:val="bottom"/>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$27,500</w:t>
            </w:r>
          </w:p>
        </w:tc>
        <w:tc>
          <w:tcPr>
            <w:tcW w:w="860" w:type="dxa"/>
            <w:vAlign w:val="bottom"/>
          </w:tcPr>
          <w:p>
            <w:pPr>
              <w:jc w:val="center"/>
              <w:ind w:left="76"/>
              <w:spacing w:after="0"/>
              <w:rPr>
                <w:sz w:val="20"/>
                <w:szCs w:val="20"/>
                <w:color w:val="auto"/>
              </w:rPr>
            </w:pPr>
            <w:r>
              <w:rPr>
                <w:rFonts w:ascii="Arial" w:cs="Arial" w:eastAsia="Arial" w:hAnsi="Arial"/>
                <w:sz w:val="17"/>
                <w:szCs w:val="17"/>
                <w:color w:val="auto"/>
                <w:w w:val="98"/>
              </w:rPr>
              <w:t>$211,352</w:t>
            </w:r>
          </w:p>
        </w:tc>
      </w:tr>
      <w:tr>
        <w:trPr>
          <w:trHeight w:val="244"/>
        </w:trPr>
        <w:tc>
          <w:tcPr>
            <w:tcW w:w="3140" w:type="dxa"/>
            <w:vAlign w:val="bottom"/>
            <w:shd w:val="clear" w:color="auto" w:fill="E9E9E9"/>
          </w:tcPr>
          <w:p>
            <w:pPr>
              <w:spacing w:after="0"/>
              <w:rPr>
                <w:sz w:val="20"/>
                <w:szCs w:val="20"/>
                <w:color w:val="auto"/>
              </w:rPr>
            </w:pPr>
            <w:r>
              <w:rPr>
                <w:rFonts w:ascii="Arial" w:cs="Arial" w:eastAsia="Arial" w:hAnsi="Arial"/>
                <w:sz w:val="17"/>
                <w:szCs w:val="17"/>
                <w:color w:val="auto"/>
              </w:rPr>
              <w:t>S. P. MacMillan</w:t>
            </w:r>
          </w:p>
        </w:tc>
        <w:tc>
          <w:tcPr>
            <w:tcW w:w="2060" w:type="dxa"/>
            <w:vAlign w:val="bottom"/>
            <w:shd w:val="clear" w:color="auto" w:fill="E9E9E9"/>
          </w:tcPr>
          <w:p>
            <w:pPr>
              <w:jc w:val="center"/>
              <w:ind w:left="759"/>
              <w:spacing w:after="0"/>
              <w:rPr>
                <w:sz w:val="20"/>
                <w:szCs w:val="20"/>
                <w:color w:val="auto"/>
              </w:rPr>
            </w:pPr>
            <w:r>
              <w:rPr>
                <w:rFonts w:ascii="Arial" w:cs="Arial" w:eastAsia="Arial" w:hAnsi="Arial"/>
                <w:sz w:val="17"/>
                <w:szCs w:val="17"/>
                <w:color w:val="auto"/>
              </w:rPr>
              <w:t>$ 80,000</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$10,020</w:t>
            </w:r>
          </w:p>
        </w:tc>
        <w:tc>
          <w:tcPr>
            <w:tcW w:w="86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w w:val="98"/>
              </w:rPr>
              <w:t>$193,872</w:t>
            </w:r>
          </w:p>
        </w:tc>
      </w:tr>
      <w:tr>
        <w:trPr>
          <w:trHeight w:val="228"/>
        </w:trPr>
        <w:tc>
          <w:tcPr>
            <w:tcW w:w="3140" w:type="dxa"/>
            <w:vAlign w:val="bottom"/>
          </w:tcPr>
          <w:p>
            <w:pPr>
              <w:spacing w:after="0"/>
              <w:rPr>
                <w:sz w:val="20"/>
                <w:szCs w:val="20"/>
                <w:color w:val="auto"/>
              </w:rPr>
            </w:pPr>
            <w:r>
              <w:rPr>
                <w:rFonts w:ascii="Arial" w:cs="Arial" w:eastAsia="Arial" w:hAnsi="Arial"/>
                <w:sz w:val="17"/>
                <w:szCs w:val="17"/>
                <w:color w:val="auto"/>
              </w:rPr>
              <w:t>P. H. Patsley</w:t>
            </w:r>
          </w:p>
        </w:tc>
        <w:tc>
          <w:tcPr>
            <w:tcW w:w="2060" w:type="dxa"/>
            <w:vAlign w:val="bottom"/>
          </w:tcPr>
          <w:p>
            <w:pPr>
              <w:jc w:val="center"/>
              <w:ind w:left="759"/>
              <w:spacing w:after="0"/>
              <w:rPr>
                <w:sz w:val="20"/>
                <w:szCs w:val="20"/>
                <w:color w:val="auto"/>
              </w:rPr>
            </w:pPr>
            <w:r>
              <w:rPr>
                <w:rFonts w:ascii="Arial" w:cs="Arial" w:eastAsia="Arial" w:hAnsi="Arial"/>
                <w:sz w:val="17"/>
                <w:szCs w:val="17"/>
                <w:color w:val="auto"/>
                <w:w w:val="98"/>
              </w:rPr>
              <w:t>$100,000</w:t>
            </w:r>
          </w:p>
        </w:tc>
        <w:tc>
          <w:tcPr>
            <w:tcW w:w="900" w:type="dxa"/>
            <w:vAlign w:val="bottom"/>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$14,420</w:t>
            </w:r>
          </w:p>
        </w:tc>
        <w:tc>
          <w:tcPr>
            <w:tcW w:w="860" w:type="dxa"/>
            <w:vAlign w:val="bottom"/>
          </w:tcPr>
          <w:p>
            <w:pPr>
              <w:jc w:val="center"/>
              <w:ind w:left="76"/>
              <w:spacing w:after="0"/>
              <w:rPr>
                <w:sz w:val="20"/>
                <w:szCs w:val="20"/>
                <w:color w:val="auto"/>
              </w:rPr>
            </w:pPr>
            <w:r>
              <w:rPr>
                <w:rFonts w:ascii="Arial" w:cs="Arial" w:eastAsia="Arial" w:hAnsi="Arial"/>
                <w:sz w:val="17"/>
                <w:szCs w:val="17"/>
                <w:color w:val="auto"/>
                <w:w w:val="98"/>
              </w:rPr>
              <w:t>$218,272</w:t>
            </w:r>
          </w:p>
        </w:tc>
      </w:tr>
      <w:tr>
        <w:trPr>
          <w:trHeight w:val="244"/>
        </w:trPr>
        <w:tc>
          <w:tcPr>
            <w:tcW w:w="3140" w:type="dxa"/>
            <w:vAlign w:val="bottom"/>
            <w:shd w:val="clear" w:color="auto" w:fill="E9E9E9"/>
          </w:tcPr>
          <w:p>
            <w:pPr>
              <w:spacing w:after="0"/>
              <w:rPr>
                <w:sz w:val="20"/>
                <w:szCs w:val="20"/>
                <w:color w:val="auto"/>
              </w:rPr>
            </w:pPr>
            <w:r>
              <w:rPr>
                <w:rFonts w:ascii="Arial" w:cs="Arial" w:eastAsia="Arial" w:hAnsi="Arial"/>
                <w:sz w:val="17"/>
                <w:szCs w:val="17"/>
                <w:color w:val="auto"/>
              </w:rPr>
              <w:t>W. R. Sanders</w:t>
            </w:r>
          </w:p>
        </w:tc>
        <w:tc>
          <w:tcPr>
            <w:tcW w:w="2060" w:type="dxa"/>
            <w:vAlign w:val="bottom"/>
            <w:shd w:val="clear" w:color="auto" w:fill="E9E9E9"/>
          </w:tcPr>
          <w:p>
            <w:pPr>
              <w:jc w:val="center"/>
              <w:ind w:left="759"/>
              <w:spacing w:after="0"/>
              <w:rPr>
                <w:sz w:val="20"/>
                <w:szCs w:val="20"/>
                <w:color w:val="auto"/>
              </w:rPr>
            </w:pPr>
            <w:r>
              <w:rPr>
                <w:rFonts w:ascii="Arial" w:cs="Arial" w:eastAsia="Arial" w:hAnsi="Arial"/>
                <w:sz w:val="17"/>
                <w:szCs w:val="17"/>
                <w:color w:val="auto"/>
              </w:rPr>
              <w:t>$ 80,000</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$ 8,531</w:t>
            </w:r>
          </w:p>
        </w:tc>
        <w:tc>
          <w:tcPr>
            <w:tcW w:w="86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w w:val="98"/>
              </w:rPr>
              <w:t>$192,383</w:t>
            </w:r>
          </w:p>
        </w:tc>
      </w:tr>
      <w:tr>
        <w:trPr>
          <w:trHeight w:val="228"/>
        </w:trPr>
        <w:tc>
          <w:tcPr>
            <w:tcW w:w="3140" w:type="dxa"/>
            <w:vAlign w:val="bottom"/>
          </w:tcPr>
          <w:p>
            <w:pPr>
              <w:spacing w:after="0"/>
              <w:rPr>
                <w:sz w:val="20"/>
                <w:szCs w:val="20"/>
                <w:color w:val="auto"/>
              </w:rPr>
            </w:pPr>
            <w:r>
              <w:rPr>
                <w:rFonts w:ascii="Arial" w:cs="Arial" w:eastAsia="Arial" w:hAnsi="Arial"/>
                <w:sz w:val="17"/>
                <w:szCs w:val="17"/>
                <w:color w:val="auto"/>
              </w:rPr>
              <w:t>R. J. Simmons</w:t>
            </w:r>
          </w:p>
        </w:tc>
        <w:tc>
          <w:tcPr>
            <w:tcW w:w="2060" w:type="dxa"/>
            <w:vAlign w:val="bottom"/>
          </w:tcPr>
          <w:p>
            <w:pPr>
              <w:jc w:val="center"/>
              <w:ind w:left="759"/>
              <w:spacing w:after="0"/>
              <w:rPr>
                <w:sz w:val="20"/>
                <w:szCs w:val="20"/>
                <w:color w:val="auto"/>
              </w:rPr>
            </w:pPr>
            <w:r>
              <w:rPr>
                <w:rFonts w:ascii="Arial" w:cs="Arial" w:eastAsia="Arial" w:hAnsi="Arial"/>
                <w:sz w:val="17"/>
                <w:szCs w:val="17"/>
                <w:color w:val="auto"/>
              </w:rPr>
              <w:t>$ 90,000</w:t>
            </w:r>
          </w:p>
        </w:tc>
        <w:tc>
          <w:tcPr>
            <w:tcW w:w="900" w:type="dxa"/>
            <w:vAlign w:val="bottom"/>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$10,020</w:t>
            </w:r>
          </w:p>
        </w:tc>
        <w:tc>
          <w:tcPr>
            <w:tcW w:w="860" w:type="dxa"/>
            <w:vAlign w:val="bottom"/>
          </w:tcPr>
          <w:p>
            <w:pPr>
              <w:jc w:val="center"/>
              <w:ind w:left="76"/>
              <w:spacing w:after="0"/>
              <w:rPr>
                <w:sz w:val="20"/>
                <w:szCs w:val="20"/>
                <w:color w:val="auto"/>
              </w:rPr>
            </w:pPr>
            <w:r>
              <w:rPr>
                <w:rFonts w:ascii="Arial" w:cs="Arial" w:eastAsia="Arial" w:hAnsi="Arial"/>
                <w:sz w:val="17"/>
                <w:szCs w:val="17"/>
                <w:color w:val="auto"/>
                <w:w w:val="98"/>
              </w:rPr>
              <w:t>$203,872</w:t>
            </w:r>
          </w:p>
        </w:tc>
      </w:tr>
      <w:tr>
        <w:trPr>
          <w:trHeight w:val="244"/>
        </w:trPr>
        <w:tc>
          <w:tcPr>
            <w:tcW w:w="314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2060" w:type="dxa"/>
            <w:vAlign w:val="bottom"/>
            <w:shd w:val="clear" w:color="auto" w:fill="E9E9E9"/>
          </w:tcPr>
          <w:p>
            <w:pPr>
              <w:jc w:val="center"/>
              <w:ind w:left="759"/>
              <w:spacing w:after="0"/>
              <w:rPr>
                <w:sz w:val="20"/>
                <w:szCs w:val="20"/>
                <w:color w:val="auto"/>
              </w:rPr>
            </w:pPr>
            <w:r>
              <w:rPr>
                <w:rFonts w:ascii="Arial" w:cs="Arial" w:eastAsia="Arial" w:hAnsi="Arial"/>
                <w:sz w:val="17"/>
                <w:szCs w:val="17"/>
                <w:color w:val="auto"/>
              </w:rPr>
              <w:t>$ 80,000</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7"/>
              </w:rPr>
              <w:t>$57,625</w:t>
            </w: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$46,227</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1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420" w:type="dxa"/>
            <w:vAlign w:val="bottom"/>
            <w:shd w:val="clear" w:color="auto" w:fill="E9E9E9"/>
          </w:tcPr>
          <w:p>
            <w:pPr>
              <w:ind w:left="32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E9E9E9"/>
          </w:tcPr>
          <w:p>
            <w:pPr>
              <w:jc w:val="right"/>
              <w:ind w:right="180"/>
              <w:spacing w:after="0"/>
              <w:rPr>
                <w:sz w:val="20"/>
                <w:szCs w:val="20"/>
                <w:color w:val="auto"/>
              </w:rPr>
            </w:pPr>
            <w:r>
              <w:rPr>
                <w:rFonts w:ascii="Arial" w:cs="Arial" w:eastAsia="Arial" w:hAnsi="Arial"/>
                <w:sz w:val="17"/>
                <w:szCs w:val="17"/>
                <w:color w:val="auto"/>
              </w:rPr>
              <w:t>20</w:t>
            </w:r>
          </w:p>
        </w:tc>
        <w:tc>
          <w:tcPr>
            <w:tcW w:w="86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w w:val="98"/>
              </w:rPr>
              <w:t>$183,872</w:t>
            </w:r>
          </w:p>
        </w:tc>
      </w:tr>
    </w:tbl>
    <w:p>
      <w:pPr>
        <w:spacing w:after="0" w:line="239" w:lineRule="exact"/>
        <w:rPr>
          <w:sz w:val="20"/>
          <w:szCs w:val="20"/>
          <w:color w:val="auto"/>
        </w:rPr>
      </w:pPr>
    </w:p>
    <w:p>
      <w:pPr>
        <w:ind w:left="480" w:right="100" w:hanging="475"/>
        <w:spacing w:after="0" w:line="245"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Adams reached the age of 70 before the 2010 annual meeting and therefore was ineligible under the company’s by-laws to stand for re-election at the meeting. He ceased to be a director of the company on April 15, 2010. Mr. Babb was elected to the board effective March 15, 2010. Mr. Sanchez was elected to the board effective March 15, 2011, and accordingly received no compensation for services as a TI director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727138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12" w:name="page13"/>
    <w:bookmarkEnd w:id="12"/>
    <w:p>
      <w:pPr>
        <w:jc w:val="center"/>
        <w:ind w:right="-34"/>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60</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left="475" w:hanging="475"/>
        <w:spacing w:after="0"/>
        <w:tabs>
          <w:tab w:leader="none" w:pos="4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amounts deferred at the director’s election.</w:t>
      </w:r>
    </w:p>
    <w:p>
      <w:pPr>
        <w:spacing w:after="0" w:line="276" w:lineRule="exact"/>
        <w:rPr>
          <w:rFonts w:ascii="Arial" w:cs="Arial" w:eastAsia="Arial" w:hAnsi="Arial"/>
          <w:sz w:val="17"/>
          <w:szCs w:val="17"/>
          <w:color w:val="auto"/>
        </w:rPr>
      </w:pPr>
    </w:p>
    <w:p>
      <w:pPr>
        <w:jc w:val="both"/>
        <w:ind w:left="475" w:right="320" w:hanging="475"/>
        <w:spacing w:after="0" w:line="223" w:lineRule="auto"/>
        <w:tabs>
          <w:tab w:leader="none" w:pos="4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Shown is the aggregate grant date fair value of awards granted in 2010 calculated in accordance with Financial Accounting Standards Board Accounting Standards Codification</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Topic 718, Compensation-Stock Compensation (ASC 718). The discussion of the assumptions used for purposes of calculating the grant date fair value appears on pages 11-14 of Exhibit 13 to TI’s annual report on Form 10-K for the year ended December 31, 2010.</w:t>
      </w:r>
    </w:p>
    <w:p>
      <w:pPr>
        <w:spacing w:after="0" w:line="231" w:lineRule="exact"/>
        <w:rPr>
          <w:rFonts w:ascii="Arial" w:cs="Arial" w:eastAsia="Arial" w:hAnsi="Arial"/>
          <w:sz w:val="17"/>
          <w:szCs w:val="17"/>
          <w:color w:val="auto"/>
        </w:rPr>
      </w:pPr>
    </w:p>
    <w:p>
      <w:pPr>
        <w:ind w:left="475" w:right="620"/>
        <w:spacing w:after="0" w:line="252" w:lineRule="auto"/>
        <w:rPr>
          <w:rFonts w:ascii="Arial" w:cs="Arial" w:eastAsia="Arial" w:hAnsi="Arial"/>
          <w:sz w:val="17"/>
          <w:szCs w:val="17"/>
          <w:color w:val="auto"/>
        </w:rPr>
      </w:pPr>
      <w:r>
        <w:rPr>
          <w:rFonts w:ascii="Arial" w:cs="Arial" w:eastAsia="Arial" w:hAnsi="Arial"/>
          <w:sz w:val="17"/>
          <w:szCs w:val="17"/>
          <w:color w:val="auto"/>
        </w:rPr>
        <w:t>The table below shows the aggregate number of shares underlying outstanding restricted stock units held by the named individuals as of December 31, 2010.</w:t>
      </w:r>
    </w:p>
    <w:p>
      <w:pPr>
        <w:spacing w:after="0" w:line="238" w:lineRule="exact"/>
        <w:rPr>
          <w:sz w:val="20"/>
          <w:szCs w:val="20"/>
          <w:color w:val="auto"/>
        </w:rPr>
      </w:pPr>
    </w:p>
    <w:tbl>
      <w:tblPr>
        <w:tblLayout w:type="fixed"/>
        <w:tblInd w:w="1155"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4380" w:type="dxa"/>
            <w:vAlign w:val="bottom"/>
          </w:tcPr>
          <w:p>
            <w:pPr>
              <w:jc w:val="center"/>
              <w:ind w:left="3419"/>
              <w:spacing w:after="0"/>
              <w:rPr>
                <w:sz w:val="20"/>
                <w:szCs w:val="20"/>
                <w:color w:val="auto"/>
              </w:rPr>
            </w:pPr>
            <w:r>
              <w:rPr>
                <w:rFonts w:ascii="Arial" w:cs="Arial" w:eastAsia="Arial" w:hAnsi="Arial"/>
                <w:sz w:val="13"/>
                <w:szCs w:val="13"/>
                <w:b w:val="1"/>
                <w:bCs w:val="1"/>
                <w:color w:val="auto"/>
              </w:rPr>
              <w:t>Restricted</w:t>
            </w:r>
          </w:p>
        </w:tc>
      </w:tr>
      <w:tr>
        <w:trPr>
          <w:trHeight w:val="236"/>
        </w:trPr>
        <w:tc>
          <w:tcPr>
            <w:tcW w:w="4740" w:type="dxa"/>
            <w:vAlign w:val="bottom"/>
          </w:tcPr>
          <w:p>
            <w:pPr>
              <w:spacing w:after="0"/>
              <w:rPr>
                <w:sz w:val="20"/>
                <w:szCs w:val="20"/>
                <w:color w:val="auto"/>
              </w:rPr>
            </w:pPr>
          </w:p>
        </w:tc>
        <w:tc>
          <w:tcPr>
            <w:tcW w:w="4380" w:type="dxa"/>
            <w:vAlign w:val="bottom"/>
          </w:tcPr>
          <w:p>
            <w:pPr>
              <w:jc w:val="center"/>
              <w:ind w:left="3419"/>
              <w:spacing w:after="0"/>
              <w:rPr>
                <w:sz w:val="20"/>
                <w:szCs w:val="20"/>
                <w:color w:val="auto"/>
              </w:rPr>
            </w:pPr>
            <w:r>
              <w:rPr>
                <w:rFonts w:ascii="Arial" w:cs="Arial" w:eastAsia="Arial" w:hAnsi="Arial"/>
                <w:sz w:val="13"/>
                <w:szCs w:val="13"/>
                <w:b w:val="1"/>
                <w:bCs w:val="1"/>
                <w:color w:val="auto"/>
              </w:rPr>
              <w:t>Stock Units</w:t>
            </w:r>
          </w:p>
        </w:tc>
      </w:tr>
      <w:tr>
        <w:trPr>
          <w:trHeight w:val="236"/>
        </w:trPr>
        <w:tc>
          <w:tcPr>
            <w:tcW w:w="47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380" w:type="dxa"/>
            <w:vAlign w:val="bottom"/>
          </w:tcPr>
          <w:p>
            <w:pPr>
              <w:jc w:val="center"/>
              <w:ind w:left="3419"/>
              <w:spacing w:after="0"/>
              <w:rPr>
                <w:sz w:val="20"/>
                <w:szCs w:val="20"/>
                <w:color w:val="auto"/>
              </w:rPr>
            </w:pPr>
            <w:r>
              <w:rPr>
                <w:rFonts w:ascii="Arial" w:cs="Arial" w:eastAsia="Arial" w:hAnsi="Arial"/>
                <w:sz w:val="13"/>
                <w:szCs w:val="13"/>
                <w:b w:val="1"/>
                <w:bCs w:val="1"/>
                <w:color w:val="auto"/>
              </w:rPr>
              <w:t>(in Shares)</w:t>
            </w:r>
          </w:p>
        </w:tc>
      </w:tr>
      <w:tr>
        <w:trPr>
          <w:trHeight w:val="41"/>
        </w:trPr>
        <w:tc>
          <w:tcPr>
            <w:tcW w:w="474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66"/>
        </w:trPr>
        <w:tc>
          <w:tcPr>
            <w:tcW w:w="4740" w:type="dxa"/>
            <w:vAlign w:val="bottom"/>
            <w:shd w:val="clear" w:color="auto" w:fill="808285"/>
          </w:tcPr>
          <w:p>
            <w:pPr>
              <w:spacing w:after="0"/>
              <w:rPr>
                <w:sz w:val="5"/>
                <w:szCs w:val="5"/>
                <w:color w:val="auto"/>
              </w:rPr>
            </w:pPr>
          </w:p>
        </w:tc>
        <w:tc>
          <w:tcPr>
            <w:tcW w:w="4380" w:type="dxa"/>
            <w:vAlign w:val="bottom"/>
            <w:shd w:val="clear" w:color="auto" w:fill="808285"/>
          </w:tcPr>
          <w:p>
            <w:pPr>
              <w:spacing w:after="0"/>
              <w:rPr>
                <w:sz w:val="5"/>
                <w:szCs w:val="5"/>
                <w:color w:val="auto"/>
              </w:rPr>
            </w:pPr>
          </w:p>
        </w:tc>
      </w:tr>
      <w:tr>
        <w:trPr>
          <w:trHeight w:val="236"/>
        </w:trPr>
        <w:tc>
          <w:tcPr>
            <w:tcW w:w="4740" w:type="dxa"/>
            <w:vAlign w:val="bottom"/>
            <w:shd w:val="clear" w:color="auto" w:fill="E9E9E9"/>
          </w:tcPr>
          <w:p>
            <w:pPr>
              <w:spacing w:after="0"/>
              <w:rPr>
                <w:sz w:val="20"/>
                <w:szCs w:val="20"/>
                <w:color w:val="auto"/>
              </w:rPr>
            </w:pPr>
            <w:r>
              <w:rPr>
                <w:rFonts w:ascii="Arial" w:cs="Arial" w:eastAsia="Arial" w:hAnsi="Arial"/>
                <w:sz w:val="17"/>
                <w:szCs w:val="17"/>
                <w:color w:val="auto"/>
              </w:rPr>
              <w:t>J. R. Adams</w:t>
            </w:r>
          </w:p>
        </w:tc>
        <w:tc>
          <w:tcPr>
            <w:tcW w:w="438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10,000</w:t>
            </w:r>
          </w:p>
        </w:tc>
      </w:tr>
      <w:tr>
        <w:trPr>
          <w:trHeight w:val="228"/>
        </w:trPr>
        <w:tc>
          <w:tcPr>
            <w:tcW w:w="4740" w:type="dxa"/>
            <w:vAlign w:val="bottom"/>
          </w:tcPr>
          <w:p>
            <w:pPr>
              <w:spacing w:after="0"/>
              <w:rPr>
                <w:sz w:val="20"/>
                <w:szCs w:val="20"/>
                <w:color w:val="auto"/>
              </w:rPr>
            </w:pPr>
            <w:r>
              <w:rPr>
                <w:rFonts w:ascii="Arial" w:cs="Arial" w:eastAsia="Arial" w:hAnsi="Arial"/>
                <w:sz w:val="17"/>
                <w:szCs w:val="17"/>
                <w:color w:val="auto"/>
              </w:rPr>
              <w:t>R. W. Babb, Jr.</w:t>
            </w:r>
          </w:p>
        </w:tc>
        <w:tc>
          <w:tcPr>
            <w:tcW w:w="4380" w:type="dxa"/>
            <w:vAlign w:val="bottom"/>
          </w:tcPr>
          <w:p>
            <w:pPr>
              <w:jc w:val="right"/>
              <w:ind w:right="99"/>
              <w:spacing w:after="0"/>
              <w:rPr>
                <w:sz w:val="20"/>
                <w:szCs w:val="20"/>
                <w:color w:val="auto"/>
              </w:rPr>
            </w:pPr>
            <w:r>
              <w:rPr>
                <w:rFonts w:ascii="Arial" w:cs="Arial" w:eastAsia="Arial" w:hAnsi="Arial"/>
                <w:sz w:val="17"/>
                <w:szCs w:val="17"/>
                <w:color w:val="auto"/>
              </w:rPr>
              <w:t>2,000</w:t>
            </w:r>
          </w:p>
        </w:tc>
      </w:tr>
      <w:tr>
        <w:trPr>
          <w:trHeight w:val="244"/>
        </w:trPr>
        <w:tc>
          <w:tcPr>
            <w:tcW w:w="4740" w:type="dxa"/>
            <w:vAlign w:val="bottom"/>
            <w:shd w:val="clear" w:color="auto" w:fill="E9E9E9"/>
          </w:tcPr>
          <w:p>
            <w:pPr>
              <w:spacing w:after="0"/>
              <w:rPr>
                <w:sz w:val="20"/>
                <w:szCs w:val="20"/>
                <w:color w:val="auto"/>
              </w:rPr>
            </w:pPr>
            <w:r>
              <w:rPr>
                <w:rFonts w:ascii="Arial" w:cs="Arial" w:eastAsia="Arial" w:hAnsi="Arial"/>
                <w:sz w:val="17"/>
                <w:szCs w:val="17"/>
                <w:color w:val="auto"/>
              </w:rPr>
              <w:t>D. L. Boren</w:t>
            </w:r>
          </w:p>
        </w:tc>
        <w:tc>
          <w:tcPr>
            <w:tcW w:w="438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32,880</w:t>
            </w:r>
          </w:p>
        </w:tc>
      </w:tr>
      <w:tr>
        <w:trPr>
          <w:trHeight w:val="228"/>
        </w:trPr>
        <w:tc>
          <w:tcPr>
            <w:tcW w:w="4740" w:type="dxa"/>
            <w:vAlign w:val="bottom"/>
          </w:tcPr>
          <w:p>
            <w:pPr>
              <w:spacing w:after="0"/>
              <w:rPr>
                <w:sz w:val="20"/>
                <w:szCs w:val="20"/>
                <w:color w:val="auto"/>
              </w:rPr>
            </w:pPr>
            <w:r>
              <w:rPr>
                <w:rFonts w:ascii="Arial" w:cs="Arial" w:eastAsia="Arial" w:hAnsi="Arial"/>
                <w:sz w:val="17"/>
                <w:szCs w:val="17"/>
                <w:color w:val="auto"/>
              </w:rPr>
              <w:t>D. A. Carp</w:t>
            </w:r>
          </w:p>
        </w:tc>
        <w:tc>
          <w:tcPr>
            <w:tcW w:w="4380" w:type="dxa"/>
            <w:vAlign w:val="bottom"/>
          </w:tcPr>
          <w:p>
            <w:pPr>
              <w:jc w:val="right"/>
              <w:ind w:right="99"/>
              <w:spacing w:after="0"/>
              <w:rPr>
                <w:sz w:val="20"/>
                <w:szCs w:val="20"/>
                <w:color w:val="auto"/>
              </w:rPr>
            </w:pPr>
            <w:r>
              <w:rPr>
                <w:rFonts w:ascii="Arial" w:cs="Arial" w:eastAsia="Arial" w:hAnsi="Arial"/>
                <w:sz w:val="17"/>
                <w:szCs w:val="17"/>
                <w:color w:val="auto"/>
              </w:rPr>
              <w:t>18,664</w:t>
            </w:r>
          </w:p>
        </w:tc>
      </w:tr>
      <w:tr>
        <w:trPr>
          <w:trHeight w:val="244"/>
        </w:trPr>
        <w:tc>
          <w:tcPr>
            <w:tcW w:w="474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438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12,000</w:t>
            </w:r>
          </w:p>
        </w:tc>
      </w:tr>
      <w:tr>
        <w:trPr>
          <w:trHeight w:val="228"/>
        </w:trPr>
        <w:tc>
          <w:tcPr>
            <w:tcW w:w="4740" w:type="dxa"/>
            <w:vAlign w:val="bottom"/>
          </w:tcPr>
          <w:p>
            <w:pPr>
              <w:spacing w:after="0"/>
              <w:rPr>
                <w:sz w:val="20"/>
                <w:szCs w:val="20"/>
                <w:color w:val="auto"/>
              </w:rPr>
            </w:pPr>
            <w:r>
              <w:rPr>
                <w:rFonts w:ascii="Arial" w:cs="Arial" w:eastAsia="Arial" w:hAnsi="Arial"/>
                <w:sz w:val="17"/>
                <w:szCs w:val="17"/>
                <w:color w:val="auto"/>
              </w:rPr>
              <w:t>D. R. Goode</w:t>
            </w:r>
          </w:p>
        </w:tc>
        <w:tc>
          <w:tcPr>
            <w:tcW w:w="4380" w:type="dxa"/>
            <w:vAlign w:val="bottom"/>
          </w:tcPr>
          <w:p>
            <w:pPr>
              <w:jc w:val="right"/>
              <w:ind w:right="99"/>
              <w:spacing w:after="0"/>
              <w:rPr>
                <w:sz w:val="20"/>
                <w:szCs w:val="20"/>
                <w:color w:val="auto"/>
              </w:rPr>
            </w:pPr>
            <w:r>
              <w:rPr>
                <w:rFonts w:ascii="Arial" w:cs="Arial" w:eastAsia="Arial" w:hAnsi="Arial"/>
                <w:sz w:val="17"/>
                <w:szCs w:val="17"/>
                <w:color w:val="auto"/>
              </w:rPr>
              <w:t>23,632</w:t>
            </w:r>
          </w:p>
        </w:tc>
      </w:tr>
      <w:tr>
        <w:trPr>
          <w:trHeight w:val="244"/>
        </w:trPr>
        <w:tc>
          <w:tcPr>
            <w:tcW w:w="4740" w:type="dxa"/>
            <w:vAlign w:val="bottom"/>
            <w:shd w:val="clear" w:color="auto" w:fill="E9E9E9"/>
          </w:tcPr>
          <w:p>
            <w:pPr>
              <w:spacing w:after="0"/>
              <w:rPr>
                <w:sz w:val="20"/>
                <w:szCs w:val="20"/>
                <w:color w:val="auto"/>
              </w:rPr>
            </w:pPr>
            <w:r>
              <w:rPr>
                <w:rFonts w:ascii="Arial" w:cs="Arial" w:eastAsia="Arial" w:hAnsi="Arial"/>
                <w:sz w:val="17"/>
                <w:szCs w:val="17"/>
                <w:color w:val="auto"/>
              </w:rPr>
              <w:t>S. P. MacMillan</w:t>
            </w:r>
          </w:p>
        </w:tc>
        <w:tc>
          <w:tcPr>
            <w:tcW w:w="438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7,000</w:t>
            </w:r>
          </w:p>
        </w:tc>
      </w:tr>
      <w:tr>
        <w:trPr>
          <w:trHeight w:val="228"/>
        </w:trPr>
        <w:tc>
          <w:tcPr>
            <w:tcW w:w="4740" w:type="dxa"/>
            <w:vAlign w:val="bottom"/>
          </w:tcPr>
          <w:p>
            <w:pPr>
              <w:spacing w:after="0"/>
              <w:rPr>
                <w:sz w:val="20"/>
                <w:szCs w:val="20"/>
                <w:color w:val="auto"/>
              </w:rPr>
            </w:pPr>
            <w:r>
              <w:rPr>
                <w:rFonts w:ascii="Arial" w:cs="Arial" w:eastAsia="Arial" w:hAnsi="Arial"/>
                <w:sz w:val="17"/>
                <w:szCs w:val="17"/>
                <w:color w:val="auto"/>
              </w:rPr>
              <w:t>P. H. Patsley</w:t>
            </w:r>
          </w:p>
        </w:tc>
        <w:tc>
          <w:tcPr>
            <w:tcW w:w="4380" w:type="dxa"/>
            <w:vAlign w:val="bottom"/>
          </w:tcPr>
          <w:p>
            <w:pPr>
              <w:jc w:val="right"/>
              <w:ind w:right="99"/>
              <w:spacing w:after="0"/>
              <w:rPr>
                <w:sz w:val="20"/>
                <w:szCs w:val="20"/>
                <w:color w:val="auto"/>
              </w:rPr>
            </w:pPr>
            <w:r>
              <w:rPr>
                <w:rFonts w:ascii="Arial" w:cs="Arial" w:eastAsia="Arial" w:hAnsi="Arial"/>
                <w:sz w:val="17"/>
                <w:szCs w:val="17"/>
                <w:color w:val="auto"/>
              </w:rPr>
              <w:t>12,000</w:t>
            </w:r>
          </w:p>
        </w:tc>
      </w:tr>
      <w:tr>
        <w:trPr>
          <w:trHeight w:val="244"/>
        </w:trPr>
        <w:tc>
          <w:tcPr>
            <w:tcW w:w="4740" w:type="dxa"/>
            <w:vAlign w:val="bottom"/>
            <w:shd w:val="clear" w:color="auto" w:fill="E9E9E9"/>
          </w:tcPr>
          <w:p>
            <w:pPr>
              <w:spacing w:after="0"/>
              <w:rPr>
                <w:sz w:val="20"/>
                <w:szCs w:val="20"/>
                <w:color w:val="auto"/>
              </w:rPr>
            </w:pPr>
            <w:r>
              <w:rPr>
                <w:rFonts w:ascii="Arial" w:cs="Arial" w:eastAsia="Arial" w:hAnsi="Arial"/>
                <w:sz w:val="17"/>
                <w:szCs w:val="17"/>
                <w:color w:val="auto"/>
              </w:rPr>
              <w:t>W. R. Sanders</w:t>
            </w:r>
          </w:p>
        </w:tc>
        <w:tc>
          <w:tcPr>
            <w:tcW w:w="438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19,600</w:t>
            </w:r>
          </w:p>
        </w:tc>
      </w:tr>
      <w:tr>
        <w:trPr>
          <w:trHeight w:val="228"/>
        </w:trPr>
        <w:tc>
          <w:tcPr>
            <w:tcW w:w="4740" w:type="dxa"/>
            <w:vAlign w:val="bottom"/>
          </w:tcPr>
          <w:p>
            <w:pPr>
              <w:spacing w:after="0"/>
              <w:rPr>
                <w:sz w:val="20"/>
                <w:szCs w:val="20"/>
                <w:color w:val="auto"/>
              </w:rPr>
            </w:pPr>
            <w:r>
              <w:rPr>
                <w:rFonts w:ascii="Arial" w:cs="Arial" w:eastAsia="Arial" w:hAnsi="Arial"/>
                <w:sz w:val="17"/>
                <w:szCs w:val="17"/>
                <w:color w:val="auto"/>
              </w:rPr>
              <w:t>R. J. Simmons</w:t>
            </w:r>
          </w:p>
        </w:tc>
        <w:tc>
          <w:tcPr>
            <w:tcW w:w="4380" w:type="dxa"/>
            <w:vAlign w:val="bottom"/>
          </w:tcPr>
          <w:p>
            <w:pPr>
              <w:jc w:val="right"/>
              <w:ind w:right="99"/>
              <w:spacing w:after="0"/>
              <w:rPr>
                <w:sz w:val="20"/>
                <w:szCs w:val="20"/>
                <w:color w:val="auto"/>
              </w:rPr>
            </w:pPr>
            <w:r>
              <w:rPr>
                <w:rFonts w:ascii="Arial" w:cs="Arial" w:eastAsia="Arial" w:hAnsi="Arial"/>
                <w:sz w:val="17"/>
                <w:szCs w:val="17"/>
                <w:color w:val="auto"/>
              </w:rPr>
              <w:t>18,000</w:t>
            </w:r>
          </w:p>
        </w:tc>
      </w:tr>
      <w:tr>
        <w:trPr>
          <w:trHeight w:val="244"/>
        </w:trPr>
        <w:tc>
          <w:tcPr>
            <w:tcW w:w="474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4380" w:type="dxa"/>
            <w:vAlign w:val="bottom"/>
            <w:shd w:val="clear" w:color="auto" w:fill="E9E9E9"/>
          </w:tcPr>
          <w:p>
            <w:pPr>
              <w:jc w:val="right"/>
              <w:ind w:right="99"/>
              <w:spacing w:after="0"/>
              <w:rPr>
                <w:sz w:val="20"/>
                <w:szCs w:val="20"/>
                <w:color w:val="auto"/>
              </w:rPr>
            </w:pPr>
            <w:r>
              <w:rPr>
                <w:rFonts w:ascii="Arial" w:cs="Arial" w:eastAsia="Arial" w:hAnsi="Arial"/>
                <w:sz w:val="17"/>
                <w:szCs w:val="17"/>
                <w:color w:val="auto"/>
              </w:rPr>
              <w:t>12,000</w:t>
            </w:r>
          </w:p>
        </w:tc>
      </w:tr>
    </w:tbl>
    <w:p>
      <w:pPr>
        <w:spacing w:after="0" w:line="239" w:lineRule="exact"/>
        <w:rPr>
          <w:sz w:val="20"/>
          <w:szCs w:val="20"/>
          <w:color w:val="auto"/>
        </w:rPr>
      </w:pPr>
    </w:p>
    <w:p>
      <w:pPr>
        <w:ind w:left="475"/>
        <w:spacing w:after="0" w:line="245" w:lineRule="auto"/>
        <w:rPr>
          <w:sz w:val="20"/>
          <w:szCs w:val="20"/>
          <w:color w:val="auto"/>
        </w:rPr>
      </w:pPr>
      <w:r>
        <w:rPr>
          <w:rFonts w:ascii="Arial" w:cs="Arial" w:eastAsia="Arial" w:hAnsi="Arial"/>
          <w:sz w:val="17"/>
          <w:szCs w:val="17"/>
          <w:color w:val="auto"/>
        </w:rPr>
        <w:t>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please see the discussion on page 58.</w:t>
      </w:r>
    </w:p>
    <w:p>
      <w:pPr>
        <w:spacing w:after="0" w:line="224" w:lineRule="exact"/>
        <w:rPr>
          <w:sz w:val="20"/>
          <w:szCs w:val="20"/>
          <w:color w:val="auto"/>
        </w:rPr>
      </w:pPr>
    </w:p>
    <w:p>
      <w:pPr>
        <w:ind w:left="475" w:right="120" w:hanging="475"/>
        <w:spacing w:after="0" w:line="246" w:lineRule="auto"/>
        <w:tabs>
          <w:tab w:leader="none" w:pos="4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Shown is the aggregate grant date fair value of awards granted in 2010 calculated in accordance with ASC 718. The discussion of the assumptions used for purposes of calculating the grant date fair value appears on pages 11-14 of Exhibit 13 to TI’s annual report on Form 10-K for the year ended December 31, 2010.</w:t>
      </w:r>
    </w:p>
    <w:p>
      <w:pPr>
        <w:spacing w:after="0" w:line="225" w:lineRule="exact"/>
        <w:rPr>
          <w:sz w:val="20"/>
          <w:szCs w:val="20"/>
          <w:color w:val="auto"/>
        </w:rPr>
      </w:pPr>
    </w:p>
    <w:p>
      <w:pPr>
        <w:ind w:left="475" w:right="60"/>
        <w:spacing w:after="0" w:line="252" w:lineRule="auto"/>
        <w:rPr>
          <w:sz w:val="20"/>
          <w:szCs w:val="20"/>
          <w:color w:val="auto"/>
        </w:rPr>
      </w:pPr>
      <w:r>
        <w:rPr>
          <w:rFonts w:ascii="Arial" w:cs="Arial" w:eastAsia="Arial" w:hAnsi="Arial"/>
          <w:sz w:val="17"/>
          <w:szCs w:val="17"/>
          <w:color w:val="auto"/>
        </w:rPr>
        <w:t>The table below shows the aggregate number of shares underlying outstanding stock options held by the named individuals as of December 31, 2010.</w:t>
      </w:r>
    </w:p>
    <w:p>
      <w:pPr>
        <w:spacing w:after="0" w:line="238" w:lineRule="exact"/>
        <w:rPr>
          <w:sz w:val="20"/>
          <w:szCs w:val="20"/>
          <w:color w:val="auto"/>
        </w:rPr>
      </w:pPr>
    </w:p>
    <w:tbl>
      <w:tblPr>
        <w:tblLayout w:type="fixed"/>
        <w:tblInd w:w="1155" w:type="dxa"/>
        <w:tblCellMar>
          <w:top w:w="0" w:type="dxa"/>
          <w:left w:w="0" w:type="dxa"/>
          <w:bottom w:w="0" w:type="dxa"/>
          <w:right w:w="0" w:type="dxa"/>
        </w:tblCellMar>
      </w:tblPr>
      <w:tr>
        <w:trPr>
          <w:trHeight w:val="173"/>
        </w:trPr>
        <w:tc>
          <w:tcPr>
            <w:tcW w:w="45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600" w:type="dxa"/>
            <w:vAlign w:val="bottom"/>
          </w:tcPr>
          <w:p>
            <w:pPr>
              <w:jc w:val="right"/>
              <w:spacing w:after="0"/>
              <w:rPr>
                <w:sz w:val="20"/>
                <w:szCs w:val="20"/>
                <w:color w:val="auto"/>
              </w:rPr>
            </w:pPr>
            <w:r>
              <w:rPr>
                <w:rFonts w:ascii="Arial" w:cs="Arial" w:eastAsia="Arial" w:hAnsi="Arial"/>
                <w:sz w:val="13"/>
                <w:szCs w:val="13"/>
                <w:b w:val="1"/>
                <w:bCs w:val="1"/>
                <w:color w:val="auto"/>
              </w:rPr>
              <w:t>Options (in Shares)</w:t>
            </w:r>
          </w:p>
        </w:tc>
      </w:tr>
      <w:tr>
        <w:trPr>
          <w:trHeight w:val="41"/>
        </w:trPr>
        <w:tc>
          <w:tcPr>
            <w:tcW w:w="4520" w:type="dxa"/>
            <w:vAlign w:val="bottom"/>
          </w:tcPr>
          <w:p>
            <w:pPr>
              <w:spacing w:after="0"/>
              <w:rPr>
                <w:sz w:val="3"/>
                <w:szCs w:val="3"/>
                <w:color w:val="auto"/>
              </w:rPr>
            </w:pPr>
          </w:p>
        </w:tc>
        <w:tc>
          <w:tcPr>
            <w:tcW w:w="4600" w:type="dxa"/>
            <w:vAlign w:val="bottom"/>
          </w:tcPr>
          <w:p>
            <w:pPr>
              <w:spacing w:after="0"/>
              <w:rPr>
                <w:sz w:val="3"/>
                <w:szCs w:val="3"/>
                <w:color w:val="auto"/>
              </w:rPr>
            </w:pPr>
          </w:p>
        </w:tc>
      </w:tr>
      <w:tr>
        <w:trPr>
          <w:trHeight w:val="66"/>
        </w:trPr>
        <w:tc>
          <w:tcPr>
            <w:tcW w:w="4520" w:type="dxa"/>
            <w:vAlign w:val="bottom"/>
            <w:shd w:val="clear" w:color="auto" w:fill="808285"/>
          </w:tcPr>
          <w:p>
            <w:pPr>
              <w:spacing w:after="0"/>
              <w:rPr>
                <w:sz w:val="5"/>
                <w:szCs w:val="5"/>
                <w:color w:val="auto"/>
              </w:rPr>
            </w:pPr>
          </w:p>
        </w:tc>
        <w:tc>
          <w:tcPr>
            <w:tcW w:w="4600" w:type="dxa"/>
            <w:vAlign w:val="bottom"/>
            <w:shd w:val="clear" w:color="auto" w:fill="808285"/>
          </w:tcPr>
          <w:p>
            <w:pPr>
              <w:spacing w:after="0"/>
              <w:rPr>
                <w:sz w:val="5"/>
                <w:szCs w:val="5"/>
                <w:color w:val="auto"/>
              </w:rPr>
            </w:pPr>
          </w:p>
        </w:tc>
      </w:tr>
      <w:tr>
        <w:trPr>
          <w:trHeight w:val="236"/>
        </w:trPr>
        <w:tc>
          <w:tcPr>
            <w:tcW w:w="4520" w:type="dxa"/>
            <w:vAlign w:val="bottom"/>
            <w:shd w:val="clear" w:color="auto" w:fill="E9E9E9"/>
          </w:tcPr>
          <w:p>
            <w:pPr>
              <w:spacing w:after="0"/>
              <w:rPr>
                <w:sz w:val="20"/>
                <w:szCs w:val="20"/>
                <w:color w:val="auto"/>
              </w:rPr>
            </w:pPr>
            <w:r>
              <w:rPr>
                <w:rFonts w:ascii="Arial" w:cs="Arial" w:eastAsia="Arial" w:hAnsi="Arial"/>
                <w:sz w:val="17"/>
                <w:szCs w:val="17"/>
                <w:color w:val="auto"/>
              </w:rPr>
              <w:t>J. R. Adams</w:t>
            </w:r>
          </w:p>
        </w:tc>
        <w:tc>
          <w:tcPr>
            <w:tcW w:w="4600" w:type="dxa"/>
            <w:vAlign w:val="bottom"/>
            <w:shd w:val="clear" w:color="auto" w:fill="E9E9E9"/>
          </w:tcPr>
          <w:p>
            <w:pPr>
              <w:jc w:val="right"/>
              <w:ind w:right="216"/>
              <w:spacing w:after="0"/>
              <w:rPr>
                <w:sz w:val="20"/>
                <w:szCs w:val="20"/>
                <w:color w:val="auto"/>
              </w:rPr>
            </w:pPr>
            <w:r>
              <w:rPr>
                <w:rFonts w:ascii="Arial" w:cs="Arial" w:eastAsia="Arial" w:hAnsi="Arial"/>
                <w:sz w:val="17"/>
                <w:szCs w:val="17"/>
                <w:color w:val="auto"/>
              </w:rPr>
              <w:t>103,000</w:t>
            </w:r>
          </w:p>
        </w:tc>
      </w:tr>
      <w:tr>
        <w:trPr>
          <w:trHeight w:val="228"/>
        </w:trPr>
        <w:tc>
          <w:tcPr>
            <w:tcW w:w="4520" w:type="dxa"/>
            <w:vAlign w:val="bottom"/>
          </w:tcPr>
          <w:p>
            <w:pPr>
              <w:spacing w:after="0"/>
              <w:rPr>
                <w:sz w:val="20"/>
                <w:szCs w:val="20"/>
                <w:color w:val="auto"/>
              </w:rPr>
            </w:pPr>
            <w:r>
              <w:rPr>
                <w:rFonts w:ascii="Arial" w:cs="Arial" w:eastAsia="Arial" w:hAnsi="Arial"/>
                <w:sz w:val="17"/>
                <w:szCs w:val="17"/>
                <w:color w:val="auto"/>
              </w:rPr>
              <w:t>R. W. Babb, Jr.</w:t>
            </w:r>
          </w:p>
        </w:tc>
        <w:tc>
          <w:tcPr>
            <w:tcW w:w="4600" w:type="dxa"/>
            <w:vAlign w:val="bottom"/>
          </w:tcPr>
          <w:p>
            <w:pPr>
              <w:jc w:val="right"/>
              <w:ind w:right="216"/>
              <w:spacing w:after="0"/>
              <w:rPr>
                <w:sz w:val="20"/>
                <w:szCs w:val="20"/>
                <w:color w:val="auto"/>
              </w:rPr>
            </w:pPr>
            <w:r>
              <w:rPr>
                <w:rFonts w:ascii="Arial" w:cs="Arial" w:eastAsia="Arial" w:hAnsi="Arial"/>
                <w:sz w:val="17"/>
                <w:szCs w:val="17"/>
                <w:color w:val="auto"/>
              </w:rPr>
              <w:t>—</w:t>
            </w:r>
          </w:p>
        </w:tc>
      </w:tr>
      <w:tr>
        <w:trPr>
          <w:trHeight w:val="244"/>
        </w:trPr>
        <w:tc>
          <w:tcPr>
            <w:tcW w:w="4520" w:type="dxa"/>
            <w:vAlign w:val="bottom"/>
            <w:shd w:val="clear" w:color="auto" w:fill="E9E9E9"/>
          </w:tcPr>
          <w:p>
            <w:pPr>
              <w:spacing w:after="0"/>
              <w:rPr>
                <w:sz w:val="20"/>
                <w:szCs w:val="20"/>
                <w:color w:val="auto"/>
              </w:rPr>
            </w:pPr>
            <w:r>
              <w:rPr>
                <w:rFonts w:ascii="Arial" w:cs="Arial" w:eastAsia="Arial" w:hAnsi="Arial"/>
                <w:sz w:val="17"/>
                <w:szCs w:val="17"/>
                <w:color w:val="auto"/>
              </w:rPr>
              <w:t>D. L. Boren</w:t>
            </w:r>
          </w:p>
        </w:tc>
        <w:tc>
          <w:tcPr>
            <w:tcW w:w="4600" w:type="dxa"/>
            <w:vAlign w:val="bottom"/>
            <w:shd w:val="clear" w:color="auto" w:fill="E9E9E9"/>
          </w:tcPr>
          <w:p>
            <w:pPr>
              <w:jc w:val="right"/>
              <w:ind w:right="216"/>
              <w:spacing w:after="0"/>
              <w:rPr>
                <w:sz w:val="20"/>
                <w:szCs w:val="20"/>
                <w:color w:val="auto"/>
              </w:rPr>
            </w:pPr>
            <w:r>
              <w:rPr>
                <w:rFonts w:ascii="Arial" w:cs="Arial" w:eastAsia="Arial" w:hAnsi="Arial"/>
                <w:sz w:val="17"/>
                <w:szCs w:val="17"/>
                <w:color w:val="auto"/>
              </w:rPr>
              <w:t>75,500</w:t>
            </w:r>
          </w:p>
        </w:tc>
      </w:tr>
      <w:tr>
        <w:trPr>
          <w:trHeight w:val="228"/>
        </w:trPr>
        <w:tc>
          <w:tcPr>
            <w:tcW w:w="4520" w:type="dxa"/>
            <w:vAlign w:val="bottom"/>
          </w:tcPr>
          <w:p>
            <w:pPr>
              <w:spacing w:after="0"/>
              <w:rPr>
                <w:sz w:val="20"/>
                <w:szCs w:val="20"/>
                <w:color w:val="auto"/>
              </w:rPr>
            </w:pPr>
            <w:r>
              <w:rPr>
                <w:rFonts w:ascii="Arial" w:cs="Arial" w:eastAsia="Arial" w:hAnsi="Arial"/>
                <w:sz w:val="17"/>
                <w:szCs w:val="17"/>
                <w:color w:val="auto"/>
              </w:rPr>
              <w:t>D. A. Carp</w:t>
            </w:r>
          </w:p>
        </w:tc>
        <w:tc>
          <w:tcPr>
            <w:tcW w:w="4600" w:type="dxa"/>
            <w:vAlign w:val="bottom"/>
          </w:tcPr>
          <w:p>
            <w:pPr>
              <w:jc w:val="right"/>
              <w:ind w:right="216"/>
              <w:spacing w:after="0"/>
              <w:rPr>
                <w:sz w:val="20"/>
                <w:szCs w:val="20"/>
                <w:color w:val="auto"/>
              </w:rPr>
            </w:pPr>
            <w:r>
              <w:rPr>
                <w:rFonts w:ascii="Arial" w:cs="Arial" w:eastAsia="Arial" w:hAnsi="Arial"/>
                <w:sz w:val="17"/>
                <w:szCs w:val="17"/>
                <w:color w:val="auto"/>
              </w:rPr>
              <w:t>103,000</w:t>
            </w:r>
          </w:p>
        </w:tc>
      </w:tr>
      <w:tr>
        <w:trPr>
          <w:trHeight w:val="244"/>
        </w:trPr>
        <w:tc>
          <w:tcPr>
            <w:tcW w:w="452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4600" w:type="dxa"/>
            <w:vAlign w:val="bottom"/>
            <w:shd w:val="clear" w:color="auto" w:fill="E9E9E9"/>
          </w:tcPr>
          <w:p>
            <w:pPr>
              <w:jc w:val="right"/>
              <w:ind w:right="216"/>
              <w:spacing w:after="0"/>
              <w:rPr>
                <w:sz w:val="20"/>
                <w:szCs w:val="20"/>
                <w:color w:val="auto"/>
              </w:rPr>
            </w:pPr>
            <w:r>
              <w:rPr>
                <w:rFonts w:ascii="Arial" w:cs="Arial" w:eastAsia="Arial" w:hAnsi="Arial"/>
                <w:sz w:val="17"/>
                <w:szCs w:val="17"/>
                <w:color w:val="auto"/>
              </w:rPr>
              <w:t>58,000</w:t>
            </w:r>
          </w:p>
        </w:tc>
      </w:tr>
      <w:tr>
        <w:trPr>
          <w:trHeight w:val="228"/>
        </w:trPr>
        <w:tc>
          <w:tcPr>
            <w:tcW w:w="4520" w:type="dxa"/>
            <w:vAlign w:val="bottom"/>
          </w:tcPr>
          <w:p>
            <w:pPr>
              <w:spacing w:after="0"/>
              <w:rPr>
                <w:sz w:val="20"/>
                <w:szCs w:val="20"/>
                <w:color w:val="auto"/>
              </w:rPr>
            </w:pPr>
            <w:r>
              <w:rPr>
                <w:rFonts w:ascii="Arial" w:cs="Arial" w:eastAsia="Arial" w:hAnsi="Arial"/>
                <w:sz w:val="17"/>
                <w:szCs w:val="17"/>
                <w:color w:val="auto"/>
              </w:rPr>
              <w:t>D. R. Goode</w:t>
            </w:r>
          </w:p>
        </w:tc>
        <w:tc>
          <w:tcPr>
            <w:tcW w:w="4600" w:type="dxa"/>
            <w:vAlign w:val="bottom"/>
          </w:tcPr>
          <w:p>
            <w:pPr>
              <w:jc w:val="right"/>
              <w:ind w:right="216"/>
              <w:spacing w:after="0"/>
              <w:rPr>
                <w:sz w:val="20"/>
                <w:szCs w:val="20"/>
                <w:color w:val="auto"/>
              </w:rPr>
            </w:pPr>
            <w:r>
              <w:rPr>
                <w:rFonts w:ascii="Arial" w:cs="Arial" w:eastAsia="Arial" w:hAnsi="Arial"/>
                <w:sz w:val="17"/>
                <w:szCs w:val="17"/>
                <w:color w:val="auto"/>
              </w:rPr>
              <w:t>103,000</w:t>
            </w:r>
          </w:p>
        </w:tc>
      </w:tr>
      <w:tr>
        <w:trPr>
          <w:trHeight w:val="244"/>
        </w:trPr>
        <w:tc>
          <w:tcPr>
            <w:tcW w:w="4520" w:type="dxa"/>
            <w:vAlign w:val="bottom"/>
            <w:shd w:val="clear" w:color="auto" w:fill="E9E9E9"/>
          </w:tcPr>
          <w:p>
            <w:pPr>
              <w:spacing w:after="0"/>
              <w:rPr>
                <w:sz w:val="20"/>
                <w:szCs w:val="20"/>
                <w:color w:val="auto"/>
              </w:rPr>
            </w:pPr>
            <w:r>
              <w:rPr>
                <w:rFonts w:ascii="Arial" w:cs="Arial" w:eastAsia="Arial" w:hAnsi="Arial"/>
                <w:sz w:val="17"/>
                <w:szCs w:val="17"/>
                <w:color w:val="auto"/>
              </w:rPr>
              <w:t>S. P. MacMillan</w:t>
            </w:r>
          </w:p>
        </w:tc>
        <w:tc>
          <w:tcPr>
            <w:tcW w:w="4600" w:type="dxa"/>
            <w:vAlign w:val="bottom"/>
            <w:shd w:val="clear" w:color="auto" w:fill="E9E9E9"/>
          </w:tcPr>
          <w:p>
            <w:pPr>
              <w:jc w:val="right"/>
              <w:ind w:right="216"/>
              <w:spacing w:after="0"/>
              <w:rPr>
                <w:sz w:val="20"/>
                <w:szCs w:val="20"/>
                <w:color w:val="auto"/>
              </w:rPr>
            </w:pPr>
            <w:r>
              <w:rPr>
                <w:rFonts w:ascii="Arial" w:cs="Arial" w:eastAsia="Arial" w:hAnsi="Arial"/>
                <w:sz w:val="17"/>
                <w:szCs w:val="17"/>
                <w:color w:val="auto"/>
              </w:rPr>
              <w:t>14,000</w:t>
            </w:r>
          </w:p>
        </w:tc>
      </w:tr>
      <w:tr>
        <w:trPr>
          <w:trHeight w:val="228"/>
        </w:trPr>
        <w:tc>
          <w:tcPr>
            <w:tcW w:w="4520" w:type="dxa"/>
            <w:vAlign w:val="bottom"/>
          </w:tcPr>
          <w:p>
            <w:pPr>
              <w:spacing w:after="0"/>
              <w:rPr>
                <w:sz w:val="20"/>
                <w:szCs w:val="20"/>
                <w:color w:val="auto"/>
              </w:rPr>
            </w:pPr>
            <w:r>
              <w:rPr>
                <w:rFonts w:ascii="Arial" w:cs="Arial" w:eastAsia="Arial" w:hAnsi="Arial"/>
                <w:sz w:val="17"/>
                <w:szCs w:val="17"/>
                <w:color w:val="auto"/>
              </w:rPr>
              <w:t>P. H. Patsley</w:t>
            </w:r>
          </w:p>
        </w:tc>
        <w:tc>
          <w:tcPr>
            <w:tcW w:w="4600" w:type="dxa"/>
            <w:vAlign w:val="bottom"/>
          </w:tcPr>
          <w:p>
            <w:pPr>
              <w:jc w:val="right"/>
              <w:ind w:right="216"/>
              <w:spacing w:after="0"/>
              <w:rPr>
                <w:sz w:val="20"/>
                <w:szCs w:val="20"/>
                <w:color w:val="auto"/>
              </w:rPr>
            </w:pPr>
            <w:r>
              <w:rPr>
                <w:rFonts w:ascii="Arial" w:cs="Arial" w:eastAsia="Arial" w:hAnsi="Arial"/>
                <w:sz w:val="17"/>
                <w:szCs w:val="17"/>
                <w:color w:val="auto"/>
              </w:rPr>
              <w:t>58,000</w:t>
            </w:r>
          </w:p>
        </w:tc>
      </w:tr>
      <w:tr>
        <w:trPr>
          <w:trHeight w:val="244"/>
        </w:trPr>
        <w:tc>
          <w:tcPr>
            <w:tcW w:w="4520" w:type="dxa"/>
            <w:vAlign w:val="bottom"/>
            <w:shd w:val="clear" w:color="auto" w:fill="E9E9E9"/>
          </w:tcPr>
          <w:p>
            <w:pPr>
              <w:spacing w:after="0"/>
              <w:rPr>
                <w:sz w:val="20"/>
                <w:szCs w:val="20"/>
                <w:color w:val="auto"/>
              </w:rPr>
            </w:pPr>
            <w:r>
              <w:rPr>
                <w:rFonts w:ascii="Arial" w:cs="Arial" w:eastAsia="Arial" w:hAnsi="Arial"/>
                <w:sz w:val="17"/>
                <w:szCs w:val="17"/>
                <w:color w:val="auto"/>
              </w:rPr>
              <w:t>W. R. Sanders</w:t>
            </w:r>
          </w:p>
        </w:tc>
        <w:tc>
          <w:tcPr>
            <w:tcW w:w="4600" w:type="dxa"/>
            <w:vAlign w:val="bottom"/>
            <w:shd w:val="clear" w:color="auto" w:fill="E9E9E9"/>
          </w:tcPr>
          <w:p>
            <w:pPr>
              <w:jc w:val="right"/>
              <w:ind w:right="216"/>
              <w:spacing w:after="0"/>
              <w:rPr>
                <w:sz w:val="20"/>
                <w:szCs w:val="20"/>
                <w:color w:val="auto"/>
              </w:rPr>
            </w:pPr>
            <w:r>
              <w:rPr>
                <w:rFonts w:ascii="Arial" w:cs="Arial" w:eastAsia="Arial" w:hAnsi="Arial"/>
                <w:sz w:val="17"/>
                <w:szCs w:val="17"/>
                <w:color w:val="auto"/>
              </w:rPr>
              <w:t>103,000</w:t>
            </w:r>
          </w:p>
        </w:tc>
      </w:tr>
      <w:tr>
        <w:trPr>
          <w:trHeight w:val="228"/>
        </w:trPr>
        <w:tc>
          <w:tcPr>
            <w:tcW w:w="4520" w:type="dxa"/>
            <w:vAlign w:val="bottom"/>
          </w:tcPr>
          <w:p>
            <w:pPr>
              <w:spacing w:after="0"/>
              <w:rPr>
                <w:sz w:val="20"/>
                <w:szCs w:val="20"/>
                <w:color w:val="auto"/>
              </w:rPr>
            </w:pPr>
            <w:r>
              <w:rPr>
                <w:rFonts w:ascii="Arial" w:cs="Arial" w:eastAsia="Arial" w:hAnsi="Arial"/>
                <w:sz w:val="17"/>
                <w:szCs w:val="17"/>
                <w:color w:val="auto"/>
              </w:rPr>
              <w:t>R. J. Simmons</w:t>
            </w:r>
          </w:p>
        </w:tc>
        <w:tc>
          <w:tcPr>
            <w:tcW w:w="4600" w:type="dxa"/>
            <w:vAlign w:val="bottom"/>
          </w:tcPr>
          <w:p>
            <w:pPr>
              <w:jc w:val="right"/>
              <w:ind w:right="216"/>
              <w:spacing w:after="0"/>
              <w:rPr>
                <w:sz w:val="20"/>
                <w:szCs w:val="20"/>
                <w:color w:val="auto"/>
              </w:rPr>
            </w:pPr>
            <w:r>
              <w:rPr>
                <w:rFonts w:ascii="Arial" w:cs="Arial" w:eastAsia="Arial" w:hAnsi="Arial"/>
                <w:sz w:val="17"/>
                <w:szCs w:val="17"/>
                <w:color w:val="auto"/>
              </w:rPr>
              <w:t>103,000</w:t>
            </w:r>
          </w:p>
        </w:tc>
      </w:tr>
      <w:tr>
        <w:trPr>
          <w:trHeight w:val="244"/>
        </w:trPr>
        <w:tc>
          <w:tcPr>
            <w:tcW w:w="452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4600" w:type="dxa"/>
            <w:vAlign w:val="bottom"/>
            <w:shd w:val="clear" w:color="auto" w:fill="E9E9E9"/>
          </w:tcPr>
          <w:p>
            <w:pPr>
              <w:jc w:val="right"/>
              <w:ind w:right="216"/>
              <w:spacing w:after="0"/>
              <w:rPr>
                <w:sz w:val="20"/>
                <w:szCs w:val="20"/>
                <w:color w:val="auto"/>
              </w:rPr>
            </w:pPr>
            <w:r>
              <w:rPr>
                <w:rFonts w:ascii="Arial" w:cs="Arial" w:eastAsia="Arial" w:hAnsi="Arial"/>
                <w:sz w:val="17"/>
                <w:szCs w:val="17"/>
                <w:color w:val="auto"/>
              </w:rPr>
              <w:t>73,000</w:t>
            </w:r>
          </w:p>
        </w:tc>
      </w:tr>
    </w:tbl>
    <w:p>
      <w:pPr>
        <w:spacing w:after="0" w:line="239" w:lineRule="exact"/>
        <w:rPr>
          <w:sz w:val="20"/>
          <w:szCs w:val="20"/>
          <w:color w:val="auto"/>
        </w:rPr>
      </w:pPr>
    </w:p>
    <w:p>
      <w:pPr>
        <w:ind w:left="475" w:right="120"/>
        <w:spacing w:after="0" w:line="246" w:lineRule="auto"/>
        <w:rPr>
          <w:sz w:val="20"/>
          <w:szCs w:val="20"/>
          <w:color w:val="auto"/>
        </w:rPr>
      </w:pPr>
      <w:r>
        <w:rPr>
          <w:rFonts w:ascii="Arial" w:cs="Arial" w:eastAsia="Arial" w:hAnsi="Arial"/>
          <w:sz w:val="17"/>
          <w:szCs w:val="17"/>
          <w:color w:val="auto"/>
        </w:rPr>
        <w:t>The terms of these options are as set forth on page 58 except that for options granted before November 2006, the exercise price is the average of the high and low price of the company’s common stock on the date of grant, and for options granted before 2010, the grant becomes fully exercisable upon a change in control of TI.</w:t>
      </w:r>
    </w:p>
    <w:p>
      <w:pPr>
        <w:spacing w:after="0" w:line="225" w:lineRule="exact"/>
        <w:rPr>
          <w:sz w:val="20"/>
          <w:szCs w:val="20"/>
          <w:color w:val="auto"/>
        </w:rPr>
      </w:pPr>
    </w:p>
    <w:p>
      <w:pPr>
        <w:ind w:left="475" w:hanging="475"/>
        <w:spacing w:after="0" w:line="243" w:lineRule="auto"/>
        <w:tabs>
          <w:tab w:leader="none" w:pos="4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(a) the annual cost ($20 per director) of premiums for travel and accident insurance policies, (b) contributions under the TI Foundation matching gift program of $10,000, $15,739, $10,000, $14,400, and $10,000 for Ms. Cox, Mr. Goode, Mr. MacMillan, Ms. Patsley and Ms. Simmons, respectively, and (c) for certain individuals, costs related to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206375</wp:posOffset>
            </wp:positionV>
            <wp:extent cx="727138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375"/>
          </w:cols>
          <w:pgMar w:left="245" w:top="595" w:right="279" w:bottom="1440" w:gutter="0" w:footer="0" w:header="0"/>
        </w:sectPr>
      </w:pPr>
    </w:p>
    <w:bookmarkStart w:id="13" w:name="page14"/>
    <w:bookmarkEnd w:id="13"/>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61</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jc w:val="both"/>
        <w:ind w:left="480" w:right="20"/>
        <w:spacing w:after="0" w:line="246" w:lineRule="auto"/>
        <w:rPr>
          <w:sz w:val="20"/>
          <w:szCs w:val="20"/>
          <w:color w:val="auto"/>
        </w:rPr>
      </w:pPr>
      <w:r>
        <w:rPr>
          <w:rFonts w:ascii="Arial" w:cs="Arial" w:eastAsia="Arial" w:hAnsi="Arial"/>
          <w:sz w:val="17"/>
          <w:szCs w:val="17"/>
          <w:color w:val="auto"/>
        </w:rPr>
        <w:t>we have included the company’s annual costs under the program in All Other Compensation of the directors who participate. These costs include third-party administrator fees for the program and premiums on life insurance policies to fund the program. Messrs. Adams, Boren, Carp, Goode and Sanders participate in this program.</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We are providing the following advisory votes on named executive officer compensation as required by Section 14A of the Securities Exchange Act.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regarding advisory vote on named executive officer compensation</w:t>
      </w:r>
    </w:p>
    <w:p>
      <w:pPr>
        <w:spacing w:after="0" w:line="25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board asks the shareowners to cast an advisory vote on the compensation of our named executive officers. The “named executive officers” are the five executive officers, consisting of the chief executive officer, chief financial officer and three other most highly compensated executive officers, named in the compensation tables on pages 73-86.</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Specifically, we ask the shareowners to approve the following resolution:</w:t>
      </w:r>
    </w:p>
    <w:p>
      <w:pPr>
        <w:spacing w:after="0" w:line="14" w:lineRule="exact"/>
        <w:rPr>
          <w:sz w:val="20"/>
          <w:szCs w:val="20"/>
          <w:color w:val="auto"/>
        </w:rPr>
      </w:pPr>
    </w:p>
    <w:p>
      <w:pPr>
        <w:jc w:val="both"/>
        <w:ind w:left="520" w:right="180"/>
        <w:spacing w:after="0" w:line="246" w:lineRule="auto"/>
        <w:rPr>
          <w:sz w:val="20"/>
          <w:szCs w:val="20"/>
          <w:color w:val="auto"/>
        </w:rPr>
      </w:pPr>
      <w:r>
        <w:rPr>
          <w:rFonts w:ascii="Arial" w:cs="Arial" w:eastAsia="Arial" w:hAnsi="Arial"/>
          <w:sz w:val="17"/>
          <w:szCs w:val="17"/>
          <w:color w:val="auto"/>
        </w:rPr>
        <w:t>RESOLVED, that the compensation paid to the company’s named executive officers, as disclosed in this proxy statement pursuant to Item 402 of Regulation S-K, including the Compensation Discussion and Analysis, compensation tables and narrative discussion on pages 62-86 of this proxy statement, is hereby approved.</w:t>
      </w:r>
    </w:p>
    <w:p>
      <w:pPr>
        <w:spacing w:after="0" w:line="15" w:lineRule="exact"/>
        <w:rPr>
          <w:sz w:val="20"/>
          <w:szCs w:val="20"/>
          <w:color w:val="auto"/>
        </w:rPr>
      </w:pPr>
    </w:p>
    <w:p>
      <w:pPr>
        <w:ind w:right="100" w:firstLine="262"/>
        <w:spacing w:after="0" w:line="250" w:lineRule="auto"/>
        <w:rPr>
          <w:sz w:val="20"/>
          <w:szCs w:val="20"/>
          <w:color w:val="auto"/>
        </w:rPr>
      </w:pPr>
      <w:r>
        <w:rPr>
          <w:rFonts w:ascii="Arial" w:cs="Arial" w:eastAsia="Arial" w:hAnsi="Arial"/>
          <w:sz w:val="17"/>
          <w:szCs w:val="17"/>
          <w:color w:val="auto"/>
        </w:rPr>
        <w:t>We encourage shareowners to review the Compensation Discussion and Analysis section of the proxy statement, which follows. It discusses our executive compensation policies and programs and explains the compensation decisions relating to the named executive officers for 2010. We believe that the policies and programs serve the interests of our shareowners and that the compensation received by the named executive officers is commensurate with the performance and strategic position of the company.</w:t>
      </w:r>
    </w:p>
    <w:p>
      <w:pPr>
        <w:spacing w:after="0" w:line="11" w:lineRule="exact"/>
        <w:rPr>
          <w:sz w:val="20"/>
          <w:szCs w:val="20"/>
          <w:color w:val="auto"/>
        </w:rPr>
      </w:pPr>
    </w:p>
    <w:p>
      <w:pPr>
        <w:ind w:firstLine="262"/>
        <w:spacing w:after="0" w:line="268" w:lineRule="auto"/>
        <w:rPr>
          <w:sz w:val="20"/>
          <w:szCs w:val="20"/>
          <w:color w:val="auto"/>
        </w:rPr>
      </w:pPr>
      <w:r>
        <w:rPr>
          <w:rFonts w:ascii="Arial" w:cs="Arial" w:eastAsia="Arial" w:hAnsi="Arial"/>
          <w:sz w:val="17"/>
          <w:szCs w:val="17"/>
          <w:color w:val="auto"/>
        </w:rPr>
        <w:t>Although the outcome of this vote is not binding on the company or the board, the compensation committee of the board will consider it when setting future compensation for the executive officers.</w:t>
      </w:r>
    </w:p>
    <w:p>
      <w:pPr>
        <w:spacing w:after="0" w:line="212" w:lineRule="exact"/>
        <w:rPr>
          <w:sz w:val="20"/>
          <w:szCs w:val="20"/>
          <w:color w:val="auto"/>
        </w:rPr>
      </w:pPr>
    </w:p>
    <w:p>
      <w:pPr>
        <w:ind w:right="760" w:firstLine="262"/>
        <w:spacing w:after="0" w:line="292" w:lineRule="auto"/>
        <w:rPr>
          <w:sz w:val="20"/>
          <w:szCs w:val="20"/>
          <w:color w:val="auto"/>
        </w:rPr>
      </w:pPr>
      <w:r>
        <w:rPr>
          <w:rFonts w:ascii="Arial" w:cs="Arial" w:eastAsia="Arial" w:hAnsi="Arial"/>
          <w:sz w:val="17"/>
          <w:szCs w:val="17"/>
          <w:b w:val="1"/>
          <w:bCs w:val="1"/>
          <w:color w:val="auto"/>
        </w:rPr>
        <w:t>The board of directors recommends a vote FOR the resolution approving the named executive officer compensation for 2010, as disclosed in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regarding advisory vote on the frequency of future advisory votes on named executive officer compensation</w:t>
      </w:r>
    </w:p>
    <w:p>
      <w:pPr>
        <w:spacing w:after="0" w:line="257"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board asks shareowners to cast an advisory vote on whether future advisory votes on compensation for named executive officers should be held every year, every two years or every three years.</w:t>
      </w:r>
    </w:p>
    <w:p>
      <w:pPr>
        <w:spacing w:after="0" w:line="9" w:lineRule="exact"/>
        <w:rPr>
          <w:sz w:val="20"/>
          <w:szCs w:val="20"/>
          <w:color w:val="auto"/>
        </w:rPr>
      </w:pPr>
    </w:p>
    <w:p>
      <w:pPr>
        <w:ind w:right="40" w:firstLine="262"/>
        <w:spacing w:after="0" w:line="249" w:lineRule="auto"/>
        <w:rPr>
          <w:sz w:val="20"/>
          <w:szCs w:val="20"/>
          <w:color w:val="auto"/>
        </w:rPr>
      </w:pPr>
      <w:r>
        <w:rPr>
          <w:rFonts w:ascii="Arial" w:cs="Arial" w:eastAsia="Arial" w:hAnsi="Arial"/>
          <w:sz w:val="17"/>
          <w:szCs w:val="17"/>
          <w:color w:val="auto"/>
        </w:rPr>
        <w:t>The board asks shareowners to vote in favor of future advisory votes to be held every three years (triennially). For the following reasons, we believe a triennial vote is best suited for our company:</w:t>
      </w:r>
    </w:p>
    <w:p>
      <w:pPr>
        <w:spacing w:after="0" w:line="1" w:lineRule="exact"/>
        <w:rPr>
          <w:sz w:val="20"/>
          <w:szCs w:val="20"/>
          <w:color w:val="auto"/>
        </w:rPr>
      </w:pPr>
    </w:p>
    <w:p>
      <w:pPr>
        <w:ind w:left="420" w:right="80" w:hanging="415"/>
        <w:spacing w:after="0" w:line="241"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Our executive compensation program is designed to support long-term value creation, and a triennial vote will allow shareowners to better judge our executive compensation program in relation to our long-term performance. </w:t>
      </w:r>
      <w:r>
        <w:rPr>
          <w:rFonts w:ascii="Arial" w:cs="Arial" w:eastAsia="Arial" w:hAnsi="Arial"/>
          <w:sz w:val="17"/>
          <w:szCs w:val="17"/>
          <w:color w:val="auto"/>
        </w:rPr>
        <w:t>As described in the Compensation Discussion</w:t>
      </w:r>
      <w:r>
        <w:rPr>
          <w:rFonts w:ascii="Arial" w:cs="Arial" w:eastAsia="Arial" w:hAnsi="Arial"/>
          <w:sz w:val="17"/>
          <w:szCs w:val="17"/>
          <w:b w:val="1"/>
          <w:bCs w:val="1"/>
          <w:color w:val="auto"/>
        </w:rPr>
        <w:t xml:space="preserve"> </w:t>
      </w:r>
      <w:r>
        <w:rPr>
          <w:rFonts w:ascii="Arial" w:cs="Arial" w:eastAsia="Arial" w:hAnsi="Arial"/>
          <w:sz w:val="17"/>
          <w:szCs w:val="17"/>
          <w:color w:val="auto"/>
        </w:rPr>
        <w:t>and Analysis section on page 63, one of the core principles of our executive compensation program is to ensure management’s interests are aligned with our shareowners’ interests. Accordingly, we grant stock awards with multi-year vesting periods to encourage our officers to focus on long-term performance, and in awarding bonuses, we consider the company’s three-year performance in addition to one-year performance. A triennial vote would allow our executive compensation programs to be evaluated over a similar time-frame and in relation to our long-term performance.</w:t>
      </w:r>
    </w:p>
    <w:p>
      <w:pPr>
        <w:spacing w:after="0" w:line="2" w:lineRule="exact"/>
        <w:rPr>
          <w:rFonts w:ascii="Arial" w:cs="Arial" w:eastAsia="Arial" w:hAnsi="Arial"/>
          <w:sz w:val="17"/>
          <w:szCs w:val="17"/>
          <w:color w:val="auto"/>
        </w:rPr>
      </w:pPr>
    </w:p>
    <w:p>
      <w:pPr>
        <w:ind w:left="420" w:right="100" w:hanging="415"/>
        <w:spacing w:after="0" w:line="241"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The strategy and core components of our executive compensation program have been essentially unchanged for many years. </w:t>
      </w:r>
      <w:r>
        <w:rPr>
          <w:rFonts w:ascii="Arial" w:cs="Arial" w:eastAsia="Arial" w:hAnsi="Arial"/>
          <w:sz w:val="17"/>
          <w:szCs w:val="17"/>
          <w:color w:val="auto"/>
        </w:rPr>
        <w:t>We have</w:t>
      </w:r>
      <w:r>
        <w:rPr>
          <w:rFonts w:ascii="Arial" w:cs="Arial" w:eastAsia="Arial" w:hAnsi="Arial"/>
          <w:sz w:val="17"/>
          <w:szCs w:val="17"/>
          <w:b w:val="1"/>
          <w:bCs w:val="1"/>
          <w:color w:val="auto"/>
        </w:rPr>
        <w:t xml:space="preserve"> </w:t>
      </w:r>
      <w:r>
        <w:rPr>
          <w:rFonts w:ascii="Arial" w:cs="Arial" w:eastAsia="Arial" w:hAnsi="Arial"/>
          <w:sz w:val="17"/>
          <w:szCs w:val="17"/>
          <w:color w:val="auto"/>
        </w:rPr>
        <w:t>a long history of fair and reasonable pay practices. We have an established record of paying for performance and aligning executives’ interests with those of shareowners (see the Compensation Discussion and Analysis on pages 62-72 of this proxy statement for details of our compensation practices). We have no plans to make material changes to the program.</w:t>
      </w:r>
    </w:p>
    <w:p>
      <w:pPr>
        <w:spacing w:after="0" w:line="1" w:lineRule="exact"/>
        <w:rPr>
          <w:rFonts w:ascii="Arial" w:cs="Arial" w:eastAsia="Arial" w:hAnsi="Arial"/>
          <w:sz w:val="17"/>
          <w:szCs w:val="17"/>
          <w:color w:val="auto"/>
        </w:rPr>
      </w:pPr>
    </w:p>
    <w:p>
      <w:pPr>
        <w:ind w:left="420" w:hanging="415"/>
        <w:spacing w:after="0" w:line="245"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Management meets periodically with major shareowners to understand their views of company strategy, performance, governance and compensation practices. </w:t>
      </w:r>
      <w:r>
        <w:rPr>
          <w:rFonts w:ascii="Arial" w:cs="Arial" w:eastAsia="Arial" w:hAnsi="Arial"/>
          <w:sz w:val="17"/>
          <w:szCs w:val="17"/>
          <w:color w:val="auto"/>
        </w:rPr>
        <w:t>We will continue such engagement with our shareowners during the period between shareowner votes. We believe this</w:t>
      </w:r>
      <w:r>
        <w:rPr>
          <w:rFonts w:ascii="Arial" w:cs="Arial" w:eastAsia="Arial" w:hAnsi="Arial"/>
          <w:sz w:val="17"/>
          <w:szCs w:val="17"/>
          <w:b w:val="1"/>
          <w:bCs w:val="1"/>
          <w:color w:val="auto"/>
        </w:rPr>
        <w:t xml:space="preserve"> </w:t>
      </w:r>
      <w:r>
        <w:rPr>
          <w:rFonts w:ascii="Arial" w:cs="Arial" w:eastAsia="Arial" w:hAnsi="Arial"/>
          <w:sz w:val="17"/>
          <w:szCs w:val="17"/>
          <w:color w:val="auto"/>
        </w:rPr>
        <w:t>outreach to shareowners, and our shareowners’ ability to contact us at any time to express specific views on executive compensation, hold us accountable and reduce the need for and value of more frequent advisory votes on executive compensation.</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Although this is a non-binding vote, the board will consider the outcome when setting the frequency of future advisory votes.</w:t>
      </w:r>
    </w:p>
    <w:p>
      <w:pPr>
        <w:spacing w:after="0" w:line="256" w:lineRule="exact"/>
        <w:rPr>
          <w:sz w:val="20"/>
          <w:szCs w:val="20"/>
          <w:color w:val="auto"/>
        </w:rPr>
      </w:pPr>
    </w:p>
    <w:p>
      <w:pPr>
        <w:ind w:right="140" w:firstLine="262"/>
        <w:spacing w:after="0" w:line="292" w:lineRule="auto"/>
        <w:rPr>
          <w:sz w:val="20"/>
          <w:szCs w:val="20"/>
          <w:color w:val="auto"/>
        </w:rPr>
      </w:pPr>
      <w:r>
        <w:rPr>
          <w:rFonts w:ascii="Arial" w:cs="Arial" w:eastAsia="Arial" w:hAnsi="Arial"/>
          <w:sz w:val="17"/>
          <w:szCs w:val="17"/>
          <w:b w:val="1"/>
          <w:bCs w:val="1"/>
          <w:color w:val="auto"/>
        </w:rPr>
        <w:t>The board of directors recommends a vote for a frequency of every THREE YEARS for future advisory votes on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727138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14" w:name="page15"/>
    <w:bookmarkEnd w:id="14"/>
    <w:p>
      <w:pPr>
        <w:jc w:val="center"/>
        <w:ind w:right="-59"/>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62</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This section describes TI’s compensation program for executive officers. It will provide insight into the following:</w:t>
      </w:r>
    </w:p>
    <w:p>
      <w:pPr>
        <w:spacing w:after="0" w:line="14" w:lineRule="exact"/>
        <w:rPr>
          <w:sz w:val="20"/>
          <w:szCs w:val="20"/>
          <w:color w:val="auto"/>
        </w:rPr>
      </w:pPr>
    </w:p>
    <w:p>
      <w:pPr>
        <w:ind w:left="520" w:right="2280"/>
        <w:spacing w:after="0" w:line="268" w:lineRule="auto"/>
        <w:rPr>
          <w:sz w:val="20"/>
          <w:szCs w:val="20"/>
          <w:color w:val="auto"/>
        </w:rPr>
      </w:pPr>
      <w:r>
        <w:rPr>
          <w:rFonts w:ascii="Arial" w:cs="Arial" w:eastAsia="Arial" w:hAnsi="Arial"/>
          <w:sz w:val="17"/>
          <w:szCs w:val="17"/>
          <w:color w:val="auto"/>
        </w:rPr>
        <w:t>The elements of the 2010 compensation program, why we selected them and how they relate to one another; and How we determined the amount of the compensation for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-241300</wp:posOffset>
            </wp:positionV>
            <wp:extent cx="58420" cy="584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-107950</wp:posOffset>
            </wp:positionV>
            <wp:extent cx="58420" cy="584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 w:lineRule="exact"/>
        <w:rPr>
          <w:sz w:val="20"/>
          <w:szCs w:val="20"/>
          <w:color w:val="auto"/>
        </w:rPr>
      </w:pPr>
    </w:p>
    <w:p>
      <w:pPr>
        <w:ind w:right="200" w:firstLine="291"/>
        <w:spacing w:after="0" w:line="250" w:lineRule="auto"/>
        <w:rPr>
          <w:sz w:val="20"/>
          <w:szCs w:val="20"/>
          <w:color w:val="auto"/>
        </w:rPr>
      </w:pPr>
      <w:r>
        <w:rPr>
          <w:rFonts w:ascii="Arial" w:cs="Arial" w:eastAsia="Arial" w:hAnsi="Arial"/>
          <w:sz w:val="17"/>
          <w:szCs w:val="17"/>
          <w:color w:val="auto"/>
        </w:rPr>
        <w:t>Currently, TI has 15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individuals who were executive officers in 2010 (collectively called the “named executive officers”) can be found in the tables beginning on page 73.</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Executive Summary</w:t>
      </w:r>
    </w:p>
    <w:p>
      <w:pPr>
        <w:spacing w:after="0" w:line="14" w:lineRule="exact"/>
        <w:rPr>
          <w:sz w:val="20"/>
          <w:szCs w:val="20"/>
          <w:color w:val="auto"/>
        </w:rPr>
      </w:pPr>
    </w:p>
    <w:p>
      <w:pPr>
        <w:ind w:left="520" w:right="20"/>
        <w:spacing w:after="0" w:line="245" w:lineRule="auto"/>
        <w:rPr>
          <w:sz w:val="20"/>
          <w:szCs w:val="20"/>
          <w:color w:val="auto"/>
        </w:rPr>
      </w:pPr>
      <w:r>
        <w:rPr>
          <w:rFonts w:ascii="Arial" w:cs="Arial" w:eastAsia="Arial" w:hAnsi="Arial"/>
          <w:sz w:val="17"/>
          <w:szCs w:val="17"/>
          <w:color w:val="auto"/>
        </w:rPr>
        <w:t>TI’s performance in 2010 reflects the ongoing transformation of our company to focus on three core semiconductor businesses: 1) Analog, 2) Embedded Processing and 3) Wireless applications processors and connectivity products. Revenue increased 34 percent from the prior year. Operating profit margin was 32 percent, up 13 points. Our strategic position was substantially strengthened with the purchase of discounted wafer manufacturing capacity capable of producing significant additional revenue. Total shareholder return was 27 percent, in the top quartile as compared to competitors. The Compensation Committee of our board of directors determined that in total, our performance was well above median. Consistent with this performance, the total compensation for our CEO increased 23 percent from the prior year. The increase in the CEO’s pay came primarily in the form of bonus for 2010 performance.</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-895985</wp:posOffset>
            </wp:positionV>
            <wp:extent cx="58420" cy="584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40"/>
        <w:spacing w:after="0" w:line="249" w:lineRule="auto"/>
        <w:rPr>
          <w:sz w:val="20"/>
          <w:szCs w:val="20"/>
          <w:color w:val="auto"/>
        </w:rPr>
      </w:pPr>
      <w:r>
        <w:rPr>
          <w:rFonts w:ascii="Arial" w:cs="Arial" w:eastAsia="Arial" w:hAnsi="Arial"/>
          <w:sz w:val="17"/>
          <w:szCs w:val="17"/>
          <w:color w:val="auto"/>
        </w:rPr>
        <w:t>Our executive compensation program is designed to encourage executive officers to pursue strategies that serve the interests of the company and stockholders, and not to promote excessive risk-taking by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-221615</wp:posOffset>
            </wp:positionV>
            <wp:extent cx="58420" cy="584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right="260"/>
        <w:spacing w:after="0" w:line="257" w:lineRule="auto"/>
        <w:rPr>
          <w:sz w:val="20"/>
          <w:szCs w:val="20"/>
          <w:color w:val="auto"/>
        </w:rPr>
      </w:pPr>
      <w:r>
        <w:rPr>
          <w:rFonts w:ascii="Arial" w:cs="Arial" w:eastAsia="Arial" w:hAnsi="Arial"/>
          <w:sz w:val="17"/>
          <w:szCs w:val="17"/>
          <w:color w:val="auto"/>
        </w:rPr>
        <w:t>For example, in awarding bonuses, the Compensation Committee at the end of the year assesses multiple financial metrics, and considers the company’s strategic position, so as to provide a balanced view of the company’s performance with the benefit of hindsight. Moreover, the company’s performance on those measures is assessed on both a relative and absolute basis, and over a one-year and a three-year period, to provide further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-495935</wp:posOffset>
            </wp:positionV>
            <wp:extent cx="58420" cy="584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jc w:val="both"/>
        <w:ind w:left="1260" w:right="180"/>
        <w:spacing w:after="0" w:line="257" w:lineRule="auto"/>
        <w:rPr>
          <w:sz w:val="20"/>
          <w:szCs w:val="20"/>
          <w:color w:val="auto"/>
        </w:rPr>
      </w:pPr>
      <w:r>
        <w:rPr>
          <w:rFonts w:ascii="Arial" w:cs="Arial" w:eastAsia="Arial" w:hAnsi="Arial"/>
          <w:sz w:val="17"/>
          <w:szCs w:val="17"/>
          <w:color w:val="auto"/>
        </w:rPr>
        <w:t>Approximately two-thirds of the executives’ compensation package is comprised of long-term compensation consisting of restricted stock units (which do not vest until four years after the grant date) and stock options (which vest in equal increments over four years and have no value unless the stock price has risen since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-362585</wp:posOffset>
            </wp:positionV>
            <wp:extent cx="58420" cy="584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right="340"/>
        <w:spacing w:after="0" w:line="257" w:lineRule="auto"/>
        <w:rPr>
          <w:sz w:val="20"/>
          <w:szCs w:val="20"/>
          <w:color w:val="auto"/>
        </w:rPr>
      </w:pPr>
      <w:r>
        <w:rPr>
          <w:rFonts w:ascii="Arial" w:cs="Arial" w:eastAsia="Arial" w:hAnsi="Arial"/>
          <w:sz w:val="17"/>
          <w:szCs w:val="17"/>
          <w:color w:val="auto"/>
        </w:rPr>
        <w:t>The committee believes that in total, its approach encourages executives to focus on the overall performance of the company and aligns management interests with those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-229870</wp:posOffset>
            </wp:positionV>
            <wp:extent cx="58420" cy="584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We believe that our compensation practices are fair and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Our executive officers do not have employment contracts. They are not guaranteed salary increases or bonus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right="160"/>
        <w:spacing w:after="0" w:line="257" w:lineRule="auto"/>
        <w:rPr>
          <w:sz w:val="20"/>
          <w:szCs w:val="20"/>
          <w:color w:val="auto"/>
        </w:rPr>
      </w:pPr>
      <w:r>
        <w:rPr>
          <w:rFonts w:ascii="Arial" w:cs="Arial" w:eastAsia="Arial" w:hAnsi="Arial"/>
          <w:sz w:val="17"/>
          <w:szCs w:val="17"/>
          <w:color w:val="auto"/>
        </w:rPr>
        <w:t>We have not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-362585</wp:posOffset>
            </wp:positionV>
            <wp:extent cx="58420" cy="584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Bonus and equity compensation awards are subject to clawback under the committee’s policy described on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line="257" w:lineRule="auto"/>
        <w:rPr>
          <w:sz w:val="20"/>
          <w:szCs w:val="20"/>
          <w:color w:val="auto"/>
        </w:rPr>
      </w:pPr>
      <w:r>
        <w:rPr>
          <w:rFonts w:ascii="Arial" w:cs="Arial" w:eastAsia="Arial" w:hAnsi="Arial"/>
          <w:sz w:val="17"/>
          <w:szCs w:val="17"/>
          <w:color w:val="auto"/>
        </w:rPr>
        <w:t>We do not provide excessive perquisites. Those few we do provide are designed to help executives remain focused on their work at TI or for personal safety. We do not provide tax gross-ups for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-229870</wp:posOffset>
            </wp:positionV>
            <wp:extent cx="58420" cy="584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We do not guarantee a return or provide above-market returns on compensation that has been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-88265</wp:posOffset>
            </wp:positionV>
            <wp:extent cx="58420" cy="584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1260" w:right="40"/>
        <w:spacing w:after="0" w:line="257" w:lineRule="auto"/>
        <w:rPr>
          <w:sz w:val="20"/>
          <w:szCs w:val="20"/>
          <w:color w:val="auto"/>
        </w:rPr>
      </w:pPr>
      <w:r>
        <w:rPr>
          <w:rFonts w:ascii="Arial" w:cs="Arial" w:eastAsia="Arial" w:hAnsi="Arial"/>
          <w:sz w:val="17"/>
          <w:szCs w:val="17"/>
          <w:color w:val="auto"/>
        </w:rPr>
        <w:t>Pension benefits are calculated on salary and bonus only; the proceeds earned on equity or other performance awards are not part of the pension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-229870</wp:posOffset>
            </wp:positionV>
            <wp:extent cx="58420" cy="584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20" w:firstLine="518"/>
        <w:spacing w:after="0" w:line="255" w:lineRule="auto"/>
        <w:rPr>
          <w:sz w:val="20"/>
          <w:szCs w:val="20"/>
          <w:color w:val="auto"/>
        </w:rPr>
      </w:pPr>
      <w:r>
        <w:rPr>
          <w:sz w:val="1"/>
          <w:szCs w:val="1"/>
          <w:color w:val="auto"/>
        </w:rPr>
        <w:drawing>
          <wp:inline distT="0" distB="0" distL="0" distR="0">
            <wp:extent cx="58420" cy="5842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420" cy="58420"/>
                    </a:xfrm>
                    <a:prstGeom prst="rect">
                      <a:avLst/>
                    </a:prstGeom>
                    <a:noFill/>
                    <a:ln>
                      <a:noFill/>
                    </a:ln>
                  </pic:spPr>
                </pic:pic>
              </a:graphicData>
            </a:graphic>
          </wp:inline>
        </w:drawing>
      </w:r>
      <w:r>
        <w:rPr>
          <w:rFonts w:ascii="Arial" w:cs="Arial" w:eastAsia="Arial" w:hAnsi="Arial"/>
          <w:sz w:val="17"/>
          <w:szCs w:val="17"/>
          <w:color w:val="auto"/>
        </w:rPr>
        <w:t xml:space="preserve"> We believe our compensation program holds our executive officers accountable for the financial and competitive performance of TI. The committee’s strategy for setting cash and non-cash compensation is described in the table that follows beginning on page 63. Its compensation decisions for the named executive officers for 2010 are discussed on pages 65-70. Benefit programs in which the executive officers participate are discussed on pages 70-71. Perquisites are discussed on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-358140</wp:posOffset>
            </wp:positionV>
            <wp:extent cx="58420" cy="584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____________________</w:t>
      </w:r>
    </w:p>
    <w:p>
      <w:pPr>
        <w:spacing w:after="0" w:line="249" w:lineRule="exact"/>
        <w:rPr>
          <w:sz w:val="20"/>
          <w:szCs w:val="20"/>
          <w:color w:val="auto"/>
        </w:rPr>
      </w:pPr>
    </w:p>
    <w:p>
      <w:pPr>
        <w:ind w:left="380" w:right="40" w:hanging="375"/>
        <w:spacing w:after="0" w:line="244"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Please see our annual report on Form 10-K for 2010 for a discussion of our financial condition and results of operations for 2010. Total shareholder return refers to the percentage change in the value of a stockholder’s investment in a company over the relevant time period, as determined by dividends paid and the change in the company’s share price during the period. See page 68. Total compensation refers to the compensation resulting from the Compensation Committee’s decisions, as shown on page 69. For the Compensation Committee’s assessment of our 2010 performance for purposes of setting the named executive officers’ bonuses, see pages 67-69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138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360"/>
          </w:cols>
          <w:pgMar w:left="240" w:top="595" w:right="299" w:bottom="1440" w:gutter="0" w:footer="0" w:header="0"/>
        </w:sectPr>
      </w:pPr>
    </w:p>
    <w:bookmarkStart w:id="15" w:name="page16"/>
    <w:bookmarkEnd w:id="15"/>
    <w:p>
      <w:pPr>
        <w:jc w:val="center"/>
        <w:ind w:right="-19"/>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63</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philosophy and elements</w:t>
      </w:r>
    </w:p>
    <w:p>
      <w:pPr>
        <w:spacing w:after="0" w:line="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15" w:lineRule="exact"/>
        <w:rPr>
          <w:sz w:val="20"/>
          <w:szCs w:val="20"/>
          <w:color w:val="auto"/>
        </w:rPr>
      </w:pPr>
    </w:p>
    <w:p>
      <w:pPr>
        <w:ind w:right="100" w:firstLine="262"/>
        <w:spacing w:after="0" w:line="254" w:lineRule="auto"/>
        <w:rPr>
          <w:sz w:val="20"/>
          <w:szCs w:val="20"/>
          <w:color w:val="auto"/>
        </w:rPr>
      </w:pPr>
      <w:r>
        <w:rPr>
          <w:rFonts w:ascii="Arial" w:cs="Arial" w:eastAsia="Arial" w:hAnsi="Arial"/>
          <w:sz w:val="17"/>
          <w:szCs w:val="17"/>
          <w:color w:val="auto"/>
        </w:rPr>
        <w:t>The primary goal of the compensation program is to provide meaningful incentives that motivate executive officers to achieve profitable growth and deliver shareholder value. To achieve this goal, the committee has designed the compensation program to (1) pay for performance; and (2) deliver rewards in ways that encourage executives to think and act in both the near-term and long-term interests of our stockholders.</w:t>
      </w:r>
    </w:p>
    <w:p>
      <w:pPr>
        <w:spacing w:after="0" w:line="9" w:lineRule="exact"/>
        <w:rPr>
          <w:sz w:val="20"/>
          <w:szCs w:val="20"/>
          <w:color w:val="auto"/>
        </w:rPr>
      </w:pPr>
    </w:p>
    <w:p>
      <w:pPr>
        <w:ind w:right="80" w:firstLine="262"/>
        <w:spacing w:after="0" w:line="254" w:lineRule="auto"/>
        <w:rPr>
          <w:sz w:val="20"/>
          <w:szCs w:val="20"/>
          <w:color w:val="auto"/>
        </w:rPr>
      </w:pPr>
      <w:r>
        <w:rPr>
          <w:rFonts w:ascii="Arial" w:cs="Arial" w:eastAsia="Arial" w:hAnsi="Arial"/>
          <w:sz w:val="17"/>
          <w:szCs w:val="17"/>
          <w:color w:val="auto"/>
        </w:rPr>
        <w:t>In a cyclical industry such as ours, in which market conditions and therefore growth and profitability can change quickly, we do not use pre-set formulas, thresholds or multiples to determine compensation awards. The only exception to this is the broad-based profit sharing program described in the table below.</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primary elements of our executive compensation program are as follows: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Near-term compensation, paid in cash</w:t>
      </w:r>
    </w:p>
    <w:p>
      <w:pPr>
        <w:spacing w:after="0" w:line="277" w:lineRule="exact"/>
        <w:rPr>
          <w:sz w:val="20"/>
          <w:szCs w:val="20"/>
          <w:color w:val="auto"/>
        </w:rPr>
      </w:pPr>
    </w:p>
    <w:p>
      <w:pPr>
        <w:spacing w:after="0"/>
        <w:tabs>
          <w:tab w:leader="none" w:pos="2860" w:val="left"/>
          <w:tab w:leader="none" w:pos="6220" w:val="left"/>
          <w:tab w:leader="none" w:pos="966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Strategy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50430" cy="5746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574675"/>
                    </a:xfrm>
                    <a:prstGeom prst="rect">
                      <a:avLst/>
                    </a:prstGeom>
                    <a:noFill/>
                  </pic:spPr>
                </pic:pic>
              </a:graphicData>
            </a:graphic>
          </wp:anchor>
        </w:drawing>
      </w:r>
    </w:p>
    <w:p>
      <w:pPr>
        <w:sectPr>
          <w:pgSz w:w="11900" w:h="16838" w:orient="portrait"/>
          <w:cols w:equalWidth="0" w:num="1">
            <w:col w:w="11400"/>
          </w:cols>
          <w:pgMar w:left="240" w:top="595" w:right="259" w:bottom="1440" w:gutter="0" w:footer="0" w:header="0"/>
        </w:sectPr>
      </w:pPr>
    </w:p>
    <w:p>
      <w:pPr>
        <w:spacing w:after="0" w:line="132"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Base salary</w:t>
      </w:r>
      <w:r>
        <w:rPr>
          <w:sz w:val="20"/>
          <w:szCs w:val="20"/>
          <w:color w:val="auto"/>
        </w:rPr>
        <w:tab/>
      </w:r>
      <w:r>
        <w:rPr>
          <w:rFonts w:ascii="Arial" w:cs="Arial" w:eastAsia="Arial" w:hAnsi="Arial"/>
          <w:sz w:val="17"/>
          <w:szCs w:val="17"/>
          <w:color w:val="auto"/>
        </w:rPr>
        <w:t>Basic, least variable form of</w:t>
      </w:r>
    </w:p>
    <w:p>
      <w:pPr>
        <w:spacing w:after="0" w:line="14"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compensation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tabs>
          <w:tab w:leader="none" w:pos="3340" w:val="left"/>
        </w:tabs>
        <w:rPr>
          <w:sz w:val="20"/>
          <w:szCs w:val="20"/>
          <w:color w:val="auto"/>
        </w:rPr>
      </w:pPr>
      <w:r>
        <w:rPr>
          <w:rFonts w:ascii="Arial" w:cs="Arial" w:eastAsia="Arial" w:hAnsi="Arial"/>
          <w:sz w:val="17"/>
          <w:szCs w:val="17"/>
          <w:color w:val="auto"/>
        </w:rPr>
        <w:t>Pay slightly below market median in</w:t>
      </w:r>
      <w:r>
        <w:rPr>
          <w:sz w:val="20"/>
          <w:szCs w:val="20"/>
          <w:color w:val="auto"/>
        </w:rPr>
        <w:tab/>
      </w:r>
      <w:r>
        <w:rPr>
          <w:rFonts w:ascii="Arial" w:cs="Arial" w:eastAsia="Arial" w:hAnsi="Arial"/>
          <w:sz w:val="17"/>
          <w:szCs w:val="17"/>
          <w:color w:val="auto"/>
        </w:rPr>
        <w:t>Paid twice monthly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order to weight total compensation to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performance-based elements described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below in this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140335</wp:posOffset>
            </wp:positionV>
            <wp:extent cx="7250430" cy="3180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3180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460"/>
          </w:cols>
          <w:pgMar w:left="240" w:top="595" w:right="259" w:bottom="1440" w:gutter="0" w:footer="0" w:header="0"/>
          <w:type w:val="continuous"/>
        </w:sectPr>
      </w:pPr>
    </w:p>
    <w:p>
      <w:pPr>
        <w:spacing w:after="0" w:line="24"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Profit sharing</w:t>
      </w:r>
      <w:r>
        <w:rPr>
          <w:sz w:val="20"/>
          <w:szCs w:val="20"/>
          <w:color w:val="auto"/>
        </w:rPr>
        <w:tab/>
      </w:r>
      <w:r>
        <w:rPr>
          <w:rFonts w:ascii="Arial" w:cs="Arial" w:eastAsia="Arial" w:hAnsi="Arial"/>
          <w:sz w:val="17"/>
          <w:szCs w:val="17"/>
          <w:color w:val="auto"/>
        </w:rPr>
        <w:t>Broad-based program designed to</w:t>
      </w:r>
    </w:p>
    <w:p>
      <w:pPr>
        <w:spacing w:after="0" w:line="14" w:lineRule="exact"/>
        <w:rPr>
          <w:sz w:val="20"/>
          <w:szCs w:val="20"/>
          <w:color w:val="auto"/>
        </w:rPr>
      </w:pPr>
    </w:p>
    <w:p>
      <w:pPr>
        <w:ind w:left="1600"/>
        <w:spacing w:after="0" w:line="262" w:lineRule="auto"/>
        <w:rPr>
          <w:sz w:val="20"/>
          <w:szCs w:val="20"/>
          <w:color w:val="auto"/>
        </w:rPr>
      </w:pPr>
      <w:r>
        <w:rPr>
          <w:rFonts w:ascii="Arial" w:cs="Arial" w:eastAsia="Arial" w:hAnsi="Arial"/>
          <w:sz w:val="17"/>
          <w:szCs w:val="17"/>
          <w:color w:val="auto"/>
        </w:rPr>
        <w:t>emphasize that each employee contributes to the company’s profitability and can share in it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Pay according to a formula that focuses employees on a company goal, and at a level that will affect behavior. Profit sharing is paid in addition to any performance bonus awarded for the year.</w:t>
      </w:r>
    </w:p>
    <w:p>
      <w:pPr>
        <w:spacing w:after="0" w:line="6" w:lineRule="exact"/>
        <w:rPr>
          <w:sz w:val="20"/>
          <w:szCs w:val="20"/>
          <w:color w:val="auto"/>
        </w:rPr>
      </w:pPr>
    </w:p>
    <w:p>
      <w:pPr>
        <w:ind w:right="240" w:firstLine="262"/>
        <w:spacing w:after="0" w:line="259" w:lineRule="auto"/>
        <w:rPr>
          <w:sz w:val="20"/>
          <w:szCs w:val="20"/>
          <w:color w:val="auto"/>
        </w:rPr>
      </w:pPr>
      <w:r>
        <w:rPr>
          <w:rFonts w:ascii="Arial" w:cs="Arial" w:eastAsia="Arial" w:hAnsi="Arial"/>
          <w:sz w:val="17"/>
          <w:szCs w:val="17"/>
          <w:color w:val="auto"/>
        </w:rPr>
        <w:t>For the last six years, the formula has been based on company-level annual operating profit margin. The formula was set by the TI board. The committee’s practice has been not to adjust amounts earned under the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2054860</wp:posOffset>
            </wp:positionV>
            <wp:extent cx="727138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Payable in a single cash payment shortly after the end of the performance year</w:t>
      </w:r>
    </w:p>
    <w:p>
      <w:pPr>
        <w:spacing w:after="0" w:line="1" w:lineRule="exact"/>
        <w:rPr>
          <w:sz w:val="20"/>
          <w:szCs w:val="20"/>
          <w:color w:val="auto"/>
        </w:rPr>
      </w:pPr>
    </w:p>
    <w:p>
      <w:pPr>
        <w:ind w:right="240" w:firstLine="291"/>
        <w:spacing w:after="0" w:line="257" w:lineRule="auto"/>
        <w:rPr>
          <w:sz w:val="20"/>
          <w:szCs w:val="20"/>
          <w:color w:val="auto"/>
        </w:rPr>
      </w:pPr>
      <w:r>
        <w:rPr>
          <w:rFonts w:ascii="Arial" w:cs="Arial" w:eastAsia="Arial" w:hAnsi="Arial"/>
          <w:sz w:val="17"/>
          <w:szCs w:val="17"/>
          <w:color w:val="auto"/>
        </w:rPr>
        <w:t>As in recent years, the formula for 2010 was:</w:t>
      </w:r>
    </w:p>
    <w:p>
      <w:pPr>
        <w:spacing w:after="0" w:line="1" w:lineRule="exact"/>
        <w:rPr>
          <w:sz w:val="20"/>
          <w:szCs w:val="20"/>
          <w:color w:val="auto"/>
        </w:rPr>
      </w:pPr>
    </w:p>
    <w:p>
      <w:pPr>
        <w:ind w:left="740" w:right="300"/>
        <w:spacing w:after="0" w:line="257" w:lineRule="auto"/>
        <w:rPr>
          <w:sz w:val="20"/>
          <w:szCs w:val="20"/>
          <w:color w:val="auto"/>
        </w:rPr>
      </w:pPr>
      <w:r>
        <w:rPr>
          <w:rFonts w:ascii="Arial" w:cs="Arial" w:eastAsia="Arial" w:hAnsi="Arial"/>
          <w:sz w:val="17"/>
          <w:szCs w:val="17"/>
          <w:color w:val="auto"/>
        </w:rPr>
        <w:t>Below 10% company-level annual operating profit as a percentage of revenue (“Margin”): no profit sharing</w:t>
      </w:r>
    </w:p>
    <w:p>
      <w:pPr>
        <w:spacing w:after="0" w:line="2" w:lineRule="exact"/>
        <w:rPr>
          <w:sz w:val="20"/>
          <w:szCs w:val="20"/>
          <w:color w:val="auto"/>
        </w:rPr>
      </w:pPr>
    </w:p>
    <w:p>
      <w:pPr>
        <w:ind w:left="740" w:right="20"/>
        <w:spacing w:after="0" w:line="257" w:lineRule="auto"/>
        <w:rPr>
          <w:sz w:val="20"/>
          <w:szCs w:val="20"/>
          <w:color w:val="auto"/>
        </w:rPr>
      </w:pPr>
      <w:r>
        <w:rPr>
          <w:rFonts w:ascii="Arial" w:cs="Arial" w:eastAsia="Arial" w:hAnsi="Arial"/>
          <w:sz w:val="17"/>
          <w:szCs w:val="17"/>
          <w:color w:val="auto"/>
        </w:rPr>
        <w:t>At 10% Margin: profit sharing = 2% of base salary</w:t>
      </w:r>
    </w:p>
    <w:p>
      <w:pPr>
        <w:spacing w:after="0" w:line="1" w:lineRule="exact"/>
        <w:rPr>
          <w:sz w:val="20"/>
          <w:szCs w:val="20"/>
          <w:color w:val="auto"/>
        </w:rPr>
      </w:pPr>
    </w:p>
    <w:p>
      <w:pPr>
        <w:ind w:left="740" w:right="180"/>
        <w:spacing w:after="0" w:line="252" w:lineRule="auto"/>
        <w:rPr>
          <w:sz w:val="20"/>
          <w:szCs w:val="20"/>
          <w:color w:val="auto"/>
        </w:rPr>
      </w:pPr>
      <w:r>
        <w:rPr>
          <w:rFonts w:ascii="Arial" w:cs="Arial" w:eastAsia="Arial" w:hAnsi="Arial"/>
          <w:sz w:val="17"/>
          <w:szCs w:val="17"/>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6"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In 2010, TI delivered Margin of 32%. As a result, all eligible employees, including executive officers, received profit sharing of 17.3% of base salary.</w:t>
      </w:r>
    </w:p>
    <w:p>
      <w:pPr>
        <w:sectPr>
          <w:pgSz w:w="11900" w:h="16838" w:orient="portrait"/>
          <w:cols w:equalWidth="0" w:num="3">
            <w:col w:w="4640" w:space="300"/>
            <w:col w:w="3020" w:space="340"/>
            <w:col w:w="3100"/>
          </w:cols>
          <w:pgMar w:left="240" w:top="595" w:right="259" w:bottom="1440" w:gutter="0" w:footer="0" w:header="0"/>
          <w:type w:val="continuous"/>
        </w:sectPr>
      </w:pPr>
    </w:p>
    <w:bookmarkStart w:id="16" w:name="page17"/>
    <w:bookmarkEnd w:id="16"/>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64</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77" w:lineRule="exact"/>
        <w:rPr>
          <w:sz w:val="20"/>
          <w:szCs w:val="20"/>
          <w:color w:val="auto"/>
        </w:rPr>
      </w:pPr>
    </w:p>
    <w:p>
      <w:pPr>
        <w:spacing w:after="0"/>
        <w:tabs>
          <w:tab w:leader="none" w:pos="2860" w:val="left"/>
          <w:tab w:leader="none" w:pos="6240" w:val="left"/>
          <w:tab w:leader="none" w:pos="9660" w:val="left"/>
        </w:tabs>
        <w:rPr>
          <w:sz w:val="20"/>
          <w:szCs w:val="20"/>
          <w:color w:val="auto"/>
        </w:rPr>
      </w:pPr>
      <w:r>
        <w:rPr>
          <w:rFonts w:ascii="Arial" w:cs="Arial" w:eastAsia="Arial" w:hAnsi="Arial"/>
          <w:sz w:val="13"/>
          <w:szCs w:val="13"/>
          <w:b w:val="1"/>
          <w:bCs w:val="1"/>
          <w:color w:val="auto"/>
        </w:rPr>
        <w:t>Element</w:t>
      </w:r>
      <w:r>
        <w:rPr>
          <w:sz w:val="20"/>
          <w:szCs w:val="20"/>
          <w:color w:val="auto"/>
        </w:rPr>
        <w:tab/>
      </w:r>
      <w:r>
        <w:rPr>
          <w:rFonts w:ascii="Arial" w:cs="Arial" w:eastAsia="Arial" w:hAnsi="Arial"/>
          <w:sz w:val="13"/>
          <w:szCs w:val="13"/>
          <w:b w:val="1"/>
          <w:bCs w:val="1"/>
          <w:color w:val="auto"/>
        </w:rPr>
        <w:t>Purpose</w:t>
      </w:r>
      <w:r>
        <w:rPr>
          <w:sz w:val="20"/>
          <w:szCs w:val="20"/>
          <w:color w:val="auto"/>
        </w:rPr>
        <w:tab/>
      </w:r>
      <w:r>
        <w:rPr>
          <w:rFonts w:ascii="Arial" w:cs="Arial" w:eastAsia="Arial" w:hAnsi="Arial"/>
          <w:sz w:val="13"/>
          <w:szCs w:val="13"/>
          <w:b w:val="1"/>
          <w:bCs w:val="1"/>
          <w:color w:val="auto"/>
        </w:rPr>
        <w:t>Strategy</w:t>
      </w:r>
      <w:r>
        <w:rPr>
          <w:sz w:val="20"/>
          <w:szCs w:val="20"/>
          <w:color w:val="auto"/>
        </w:rPr>
        <w:tab/>
      </w: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50430" cy="36626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366268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p>
      <w:pPr>
        <w:spacing w:after="0" w:line="132"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Performance</w:t>
      </w:r>
      <w:r>
        <w:rPr>
          <w:sz w:val="20"/>
          <w:szCs w:val="20"/>
          <w:color w:val="auto"/>
        </w:rPr>
        <w:tab/>
      </w:r>
      <w:r>
        <w:rPr>
          <w:rFonts w:ascii="Arial" w:cs="Arial" w:eastAsia="Arial" w:hAnsi="Arial"/>
          <w:sz w:val="16"/>
          <w:szCs w:val="16"/>
          <w:color w:val="auto"/>
        </w:rPr>
        <w:t>To motivate executives and reward them</w:t>
      </w:r>
    </w:p>
    <w:p>
      <w:pPr>
        <w:spacing w:after="0" w:line="26"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bonus</w:t>
      </w:r>
      <w:r>
        <w:rPr>
          <w:sz w:val="20"/>
          <w:szCs w:val="20"/>
          <w:color w:val="auto"/>
        </w:rPr>
        <w:tab/>
      </w:r>
      <w:r>
        <w:rPr>
          <w:rFonts w:ascii="Arial" w:cs="Arial" w:eastAsia="Arial" w:hAnsi="Arial"/>
          <w:sz w:val="17"/>
          <w:szCs w:val="17"/>
          <w:color w:val="auto"/>
        </w:rPr>
        <w:t>according to the company’s relative and</w:t>
      </w:r>
    </w:p>
    <w:p>
      <w:pPr>
        <w:spacing w:after="0" w:line="14" w:lineRule="exact"/>
        <w:rPr>
          <w:sz w:val="20"/>
          <w:szCs w:val="20"/>
          <w:color w:val="auto"/>
        </w:rPr>
      </w:pPr>
    </w:p>
    <w:p>
      <w:pPr>
        <w:ind w:left="1600" w:right="460"/>
        <w:spacing w:after="0" w:line="268" w:lineRule="auto"/>
        <w:rPr>
          <w:sz w:val="20"/>
          <w:szCs w:val="20"/>
          <w:color w:val="auto"/>
        </w:rPr>
      </w:pPr>
      <w:r>
        <w:rPr>
          <w:rFonts w:ascii="Arial" w:cs="Arial" w:eastAsia="Arial" w:hAnsi="Arial"/>
          <w:sz w:val="17"/>
          <w:szCs w:val="17"/>
          <w:color w:val="auto"/>
        </w:rPr>
        <w:t>absolute performance and the executive’s individual performance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Bonus is set to bring total cash compensation (base salary, profit sharing and bonus) to the appropriate level.</w:t>
      </w:r>
    </w:p>
    <w:p>
      <w:pPr>
        <w:spacing w:after="0" w:line="1" w:lineRule="exact"/>
        <w:rPr>
          <w:sz w:val="20"/>
          <w:szCs w:val="20"/>
          <w:color w:val="auto"/>
        </w:rPr>
      </w:pPr>
    </w:p>
    <w:p>
      <w:pPr>
        <w:ind w:firstLine="291"/>
        <w:spacing w:after="0" w:line="258" w:lineRule="auto"/>
        <w:rPr>
          <w:sz w:val="20"/>
          <w:szCs w:val="20"/>
          <w:color w:val="auto"/>
        </w:rPr>
      </w:pPr>
      <w:r>
        <w:rPr>
          <w:rFonts w:ascii="Arial" w:cs="Arial" w:eastAsia="Arial" w:hAnsi="Arial"/>
          <w:sz w:val="17"/>
          <w:szCs w:val="17"/>
          <w:color w:val="auto"/>
        </w:rPr>
        <w:t>The appropriate level for total cash is determined primarily on the basis of one-year and three-year company performance on certain measures (revenue growth percent, operating margin and total shareholder return) as compared to competitors and on our strategic progress in key markets and with customers. These factors have been chosen to reflect our near-term financial performance as well as our progress in building long-term shareholder value.</w:t>
      </w:r>
    </w:p>
    <w:p>
      <w:pPr>
        <w:spacing w:after="0" w:line="8" w:lineRule="exact"/>
        <w:rPr>
          <w:sz w:val="20"/>
          <w:szCs w:val="20"/>
          <w:color w:val="auto"/>
        </w:rPr>
      </w:pPr>
    </w:p>
    <w:p>
      <w:pPr>
        <w:ind w:right="80" w:firstLine="291"/>
        <w:spacing w:after="0" w:line="259" w:lineRule="auto"/>
        <w:rPr>
          <w:sz w:val="20"/>
          <w:szCs w:val="20"/>
          <w:color w:val="auto"/>
        </w:rPr>
      </w:pPr>
      <w:r>
        <w:rPr>
          <w:rFonts w:ascii="Arial" w:cs="Arial" w:eastAsia="Arial" w:hAnsi="Arial"/>
          <w:sz w:val="17"/>
          <w:szCs w:val="17"/>
          <w:color w:val="auto"/>
        </w:rPr>
        <w:t>The committee aims to pay total cash compensation appropriately above median if company performance is above that of competitors, and pay total cash compensation appropriately below the median if company performance is below competitors.</w:t>
      </w:r>
    </w:p>
    <w:p>
      <w:pPr>
        <w:spacing w:after="0" w:line="5" w:lineRule="exact"/>
        <w:rPr>
          <w:sz w:val="20"/>
          <w:szCs w:val="20"/>
          <w:color w:val="auto"/>
        </w:rPr>
      </w:pPr>
    </w:p>
    <w:p>
      <w:pPr>
        <w:ind w:right="160" w:firstLine="291"/>
        <w:spacing w:after="0" w:line="260" w:lineRule="auto"/>
        <w:rPr>
          <w:sz w:val="20"/>
          <w:szCs w:val="20"/>
          <w:color w:val="auto"/>
        </w:rPr>
      </w:pPr>
      <w:r>
        <w:rPr>
          <w:rFonts w:ascii="Arial" w:cs="Arial" w:eastAsia="Arial" w:hAnsi="Arial"/>
          <w:sz w:val="17"/>
          <w:szCs w:val="17"/>
          <w:color w:val="auto"/>
        </w:rPr>
        <w:t>The committee does not rely on formulas or performance targets or thresholds. Instead it uses its judgment based on its assessment of the factors described above.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Determined by the committee and paid in a single payment after the performance year</w:t>
      </w:r>
    </w:p>
    <w:p>
      <w:pPr>
        <w:spacing w:after="0" w:line="5252" w:lineRule="exact"/>
        <w:rPr>
          <w:sz w:val="20"/>
          <w:szCs w:val="20"/>
          <w:color w:val="auto"/>
        </w:rPr>
      </w:pPr>
    </w:p>
    <w:p>
      <w:pPr>
        <w:sectPr>
          <w:pgSz w:w="11900" w:h="16838" w:orient="portrait"/>
          <w:cols w:equalWidth="0" w:num="3">
            <w:col w:w="4660" w:space="300"/>
            <w:col w:w="3100" w:space="260"/>
            <w:col w:w="3100"/>
          </w:cols>
          <w:pgMar w:left="240" w:top="595"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Long-term compensation, awarded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133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60" w:type="dxa"/>
            <w:vAlign w:val="bottom"/>
            <w:shd w:val="clear" w:color="auto" w:fill="E9E9E9"/>
          </w:tcPr>
          <w:p>
            <w:pPr>
              <w:spacing w:after="0"/>
              <w:rPr>
                <w:sz w:val="20"/>
                <w:szCs w:val="20"/>
                <w:color w:val="auto"/>
              </w:rPr>
            </w:pPr>
            <w:r>
              <w:rPr>
                <w:rFonts w:ascii="Arial" w:cs="Arial" w:eastAsia="Arial" w:hAnsi="Arial"/>
                <w:sz w:val="17"/>
                <w:szCs w:val="17"/>
                <w:color w:val="auto"/>
              </w:rPr>
              <w:t>Non-qualified</w:t>
            </w:r>
          </w:p>
        </w:tc>
        <w:tc>
          <w:tcPr>
            <w:tcW w:w="3340" w:type="dxa"/>
            <w:vAlign w:val="bottom"/>
            <w:shd w:val="clear" w:color="auto" w:fill="E9E9E9"/>
          </w:tcPr>
          <w:p>
            <w:pPr>
              <w:ind w:left="140"/>
              <w:spacing w:after="0"/>
              <w:rPr>
                <w:sz w:val="20"/>
                <w:szCs w:val="20"/>
                <w:color w:val="auto"/>
              </w:rPr>
            </w:pPr>
            <w:r>
              <w:rPr>
                <w:rFonts w:ascii="Arial" w:cs="Arial" w:eastAsia="Arial" w:hAnsi="Arial"/>
                <w:sz w:val="17"/>
                <w:szCs w:val="17"/>
                <w:color w:val="auto"/>
              </w:rPr>
              <w:t>Alignment with shareholders; long-term</w:t>
            </w:r>
          </w:p>
        </w:tc>
        <w:tc>
          <w:tcPr>
            <w:tcW w:w="33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We grant a combination of NQ stock</w:t>
            </w:r>
          </w:p>
        </w:tc>
        <w:tc>
          <w:tcPr>
            <w:tcW w:w="32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The terms and conditions of stock</w:t>
            </w:r>
          </w:p>
        </w:tc>
      </w:tr>
      <w:tr>
        <w:trPr>
          <w:trHeight w:val="204"/>
        </w:trPr>
        <w:tc>
          <w:tcPr>
            <w:tcW w:w="1460" w:type="dxa"/>
            <w:vAlign w:val="bottom"/>
            <w:shd w:val="clear" w:color="auto" w:fill="E9E9E9"/>
          </w:tcPr>
          <w:p>
            <w:pPr>
              <w:spacing w:after="0"/>
              <w:rPr>
                <w:sz w:val="20"/>
                <w:szCs w:val="20"/>
                <w:color w:val="auto"/>
              </w:rPr>
            </w:pPr>
            <w:r>
              <w:rPr>
                <w:rFonts w:ascii="Arial" w:cs="Arial" w:eastAsia="Arial" w:hAnsi="Arial"/>
                <w:sz w:val="17"/>
                <w:szCs w:val="17"/>
                <w:color w:val="auto"/>
              </w:rPr>
              <w:t>stock options and</w:t>
            </w:r>
          </w:p>
        </w:tc>
        <w:tc>
          <w:tcPr>
            <w:tcW w:w="3340" w:type="dxa"/>
            <w:vAlign w:val="bottom"/>
            <w:shd w:val="clear" w:color="auto" w:fill="E9E9E9"/>
          </w:tcPr>
          <w:p>
            <w:pPr>
              <w:ind w:left="140"/>
              <w:spacing w:after="0"/>
              <w:rPr>
                <w:sz w:val="20"/>
                <w:szCs w:val="20"/>
                <w:color w:val="auto"/>
              </w:rPr>
            </w:pPr>
            <w:r>
              <w:rPr>
                <w:rFonts w:ascii="Arial" w:cs="Arial" w:eastAsia="Arial" w:hAnsi="Arial"/>
                <w:sz w:val="17"/>
                <w:szCs w:val="17"/>
                <w:color w:val="auto"/>
              </w:rPr>
              <w:t>focus; retention, particularly with respect</w:t>
            </w:r>
          </w:p>
        </w:tc>
        <w:tc>
          <w:tcPr>
            <w:tcW w:w="33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options and restricted stock units,</w:t>
            </w:r>
          </w:p>
        </w:tc>
        <w:tc>
          <w:tcPr>
            <w:tcW w:w="32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options and restricted stock units are</w:t>
            </w:r>
          </w:p>
        </w:tc>
      </w:tr>
      <w:tr>
        <w:trPr>
          <w:trHeight w:val="210"/>
        </w:trPr>
        <w:tc>
          <w:tcPr>
            <w:tcW w:w="1460" w:type="dxa"/>
            <w:vAlign w:val="bottom"/>
            <w:shd w:val="clear" w:color="auto" w:fill="E9E9E9"/>
          </w:tcPr>
          <w:p>
            <w:pPr>
              <w:spacing w:after="0"/>
              <w:rPr>
                <w:sz w:val="20"/>
                <w:szCs w:val="20"/>
                <w:color w:val="auto"/>
              </w:rPr>
            </w:pPr>
            <w:r>
              <w:rPr>
                <w:rFonts w:ascii="Arial" w:cs="Arial" w:eastAsia="Arial" w:hAnsi="Arial"/>
                <w:sz w:val="17"/>
                <w:szCs w:val="17"/>
                <w:color w:val="auto"/>
              </w:rPr>
              <w:t>restricted stock</w:t>
            </w:r>
          </w:p>
        </w:tc>
        <w:tc>
          <w:tcPr>
            <w:tcW w:w="3340" w:type="dxa"/>
            <w:vAlign w:val="bottom"/>
            <w:shd w:val="clear" w:color="auto" w:fill="E9E9E9"/>
          </w:tcPr>
          <w:p>
            <w:pPr>
              <w:ind w:left="140"/>
              <w:spacing w:after="0"/>
              <w:rPr>
                <w:sz w:val="20"/>
                <w:szCs w:val="20"/>
                <w:color w:val="auto"/>
              </w:rPr>
            </w:pPr>
            <w:r>
              <w:rPr>
                <w:rFonts w:ascii="Arial" w:cs="Arial" w:eastAsia="Arial" w:hAnsi="Arial"/>
                <w:sz w:val="17"/>
                <w:szCs w:val="17"/>
                <w:color w:val="auto"/>
              </w:rPr>
              <w:t>to restricted stock units</w:t>
            </w:r>
          </w:p>
        </w:tc>
        <w:tc>
          <w:tcPr>
            <w:tcW w:w="33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generally targeted at the median level of</w:t>
            </w:r>
          </w:p>
        </w:tc>
        <w:tc>
          <w:tcPr>
            <w:tcW w:w="32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summarized on pages 78-79. The</w:t>
            </w:r>
          </w:p>
        </w:tc>
      </w:tr>
      <w:tr>
        <w:trPr>
          <w:trHeight w:val="210"/>
        </w:trPr>
        <w:tc>
          <w:tcPr>
            <w:tcW w:w="1460" w:type="dxa"/>
            <w:vAlign w:val="bottom"/>
            <w:shd w:val="clear" w:color="auto" w:fill="E9E9E9"/>
          </w:tcPr>
          <w:p>
            <w:pPr>
              <w:spacing w:after="0"/>
              <w:rPr>
                <w:sz w:val="20"/>
                <w:szCs w:val="20"/>
                <w:color w:val="auto"/>
              </w:rPr>
            </w:pPr>
            <w:r>
              <w:rPr>
                <w:rFonts w:ascii="Arial" w:cs="Arial" w:eastAsia="Arial" w:hAnsi="Arial"/>
                <w:sz w:val="17"/>
                <w:szCs w:val="17"/>
                <w:color w:val="auto"/>
              </w:rPr>
              <w:t>units</w:t>
            </w:r>
          </w:p>
        </w:tc>
        <w:tc>
          <w:tcPr>
            <w:tcW w:w="3340" w:type="dxa"/>
            <w:vAlign w:val="bottom"/>
            <w:shd w:val="clear" w:color="auto" w:fill="E9E9E9"/>
          </w:tcPr>
          <w:p>
            <w:pPr>
              <w:spacing w:after="0"/>
              <w:rPr>
                <w:sz w:val="18"/>
                <w:szCs w:val="18"/>
                <w:color w:val="auto"/>
              </w:rPr>
            </w:pPr>
          </w:p>
        </w:tc>
        <w:tc>
          <w:tcPr>
            <w:tcW w:w="33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equity compensation awarded to</w:t>
            </w:r>
          </w:p>
        </w:tc>
        <w:tc>
          <w:tcPr>
            <w:tcW w:w="32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committee’s grant procedures are</w:t>
            </w:r>
          </w:p>
        </w:tc>
      </w:tr>
      <w:tr>
        <w:trPr>
          <w:trHeight w:val="210"/>
        </w:trPr>
        <w:tc>
          <w:tcPr>
            <w:tcW w:w="1460" w:type="dxa"/>
            <w:vAlign w:val="bottom"/>
            <w:shd w:val="clear" w:color="auto" w:fill="E9E9E9"/>
          </w:tcPr>
          <w:p>
            <w:pPr>
              <w:spacing w:after="0"/>
              <w:rPr>
                <w:sz w:val="18"/>
                <w:szCs w:val="18"/>
                <w:color w:val="auto"/>
              </w:rPr>
            </w:pPr>
          </w:p>
        </w:tc>
        <w:tc>
          <w:tcPr>
            <w:tcW w:w="3340" w:type="dxa"/>
            <w:vAlign w:val="bottom"/>
            <w:shd w:val="clear" w:color="auto" w:fill="E9E9E9"/>
          </w:tcPr>
          <w:p>
            <w:pPr>
              <w:spacing w:after="0"/>
              <w:rPr>
                <w:sz w:val="18"/>
                <w:szCs w:val="18"/>
                <w:color w:val="auto"/>
              </w:rPr>
            </w:pPr>
          </w:p>
        </w:tc>
        <w:tc>
          <w:tcPr>
            <w:tcW w:w="33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executives in similar positions at the</w:t>
            </w:r>
          </w:p>
        </w:tc>
        <w:tc>
          <w:tcPr>
            <w:tcW w:w="32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described on page 70.</w:t>
            </w:r>
          </w:p>
        </w:tc>
      </w:tr>
      <w:tr>
        <w:trPr>
          <w:trHeight w:val="212"/>
        </w:trPr>
        <w:tc>
          <w:tcPr>
            <w:tcW w:w="1460" w:type="dxa"/>
            <w:vAlign w:val="bottom"/>
            <w:shd w:val="clear" w:color="auto" w:fill="E9E9E9"/>
          </w:tcPr>
          <w:p>
            <w:pPr>
              <w:spacing w:after="0"/>
              <w:rPr>
                <w:sz w:val="18"/>
                <w:szCs w:val="18"/>
                <w:color w:val="auto"/>
              </w:rPr>
            </w:pPr>
          </w:p>
        </w:tc>
        <w:tc>
          <w:tcPr>
            <w:tcW w:w="3340" w:type="dxa"/>
            <w:vAlign w:val="bottom"/>
            <w:shd w:val="clear" w:color="auto" w:fill="E9E9E9"/>
          </w:tcPr>
          <w:p>
            <w:pPr>
              <w:spacing w:after="0"/>
              <w:rPr>
                <w:sz w:val="18"/>
                <w:szCs w:val="18"/>
                <w:color w:val="auto"/>
              </w:rPr>
            </w:pPr>
          </w:p>
        </w:tc>
        <w:tc>
          <w:tcPr>
            <w:tcW w:w="3360" w:type="dxa"/>
            <w:vAlign w:val="bottom"/>
            <w:shd w:val="clear" w:color="auto" w:fill="E9E9E9"/>
          </w:tcPr>
          <w:p>
            <w:pPr>
              <w:ind w:left="160"/>
              <w:spacing w:after="0"/>
              <w:rPr>
                <w:sz w:val="20"/>
                <w:szCs w:val="20"/>
                <w:color w:val="auto"/>
              </w:rPr>
            </w:pPr>
            <w:r>
              <w:rPr>
                <w:rFonts w:ascii="Arial" w:cs="Arial" w:eastAsia="Arial" w:hAnsi="Arial"/>
                <w:sz w:val="17"/>
                <w:szCs w:val="17"/>
                <w:color w:val="auto"/>
              </w:rPr>
              <w:t>Comparator Group.</w:t>
            </w:r>
          </w:p>
        </w:tc>
        <w:tc>
          <w:tcPr>
            <w:tcW w:w="3260" w:type="dxa"/>
            <w:vAlign w:val="bottom"/>
            <w:shd w:val="clear" w:color="auto" w:fill="E9E9E9"/>
          </w:tcPr>
          <w:p>
            <w:pPr>
              <w:spacing w:after="0"/>
              <w:rPr>
                <w:sz w:val="18"/>
                <w:szCs w:val="18"/>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Comparator group</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Compensation Committee considers the market level of compensation when setting the salary, bonuses and equity compensation of the executive officers. The committee targets salary slightly below market median in order to weight total compensation to performance-based elements.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5" w:lineRule="exact"/>
        <w:rPr>
          <w:sz w:val="20"/>
          <w:szCs w:val="20"/>
          <w:color w:val="auto"/>
        </w:rPr>
      </w:pPr>
    </w:p>
    <w:p>
      <w:pPr>
        <w:jc w:val="both"/>
        <w:ind w:right="400" w:firstLine="262"/>
        <w:spacing w:after="0" w:line="254" w:lineRule="auto"/>
        <w:rPr>
          <w:sz w:val="20"/>
          <w:szCs w:val="20"/>
          <w:color w:val="auto"/>
        </w:rPr>
      </w:pPr>
      <w:r>
        <w:rPr>
          <w:rFonts w:ascii="Arial" w:cs="Arial" w:eastAsia="Arial" w:hAnsi="Arial"/>
          <w:sz w:val="17"/>
          <w:szCs w:val="17"/>
          <w:color w:val="auto"/>
        </w:rPr>
        <w:t>The committee sets the Comparator Group. In general, the Comparator Group companies (1) are U.S.-based, (2) engage in the semiconductor business or other electronics or information technology activities, (3) have executive positions comparable in complexity to those of TI and (4) use forms of executive compensation comparable to 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type w:val="continuous"/>
        </w:sectPr>
      </w:pPr>
    </w:p>
    <w:bookmarkStart w:id="17" w:name="page18"/>
    <w:bookmarkEnd w:id="17"/>
    <w:p>
      <w:pPr>
        <w:jc w:val="center"/>
        <w:ind w:right="20"/>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65</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83" w:lineRule="exact"/>
        <w:rPr>
          <w:sz w:val="20"/>
          <w:szCs w:val="20"/>
          <w:color w:val="auto"/>
        </w:rPr>
      </w:pPr>
    </w:p>
    <w:p>
      <w:pPr>
        <w:ind w:right="500" w:firstLine="291"/>
        <w:spacing w:after="0" w:line="268" w:lineRule="auto"/>
        <w:rPr>
          <w:sz w:val="20"/>
          <w:szCs w:val="20"/>
          <w:color w:val="auto"/>
        </w:rPr>
      </w:pPr>
      <w:r>
        <w:rPr>
          <w:rFonts w:ascii="Arial" w:cs="Arial" w:eastAsia="Arial" w:hAnsi="Arial"/>
          <w:sz w:val="17"/>
          <w:szCs w:val="17"/>
          <w:color w:val="auto"/>
        </w:rPr>
        <w:t>The committee used the following Comparator Group for the compensation decisions it made for 2010 (base salary, equity compensation and bonus):</w:t>
      </w:r>
    </w:p>
    <w:p>
      <w:pPr>
        <w:sectPr>
          <w:pgSz w:w="11900" w:h="16838" w:orient="portrait"/>
          <w:cols w:equalWidth="0" w:num="1">
            <w:col w:w="11440"/>
          </w:cols>
          <w:pgMar w:left="240" w:top="595" w:right="219" w:bottom="1440" w:gutter="0" w:footer="0" w:header="0"/>
        </w:sectPr>
      </w:pP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Intel Corporation</w:t>
      </w:r>
    </w:p>
    <w:p>
      <w:pPr>
        <w:spacing w:after="0" w:line="4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Apple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Motorola, Inc.</w:t>
      </w:r>
    </w:p>
    <w:p>
      <w:pPr>
        <w:spacing w:after="0" w:line="4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Applied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NVIDIA Corporation*</w:t>
      </w:r>
    </w:p>
    <w:p>
      <w:pPr>
        <w:spacing w:after="0" w:line="4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Broadcom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Oracle Corporation</w:t>
      </w:r>
    </w:p>
    <w:p>
      <w:pPr>
        <w:spacing w:after="0" w:line="4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Cisco Systems,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4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Computer Sciences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Seagate Technology</w:t>
      </w:r>
    </w:p>
    <w:p>
      <w:pPr>
        <w:spacing w:after="0" w:line="4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eBay Inc.</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Arial" w:cs="Arial" w:eastAsia="Arial" w:hAnsi="Arial"/>
          <w:sz w:val="17"/>
          <w:szCs w:val="17"/>
          <w:color w:val="auto"/>
        </w:rPr>
        <w:t>Tyco Electronics Ltd.</w:t>
      </w:r>
    </w:p>
    <w:p>
      <w:pPr>
        <w:spacing w:after="0" w:line="4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EMC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Yahoo! Inc.</w:t>
      </w:r>
    </w:p>
    <w:p>
      <w:pPr>
        <w:spacing w:after="0" w:line="51"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Emerson Electric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Western Digital Corporation</w:t>
      </w:r>
    </w:p>
    <w:p>
      <w:pPr>
        <w:spacing w:after="0" w:line="4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Google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Xerox Corporation</w:t>
      </w:r>
    </w:p>
    <w:p>
      <w:pPr>
        <w:spacing w:after="0" w:line="200" w:lineRule="exact"/>
        <w:rPr>
          <w:sz w:val="20"/>
          <w:szCs w:val="20"/>
          <w:color w:val="auto"/>
        </w:rPr>
      </w:pPr>
    </w:p>
    <w:p>
      <w:pPr>
        <w:sectPr>
          <w:pgSz w:w="11900" w:h="16838" w:orient="portrait"/>
          <w:cols w:equalWidth="0" w:num="2">
            <w:col w:w="4920" w:space="720"/>
            <w:col w:w="5800"/>
          </w:cols>
          <w:pgMar w:left="240" w:top="595" w:right="219" w:bottom="1440" w:gutter="0" w:footer="0" w:header="0"/>
          <w:type w:val="continuous"/>
        </w:sectPr>
      </w:pPr>
    </w:p>
    <w:p>
      <w:pPr>
        <w:spacing w:after="0" w:line="6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*Removed in July 2010.</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**Added in July 2010.</w:t>
      </w:r>
    </w:p>
    <w:p>
      <w:pPr>
        <w:sectPr>
          <w:pgSz w:w="11900" w:h="16838" w:orient="portrait"/>
          <w:cols w:equalWidth="0" w:num="1">
            <w:col w:w="11440"/>
          </w:cols>
          <w:pgMar w:left="240" w:top="595" w:right="219" w:bottom="1440" w:gutter="0" w:footer="0" w:header="0"/>
          <w:type w:val="continuous"/>
        </w:sectPr>
      </w:pPr>
    </w:p>
    <w:p>
      <w:pPr>
        <w:spacing w:after="0" w:line="198"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The committee set the Comparator Group in 2009 for the base salary and equity compensation decisions it made in January 2010 and for the salary decision for Mr. Crutcher in September 2010 (discussed on page 66 below). For a discussion of the factors considered by the committee, please see page 63 of the company’s 2010 proxy statement. TI revenue and market capitalization were at approximately the 40th and 60th percentile, respectively, of the Comparator Group.</w:t>
      </w:r>
      <w:r>
        <w:rPr>
          <w:rFonts w:ascii="Arial" w:cs="Arial" w:eastAsia="Arial" w:hAnsi="Arial"/>
          <w:sz w:val="23"/>
          <w:szCs w:val="23"/>
          <w:color w:val="auto"/>
          <w:vertAlign w:val="superscript"/>
        </w:rPr>
        <w:t>2</w:t>
      </w:r>
    </w:p>
    <w:p>
      <w:pPr>
        <w:spacing w:after="0" w:line="1" w:lineRule="exact"/>
        <w:rPr>
          <w:sz w:val="20"/>
          <w:szCs w:val="20"/>
          <w:color w:val="auto"/>
        </w:rPr>
      </w:pPr>
    </w:p>
    <w:p>
      <w:pPr>
        <w:ind w:right="40" w:firstLine="262"/>
        <w:spacing w:after="0" w:line="248" w:lineRule="auto"/>
        <w:rPr>
          <w:sz w:val="20"/>
          <w:szCs w:val="20"/>
          <w:color w:val="auto"/>
        </w:rPr>
      </w:pPr>
      <w:r>
        <w:rPr>
          <w:rFonts w:ascii="Arial" w:cs="Arial" w:eastAsia="Arial" w:hAnsi="Arial"/>
          <w:sz w:val="17"/>
          <w:szCs w:val="17"/>
          <w:color w:val="auto"/>
        </w:rPr>
        <w:t>In July 2010, the committee reviewed the Comparator Group in terms of industry, revenue and market capitalization. Based on the advice of its compensation consultant, it removed Apple Inc. and NVIDIA Corporation (the companies that had, respectively, the highest and the lowest revenue and market capitalization) and added Broadcom Corporation to increase the overall comparability to TI of the Comparator Group. TI’s revenue and market capitalization were at approximately the median and the 65th percentile, respectively, of the Comparator Group set in July 2010. The committee used that Comparator Group for the bonus decisions in January 2011 relating to 2010 performance.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Analysis of compensation determinations for 2010</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i w:val="1"/>
          <w:iCs w:val="1"/>
          <w:color w:val="auto"/>
        </w:rPr>
        <w:t xml:space="preserve">Total compensation </w:t>
      </w:r>
      <w:r>
        <w:rPr>
          <w:rFonts w:ascii="Arial" w:cs="Arial" w:eastAsia="Arial" w:hAnsi="Arial"/>
          <w:sz w:val="17"/>
          <w:szCs w:val="17"/>
          <w:color w:val="auto"/>
        </w:rPr>
        <w:t>– Before finalizing the compensation of the executive officers, the committee reviewed all elements of compensation.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 The committee set the 2010 rate of base salary for the named executive officers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4760" w:type="dxa"/>
            <w:vAlign w:val="bottom"/>
          </w:tcPr>
          <w:p>
            <w:pPr>
              <w:ind w:left="3420"/>
              <w:spacing w:after="0"/>
              <w:rPr>
                <w:sz w:val="20"/>
                <w:szCs w:val="20"/>
                <w:color w:val="auto"/>
              </w:rPr>
            </w:pPr>
            <w:r>
              <w:rPr>
                <w:rFonts w:ascii="Arial" w:cs="Arial" w:eastAsia="Arial" w:hAnsi="Arial"/>
                <w:sz w:val="13"/>
                <w:szCs w:val="13"/>
                <w:b w:val="1"/>
                <w:bCs w:val="1"/>
                <w:color w:val="auto"/>
              </w:rPr>
              <w:t>2010 Annual Rate</w:t>
            </w:r>
          </w:p>
        </w:tc>
        <w:tc>
          <w:tcPr>
            <w:tcW w:w="2180" w:type="dxa"/>
            <w:vAlign w:val="bottom"/>
            <w:gridSpan w:val="2"/>
          </w:tcPr>
          <w:p>
            <w:pPr>
              <w:ind w:left="240"/>
              <w:spacing w:after="0"/>
              <w:rPr>
                <w:sz w:val="20"/>
                <w:szCs w:val="20"/>
                <w:color w:val="auto"/>
              </w:rPr>
            </w:pPr>
            <w:r>
              <w:rPr>
                <w:rFonts w:ascii="Arial" w:cs="Arial" w:eastAsia="Arial" w:hAnsi="Arial"/>
                <w:sz w:val="13"/>
                <w:szCs w:val="13"/>
                <w:b w:val="1"/>
                <w:bCs w:val="1"/>
                <w:color w:val="auto"/>
                <w:w w:val="99"/>
              </w:rPr>
              <w:t>Change from 2009 Annual Rate</w:t>
            </w:r>
          </w:p>
        </w:tc>
      </w:tr>
      <w:tr>
        <w:trPr>
          <w:trHeight w:val="41"/>
        </w:trPr>
        <w:tc>
          <w:tcPr>
            <w:tcW w:w="4500" w:type="dxa"/>
            <w:vAlign w:val="bottom"/>
          </w:tcPr>
          <w:p>
            <w:pPr>
              <w:spacing w:after="0"/>
              <w:rPr>
                <w:sz w:val="3"/>
                <w:szCs w:val="3"/>
                <w:color w:val="auto"/>
              </w:rPr>
            </w:pPr>
          </w:p>
        </w:tc>
        <w:tc>
          <w:tcPr>
            <w:tcW w:w="47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66"/>
        </w:trPr>
        <w:tc>
          <w:tcPr>
            <w:tcW w:w="4500" w:type="dxa"/>
            <w:vAlign w:val="bottom"/>
            <w:shd w:val="clear" w:color="auto" w:fill="808285"/>
          </w:tcPr>
          <w:p>
            <w:pPr>
              <w:spacing w:after="0"/>
              <w:rPr>
                <w:sz w:val="5"/>
                <w:szCs w:val="5"/>
                <w:color w:val="auto"/>
              </w:rPr>
            </w:pPr>
          </w:p>
        </w:tc>
        <w:tc>
          <w:tcPr>
            <w:tcW w:w="4760" w:type="dxa"/>
            <w:vAlign w:val="bottom"/>
            <w:shd w:val="clear" w:color="auto" w:fill="808285"/>
          </w:tcPr>
          <w:p>
            <w:pPr>
              <w:spacing w:after="0"/>
              <w:rPr>
                <w:sz w:val="5"/>
                <w:szCs w:val="5"/>
                <w:color w:val="auto"/>
              </w:rPr>
            </w:pPr>
          </w:p>
        </w:tc>
        <w:tc>
          <w:tcPr>
            <w:tcW w:w="2160" w:type="dxa"/>
            <w:vAlign w:val="bottom"/>
            <w:shd w:val="clear" w:color="auto" w:fill="808285"/>
          </w:tcPr>
          <w:p>
            <w:pPr>
              <w:spacing w:after="0"/>
              <w:rPr>
                <w:sz w:val="5"/>
                <w:szCs w:val="5"/>
                <w:color w:val="auto"/>
              </w:rPr>
            </w:pPr>
          </w:p>
        </w:tc>
        <w:tc>
          <w:tcPr>
            <w:tcW w:w="20" w:type="dxa"/>
            <w:vAlign w:val="bottom"/>
          </w:tcPr>
          <w:p>
            <w:pPr>
              <w:spacing w:after="0"/>
              <w:rPr>
                <w:sz w:val="5"/>
                <w:szCs w:val="5"/>
                <w:color w:val="auto"/>
              </w:rPr>
            </w:pPr>
          </w:p>
        </w:tc>
      </w:tr>
      <w:tr>
        <w:trPr>
          <w:trHeight w:val="236"/>
        </w:trPr>
        <w:tc>
          <w:tcPr>
            <w:tcW w:w="4500" w:type="dxa"/>
            <w:vAlign w:val="bottom"/>
            <w:shd w:val="clear" w:color="auto" w:fill="E9E9E9"/>
          </w:tcPr>
          <w:p>
            <w:pPr>
              <w:spacing w:after="0"/>
              <w:rPr>
                <w:sz w:val="20"/>
                <w:szCs w:val="20"/>
                <w:color w:val="auto"/>
              </w:rPr>
            </w:pPr>
            <w:r>
              <w:rPr>
                <w:rFonts w:ascii="Arial" w:cs="Arial" w:eastAsia="Arial" w:hAnsi="Arial"/>
                <w:sz w:val="17"/>
                <w:szCs w:val="17"/>
                <w:color w:val="auto"/>
              </w:rPr>
              <w:t>Mr. Templeton</w:t>
            </w:r>
          </w:p>
        </w:tc>
        <w:tc>
          <w:tcPr>
            <w:tcW w:w="4760" w:type="dxa"/>
            <w:vAlign w:val="bottom"/>
            <w:shd w:val="clear" w:color="auto" w:fill="E9E9E9"/>
          </w:tcPr>
          <w:p>
            <w:pPr>
              <w:ind w:left="3660"/>
              <w:spacing w:after="0"/>
              <w:rPr>
                <w:sz w:val="20"/>
                <w:szCs w:val="20"/>
                <w:color w:val="auto"/>
              </w:rPr>
            </w:pPr>
            <w:r>
              <w:rPr>
                <w:rFonts w:ascii="Arial" w:cs="Arial" w:eastAsia="Arial" w:hAnsi="Arial"/>
                <w:sz w:val="17"/>
                <w:szCs w:val="17"/>
                <w:color w:val="auto"/>
              </w:rPr>
              <w:t>$990,087</w:t>
            </w:r>
          </w:p>
        </w:tc>
        <w:tc>
          <w:tcPr>
            <w:tcW w:w="2160" w:type="dxa"/>
            <w:vAlign w:val="bottom"/>
            <w:shd w:val="clear" w:color="auto" w:fill="E9E9E9"/>
          </w:tcPr>
          <w:p>
            <w:pPr>
              <w:jc w:val="right"/>
              <w:ind w:right="718"/>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20"/>
                <w:szCs w:val="20"/>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7"/>
                <w:szCs w:val="17"/>
                <w:color w:val="auto"/>
              </w:rPr>
              <w:t>Mr. March</w:t>
            </w:r>
          </w:p>
        </w:tc>
        <w:tc>
          <w:tcPr>
            <w:tcW w:w="4760" w:type="dxa"/>
            <w:vAlign w:val="bottom"/>
          </w:tcPr>
          <w:p>
            <w:pPr>
              <w:ind w:left="3660"/>
              <w:spacing w:after="0"/>
              <w:rPr>
                <w:sz w:val="20"/>
                <w:szCs w:val="20"/>
                <w:color w:val="auto"/>
              </w:rPr>
            </w:pPr>
            <w:r>
              <w:rPr>
                <w:rFonts w:ascii="Arial" w:cs="Arial" w:eastAsia="Arial" w:hAnsi="Arial"/>
                <w:sz w:val="17"/>
                <w:szCs w:val="17"/>
                <w:color w:val="auto"/>
              </w:rPr>
              <w:t>$530,004</w:t>
            </w:r>
          </w:p>
        </w:tc>
        <w:tc>
          <w:tcPr>
            <w:tcW w:w="2160" w:type="dxa"/>
            <w:vAlign w:val="bottom"/>
          </w:tcPr>
          <w:p>
            <w:pPr>
              <w:jc w:val="right"/>
              <w:ind w:right="718"/>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9"/>
                <w:szCs w:val="19"/>
                <w:color w:val="auto"/>
              </w:rPr>
            </w:pPr>
          </w:p>
        </w:tc>
      </w:tr>
      <w:tr>
        <w:trPr>
          <w:trHeight w:val="244"/>
        </w:trPr>
        <w:tc>
          <w:tcPr>
            <w:tcW w:w="4500" w:type="dxa"/>
            <w:vAlign w:val="bottom"/>
            <w:shd w:val="clear" w:color="auto" w:fill="E9E9E9"/>
          </w:tcPr>
          <w:p>
            <w:pPr>
              <w:spacing w:after="0"/>
              <w:rPr>
                <w:sz w:val="20"/>
                <w:szCs w:val="20"/>
                <w:color w:val="auto"/>
              </w:rPr>
            </w:pPr>
            <w:r>
              <w:rPr>
                <w:rFonts w:ascii="Arial" w:cs="Arial" w:eastAsia="Arial" w:hAnsi="Arial"/>
                <w:sz w:val="17"/>
                <w:szCs w:val="17"/>
                <w:color w:val="auto"/>
              </w:rPr>
              <w:t>Mr. Lowe</w:t>
            </w:r>
          </w:p>
        </w:tc>
        <w:tc>
          <w:tcPr>
            <w:tcW w:w="4760" w:type="dxa"/>
            <w:vAlign w:val="bottom"/>
            <w:shd w:val="clear" w:color="auto" w:fill="E9E9E9"/>
          </w:tcPr>
          <w:p>
            <w:pPr>
              <w:ind w:left="3660"/>
              <w:spacing w:after="0"/>
              <w:rPr>
                <w:sz w:val="20"/>
                <w:szCs w:val="20"/>
                <w:color w:val="auto"/>
              </w:rPr>
            </w:pPr>
            <w:r>
              <w:rPr>
                <w:rFonts w:ascii="Arial" w:cs="Arial" w:eastAsia="Arial" w:hAnsi="Arial"/>
                <w:sz w:val="17"/>
                <w:szCs w:val="17"/>
                <w:color w:val="auto"/>
              </w:rPr>
              <w:t>$575,004</w:t>
            </w:r>
          </w:p>
        </w:tc>
        <w:tc>
          <w:tcPr>
            <w:tcW w:w="2160" w:type="dxa"/>
            <w:vAlign w:val="bottom"/>
            <w:shd w:val="clear" w:color="auto" w:fill="E9E9E9"/>
          </w:tcPr>
          <w:p>
            <w:pPr>
              <w:jc w:val="right"/>
              <w:ind w:right="718"/>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21"/>
                <w:szCs w:val="21"/>
                <w:color w:val="auto"/>
              </w:rPr>
            </w:pPr>
          </w:p>
        </w:tc>
      </w:tr>
      <w:tr>
        <w:trPr>
          <w:trHeight w:val="228"/>
        </w:trPr>
        <w:tc>
          <w:tcPr>
            <w:tcW w:w="4500" w:type="dxa"/>
            <w:vAlign w:val="bottom"/>
          </w:tcPr>
          <w:p>
            <w:pPr>
              <w:spacing w:after="0"/>
              <w:rPr>
                <w:sz w:val="20"/>
                <w:szCs w:val="20"/>
                <w:color w:val="auto"/>
              </w:rPr>
            </w:pPr>
            <w:r>
              <w:rPr>
                <w:rFonts w:ascii="Arial" w:cs="Arial" w:eastAsia="Arial" w:hAnsi="Arial"/>
                <w:sz w:val="17"/>
                <w:szCs w:val="17"/>
                <w:color w:val="auto"/>
              </w:rPr>
              <w:t>Mr. Ritchie</w:t>
            </w:r>
          </w:p>
        </w:tc>
        <w:tc>
          <w:tcPr>
            <w:tcW w:w="4760" w:type="dxa"/>
            <w:vAlign w:val="bottom"/>
          </w:tcPr>
          <w:p>
            <w:pPr>
              <w:ind w:left="3660"/>
              <w:spacing w:after="0"/>
              <w:rPr>
                <w:sz w:val="20"/>
                <w:szCs w:val="20"/>
                <w:color w:val="auto"/>
              </w:rPr>
            </w:pPr>
            <w:r>
              <w:rPr>
                <w:rFonts w:ascii="Arial" w:cs="Arial" w:eastAsia="Arial" w:hAnsi="Arial"/>
                <w:sz w:val="17"/>
                <w:szCs w:val="17"/>
                <w:color w:val="auto"/>
              </w:rPr>
              <w:t>$470,400</w:t>
            </w:r>
          </w:p>
        </w:tc>
        <w:tc>
          <w:tcPr>
            <w:tcW w:w="2160" w:type="dxa"/>
            <w:vAlign w:val="bottom"/>
          </w:tcPr>
          <w:p>
            <w:pPr>
              <w:jc w:val="right"/>
              <w:ind w:right="718"/>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9"/>
                <w:szCs w:val="19"/>
                <w:color w:val="auto"/>
              </w:rPr>
            </w:pPr>
          </w:p>
        </w:tc>
      </w:tr>
      <w:tr>
        <w:trPr>
          <w:trHeight w:val="244"/>
        </w:trPr>
        <w:tc>
          <w:tcPr>
            <w:tcW w:w="4500" w:type="dxa"/>
            <w:vAlign w:val="bottom"/>
            <w:shd w:val="clear" w:color="auto" w:fill="E9E9E9"/>
          </w:tcPr>
          <w:p>
            <w:pPr>
              <w:spacing w:after="0"/>
              <w:rPr>
                <w:sz w:val="20"/>
                <w:szCs w:val="20"/>
                <w:color w:val="auto"/>
              </w:rPr>
            </w:pPr>
            <w:r>
              <w:rPr>
                <w:rFonts w:ascii="Arial" w:cs="Arial" w:eastAsia="Arial" w:hAnsi="Arial"/>
                <w:sz w:val="17"/>
                <w:szCs w:val="17"/>
                <w:color w:val="auto"/>
              </w:rPr>
              <w:t>Mr. Crutcher</w:t>
            </w:r>
          </w:p>
        </w:tc>
        <w:tc>
          <w:tcPr>
            <w:tcW w:w="4760" w:type="dxa"/>
            <w:vAlign w:val="bottom"/>
            <w:shd w:val="clear" w:color="auto" w:fill="E9E9E9"/>
          </w:tcPr>
          <w:p>
            <w:pPr>
              <w:ind w:left="3660"/>
              <w:spacing w:after="0"/>
              <w:rPr>
                <w:sz w:val="20"/>
                <w:szCs w:val="20"/>
                <w:color w:val="auto"/>
              </w:rPr>
            </w:pPr>
            <w:r>
              <w:rPr>
                <w:rFonts w:ascii="Arial" w:cs="Arial" w:eastAsia="Arial" w:hAnsi="Arial"/>
                <w:sz w:val="17"/>
                <w:szCs w:val="17"/>
                <w:color w:val="auto"/>
              </w:rPr>
              <w:t>$425,040*</w:t>
            </w:r>
          </w:p>
        </w:tc>
        <w:tc>
          <w:tcPr>
            <w:tcW w:w="2160" w:type="dxa"/>
            <w:vAlign w:val="bottom"/>
            <w:shd w:val="clear" w:color="auto" w:fill="E9E9E9"/>
          </w:tcPr>
          <w:p>
            <w:pPr>
              <w:jc w:val="right"/>
              <w:ind w:right="798"/>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bl>
    <w:p>
      <w:pPr>
        <w:spacing w:after="0" w:line="239" w:lineRule="exact"/>
        <w:rPr>
          <w:sz w:val="20"/>
          <w:szCs w:val="20"/>
          <w:color w:val="auto"/>
        </w:rPr>
      </w:pPr>
    </w:p>
    <w:p>
      <w:pPr>
        <w:ind w:left="300" w:right="60" w:hanging="295"/>
        <w:spacing w:after="0" w:line="237" w:lineRule="auto"/>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Shown is the salary rate set for Mr. Crutcher in September 2010, when he became an executive officer of the company. His earlier salary was set in accordance with procedures applicable to the company’s non-executive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237" w:lineRule="exact"/>
        <w:rPr>
          <w:sz w:val="20"/>
          <w:szCs w:val="20"/>
          <w:color w:val="auto"/>
        </w:rPr>
      </w:pPr>
    </w:p>
    <w:p>
      <w:pPr>
        <w:ind w:left="320" w:right="400" w:hanging="315"/>
        <w:spacing w:after="0" w:line="246"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statements in this paragraph and the paragraph below about revenue and market capitalization reflect the information available to the committee when it reviewed the Comparator Group in June 2009 and July 2010, respectively. Comparator Group and TI revenue is for the four completed fiscal quarters before the review. Market capitalization is as of April 2009 and June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727138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40"/>
          </w:cols>
          <w:pgMar w:left="240" w:top="595" w:right="219" w:bottom="1440" w:gutter="0" w:footer="0" w:header="0"/>
          <w:type w:val="continuous"/>
        </w:sectPr>
      </w:pPr>
    </w:p>
    <w:bookmarkStart w:id="18" w:name="page19"/>
    <w:bookmarkEnd w:id="18"/>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66</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committee set the 2010 base-salary rate for each of the named executive officers other than Mr. Crutcher in January 2010. In keeping with its strategy, the committee set the annual base-salary rates to be below the estimated median level of salaries expected to be paid to similarly situated executives of the Comparator Group in 2010.</w:t>
      </w:r>
    </w:p>
    <w:p>
      <w:pPr>
        <w:spacing w:after="0" w:line="15" w:lineRule="exact"/>
        <w:rPr>
          <w:sz w:val="20"/>
          <w:szCs w:val="20"/>
          <w:color w:val="auto"/>
        </w:rPr>
      </w:pPr>
    </w:p>
    <w:p>
      <w:pPr>
        <w:ind w:right="40" w:firstLine="262"/>
        <w:spacing w:after="0" w:line="265" w:lineRule="auto"/>
        <w:rPr>
          <w:sz w:val="20"/>
          <w:szCs w:val="20"/>
          <w:color w:val="auto"/>
        </w:rPr>
      </w:pPr>
      <w:r>
        <w:rPr>
          <w:rFonts w:ascii="Arial" w:cs="Arial" w:eastAsia="Arial" w:hAnsi="Arial"/>
          <w:sz w:val="17"/>
          <w:szCs w:val="17"/>
          <w:color w:val="auto"/>
        </w:rPr>
        <w:t>Mr. Crutcher was promoted and became an executive officer in September 2010. The committee set his salary in connection with his assuming new responsibilities. The adjustment was consistent with the committee’s strategy as described above.</w:t>
      </w:r>
    </w:p>
    <w:p>
      <w:pPr>
        <w:spacing w:after="0" w:line="1" w:lineRule="exact"/>
        <w:rPr>
          <w:sz w:val="20"/>
          <w:szCs w:val="20"/>
          <w:color w:val="auto"/>
        </w:rPr>
      </w:pPr>
    </w:p>
    <w:p>
      <w:pPr>
        <w:ind w:right="180" w:firstLine="262"/>
        <w:spacing w:after="0" w:line="268" w:lineRule="auto"/>
        <w:rPr>
          <w:sz w:val="20"/>
          <w:szCs w:val="20"/>
          <w:color w:val="auto"/>
        </w:rPr>
      </w:pPr>
      <w:r>
        <w:rPr>
          <w:rFonts w:ascii="Arial" w:cs="Arial" w:eastAsia="Arial" w:hAnsi="Arial"/>
          <w:sz w:val="17"/>
          <w:szCs w:val="17"/>
          <w:color w:val="auto"/>
        </w:rPr>
        <w:t>The salary differences among the named executive officers were driven primarily by the market rate of pay for each officer, and not the application of a formula designed to maintain a differential between the officers.</w:t>
      </w:r>
    </w:p>
    <w:p>
      <w:pPr>
        <w:spacing w:after="0" w:line="18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i w:val="1"/>
          <w:iCs w:val="1"/>
          <w:color w:val="auto"/>
        </w:rPr>
        <w:t xml:space="preserve">Equity compensation </w:t>
      </w:r>
      <w:r>
        <w:rPr>
          <w:rFonts w:ascii="Arial" w:cs="Arial" w:eastAsia="Arial" w:hAnsi="Arial"/>
          <w:sz w:val="17"/>
          <w:szCs w:val="17"/>
          <w:color w:val="auto"/>
        </w:rPr>
        <w:t>– In 2010, the committee awarded equity compensation to each of the named executive officers. The grants are shown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grants of plan-based awards in 2010 table on page 75. The grant date fair value of the awards is reflected in that table and in the “Stock Awards” and “Option Awards” columns of the summary compensation table on page 73. The table below is provided to assist the reader in comparing the number of shares, grant date fair values and “NQ Equivalent” levels for each of the years shown in the summary compensation table. NQ Equivalents are calculated by treating each restricted stock unit as 3 NQ Equivalents and each option share as 1 NQ Equivalent. This 3:1 ratio approximates the relative accounting expense of granting one restricted stock unit as compared with an option for one share.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Restricted</w:t>
            </w: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6"/>
        </w:trPr>
        <w:tc>
          <w:tcPr>
            <w:tcW w:w="5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jc w:val="right"/>
              <w:ind w:right="77"/>
              <w:spacing w:after="0"/>
              <w:rPr>
                <w:sz w:val="20"/>
                <w:szCs w:val="20"/>
                <w:color w:val="auto"/>
              </w:rPr>
            </w:pPr>
            <w:r>
              <w:rPr>
                <w:rFonts w:ascii="Arial" w:cs="Arial" w:eastAsia="Arial" w:hAnsi="Arial"/>
                <w:sz w:val="13"/>
                <w:szCs w:val="13"/>
                <w:b w:val="1"/>
                <w:bCs w:val="1"/>
                <w:color w:val="auto"/>
              </w:rPr>
              <w:t>Stock Options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Stock Units</w:t>
            </w:r>
          </w:p>
        </w:tc>
        <w:tc>
          <w:tcPr>
            <w:tcW w:w="134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Arial" w:cs="Arial" w:eastAsia="Arial" w:hAnsi="Arial"/>
                <w:sz w:val="13"/>
                <w:szCs w:val="13"/>
                <w:b w:val="1"/>
                <w:bCs w:val="1"/>
                <w:color w:val="auto"/>
              </w:rPr>
              <w:t>Grant Date</w:t>
            </w:r>
          </w:p>
        </w:tc>
      </w:tr>
      <w:tr>
        <w:trPr>
          <w:trHeight w:val="236"/>
        </w:trPr>
        <w:tc>
          <w:tcPr>
            <w:tcW w:w="574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820" w:type="dxa"/>
            <w:vAlign w:val="bottom"/>
          </w:tcPr>
          <w:p>
            <w:pPr>
              <w:jc w:val="center"/>
              <w:ind w:left="56"/>
              <w:spacing w:after="0"/>
              <w:rPr>
                <w:sz w:val="20"/>
                <w:szCs w:val="20"/>
                <w:color w:val="auto"/>
              </w:rPr>
            </w:pPr>
            <w:r>
              <w:rPr>
                <w:rFonts w:ascii="Arial" w:cs="Arial" w:eastAsia="Arial" w:hAnsi="Arial"/>
                <w:sz w:val="13"/>
                <w:szCs w:val="13"/>
                <w:b w:val="1"/>
                <w:bCs w:val="1"/>
                <w:color w:val="auto"/>
                <w:w w:val="99"/>
              </w:rPr>
              <w:t>Year</w:t>
            </w:r>
          </w:p>
        </w:tc>
        <w:tc>
          <w:tcPr>
            <w:tcW w:w="1200" w:type="dxa"/>
            <w:vAlign w:val="bottom"/>
          </w:tcPr>
          <w:p>
            <w:pPr>
              <w:jc w:val="right"/>
              <w:ind w:right="177"/>
              <w:spacing w:after="0"/>
              <w:rPr>
                <w:sz w:val="20"/>
                <w:szCs w:val="20"/>
                <w:color w:val="auto"/>
              </w:rPr>
            </w:pPr>
            <w:r>
              <w:rPr>
                <w:rFonts w:ascii="Arial" w:cs="Arial" w:eastAsia="Arial" w:hAnsi="Arial"/>
                <w:sz w:val="13"/>
                <w:szCs w:val="13"/>
                <w:b w:val="1"/>
                <w:bCs w:val="1"/>
                <w:color w:val="auto"/>
              </w:rPr>
              <w:t>(in Shares)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(in Shares)</w:t>
            </w:r>
          </w:p>
        </w:tc>
        <w:tc>
          <w:tcPr>
            <w:tcW w:w="1340" w:type="dxa"/>
            <w:vAlign w:val="bottom"/>
          </w:tcPr>
          <w:p>
            <w:pPr>
              <w:jc w:val="right"/>
              <w:ind w:right="136"/>
              <w:spacing w:after="0"/>
              <w:rPr>
                <w:sz w:val="20"/>
                <w:szCs w:val="20"/>
                <w:color w:val="auto"/>
              </w:rPr>
            </w:pPr>
            <w:r>
              <w:rPr>
                <w:rFonts w:ascii="Arial" w:cs="Arial" w:eastAsia="Arial" w:hAnsi="Arial"/>
                <w:sz w:val="13"/>
                <w:szCs w:val="13"/>
                <w:b w:val="1"/>
                <w:bCs w:val="1"/>
                <w:color w:val="auto"/>
              </w:rPr>
              <w:t>NQ Equivalents</w:t>
            </w:r>
          </w:p>
        </w:tc>
        <w:tc>
          <w:tcPr>
            <w:tcW w:w="1200" w:type="dxa"/>
            <w:vAlign w:val="bottom"/>
          </w:tcPr>
          <w:p>
            <w:pPr>
              <w:ind w:left="320"/>
              <w:spacing w:after="0"/>
              <w:rPr>
                <w:sz w:val="20"/>
                <w:szCs w:val="20"/>
                <w:color w:val="auto"/>
              </w:rPr>
            </w:pPr>
            <w:r>
              <w:rPr>
                <w:rFonts w:ascii="Arial" w:cs="Arial" w:eastAsia="Arial" w:hAnsi="Arial"/>
                <w:sz w:val="13"/>
                <w:szCs w:val="13"/>
                <w:b w:val="1"/>
                <w:bCs w:val="1"/>
                <w:color w:val="auto"/>
              </w:rPr>
              <w:t>Fair Value*</w:t>
            </w:r>
          </w:p>
        </w:tc>
      </w:tr>
      <w:tr>
        <w:trPr>
          <w:trHeight w:val="41"/>
        </w:trPr>
        <w:tc>
          <w:tcPr>
            <w:tcW w:w="5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66"/>
        </w:trPr>
        <w:tc>
          <w:tcPr>
            <w:tcW w:w="5740" w:type="dxa"/>
            <w:vAlign w:val="bottom"/>
            <w:shd w:val="clear" w:color="auto" w:fill="808285"/>
          </w:tcPr>
          <w:p>
            <w:pPr>
              <w:spacing w:after="0"/>
              <w:rPr>
                <w:sz w:val="5"/>
                <w:szCs w:val="5"/>
                <w:color w:val="auto"/>
              </w:rPr>
            </w:pPr>
          </w:p>
        </w:tc>
        <w:tc>
          <w:tcPr>
            <w:tcW w:w="820" w:type="dxa"/>
            <w:vAlign w:val="bottom"/>
            <w:shd w:val="clear" w:color="auto" w:fill="808285"/>
          </w:tcPr>
          <w:p>
            <w:pPr>
              <w:spacing w:after="0"/>
              <w:rPr>
                <w:sz w:val="5"/>
                <w:szCs w:val="5"/>
                <w:color w:val="auto"/>
              </w:rPr>
            </w:pPr>
          </w:p>
        </w:tc>
        <w:tc>
          <w:tcPr>
            <w:tcW w:w="1200" w:type="dxa"/>
            <w:vAlign w:val="bottom"/>
            <w:shd w:val="clear" w:color="auto" w:fill="808285"/>
          </w:tcPr>
          <w:p>
            <w:pPr>
              <w:spacing w:after="0"/>
              <w:rPr>
                <w:sz w:val="5"/>
                <w:szCs w:val="5"/>
                <w:color w:val="auto"/>
              </w:rPr>
            </w:pPr>
          </w:p>
        </w:tc>
        <w:tc>
          <w:tcPr>
            <w:tcW w:w="1120" w:type="dxa"/>
            <w:vAlign w:val="bottom"/>
            <w:shd w:val="clear" w:color="auto" w:fill="808285"/>
          </w:tcPr>
          <w:p>
            <w:pPr>
              <w:spacing w:after="0"/>
              <w:rPr>
                <w:sz w:val="5"/>
                <w:szCs w:val="5"/>
                <w:color w:val="auto"/>
              </w:rPr>
            </w:pPr>
          </w:p>
        </w:tc>
        <w:tc>
          <w:tcPr>
            <w:tcW w:w="1340" w:type="dxa"/>
            <w:vAlign w:val="bottom"/>
            <w:shd w:val="clear" w:color="auto" w:fill="808285"/>
          </w:tcPr>
          <w:p>
            <w:pPr>
              <w:spacing w:after="0"/>
              <w:rPr>
                <w:sz w:val="5"/>
                <w:szCs w:val="5"/>
                <w:color w:val="auto"/>
              </w:rPr>
            </w:pPr>
          </w:p>
        </w:tc>
        <w:tc>
          <w:tcPr>
            <w:tcW w:w="1200" w:type="dxa"/>
            <w:vAlign w:val="bottom"/>
            <w:shd w:val="clear" w:color="auto" w:fill="808285"/>
          </w:tcPr>
          <w:p>
            <w:pPr>
              <w:spacing w:after="0"/>
              <w:rPr>
                <w:sz w:val="5"/>
                <w:szCs w:val="5"/>
                <w:color w:val="auto"/>
              </w:rPr>
            </w:pPr>
          </w:p>
        </w:tc>
      </w:tr>
      <w:tr>
        <w:trPr>
          <w:trHeight w:val="220"/>
        </w:trPr>
        <w:tc>
          <w:tcPr>
            <w:tcW w:w="5740" w:type="dxa"/>
            <w:vAlign w:val="bottom"/>
            <w:shd w:val="clear" w:color="auto" w:fill="E9E9E9"/>
          </w:tcPr>
          <w:p>
            <w:pPr>
              <w:spacing w:after="0"/>
              <w:rPr>
                <w:sz w:val="20"/>
                <w:szCs w:val="20"/>
                <w:color w:val="auto"/>
              </w:rPr>
            </w:pPr>
            <w:r>
              <w:rPr>
                <w:rFonts w:ascii="Arial" w:cs="Arial" w:eastAsia="Arial" w:hAnsi="Arial"/>
                <w:sz w:val="17"/>
                <w:szCs w:val="17"/>
                <w:color w:val="auto"/>
              </w:rPr>
              <w:t>Mr. Templeton</w:t>
            </w:r>
          </w:p>
        </w:tc>
        <w:tc>
          <w:tcPr>
            <w:tcW w:w="82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rPr>
              <w:t>2010</w:t>
            </w:r>
          </w:p>
        </w:tc>
        <w:tc>
          <w:tcPr>
            <w:tcW w:w="120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540,000</w:t>
            </w:r>
          </w:p>
        </w:tc>
        <w:tc>
          <w:tcPr>
            <w:tcW w:w="11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180,000</w:t>
            </w:r>
          </w:p>
        </w:tc>
        <w:tc>
          <w:tcPr>
            <w:tcW w:w="13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1,080,000</w:t>
            </w:r>
          </w:p>
        </w:tc>
        <w:tc>
          <w:tcPr>
            <w:tcW w:w="1200" w:type="dxa"/>
            <w:vAlign w:val="bottom"/>
            <w:shd w:val="clear" w:color="auto" w:fill="E9E9E9"/>
          </w:tcPr>
          <w:p>
            <w:pPr>
              <w:ind w:left="200"/>
              <w:spacing w:after="0"/>
              <w:rPr>
                <w:sz w:val="20"/>
                <w:szCs w:val="20"/>
                <w:color w:val="auto"/>
              </w:rPr>
            </w:pPr>
            <w:r>
              <w:rPr>
                <w:rFonts w:ascii="Arial" w:cs="Arial" w:eastAsia="Arial" w:hAnsi="Arial"/>
                <w:sz w:val="17"/>
                <w:szCs w:val="17"/>
                <w:color w:val="auto"/>
              </w:rPr>
              <w:t>$7,715,066</w:t>
            </w:r>
          </w:p>
        </w:tc>
      </w:tr>
      <w:tr>
        <w:trPr>
          <w:trHeight w:val="236"/>
        </w:trPr>
        <w:tc>
          <w:tcPr>
            <w:tcW w:w="5740" w:type="dxa"/>
            <w:vAlign w:val="bottom"/>
            <w:shd w:val="clear" w:color="auto" w:fill="E9E9E9"/>
          </w:tcPr>
          <w:p>
            <w:pPr>
              <w:spacing w:after="0"/>
              <w:rPr>
                <w:sz w:val="20"/>
                <w:szCs w:val="20"/>
                <w:color w:val="auto"/>
              </w:rPr>
            </w:pPr>
          </w:p>
        </w:tc>
        <w:tc>
          <w:tcPr>
            <w:tcW w:w="82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rPr>
              <w:t>2009</w:t>
            </w:r>
          </w:p>
        </w:tc>
        <w:tc>
          <w:tcPr>
            <w:tcW w:w="120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664,461</w:t>
            </w:r>
          </w:p>
        </w:tc>
        <w:tc>
          <w:tcPr>
            <w:tcW w:w="11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221,487</w:t>
            </w:r>
          </w:p>
        </w:tc>
        <w:tc>
          <w:tcPr>
            <w:tcW w:w="13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1,328,922</w:t>
            </w:r>
          </w:p>
        </w:tc>
        <w:tc>
          <w:tcPr>
            <w:tcW w:w="1200" w:type="dxa"/>
            <w:vAlign w:val="bottom"/>
            <w:shd w:val="clear" w:color="auto" w:fill="E9E9E9"/>
          </w:tcPr>
          <w:p>
            <w:pPr>
              <w:ind w:left="200"/>
              <w:spacing w:after="0"/>
              <w:rPr>
                <w:sz w:val="20"/>
                <w:szCs w:val="20"/>
                <w:color w:val="auto"/>
              </w:rPr>
            </w:pPr>
            <w:r>
              <w:rPr>
                <w:rFonts w:ascii="Arial" w:cs="Arial" w:eastAsia="Arial" w:hAnsi="Arial"/>
                <w:sz w:val="17"/>
                <w:szCs w:val="17"/>
                <w:color w:val="auto"/>
              </w:rPr>
              <w:t>$6,919,254</w:t>
            </w:r>
          </w:p>
        </w:tc>
      </w:tr>
      <w:tr>
        <w:trPr>
          <w:trHeight w:val="252"/>
        </w:trPr>
        <w:tc>
          <w:tcPr>
            <w:tcW w:w="574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rPr>
              <w:t>2008</w:t>
            </w:r>
          </w:p>
        </w:tc>
        <w:tc>
          <w:tcPr>
            <w:tcW w:w="120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270,000</w:t>
            </w:r>
          </w:p>
        </w:tc>
        <w:tc>
          <w:tcPr>
            <w:tcW w:w="11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150,000</w:t>
            </w:r>
          </w:p>
        </w:tc>
        <w:tc>
          <w:tcPr>
            <w:tcW w:w="13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720,000</w:t>
            </w:r>
          </w:p>
        </w:tc>
        <w:tc>
          <w:tcPr>
            <w:tcW w:w="1200" w:type="dxa"/>
            <w:vAlign w:val="bottom"/>
            <w:shd w:val="clear" w:color="auto" w:fill="E9E9E9"/>
          </w:tcPr>
          <w:p>
            <w:pPr>
              <w:ind w:left="200"/>
              <w:spacing w:after="0"/>
              <w:rPr>
                <w:sz w:val="20"/>
                <w:szCs w:val="20"/>
                <w:color w:val="auto"/>
              </w:rPr>
            </w:pPr>
            <w:r>
              <w:rPr>
                <w:rFonts w:ascii="Arial" w:cs="Arial" w:eastAsia="Arial" w:hAnsi="Arial"/>
                <w:sz w:val="17"/>
                <w:szCs w:val="17"/>
                <w:color w:val="auto"/>
              </w:rPr>
              <w:t>$6,866,100</w:t>
            </w:r>
          </w:p>
        </w:tc>
      </w:tr>
      <w:tr>
        <w:trPr>
          <w:trHeight w:val="220"/>
        </w:trPr>
        <w:tc>
          <w:tcPr>
            <w:tcW w:w="5740" w:type="dxa"/>
            <w:vAlign w:val="bottom"/>
          </w:tcPr>
          <w:p>
            <w:pPr>
              <w:spacing w:after="0"/>
              <w:rPr>
                <w:sz w:val="20"/>
                <w:szCs w:val="20"/>
                <w:color w:val="auto"/>
              </w:rPr>
            </w:pPr>
            <w:r>
              <w:rPr>
                <w:rFonts w:ascii="Arial" w:cs="Arial" w:eastAsia="Arial" w:hAnsi="Arial"/>
                <w:sz w:val="17"/>
                <w:szCs w:val="17"/>
                <w:color w:val="auto"/>
              </w:rPr>
              <w:t>Mr. March</w:t>
            </w:r>
          </w:p>
        </w:tc>
        <w:tc>
          <w:tcPr>
            <w:tcW w:w="820" w:type="dxa"/>
            <w:vAlign w:val="bottom"/>
          </w:tcPr>
          <w:p>
            <w:pPr>
              <w:jc w:val="center"/>
              <w:ind w:left="76"/>
              <w:spacing w:after="0"/>
              <w:rPr>
                <w:sz w:val="20"/>
                <w:szCs w:val="20"/>
                <w:color w:val="auto"/>
              </w:rPr>
            </w:pPr>
            <w:r>
              <w:rPr>
                <w:rFonts w:ascii="Arial" w:cs="Arial" w:eastAsia="Arial" w:hAnsi="Arial"/>
                <w:sz w:val="17"/>
                <w:szCs w:val="17"/>
                <w:color w:val="auto"/>
              </w:rPr>
              <w:t>2010</w:t>
            </w:r>
          </w:p>
        </w:tc>
        <w:tc>
          <w:tcPr>
            <w:tcW w:w="1200" w:type="dxa"/>
            <w:vAlign w:val="bottom"/>
          </w:tcPr>
          <w:p>
            <w:pPr>
              <w:jc w:val="right"/>
              <w:ind w:right="217"/>
              <w:spacing w:after="0"/>
              <w:rPr>
                <w:sz w:val="20"/>
                <w:szCs w:val="20"/>
                <w:color w:val="auto"/>
              </w:rPr>
            </w:pPr>
            <w:r>
              <w:rPr>
                <w:rFonts w:ascii="Arial" w:cs="Arial" w:eastAsia="Arial" w:hAnsi="Arial"/>
                <w:sz w:val="17"/>
                <w:szCs w:val="17"/>
                <w:color w:val="auto"/>
              </w:rPr>
              <w:t>161,250</w:t>
            </w:r>
          </w:p>
        </w:tc>
        <w:tc>
          <w:tcPr>
            <w:tcW w:w="1120" w:type="dxa"/>
            <w:vAlign w:val="bottom"/>
          </w:tcPr>
          <w:p>
            <w:pPr>
              <w:jc w:val="right"/>
              <w:ind w:right="218"/>
              <w:spacing w:after="0"/>
              <w:rPr>
                <w:sz w:val="20"/>
                <w:szCs w:val="20"/>
                <w:color w:val="auto"/>
              </w:rPr>
            </w:pPr>
            <w:r>
              <w:rPr>
                <w:rFonts w:ascii="Arial" w:cs="Arial" w:eastAsia="Arial" w:hAnsi="Arial"/>
                <w:sz w:val="17"/>
                <w:szCs w:val="17"/>
                <w:color w:val="auto"/>
              </w:rPr>
              <w:t>53,751</w:t>
            </w:r>
          </w:p>
        </w:tc>
        <w:tc>
          <w:tcPr>
            <w:tcW w:w="1340" w:type="dxa"/>
            <w:vAlign w:val="bottom"/>
          </w:tcPr>
          <w:p>
            <w:pPr>
              <w:jc w:val="right"/>
              <w:ind w:right="236"/>
              <w:spacing w:after="0"/>
              <w:rPr>
                <w:sz w:val="20"/>
                <w:szCs w:val="20"/>
                <w:color w:val="auto"/>
              </w:rPr>
            </w:pPr>
            <w:r>
              <w:rPr>
                <w:rFonts w:ascii="Arial" w:cs="Arial" w:eastAsia="Arial" w:hAnsi="Arial"/>
                <w:sz w:val="17"/>
                <w:szCs w:val="17"/>
                <w:color w:val="auto"/>
              </w:rPr>
              <w:t>322,503</w:t>
            </w:r>
          </w:p>
        </w:tc>
        <w:tc>
          <w:tcPr>
            <w:tcW w:w="1200" w:type="dxa"/>
            <w:vAlign w:val="bottom"/>
          </w:tcPr>
          <w:p>
            <w:pPr>
              <w:ind w:left="200"/>
              <w:spacing w:after="0"/>
              <w:rPr>
                <w:sz w:val="20"/>
                <w:szCs w:val="20"/>
                <w:color w:val="auto"/>
              </w:rPr>
            </w:pPr>
            <w:r>
              <w:rPr>
                <w:rFonts w:ascii="Arial" w:cs="Arial" w:eastAsia="Arial" w:hAnsi="Arial"/>
                <w:sz w:val="17"/>
                <w:szCs w:val="17"/>
                <w:color w:val="auto"/>
              </w:rPr>
              <w:t>$2,303,828</w:t>
            </w:r>
          </w:p>
        </w:tc>
      </w:tr>
      <w:tr>
        <w:trPr>
          <w:trHeight w:val="236"/>
        </w:trPr>
        <w:tc>
          <w:tcPr>
            <w:tcW w:w="5740" w:type="dxa"/>
            <w:vAlign w:val="bottom"/>
          </w:tcPr>
          <w:p>
            <w:pPr>
              <w:spacing w:after="0"/>
              <w:rPr>
                <w:sz w:val="20"/>
                <w:szCs w:val="20"/>
                <w:color w:val="auto"/>
              </w:rPr>
            </w:pPr>
          </w:p>
        </w:tc>
        <w:tc>
          <w:tcPr>
            <w:tcW w:w="820" w:type="dxa"/>
            <w:vAlign w:val="bottom"/>
          </w:tcPr>
          <w:p>
            <w:pPr>
              <w:jc w:val="center"/>
              <w:ind w:left="76"/>
              <w:spacing w:after="0"/>
              <w:rPr>
                <w:sz w:val="20"/>
                <w:szCs w:val="20"/>
                <w:color w:val="auto"/>
              </w:rPr>
            </w:pPr>
            <w:r>
              <w:rPr>
                <w:rFonts w:ascii="Arial" w:cs="Arial" w:eastAsia="Arial" w:hAnsi="Arial"/>
                <w:sz w:val="17"/>
                <w:szCs w:val="17"/>
                <w:color w:val="auto"/>
              </w:rPr>
              <w:t>2009</w:t>
            </w:r>
          </w:p>
        </w:tc>
        <w:tc>
          <w:tcPr>
            <w:tcW w:w="1200" w:type="dxa"/>
            <w:vAlign w:val="bottom"/>
          </w:tcPr>
          <w:p>
            <w:pPr>
              <w:jc w:val="right"/>
              <w:ind w:right="217"/>
              <w:spacing w:after="0"/>
              <w:rPr>
                <w:sz w:val="20"/>
                <w:szCs w:val="20"/>
                <w:color w:val="auto"/>
              </w:rPr>
            </w:pPr>
            <w:r>
              <w:rPr>
                <w:rFonts w:ascii="Arial" w:cs="Arial" w:eastAsia="Arial" w:hAnsi="Arial"/>
                <w:sz w:val="17"/>
                <w:szCs w:val="17"/>
                <w:color w:val="auto"/>
              </w:rPr>
              <w:t>190,000</w:t>
            </w:r>
          </w:p>
        </w:tc>
        <w:tc>
          <w:tcPr>
            <w:tcW w:w="1120" w:type="dxa"/>
            <w:vAlign w:val="bottom"/>
          </w:tcPr>
          <w:p>
            <w:pPr>
              <w:jc w:val="right"/>
              <w:ind w:right="218"/>
              <w:spacing w:after="0"/>
              <w:rPr>
                <w:sz w:val="20"/>
                <w:szCs w:val="20"/>
                <w:color w:val="auto"/>
              </w:rPr>
            </w:pPr>
            <w:r>
              <w:rPr>
                <w:rFonts w:ascii="Arial" w:cs="Arial" w:eastAsia="Arial" w:hAnsi="Arial"/>
                <w:sz w:val="17"/>
                <w:szCs w:val="17"/>
                <w:color w:val="auto"/>
              </w:rPr>
              <w:t>63,334</w:t>
            </w:r>
          </w:p>
        </w:tc>
        <w:tc>
          <w:tcPr>
            <w:tcW w:w="1340" w:type="dxa"/>
            <w:vAlign w:val="bottom"/>
          </w:tcPr>
          <w:p>
            <w:pPr>
              <w:jc w:val="right"/>
              <w:ind w:right="236"/>
              <w:spacing w:after="0"/>
              <w:rPr>
                <w:sz w:val="20"/>
                <w:szCs w:val="20"/>
                <w:color w:val="auto"/>
              </w:rPr>
            </w:pPr>
            <w:r>
              <w:rPr>
                <w:rFonts w:ascii="Arial" w:cs="Arial" w:eastAsia="Arial" w:hAnsi="Arial"/>
                <w:sz w:val="17"/>
                <w:szCs w:val="17"/>
                <w:color w:val="auto"/>
              </w:rPr>
              <w:t>380,000</w:t>
            </w:r>
          </w:p>
        </w:tc>
        <w:tc>
          <w:tcPr>
            <w:tcW w:w="1200" w:type="dxa"/>
            <w:vAlign w:val="bottom"/>
          </w:tcPr>
          <w:p>
            <w:pPr>
              <w:ind w:left="200"/>
              <w:spacing w:after="0"/>
              <w:rPr>
                <w:sz w:val="20"/>
                <w:szCs w:val="20"/>
                <w:color w:val="auto"/>
              </w:rPr>
            </w:pPr>
            <w:r>
              <w:rPr>
                <w:rFonts w:ascii="Arial" w:cs="Arial" w:eastAsia="Arial" w:hAnsi="Arial"/>
                <w:sz w:val="17"/>
                <w:szCs w:val="17"/>
                <w:color w:val="auto"/>
              </w:rPr>
              <w:t>$1,978,543</w:t>
            </w:r>
          </w:p>
        </w:tc>
      </w:tr>
      <w:tr>
        <w:trPr>
          <w:trHeight w:val="244"/>
        </w:trPr>
        <w:tc>
          <w:tcPr>
            <w:tcW w:w="5740" w:type="dxa"/>
            <w:vAlign w:val="bottom"/>
          </w:tcPr>
          <w:p>
            <w:pPr>
              <w:spacing w:after="0"/>
              <w:rPr>
                <w:sz w:val="21"/>
                <w:szCs w:val="21"/>
                <w:color w:val="auto"/>
              </w:rPr>
            </w:pPr>
          </w:p>
        </w:tc>
        <w:tc>
          <w:tcPr>
            <w:tcW w:w="820" w:type="dxa"/>
            <w:vAlign w:val="bottom"/>
          </w:tcPr>
          <w:p>
            <w:pPr>
              <w:jc w:val="center"/>
              <w:ind w:left="76"/>
              <w:spacing w:after="0"/>
              <w:rPr>
                <w:sz w:val="20"/>
                <w:szCs w:val="20"/>
                <w:color w:val="auto"/>
              </w:rPr>
            </w:pPr>
            <w:r>
              <w:rPr>
                <w:rFonts w:ascii="Arial" w:cs="Arial" w:eastAsia="Arial" w:hAnsi="Arial"/>
                <w:sz w:val="17"/>
                <w:szCs w:val="17"/>
                <w:color w:val="auto"/>
              </w:rPr>
              <w:t>2008</w:t>
            </w:r>
          </w:p>
        </w:tc>
        <w:tc>
          <w:tcPr>
            <w:tcW w:w="1200" w:type="dxa"/>
            <w:vAlign w:val="bottom"/>
          </w:tcPr>
          <w:p>
            <w:pPr>
              <w:jc w:val="right"/>
              <w:ind w:right="217"/>
              <w:spacing w:after="0"/>
              <w:rPr>
                <w:sz w:val="20"/>
                <w:szCs w:val="20"/>
                <w:color w:val="auto"/>
              </w:rPr>
            </w:pPr>
            <w:r>
              <w:rPr>
                <w:rFonts w:ascii="Arial" w:cs="Arial" w:eastAsia="Arial" w:hAnsi="Arial"/>
                <w:sz w:val="17"/>
                <w:szCs w:val="17"/>
                <w:color w:val="auto"/>
              </w:rPr>
              <w:t>85,000</w:t>
            </w:r>
          </w:p>
        </w:tc>
        <w:tc>
          <w:tcPr>
            <w:tcW w:w="1120" w:type="dxa"/>
            <w:vAlign w:val="bottom"/>
          </w:tcPr>
          <w:p>
            <w:pPr>
              <w:jc w:val="right"/>
              <w:ind w:right="218"/>
              <w:spacing w:after="0"/>
              <w:rPr>
                <w:sz w:val="20"/>
                <w:szCs w:val="20"/>
                <w:color w:val="auto"/>
              </w:rPr>
            </w:pPr>
            <w:r>
              <w:rPr>
                <w:rFonts w:ascii="Arial" w:cs="Arial" w:eastAsia="Arial" w:hAnsi="Arial"/>
                <w:sz w:val="17"/>
                <w:szCs w:val="17"/>
                <w:color w:val="auto"/>
              </w:rPr>
              <w:t>35,000</w:t>
            </w:r>
          </w:p>
        </w:tc>
        <w:tc>
          <w:tcPr>
            <w:tcW w:w="1340" w:type="dxa"/>
            <w:vAlign w:val="bottom"/>
          </w:tcPr>
          <w:p>
            <w:pPr>
              <w:jc w:val="right"/>
              <w:ind w:right="236"/>
              <w:spacing w:after="0"/>
              <w:rPr>
                <w:sz w:val="20"/>
                <w:szCs w:val="20"/>
                <w:color w:val="auto"/>
              </w:rPr>
            </w:pPr>
            <w:r>
              <w:rPr>
                <w:rFonts w:ascii="Arial" w:cs="Arial" w:eastAsia="Arial" w:hAnsi="Arial"/>
                <w:sz w:val="17"/>
                <w:szCs w:val="17"/>
                <w:color w:val="auto"/>
              </w:rPr>
              <w:t>190,000</w:t>
            </w:r>
          </w:p>
        </w:tc>
        <w:tc>
          <w:tcPr>
            <w:tcW w:w="1200" w:type="dxa"/>
            <w:vAlign w:val="bottom"/>
          </w:tcPr>
          <w:p>
            <w:pPr>
              <w:ind w:left="200"/>
              <w:spacing w:after="0"/>
              <w:rPr>
                <w:sz w:val="20"/>
                <w:szCs w:val="20"/>
                <w:color w:val="auto"/>
              </w:rPr>
            </w:pPr>
            <w:r>
              <w:rPr>
                <w:rFonts w:ascii="Arial" w:cs="Arial" w:eastAsia="Arial" w:hAnsi="Arial"/>
                <w:sz w:val="17"/>
                <w:szCs w:val="17"/>
                <w:color w:val="auto"/>
              </w:rPr>
              <w:t>$1,797,450</w:t>
            </w:r>
          </w:p>
        </w:tc>
      </w:tr>
      <w:tr>
        <w:trPr>
          <w:trHeight w:val="228"/>
        </w:trPr>
        <w:tc>
          <w:tcPr>
            <w:tcW w:w="5740" w:type="dxa"/>
            <w:vAlign w:val="bottom"/>
            <w:shd w:val="clear" w:color="auto" w:fill="E9E9E9"/>
          </w:tcPr>
          <w:p>
            <w:pPr>
              <w:spacing w:after="0"/>
              <w:rPr>
                <w:sz w:val="20"/>
                <w:szCs w:val="20"/>
                <w:color w:val="auto"/>
              </w:rPr>
            </w:pPr>
            <w:r>
              <w:rPr>
                <w:rFonts w:ascii="Arial" w:cs="Arial" w:eastAsia="Arial" w:hAnsi="Arial"/>
                <w:sz w:val="17"/>
                <w:szCs w:val="17"/>
                <w:color w:val="auto"/>
              </w:rPr>
              <w:t>Mr. Lowe</w:t>
            </w:r>
          </w:p>
        </w:tc>
        <w:tc>
          <w:tcPr>
            <w:tcW w:w="82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rPr>
              <w:t>2010</w:t>
            </w:r>
          </w:p>
        </w:tc>
        <w:tc>
          <w:tcPr>
            <w:tcW w:w="120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277,500</w:t>
            </w:r>
          </w:p>
        </w:tc>
        <w:tc>
          <w:tcPr>
            <w:tcW w:w="11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92,501</w:t>
            </w:r>
          </w:p>
        </w:tc>
        <w:tc>
          <w:tcPr>
            <w:tcW w:w="13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555,003</w:t>
            </w:r>
          </w:p>
        </w:tc>
        <w:tc>
          <w:tcPr>
            <w:tcW w:w="1200" w:type="dxa"/>
            <w:vAlign w:val="bottom"/>
            <w:shd w:val="clear" w:color="auto" w:fill="E9E9E9"/>
          </w:tcPr>
          <w:p>
            <w:pPr>
              <w:ind w:left="200"/>
              <w:spacing w:after="0"/>
              <w:rPr>
                <w:sz w:val="20"/>
                <w:szCs w:val="20"/>
                <w:color w:val="auto"/>
              </w:rPr>
            </w:pPr>
            <w:r>
              <w:rPr>
                <w:rFonts w:ascii="Arial" w:cs="Arial" w:eastAsia="Arial" w:hAnsi="Arial"/>
                <w:sz w:val="17"/>
                <w:szCs w:val="17"/>
                <w:color w:val="auto"/>
              </w:rPr>
              <w:t>$3,964,709</w:t>
            </w:r>
          </w:p>
        </w:tc>
      </w:tr>
      <w:tr>
        <w:trPr>
          <w:trHeight w:val="236"/>
        </w:trPr>
        <w:tc>
          <w:tcPr>
            <w:tcW w:w="5740" w:type="dxa"/>
            <w:vAlign w:val="bottom"/>
            <w:shd w:val="clear" w:color="auto" w:fill="E9E9E9"/>
          </w:tcPr>
          <w:p>
            <w:pPr>
              <w:spacing w:after="0"/>
              <w:rPr>
                <w:sz w:val="20"/>
                <w:szCs w:val="20"/>
                <w:color w:val="auto"/>
              </w:rPr>
            </w:pPr>
          </w:p>
        </w:tc>
        <w:tc>
          <w:tcPr>
            <w:tcW w:w="82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rPr>
              <w:t>2009</w:t>
            </w:r>
          </w:p>
        </w:tc>
        <w:tc>
          <w:tcPr>
            <w:tcW w:w="120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280,000</w:t>
            </w:r>
          </w:p>
        </w:tc>
        <w:tc>
          <w:tcPr>
            <w:tcW w:w="11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93,334</w:t>
            </w:r>
          </w:p>
        </w:tc>
        <w:tc>
          <w:tcPr>
            <w:tcW w:w="13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560,000</w:t>
            </w:r>
          </w:p>
        </w:tc>
        <w:tc>
          <w:tcPr>
            <w:tcW w:w="1200" w:type="dxa"/>
            <w:vAlign w:val="bottom"/>
            <w:shd w:val="clear" w:color="auto" w:fill="E9E9E9"/>
          </w:tcPr>
          <w:p>
            <w:pPr>
              <w:ind w:left="200"/>
              <w:spacing w:after="0"/>
              <w:rPr>
                <w:sz w:val="20"/>
                <w:szCs w:val="20"/>
                <w:color w:val="auto"/>
              </w:rPr>
            </w:pPr>
            <w:r>
              <w:rPr>
                <w:rFonts w:ascii="Arial" w:cs="Arial" w:eastAsia="Arial" w:hAnsi="Arial"/>
                <w:sz w:val="17"/>
                <w:szCs w:val="17"/>
                <w:color w:val="auto"/>
              </w:rPr>
              <w:t>$2,915,743</w:t>
            </w:r>
          </w:p>
        </w:tc>
      </w:tr>
      <w:tr>
        <w:trPr>
          <w:trHeight w:val="252"/>
        </w:trPr>
        <w:tc>
          <w:tcPr>
            <w:tcW w:w="5740" w:type="dxa"/>
            <w:vAlign w:val="bottom"/>
            <w:shd w:val="clear" w:color="auto" w:fill="E9E9E9"/>
          </w:tcPr>
          <w:p>
            <w:pPr>
              <w:spacing w:after="0"/>
              <w:rPr>
                <w:sz w:val="21"/>
                <w:szCs w:val="21"/>
                <w:color w:val="auto"/>
              </w:rPr>
            </w:pPr>
          </w:p>
        </w:tc>
        <w:tc>
          <w:tcPr>
            <w:tcW w:w="82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rPr>
              <w:t>2008</w:t>
            </w:r>
          </w:p>
        </w:tc>
        <w:tc>
          <w:tcPr>
            <w:tcW w:w="120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100,000</w:t>
            </w:r>
          </w:p>
        </w:tc>
        <w:tc>
          <w:tcPr>
            <w:tcW w:w="1120" w:type="dxa"/>
            <w:vAlign w:val="bottom"/>
            <w:shd w:val="clear" w:color="auto" w:fill="E9E9E9"/>
          </w:tcPr>
          <w:p>
            <w:pPr>
              <w:jc w:val="right"/>
              <w:ind w:right="218"/>
              <w:spacing w:after="0"/>
              <w:rPr>
                <w:sz w:val="20"/>
                <w:szCs w:val="20"/>
                <w:color w:val="auto"/>
              </w:rPr>
            </w:pPr>
            <w:r>
              <w:rPr>
                <w:rFonts w:ascii="Arial" w:cs="Arial" w:eastAsia="Arial" w:hAnsi="Arial"/>
                <w:sz w:val="17"/>
                <w:szCs w:val="17"/>
                <w:color w:val="auto"/>
              </w:rPr>
              <w:t>60,000</w:t>
            </w:r>
          </w:p>
        </w:tc>
        <w:tc>
          <w:tcPr>
            <w:tcW w:w="1340" w:type="dxa"/>
            <w:vAlign w:val="bottom"/>
            <w:shd w:val="clear" w:color="auto" w:fill="E9E9E9"/>
          </w:tcPr>
          <w:p>
            <w:pPr>
              <w:jc w:val="right"/>
              <w:ind w:right="236"/>
              <w:spacing w:after="0"/>
              <w:rPr>
                <w:sz w:val="20"/>
                <w:szCs w:val="20"/>
                <w:color w:val="auto"/>
              </w:rPr>
            </w:pPr>
            <w:r>
              <w:rPr>
                <w:rFonts w:ascii="Arial" w:cs="Arial" w:eastAsia="Arial" w:hAnsi="Arial"/>
                <w:sz w:val="17"/>
                <w:szCs w:val="17"/>
                <w:color w:val="auto"/>
              </w:rPr>
              <w:t>280,000</w:t>
            </w:r>
          </w:p>
        </w:tc>
        <w:tc>
          <w:tcPr>
            <w:tcW w:w="1200" w:type="dxa"/>
            <w:vAlign w:val="bottom"/>
            <w:shd w:val="clear" w:color="auto" w:fill="E9E9E9"/>
          </w:tcPr>
          <w:p>
            <w:pPr>
              <w:ind w:left="200"/>
              <w:spacing w:after="0"/>
              <w:rPr>
                <w:sz w:val="20"/>
                <w:szCs w:val="20"/>
                <w:color w:val="auto"/>
              </w:rPr>
            </w:pPr>
            <w:r>
              <w:rPr>
                <w:rFonts w:ascii="Arial" w:cs="Arial" w:eastAsia="Arial" w:hAnsi="Arial"/>
                <w:sz w:val="17"/>
                <w:szCs w:val="17"/>
                <w:color w:val="auto"/>
              </w:rPr>
              <w:t>$2,675,400</w:t>
            </w:r>
          </w:p>
        </w:tc>
      </w:tr>
      <w:tr>
        <w:trPr>
          <w:trHeight w:val="220"/>
        </w:trPr>
        <w:tc>
          <w:tcPr>
            <w:tcW w:w="5740" w:type="dxa"/>
            <w:vAlign w:val="bottom"/>
          </w:tcPr>
          <w:p>
            <w:pPr>
              <w:spacing w:after="0"/>
              <w:rPr>
                <w:sz w:val="20"/>
                <w:szCs w:val="20"/>
                <w:color w:val="auto"/>
              </w:rPr>
            </w:pPr>
            <w:r>
              <w:rPr>
                <w:rFonts w:ascii="Arial" w:cs="Arial" w:eastAsia="Arial" w:hAnsi="Arial"/>
                <w:sz w:val="17"/>
                <w:szCs w:val="17"/>
                <w:color w:val="auto"/>
              </w:rPr>
              <w:t>Mr. Ritchie</w:t>
            </w:r>
          </w:p>
        </w:tc>
        <w:tc>
          <w:tcPr>
            <w:tcW w:w="820" w:type="dxa"/>
            <w:vAlign w:val="bottom"/>
          </w:tcPr>
          <w:p>
            <w:pPr>
              <w:jc w:val="center"/>
              <w:ind w:left="76"/>
              <w:spacing w:after="0"/>
              <w:rPr>
                <w:sz w:val="20"/>
                <w:szCs w:val="20"/>
                <w:color w:val="auto"/>
              </w:rPr>
            </w:pPr>
            <w:r>
              <w:rPr>
                <w:rFonts w:ascii="Arial" w:cs="Arial" w:eastAsia="Arial" w:hAnsi="Arial"/>
                <w:sz w:val="17"/>
                <w:szCs w:val="17"/>
                <w:color w:val="auto"/>
              </w:rPr>
              <w:t>2010</w:t>
            </w:r>
          </w:p>
        </w:tc>
        <w:tc>
          <w:tcPr>
            <w:tcW w:w="1200" w:type="dxa"/>
            <w:vAlign w:val="bottom"/>
          </w:tcPr>
          <w:p>
            <w:pPr>
              <w:jc w:val="right"/>
              <w:ind w:right="217"/>
              <w:spacing w:after="0"/>
              <w:rPr>
                <w:sz w:val="20"/>
                <w:szCs w:val="20"/>
                <w:color w:val="auto"/>
              </w:rPr>
            </w:pPr>
            <w:r>
              <w:rPr>
                <w:rFonts w:ascii="Arial" w:cs="Arial" w:eastAsia="Arial" w:hAnsi="Arial"/>
                <w:sz w:val="17"/>
                <w:szCs w:val="17"/>
                <w:color w:val="auto"/>
              </w:rPr>
              <w:t>187,500</w:t>
            </w:r>
          </w:p>
        </w:tc>
        <w:tc>
          <w:tcPr>
            <w:tcW w:w="1120" w:type="dxa"/>
            <w:vAlign w:val="bottom"/>
          </w:tcPr>
          <w:p>
            <w:pPr>
              <w:jc w:val="right"/>
              <w:ind w:right="218"/>
              <w:spacing w:after="0"/>
              <w:rPr>
                <w:sz w:val="20"/>
                <w:szCs w:val="20"/>
                <w:color w:val="auto"/>
              </w:rPr>
            </w:pPr>
            <w:r>
              <w:rPr>
                <w:rFonts w:ascii="Arial" w:cs="Arial" w:eastAsia="Arial" w:hAnsi="Arial"/>
                <w:sz w:val="17"/>
                <w:szCs w:val="17"/>
                <w:color w:val="auto"/>
              </w:rPr>
              <w:t>62,501</w:t>
            </w:r>
          </w:p>
        </w:tc>
        <w:tc>
          <w:tcPr>
            <w:tcW w:w="1340" w:type="dxa"/>
            <w:vAlign w:val="bottom"/>
          </w:tcPr>
          <w:p>
            <w:pPr>
              <w:jc w:val="right"/>
              <w:ind w:right="236"/>
              <w:spacing w:after="0"/>
              <w:rPr>
                <w:sz w:val="20"/>
                <w:szCs w:val="20"/>
                <w:color w:val="auto"/>
              </w:rPr>
            </w:pPr>
            <w:r>
              <w:rPr>
                <w:rFonts w:ascii="Arial" w:cs="Arial" w:eastAsia="Arial" w:hAnsi="Arial"/>
                <w:sz w:val="17"/>
                <w:szCs w:val="17"/>
                <w:color w:val="auto"/>
              </w:rPr>
              <w:t>375,003</w:t>
            </w:r>
          </w:p>
        </w:tc>
        <w:tc>
          <w:tcPr>
            <w:tcW w:w="1200" w:type="dxa"/>
            <w:vAlign w:val="bottom"/>
          </w:tcPr>
          <w:p>
            <w:pPr>
              <w:ind w:left="200"/>
              <w:spacing w:after="0"/>
              <w:rPr>
                <w:sz w:val="20"/>
                <w:szCs w:val="20"/>
                <w:color w:val="auto"/>
              </w:rPr>
            </w:pPr>
            <w:r>
              <w:rPr>
                <w:rFonts w:ascii="Arial" w:cs="Arial" w:eastAsia="Arial" w:hAnsi="Arial"/>
                <w:sz w:val="17"/>
                <w:szCs w:val="17"/>
                <w:color w:val="auto"/>
              </w:rPr>
              <w:t>$2,678,865</w:t>
            </w:r>
          </w:p>
        </w:tc>
      </w:tr>
      <w:tr>
        <w:trPr>
          <w:trHeight w:val="236"/>
        </w:trPr>
        <w:tc>
          <w:tcPr>
            <w:tcW w:w="5740" w:type="dxa"/>
            <w:vAlign w:val="bottom"/>
          </w:tcPr>
          <w:p>
            <w:pPr>
              <w:spacing w:after="0"/>
              <w:rPr>
                <w:sz w:val="20"/>
                <w:szCs w:val="20"/>
                <w:color w:val="auto"/>
              </w:rPr>
            </w:pPr>
          </w:p>
        </w:tc>
        <w:tc>
          <w:tcPr>
            <w:tcW w:w="820" w:type="dxa"/>
            <w:vAlign w:val="bottom"/>
          </w:tcPr>
          <w:p>
            <w:pPr>
              <w:jc w:val="center"/>
              <w:ind w:left="76"/>
              <w:spacing w:after="0"/>
              <w:rPr>
                <w:sz w:val="20"/>
                <w:szCs w:val="20"/>
                <w:color w:val="auto"/>
              </w:rPr>
            </w:pPr>
            <w:r>
              <w:rPr>
                <w:rFonts w:ascii="Arial" w:cs="Arial" w:eastAsia="Arial" w:hAnsi="Arial"/>
                <w:sz w:val="17"/>
                <w:szCs w:val="17"/>
                <w:color w:val="auto"/>
              </w:rPr>
              <w:t>2009</w:t>
            </w:r>
          </w:p>
        </w:tc>
        <w:tc>
          <w:tcPr>
            <w:tcW w:w="1200" w:type="dxa"/>
            <w:vAlign w:val="bottom"/>
          </w:tcPr>
          <w:p>
            <w:pPr>
              <w:jc w:val="right"/>
              <w:ind w:right="217"/>
              <w:spacing w:after="0"/>
              <w:rPr>
                <w:sz w:val="20"/>
                <w:szCs w:val="20"/>
                <w:color w:val="auto"/>
              </w:rPr>
            </w:pPr>
            <w:r>
              <w:rPr>
                <w:rFonts w:ascii="Arial" w:cs="Arial" w:eastAsia="Arial" w:hAnsi="Arial"/>
                <w:sz w:val="17"/>
                <w:szCs w:val="17"/>
                <w:color w:val="auto"/>
              </w:rPr>
              <w:t>250,000</w:t>
            </w:r>
          </w:p>
        </w:tc>
        <w:tc>
          <w:tcPr>
            <w:tcW w:w="1120" w:type="dxa"/>
            <w:vAlign w:val="bottom"/>
          </w:tcPr>
          <w:p>
            <w:pPr>
              <w:jc w:val="right"/>
              <w:ind w:right="218"/>
              <w:spacing w:after="0"/>
              <w:rPr>
                <w:sz w:val="20"/>
                <w:szCs w:val="20"/>
                <w:color w:val="auto"/>
              </w:rPr>
            </w:pPr>
            <w:r>
              <w:rPr>
                <w:rFonts w:ascii="Arial" w:cs="Arial" w:eastAsia="Arial" w:hAnsi="Arial"/>
                <w:sz w:val="17"/>
                <w:szCs w:val="17"/>
                <w:color w:val="auto"/>
              </w:rPr>
              <w:t>83,334</w:t>
            </w:r>
          </w:p>
        </w:tc>
        <w:tc>
          <w:tcPr>
            <w:tcW w:w="1340" w:type="dxa"/>
            <w:vAlign w:val="bottom"/>
          </w:tcPr>
          <w:p>
            <w:pPr>
              <w:jc w:val="right"/>
              <w:ind w:right="236"/>
              <w:spacing w:after="0"/>
              <w:rPr>
                <w:sz w:val="20"/>
                <w:szCs w:val="20"/>
                <w:color w:val="auto"/>
              </w:rPr>
            </w:pPr>
            <w:r>
              <w:rPr>
                <w:rFonts w:ascii="Arial" w:cs="Arial" w:eastAsia="Arial" w:hAnsi="Arial"/>
                <w:sz w:val="17"/>
                <w:szCs w:val="17"/>
                <w:color w:val="auto"/>
              </w:rPr>
              <w:t>500,000</w:t>
            </w:r>
          </w:p>
        </w:tc>
        <w:tc>
          <w:tcPr>
            <w:tcW w:w="1200" w:type="dxa"/>
            <w:vAlign w:val="bottom"/>
          </w:tcPr>
          <w:p>
            <w:pPr>
              <w:ind w:left="200"/>
              <w:spacing w:after="0"/>
              <w:rPr>
                <w:sz w:val="20"/>
                <w:szCs w:val="20"/>
                <w:color w:val="auto"/>
              </w:rPr>
            </w:pPr>
            <w:r>
              <w:rPr>
                <w:rFonts w:ascii="Arial" w:cs="Arial" w:eastAsia="Arial" w:hAnsi="Arial"/>
                <w:sz w:val="17"/>
                <w:szCs w:val="17"/>
                <w:color w:val="auto"/>
              </w:rPr>
              <w:t>$2,603,343</w:t>
            </w:r>
          </w:p>
        </w:tc>
      </w:tr>
      <w:tr>
        <w:trPr>
          <w:trHeight w:val="244"/>
        </w:trPr>
        <w:tc>
          <w:tcPr>
            <w:tcW w:w="5740" w:type="dxa"/>
            <w:vAlign w:val="bottom"/>
          </w:tcPr>
          <w:p>
            <w:pPr>
              <w:spacing w:after="0"/>
              <w:rPr>
                <w:sz w:val="21"/>
                <w:szCs w:val="21"/>
                <w:color w:val="auto"/>
              </w:rPr>
            </w:pPr>
          </w:p>
        </w:tc>
        <w:tc>
          <w:tcPr>
            <w:tcW w:w="820" w:type="dxa"/>
            <w:vAlign w:val="bottom"/>
          </w:tcPr>
          <w:p>
            <w:pPr>
              <w:jc w:val="center"/>
              <w:ind w:left="76"/>
              <w:spacing w:after="0"/>
              <w:rPr>
                <w:sz w:val="20"/>
                <w:szCs w:val="20"/>
                <w:color w:val="auto"/>
              </w:rPr>
            </w:pPr>
            <w:r>
              <w:rPr>
                <w:rFonts w:ascii="Arial" w:cs="Arial" w:eastAsia="Arial" w:hAnsi="Arial"/>
                <w:sz w:val="17"/>
                <w:szCs w:val="17"/>
                <w:color w:val="auto"/>
              </w:rPr>
              <w:t>2008</w:t>
            </w:r>
          </w:p>
        </w:tc>
        <w:tc>
          <w:tcPr>
            <w:tcW w:w="1200" w:type="dxa"/>
            <w:vAlign w:val="bottom"/>
          </w:tcPr>
          <w:p>
            <w:pPr>
              <w:jc w:val="right"/>
              <w:ind w:right="217"/>
              <w:spacing w:after="0"/>
              <w:rPr>
                <w:sz w:val="20"/>
                <w:szCs w:val="20"/>
                <w:color w:val="auto"/>
              </w:rPr>
            </w:pPr>
            <w:r>
              <w:rPr>
                <w:rFonts w:ascii="Arial" w:cs="Arial" w:eastAsia="Arial" w:hAnsi="Arial"/>
                <w:sz w:val="17"/>
                <w:szCs w:val="17"/>
                <w:color w:val="auto"/>
              </w:rPr>
              <w:t>100,000</w:t>
            </w:r>
          </w:p>
        </w:tc>
        <w:tc>
          <w:tcPr>
            <w:tcW w:w="1120" w:type="dxa"/>
            <w:vAlign w:val="bottom"/>
          </w:tcPr>
          <w:p>
            <w:pPr>
              <w:jc w:val="right"/>
              <w:ind w:right="218"/>
              <w:spacing w:after="0"/>
              <w:rPr>
                <w:sz w:val="20"/>
                <w:szCs w:val="20"/>
                <w:color w:val="auto"/>
              </w:rPr>
            </w:pPr>
            <w:r>
              <w:rPr>
                <w:rFonts w:ascii="Arial" w:cs="Arial" w:eastAsia="Arial" w:hAnsi="Arial"/>
                <w:sz w:val="17"/>
                <w:szCs w:val="17"/>
                <w:color w:val="auto"/>
              </w:rPr>
              <w:t>50,000</w:t>
            </w:r>
          </w:p>
        </w:tc>
        <w:tc>
          <w:tcPr>
            <w:tcW w:w="1340" w:type="dxa"/>
            <w:vAlign w:val="bottom"/>
          </w:tcPr>
          <w:p>
            <w:pPr>
              <w:jc w:val="right"/>
              <w:ind w:right="236"/>
              <w:spacing w:after="0"/>
              <w:rPr>
                <w:sz w:val="20"/>
                <w:szCs w:val="20"/>
                <w:color w:val="auto"/>
              </w:rPr>
            </w:pPr>
            <w:r>
              <w:rPr>
                <w:rFonts w:ascii="Arial" w:cs="Arial" w:eastAsia="Arial" w:hAnsi="Arial"/>
                <w:sz w:val="17"/>
                <w:szCs w:val="17"/>
                <w:color w:val="auto"/>
              </w:rPr>
              <w:t>250,000</w:t>
            </w:r>
          </w:p>
        </w:tc>
        <w:tc>
          <w:tcPr>
            <w:tcW w:w="1200" w:type="dxa"/>
            <w:vAlign w:val="bottom"/>
          </w:tcPr>
          <w:p>
            <w:pPr>
              <w:ind w:left="200"/>
              <w:spacing w:after="0"/>
              <w:rPr>
                <w:sz w:val="20"/>
                <w:szCs w:val="20"/>
                <w:color w:val="auto"/>
              </w:rPr>
            </w:pPr>
            <w:r>
              <w:rPr>
                <w:rFonts w:ascii="Arial" w:cs="Arial" w:eastAsia="Arial" w:hAnsi="Arial"/>
                <w:sz w:val="17"/>
                <w:szCs w:val="17"/>
                <w:color w:val="auto"/>
              </w:rPr>
              <w:t>$2,377,500</w:t>
            </w:r>
          </w:p>
        </w:tc>
      </w:tr>
      <w:tr>
        <w:trPr>
          <w:trHeight w:val="244"/>
        </w:trPr>
        <w:tc>
          <w:tcPr>
            <w:tcW w:w="5740" w:type="dxa"/>
            <w:vAlign w:val="bottom"/>
            <w:shd w:val="clear" w:color="auto" w:fill="E9E9E9"/>
          </w:tcPr>
          <w:p>
            <w:pPr>
              <w:spacing w:after="0"/>
              <w:rPr>
                <w:sz w:val="20"/>
                <w:szCs w:val="20"/>
                <w:color w:val="auto"/>
              </w:rPr>
            </w:pPr>
            <w:r>
              <w:rPr>
                <w:rFonts w:ascii="Arial" w:cs="Arial" w:eastAsia="Arial" w:hAnsi="Arial"/>
                <w:sz w:val="17"/>
                <w:szCs w:val="17"/>
                <w:color w:val="auto"/>
              </w:rPr>
              <w:t>Mr. Crutcher</w:t>
            </w:r>
          </w:p>
        </w:tc>
        <w:tc>
          <w:tcPr>
            <w:tcW w:w="820" w:type="dxa"/>
            <w:vAlign w:val="bottom"/>
            <w:shd w:val="clear" w:color="auto" w:fill="E9E9E9"/>
          </w:tcPr>
          <w:p>
            <w:pPr>
              <w:jc w:val="center"/>
              <w:ind w:left="76"/>
              <w:spacing w:after="0"/>
              <w:rPr>
                <w:sz w:val="20"/>
                <w:szCs w:val="20"/>
                <w:color w:val="auto"/>
              </w:rPr>
            </w:pPr>
            <w:r>
              <w:rPr>
                <w:rFonts w:ascii="Arial" w:cs="Arial" w:eastAsia="Arial" w:hAnsi="Arial"/>
                <w:sz w:val="17"/>
                <w:szCs w:val="17"/>
                <w:color w:val="auto"/>
              </w:rPr>
              <w:t>2010</w:t>
            </w:r>
          </w:p>
        </w:tc>
        <w:tc>
          <w:tcPr>
            <w:tcW w:w="1200" w:type="dxa"/>
            <w:vAlign w:val="bottom"/>
            <w:shd w:val="clear" w:color="auto" w:fill="E9E9E9"/>
          </w:tcPr>
          <w:p>
            <w:pPr>
              <w:jc w:val="right"/>
              <w:ind w:right="217"/>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100,000**</w:t>
            </w:r>
          </w:p>
        </w:tc>
        <w:tc>
          <w:tcPr>
            <w:tcW w:w="1340" w:type="dxa"/>
            <w:vAlign w:val="bottom"/>
            <w:shd w:val="clear" w:color="auto" w:fill="E9E9E9"/>
          </w:tcPr>
          <w:p>
            <w:pPr>
              <w:jc w:val="right"/>
              <w:ind w:right="96"/>
              <w:spacing w:after="0"/>
              <w:rPr>
                <w:sz w:val="20"/>
                <w:szCs w:val="20"/>
                <w:color w:val="auto"/>
              </w:rPr>
            </w:pPr>
            <w:r>
              <w:rPr>
                <w:rFonts w:ascii="Arial" w:cs="Arial" w:eastAsia="Arial" w:hAnsi="Arial"/>
                <w:sz w:val="17"/>
                <w:szCs w:val="17"/>
                <w:color w:val="auto"/>
              </w:rPr>
              <w:t>300,000**</w:t>
            </w:r>
          </w:p>
        </w:tc>
        <w:tc>
          <w:tcPr>
            <w:tcW w:w="1200" w:type="dxa"/>
            <w:vAlign w:val="bottom"/>
            <w:shd w:val="clear" w:color="auto" w:fill="E9E9E9"/>
          </w:tcPr>
          <w:p>
            <w:pPr>
              <w:ind w:left="200"/>
              <w:spacing w:after="0"/>
              <w:rPr>
                <w:sz w:val="20"/>
                <w:szCs w:val="20"/>
                <w:color w:val="auto"/>
              </w:rPr>
            </w:pPr>
            <w:r>
              <w:rPr>
                <w:rFonts w:ascii="Arial" w:cs="Arial" w:eastAsia="Arial" w:hAnsi="Arial"/>
                <w:sz w:val="17"/>
                <w:szCs w:val="17"/>
                <w:color w:val="auto"/>
                <w:w w:val="99"/>
              </w:rPr>
              <w:t>$2,498,000**</w:t>
            </w:r>
          </w:p>
        </w:tc>
      </w:tr>
    </w:tbl>
    <w:p>
      <w:pPr>
        <w:spacing w:after="0" w:line="252" w:lineRule="exact"/>
        <w:rPr>
          <w:sz w:val="20"/>
          <w:szCs w:val="20"/>
          <w:color w:val="auto"/>
        </w:rPr>
      </w:pPr>
    </w:p>
    <w:p>
      <w:pPr>
        <w:ind w:left="360" w:hanging="355"/>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notes 3 and 4 to the summary compensation table on page 73 for information on how grant date fair value was calculated.</w:t>
      </w:r>
    </w:p>
    <w:p>
      <w:pPr>
        <w:spacing w:after="0" w:line="27" w:lineRule="exact"/>
        <w:rPr>
          <w:sz w:val="20"/>
          <w:szCs w:val="20"/>
          <w:color w:val="auto"/>
        </w:rPr>
      </w:pPr>
    </w:p>
    <w:p>
      <w:pPr>
        <w:ind w:left="360" w:right="160" w:hanging="355"/>
        <w:spacing w:after="0" w:line="252" w:lineRule="auto"/>
        <w:tabs>
          <w:tab w:leader="none" w:pos="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Shown is the award made to Mr. Crutcher in September 2010, when he became an executive officer. The grants that he received before he became an executive officer, which were made under procedures applicable to non-executive officers, are reflected in the tables on pages 75-77.</w:t>
      </w:r>
    </w:p>
    <w:p>
      <w:pPr>
        <w:spacing w:after="0" w:line="17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For each of the named executive officers other than Mr. Crutcher, the committee made the awards shown above in January 2010. The committee’s objective was to award to those officers equity compensation that had a grant date fair value at approximately the median market level, in this case the 40th to 60th percentile of the 3-year average of equity compensation (including an estimate of amounts for 2010) granted by the Comparator Group.</w:t>
      </w:r>
    </w:p>
    <w:p>
      <w:pPr>
        <w:spacing w:after="0" w:line="15" w:lineRule="exact"/>
        <w:rPr>
          <w:sz w:val="20"/>
          <w:szCs w:val="20"/>
          <w:color w:val="auto"/>
        </w:rPr>
      </w:pPr>
    </w:p>
    <w:p>
      <w:pPr>
        <w:ind w:right="140" w:firstLine="262"/>
        <w:spacing w:after="0" w:line="254" w:lineRule="auto"/>
        <w:rPr>
          <w:sz w:val="20"/>
          <w:szCs w:val="20"/>
          <w:color w:val="auto"/>
        </w:rPr>
      </w:pPr>
      <w:r>
        <w:rPr>
          <w:rFonts w:ascii="Arial" w:cs="Arial" w:eastAsia="Arial" w:hAnsi="Arial"/>
          <w:sz w:val="17"/>
          <w:szCs w:val="17"/>
          <w:color w:val="auto"/>
        </w:rPr>
        <w:t>In assessing the market level, the committee considered information presented by TI’s Compensation and Benefits organization (prepared using data provided by the committee’s compensation consultant) on the estimated value of the awards expected to be granted by the Comparator Group to similarly situated executives. The award value was estimated using the same methodology used for financial accounting.</w:t>
      </w:r>
    </w:p>
    <w:p>
      <w:pPr>
        <w:spacing w:after="0" w:line="9" w:lineRule="exact"/>
        <w:rPr>
          <w:sz w:val="20"/>
          <w:szCs w:val="20"/>
          <w:color w:val="auto"/>
        </w:rPr>
      </w:pPr>
    </w:p>
    <w:p>
      <w:pPr>
        <w:ind w:right="140" w:firstLine="262"/>
        <w:spacing w:after="0" w:line="254" w:lineRule="auto"/>
        <w:rPr>
          <w:sz w:val="20"/>
          <w:szCs w:val="20"/>
          <w:color w:val="auto"/>
        </w:rPr>
      </w:pPr>
      <w:r>
        <w:rPr>
          <w:rFonts w:ascii="Arial" w:cs="Arial" w:eastAsia="Arial" w:hAnsi="Arial"/>
          <w:sz w:val="17"/>
          <w:szCs w:val="17"/>
          <w:color w:val="auto"/>
        </w:rPr>
        <w:t>For each officer, the committee set a number of NQ Equivalents to achieve the desired grant value. The committee decided to allocate the NQ Equivalents for each officer equally between restricted stock units and options to give equal emphasis to promoting retention, motivating the executive and aligning his interests with those of stockholders.</w:t>
      </w:r>
    </w:p>
    <w:p>
      <w:pPr>
        <w:spacing w:after="0" w:line="9" w:lineRule="exact"/>
        <w:rPr>
          <w:sz w:val="20"/>
          <w:szCs w:val="20"/>
          <w:color w:val="auto"/>
        </w:rPr>
      </w:pPr>
    </w:p>
    <w:p>
      <w:pPr>
        <w:ind w:right="40" w:firstLine="262"/>
        <w:spacing w:after="0" w:line="254" w:lineRule="auto"/>
        <w:rPr>
          <w:sz w:val="20"/>
          <w:szCs w:val="20"/>
          <w:color w:val="auto"/>
        </w:rPr>
      </w:pPr>
      <w:r>
        <w:rPr>
          <w:rFonts w:ascii="Arial" w:cs="Arial" w:eastAsia="Arial" w:hAnsi="Arial"/>
          <w:sz w:val="17"/>
          <w:szCs w:val="17"/>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 from the levels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19" w:name="page20"/>
    <w:bookmarkEnd w:id="19"/>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67</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83" w:lineRule="exact"/>
        <w:rPr>
          <w:sz w:val="20"/>
          <w:szCs w:val="20"/>
          <w:color w:val="auto"/>
        </w:rPr>
      </w:pPr>
    </w:p>
    <w:p>
      <w:pPr>
        <w:ind w:firstLine="262"/>
        <w:spacing w:after="0" w:line="254" w:lineRule="auto"/>
        <w:rPr>
          <w:sz w:val="20"/>
          <w:szCs w:val="20"/>
          <w:color w:val="auto"/>
        </w:rPr>
      </w:pPr>
      <w:r>
        <w:rPr>
          <w:rFonts w:ascii="Arial" w:cs="Arial" w:eastAsia="Arial" w:hAnsi="Arial"/>
          <w:sz w:val="17"/>
          <w:szCs w:val="17"/>
          <w:color w:val="auto"/>
        </w:rPr>
        <w:t>The exercise price of the options was the closing price of TI stock on January 28, 2010, the third trading day after the company released its annual and fourth quarter financial results for 2009. All grants were made under the 2009 Texas Instruments Long-Term Incentive Plan (the “2009 Plan”), which stockholders approved in April 2009. All grants have the terms described on page 78.</w:t>
      </w:r>
    </w:p>
    <w:p>
      <w:pPr>
        <w:spacing w:after="0" w:line="9" w:lineRule="exact"/>
        <w:rPr>
          <w:sz w:val="20"/>
          <w:szCs w:val="20"/>
          <w:color w:val="auto"/>
        </w:rPr>
      </w:pPr>
    </w:p>
    <w:p>
      <w:pPr>
        <w:ind w:right="60" w:firstLine="291"/>
        <w:spacing w:after="0" w:line="265" w:lineRule="auto"/>
        <w:rPr>
          <w:sz w:val="20"/>
          <w:szCs w:val="20"/>
          <w:color w:val="auto"/>
        </w:rPr>
      </w:pPr>
      <w:r>
        <w:rPr>
          <w:rFonts w:ascii="Arial" w:cs="Arial" w:eastAsia="Arial" w:hAnsi="Arial"/>
          <w:sz w:val="17"/>
          <w:szCs w:val="17"/>
          <w:color w:val="auto"/>
        </w:rPr>
        <w:t>The differences in the equity awards among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 w:lineRule="exact"/>
        <w:rPr>
          <w:sz w:val="20"/>
          <w:szCs w:val="20"/>
          <w:color w:val="auto"/>
        </w:rPr>
      </w:pPr>
    </w:p>
    <w:p>
      <w:pPr>
        <w:ind w:right="40" w:firstLine="262"/>
        <w:spacing w:after="0" w:line="254" w:lineRule="auto"/>
        <w:rPr>
          <w:sz w:val="20"/>
          <w:szCs w:val="20"/>
          <w:color w:val="auto"/>
        </w:rPr>
      </w:pPr>
      <w:r>
        <w:rPr>
          <w:rFonts w:ascii="Arial" w:cs="Arial" w:eastAsia="Arial" w:hAnsi="Arial"/>
          <w:sz w:val="17"/>
          <w:szCs w:val="17"/>
          <w:color w:val="auto"/>
        </w:rPr>
        <w:t>For Mr. Crutcher, the committee awarded restricted stock units in September 2010, in connection with his assuming new job responsibilities. The award was intended to increase the retention value of his outstanding equity compensation. In setting the award level, the committee used its judgment and did not apply any formula or target. The award, which was made under the 2009 Plan, has the terms described on pages 78-79.</w:t>
      </w:r>
    </w:p>
    <w:p>
      <w:pPr>
        <w:spacing w:after="0" w:line="200"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 In January 2011, the committee set the 2010 bonus compensation for executive officers based on its assessment of 2010 performance. In</w:t>
      </w:r>
      <w:r>
        <w:rPr>
          <w:rFonts w:ascii="Arial" w:cs="Arial" w:eastAsia="Arial" w:hAnsi="Arial"/>
          <w:sz w:val="17"/>
          <w:szCs w:val="17"/>
          <w:i w:val="1"/>
          <w:iCs w:val="1"/>
          <w:color w:val="auto"/>
        </w:rPr>
        <w:t xml:space="preserve"> </w:t>
      </w:r>
      <w:r>
        <w:rPr>
          <w:rFonts w:ascii="Arial" w:cs="Arial" w:eastAsia="Arial" w:hAnsi="Arial"/>
          <w:sz w:val="17"/>
          <w:szCs w:val="17"/>
          <w:color w:val="auto"/>
        </w:rPr>
        <w:t>setting the bonuses, the committee used the following performance measures to assess the company:</w:t>
      </w:r>
    </w:p>
    <w:p>
      <w:pPr>
        <w:spacing w:after="0" w:line="1" w:lineRule="exact"/>
        <w:rPr>
          <w:sz w:val="20"/>
          <w:szCs w:val="20"/>
          <w:color w:val="auto"/>
        </w:rPr>
      </w:pPr>
    </w:p>
    <w:p>
      <w:pPr>
        <w:ind w:left="260" w:right="2320" w:firstLine="262"/>
        <w:spacing w:after="0" w:line="22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relative</w:t>
      </w:r>
      <w:r>
        <w:rPr>
          <w:rFonts w:ascii="Arial" w:cs="Arial" w:eastAsia="Arial" w:hAnsi="Arial"/>
          <w:sz w:val="17"/>
          <w:szCs w:val="17"/>
          <w:color w:val="auto"/>
        </w:rPr>
        <w:t xml:space="preserve"> one-year and three-year performance of TI as compared with competitor companies, as measured by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-200660</wp:posOffset>
            </wp:positionV>
            <wp:extent cx="58420" cy="584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-92710</wp:posOffset>
            </wp:positionV>
            <wp:extent cx="58420" cy="584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operating profit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-88265</wp:posOffset>
            </wp:positionV>
            <wp:extent cx="58420" cy="584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total shareholder return;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-80645</wp:posOffset>
            </wp:positionV>
            <wp:extent cx="58420" cy="584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u w:val="single" w:color="auto"/>
          <w:color w:val="auto"/>
        </w:rPr>
        <w:t>absolute</w:t>
      </w:r>
      <w:r>
        <w:rPr>
          <w:rFonts w:ascii="Arial" w:cs="Arial" w:eastAsia="Arial" w:hAnsi="Arial"/>
          <w:sz w:val="17"/>
          <w:szCs w:val="17"/>
          <w:color w:val="auto"/>
        </w:rPr>
        <w:t xml:space="preserve"> one-year and three-year performance of TI on the above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5" w:lineRule="exact"/>
        <w:rPr>
          <w:sz w:val="20"/>
          <w:szCs w:val="20"/>
          <w:color w:val="auto"/>
        </w:rPr>
      </w:pPr>
    </w:p>
    <w:p>
      <w:pPr>
        <w:ind w:right="860"/>
        <w:spacing w:after="0" w:line="252" w:lineRule="auto"/>
        <w:rPr>
          <w:sz w:val="20"/>
          <w:szCs w:val="20"/>
          <w:color w:val="auto"/>
        </w:rPr>
      </w:pPr>
      <w:r>
        <w:rPr>
          <w:rFonts w:ascii="Arial" w:cs="Arial" w:eastAsia="Arial" w:hAnsi="Arial"/>
          <w:sz w:val="17"/>
          <w:szCs w:val="17"/>
          <w:color w:val="auto"/>
        </w:rPr>
        <w:t>In addition, the committee considered our strategic progress by reviewing how competitive we are in key markets with our core products and technologies, as well as the strength of our relationships with key customers.</w:t>
      </w:r>
    </w:p>
    <w:p>
      <w:pPr>
        <w:spacing w:after="0" w:line="9" w:lineRule="exact"/>
        <w:rPr>
          <w:sz w:val="20"/>
          <w:szCs w:val="20"/>
          <w:color w:val="auto"/>
        </w:rPr>
      </w:pPr>
    </w:p>
    <w:p>
      <w:pPr>
        <w:ind w:right="80" w:firstLine="262"/>
        <w:spacing w:after="0" w:line="248" w:lineRule="auto"/>
        <w:rPr>
          <w:sz w:val="20"/>
          <w:szCs w:val="20"/>
          <w:color w:val="auto"/>
        </w:rPr>
      </w:pPr>
      <w:r>
        <w:rPr>
          <w:rFonts w:ascii="Arial" w:cs="Arial" w:eastAsia="Arial" w:hAnsi="Arial"/>
          <w:sz w:val="17"/>
          <w:szCs w:val="17"/>
          <w:color w:val="auto"/>
        </w:rPr>
        <w:t>One-year relative performance on the three measures and one-year strategic progress were the primary considerations in the committee’s assessment of the company’s 2010 performance. 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encouraged executives to pursue strategies that serve the long-term interests of the company and its shareholders.</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the comparison of relative performance, the committee used the following companies (the “competitor companies”):</w:t>
      </w:r>
      <w:r>
        <w:rPr>
          <w:rFonts w:ascii="Arial" w:cs="Arial" w:eastAsia="Arial" w:hAnsi="Arial"/>
          <w:sz w:val="23"/>
          <w:szCs w:val="23"/>
          <w:color w:val="auto"/>
          <w:vertAlign w:val="superscript"/>
        </w:rPr>
        <w:t>3</w:t>
      </w:r>
    </w:p>
    <w:p>
      <w:pPr>
        <w:sectPr>
          <w:pgSz w:w="11900" w:h="16838" w:orient="portrait"/>
          <w:cols w:equalWidth="0" w:num="1">
            <w:col w:w="11420"/>
          </w:cols>
          <w:pgMar w:left="240" w:top="595" w:right="239" w:bottom="1440" w:gutter="0" w:footer="0" w:header="0"/>
        </w:sectPr>
      </w:pPr>
    </w:p>
    <w:p>
      <w:pPr>
        <w:spacing w:after="0" w:line="20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Advanced Micro Devices, Inc.</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LSI Logic Corporation</w:t>
      </w:r>
    </w:p>
    <w:p>
      <w:pPr>
        <w:spacing w:after="0" w:line="40"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Altera Corporation</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6"/>
          <w:szCs w:val="16"/>
          <w:color w:val="auto"/>
        </w:rPr>
        <w:t>Marvell Technology Group Ltd.</w:t>
      </w:r>
    </w:p>
    <w:p>
      <w:pPr>
        <w:spacing w:after="0" w:line="51"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7"/>
          <w:szCs w:val="17"/>
          <w:color w:val="auto"/>
        </w:rPr>
        <w:t>Maxim Integrated Products, Inc.</w:t>
      </w:r>
    </w:p>
    <w:p>
      <w:pPr>
        <w:spacing w:after="0" w:line="40"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Broadcom Corporation</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7"/>
          <w:szCs w:val="17"/>
          <w:color w:val="auto"/>
        </w:rPr>
        <w:t>Microchip Technology Incorporated</w:t>
      </w:r>
    </w:p>
    <w:p>
      <w:pPr>
        <w:spacing w:after="0" w:line="40"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Fairchild Semiconductor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National Semiconductor Corporation</w:t>
      </w:r>
    </w:p>
    <w:p>
      <w:pPr>
        <w:spacing w:after="0" w:line="40"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Infineon Technologies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NVIDIA Corporation</w:t>
      </w:r>
    </w:p>
    <w:p>
      <w:pPr>
        <w:spacing w:after="0" w:line="40"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Intel Corporation</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7"/>
          <w:szCs w:val="17"/>
          <w:color w:val="auto"/>
        </w:rPr>
        <w:t>ON Semiconductor Corporation</w:t>
      </w:r>
    </w:p>
    <w:p>
      <w:pPr>
        <w:spacing w:after="0" w:line="40"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Intersil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QUALCOMM Incorporated</w:t>
      </w:r>
    </w:p>
    <w:p>
      <w:pPr>
        <w:spacing w:after="0" w:line="40"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Linear Technology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STMicroelectronics N.V.</w:t>
      </w:r>
    </w:p>
    <w:p>
      <w:pPr>
        <w:spacing w:after="0" w:line="52" w:lineRule="exact"/>
        <w:rPr>
          <w:sz w:val="20"/>
          <w:szCs w:val="20"/>
          <w:color w:val="auto"/>
        </w:rPr>
      </w:pPr>
    </w:p>
    <w:p>
      <w:pPr>
        <w:sectPr>
          <w:pgSz w:w="11900" w:h="16838" w:orient="portrait"/>
          <w:cols w:equalWidth="0" w:num="2">
            <w:col w:w="4920" w:space="720"/>
            <w:col w:w="5780"/>
          </w:cols>
          <w:pgMar w:left="240" w:top="595" w:right="239"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Xilinx, Inc.</w:t>
      </w:r>
    </w:p>
    <w:p>
      <w:pPr>
        <w:sectPr>
          <w:pgSz w:w="11900" w:h="16838" w:orient="portrait"/>
          <w:cols w:equalWidth="0" w:num="1">
            <w:col w:w="11420"/>
          </w:cols>
          <w:pgMar w:left="240" w:top="595" w:right="239" w:bottom="1440" w:gutter="0" w:footer="0" w:header="0"/>
          <w:type w:val="continuous"/>
        </w:sectPr>
      </w:pPr>
    </w:p>
    <w:p>
      <w:pPr>
        <w:spacing w:after="0" w:line="26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These companies include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In July 2010, the committee decided to remove Conexant Systems, Inc. because of its relatively low revenue and market capitalization as compared to TI. The removal of Conexant was the first change to this list since 2007.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Assessment of 2010 Performance</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committee spent extensive time in December and January assessing TI’s results and strategic progress for 2010. The committee considered both quantitative and qualitative data, and it applied judgment in its assessment. Overall, the committee determined that TI’s absolute performance was significantly better than the prior year, and that its relative performance surpassed most competitors listed in the table above as evidenced by strong revenue growth, record profitability, and total shareholder return of 27 percent. The committee also noted substantial expansions of manufacturing capacity and product portfolios as important actions that strengthened the company’s strategic foundation and competitive position.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11" w:lineRule="exact"/>
        <w:rPr>
          <w:sz w:val="20"/>
          <w:szCs w:val="20"/>
          <w:color w:val="auto"/>
        </w:rPr>
      </w:pPr>
    </w:p>
    <w:p>
      <w:pPr>
        <w:ind w:left="320" w:right="80" w:hanging="315"/>
        <w:spacing w:after="0" w:line="252"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the extent the companies had not released financial results for the year or most recent quarter, the committee based its evaluation on estimates and projections of the companies’ financial results for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type w:val="continuous"/>
        </w:sectPr>
      </w:pPr>
    </w:p>
    <w:bookmarkStart w:id="20" w:name="page21"/>
    <w:bookmarkEnd w:id="20"/>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68</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83" w:lineRule="exact"/>
        <w:rPr>
          <w:sz w:val="20"/>
          <w:szCs w:val="20"/>
          <w:color w:val="auto"/>
        </w:rPr>
      </w:pPr>
    </w:p>
    <w:p>
      <w:pPr>
        <w:ind w:right="980" w:firstLine="262"/>
        <w:spacing w:after="0" w:line="265" w:lineRule="auto"/>
        <w:rPr>
          <w:sz w:val="20"/>
          <w:szCs w:val="20"/>
          <w:color w:val="auto"/>
        </w:rPr>
      </w:pPr>
      <w:r>
        <w:rPr>
          <w:rFonts w:ascii="Arial" w:cs="Arial" w:eastAsia="Arial" w:hAnsi="Arial"/>
          <w:sz w:val="17"/>
          <w:szCs w:val="17"/>
          <w:color w:val="auto"/>
        </w:rPr>
        <w:t>The committee set the named executive officers’ total cash compensation to be commensurate with this improved relative and absolute performance. As a result, total cash compensation for the officers was generally about 50 percent higher as compared to 2009.</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Below are details of the committee’s performance assessment.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and margin</w:t>
      </w:r>
    </w:p>
    <w:p>
      <w:pPr>
        <w:spacing w:after="0" w:line="19" w:lineRule="exact"/>
        <w:rPr>
          <w:sz w:val="20"/>
          <w:szCs w:val="20"/>
          <w:color w:val="auto"/>
        </w:rPr>
      </w:pPr>
    </w:p>
    <w:p>
      <w:pPr>
        <w:ind w:left="520" w:right="240"/>
        <w:spacing w:after="0" w:line="257" w:lineRule="auto"/>
        <w:rPr>
          <w:sz w:val="20"/>
          <w:szCs w:val="20"/>
          <w:color w:val="auto"/>
        </w:rPr>
      </w:pPr>
      <w:r>
        <w:rPr>
          <w:rFonts w:ascii="Arial" w:cs="Arial" w:eastAsia="Arial" w:hAnsi="Arial"/>
          <w:sz w:val="17"/>
          <w:szCs w:val="17"/>
          <w:color w:val="auto"/>
        </w:rPr>
        <w:t>Revenue increased 34 percent, which was about the median rate of the competitor companies. Excluding the $1.7 billion in revenue from wireless digital basebands, a product line for which TI has a publicly stated exit plan, revenue growth was 41 percent, well above median as compared with competitors. Revenue growth in the company’s core businesses of Analog and Embedded Processing was 42 percent and 41 percent, respectively. Revenue growth resulted in market share gains in all major geographical regions and in all major businesses (excluding the baseband product line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-628650</wp:posOffset>
            </wp:positionV>
            <wp:extent cx="58420" cy="584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line="257" w:lineRule="auto"/>
        <w:rPr>
          <w:sz w:val="20"/>
          <w:szCs w:val="20"/>
          <w:color w:val="auto"/>
        </w:rPr>
      </w:pPr>
      <w:r>
        <w:rPr>
          <w:rFonts w:ascii="Arial" w:cs="Arial" w:eastAsia="Arial" w:hAnsi="Arial"/>
          <w:sz w:val="17"/>
          <w:szCs w:val="17"/>
          <w:color w:val="auto"/>
        </w:rPr>
        <w:t>Operating profit was $4.5 billion and operating margin was 32 percent. Both were new records for TI and placed the company well above median as compared with competitors. Return on invested capital was 31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-229870</wp:posOffset>
            </wp:positionV>
            <wp:extent cx="58420" cy="584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200"/>
        <w:spacing w:after="0" w:line="268" w:lineRule="auto"/>
        <w:rPr>
          <w:sz w:val="20"/>
          <w:szCs w:val="20"/>
          <w:color w:val="auto"/>
        </w:rPr>
      </w:pPr>
      <w:r>
        <w:rPr>
          <w:rFonts w:ascii="Arial" w:cs="Arial" w:eastAsia="Arial" w:hAnsi="Arial"/>
          <w:sz w:val="17"/>
          <w:szCs w:val="17"/>
          <w:color w:val="auto"/>
        </w:rPr>
        <w:t>Three-year metrics were 0.3 percent compounded annual revenue growth and 23.6 percent average operating profit margin, below and above the median respectively as compared with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-241300</wp:posOffset>
            </wp:positionV>
            <wp:extent cx="58420" cy="584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shareholder return (“TSR”)</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TSR increased 27 percent, in the top quartile of competitor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20"/>
        <w:spacing w:after="0" w:line="257" w:lineRule="auto"/>
        <w:rPr>
          <w:sz w:val="20"/>
          <w:szCs w:val="20"/>
          <w:color w:val="auto"/>
        </w:rPr>
      </w:pPr>
      <w:r>
        <w:rPr>
          <w:rFonts w:ascii="Arial" w:cs="Arial" w:eastAsia="Arial" w:hAnsi="Arial"/>
          <w:sz w:val="17"/>
          <w:szCs w:val="17"/>
          <w:color w:val="auto"/>
        </w:rPr>
        <w:t>The company returned cash to stockholders through stock repurchases of $2.5 billion, reducing outstanding shares by 6 percent. The company also increased the quarterly dividend rate by 8 percent, the eighth increase in seven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-229870</wp:posOffset>
            </wp:positionV>
            <wp:extent cx="58420" cy="584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Even accounting for the above stock repurchases and dividend increases, the balance sheet remained robust, ending the year with cash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short-term investments of almost $3.1 billion.</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Three-year TSR was 1 percent, below the median of competitor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-88265</wp:posOffset>
            </wp:positionV>
            <wp:extent cx="58420" cy="584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progress</w:t>
      </w:r>
    </w:p>
    <w:p>
      <w:pPr>
        <w:spacing w:after="0" w:line="19" w:lineRule="exact"/>
        <w:rPr>
          <w:sz w:val="20"/>
          <w:szCs w:val="20"/>
          <w:color w:val="auto"/>
        </w:rPr>
      </w:pPr>
    </w:p>
    <w:p>
      <w:pPr>
        <w:ind w:left="520" w:right="180"/>
        <w:spacing w:after="0" w:line="257" w:lineRule="auto"/>
        <w:rPr>
          <w:sz w:val="20"/>
          <w:szCs w:val="20"/>
          <w:color w:val="auto"/>
        </w:rPr>
      </w:pPr>
      <w:r>
        <w:rPr>
          <w:rFonts w:ascii="Arial" w:cs="Arial" w:eastAsia="Arial" w:hAnsi="Arial"/>
          <w:sz w:val="17"/>
          <w:szCs w:val="17"/>
          <w:color w:val="auto"/>
        </w:rPr>
        <w:t>The company accelerated additions to its Analog wafer fabrication capacity, continuing to purchase equipment at steep discounts compared to its original cost. Together with 2009 purchases, the additions are capable of generating at least $5 billion more in annual sales once fully operational and loaded. As a result, TI has a large and cost-competitive base of capacity from which to serve customers and expand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-495935</wp:posOffset>
            </wp:positionV>
            <wp:extent cx="58420" cy="584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40"/>
        <w:spacing w:after="0" w:line="257" w:lineRule="auto"/>
        <w:rPr>
          <w:sz w:val="20"/>
          <w:szCs w:val="20"/>
          <w:color w:val="auto"/>
        </w:rPr>
      </w:pPr>
      <w:r>
        <w:rPr>
          <w:rFonts w:ascii="Arial" w:cs="Arial" w:eastAsia="Arial" w:hAnsi="Arial"/>
          <w:sz w:val="17"/>
          <w:szCs w:val="17"/>
          <w:color w:val="auto"/>
        </w:rPr>
        <w:t>TI launched more than 900 new semiconductor products, including almost 400 new microcontroller products that expanded the breadth of the company’s Embedded Processing portfolio at the low and high end of the performance range. These microcontrollers are especially important in TI’s ability to continue gaining share in the large Embedded Processing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-362585</wp:posOffset>
            </wp:positionV>
            <wp:extent cx="58420" cy="584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300"/>
        <w:spacing w:after="0" w:line="257" w:lineRule="auto"/>
        <w:rPr>
          <w:sz w:val="20"/>
          <w:szCs w:val="20"/>
          <w:color w:val="auto"/>
        </w:rPr>
      </w:pPr>
      <w:r>
        <w:rPr>
          <w:rFonts w:ascii="Arial" w:cs="Arial" w:eastAsia="Arial" w:hAnsi="Arial"/>
          <w:sz w:val="17"/>
          <w:szCs w:val="17"/>
          <w:color w:val="auto"/>
        </w:rPr>
        <w:t>The company opened its first semiconductor manufacturing plant in China, the world’s largest semiconductor market, and expanded its sales force and product offerings there. TI’s market share in China increased for the second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-229870</wp:posOffset>
            </wp:positionV>
            <wp:extent cx="58420" cy="584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ind w:left="520" w:right="100"/>
        <w:spacing w:after="0" w:line="259" w:lineRule="auto"/>
        <w:rPr>
          <w:sz w:val="20"/>
          <w:szCs w:val="20"/>
          <w:color w:val="auto"/>
        </w:rPr>
      </w:pPr>
      <w:r>
        <w:rPr>
          <w:rFonts w:ascii="Arial" w:cs="Arial" w:eastAsia="Arial" w:hAnsi="Arial"/>
          <w:sz w:val="17"/>
          <w:szCs w:val="17"/>
          <w:color w:val="auto"/>
        </w:rPr>
        <w:t>In summarizing strategic progress for 2010, the committee noted that TI is focused on segments of the semiconductor market that have long-term growth potential thanks to the many and increasing number of electronic systems that now require Analog and Embedded Processing technology. Further, the committee concluded TI’s strategy, products and manufacturing capacity give the company a sustainable advantage over competitors, and as evidence noted that TI’s core businesses of Analog and Embedded Processing plus its non-baseband wireless operations had collectively outgrown the market by 17 percentage points on a normalized annual basis since the third quarter of 2008 (the peak quarter prior to the 2008-2009 recession).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-767715</wp:posOffset>
            </wp:positionV>
            <wp:extent cx="58420" cy="584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Performance Summary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4100" w:type="dxa"/>
            <w:vAlign w:val="bottom"/>
          </w:tcPr>
          <w:p>
            <w:pPr>
              <w:jc w:val="right"/>
              <w:ind w:right="78"/>
              <w:spacing w:after="0"/>
              <w:rPr>
                <w:sz w:val="20"/>
                <w:szCs w:val="20"/>
                <w:color w:val="auto"/>
              </w:rPr>
            </w:pPr>
            <w:r>
              <w:rPr>
                <w:rFonts w:ascii="Arial" w:cs="Arial" w:eastAsia="Arial" w:hAnsi="Arial"/>
                <w:sz w:val="13"/>
                <w:szCs w:val="13"/>
                <w:b w:val="1"/>
                <w:bCs w:val="1"/>
                <w:color w:val="auto"/>
              </w:rPr>
              <w:t>1-Year</w:t>
            </w:r>
          </w:p>
        </w:tc>
        <w:tc>
          <w:tcPr>
            <w:tcW w:w="1200" w:type="dxa"/>
            <w:vAlign w:val="bottom"/>
          </w:tcPr>
          <w:p>
            <w:pPr>
              <w:jc w:val="center"/>
              <w:ind w:left="58"/>
              <w:spacing w:after="0"/>
              <w:rPr>
                <w:sz w:val="20"/>
                <w:szCs w:val="20"/>
                <w:color w:val="auto"/>
              </w:rPr>
            </w:pPr>
            <w:r>
              <w:rPr>
                <w:rFonts w:ascii="Arial" w:cs="Arial" w:eastAsia="Arial" w:hAnsi="Arial"/>
                <w:sz w:val="13"/>
                <w:szCs w:val="13"/>
                <w:b w:val="1"/>
                <w:bCs w:val="1"/>
                <w:color w:val="auto"/>
                <w:w w:val="95"/>
              </w:rPr>
              <w:t>3-Year</w:t>
            </w:r>
          </w:p>
        </w:tc>
      </w:tr>
      <w:tr>
        <w:trPr>
          <w:trHeight w:val="41"/>
        </w:trPr>
        <w:tc>
          <w:tcPr>
            <w:tcW w:w="6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66"/>
        </w:trPr>
        <w:tc>
          <w:tcPr>
            <w:tcW w:w="6120" w:type="dxa"/>
            <w:vAlign w:val="bottom"/>
            <w:shd w:val="clear" w:color="auto" w:fill="808285"/>
          </w:tcPr>
          <w:p>
            <w:pPr>
              <w:spacing w:after="0"/>
              <w:rPr>
                <w:sz w:val="5"/>
                <w:szCs w:val="5"/>
                <w:color w:val="auto"/>
              </w:rPr>
            </w:pPr>
          </w:p>
        </w:tc>
        <w:tc>
          <w:tcPr>
            <w:tcW w:w="4100" w:type="dxa"/>
            <w:vAlign w:val="bottom"/>
            <w:shd w:val="clear" w:color="auto" w:fill="808285"/>
          </w:tcPr>
          <w:p>
            <w:pPr>
              <w:spacing w:after="0"/>
              <w:rPr>
                <w:sz w:val="5"/>
                <w:szCs w:val="5"/>
                <w:color w:val="auto"/>
              </w:rPr>
            </w:pPr>
          </w:p>
        </w:tc>
        <w:tc>
          <w:tcPr>
            <w:tcW w:w="1200" w:type="dxa"/>
            <w:vAlign w:val="bottom"/>
            <w:shd w:val="clear" w:color="auto" w:fill="808285"/>
          </w:tcPr>
          <w:p>
            <w:pPr>
              <w:spacing w:after="0"/>
              <w:rPr>
                <w:sz w:val="5"/>
                <w:szCs w:val="5"/>
                <w:color w:val="auto"/>
              </w:rPr>
            </w:pPr>
          </w:p>
        </w:tc>
      </w:tr>
      <w:tr>
        <w:trPr>
          <w:trHeight w:val="236"/>
        </w:trPr>
        <w:tc>
          <w:tcPr>
            <w:tcW w:w="6120" w:type="dxa"/>
            <w:vAlign w:val="bottom"/>
            <w:shd w:val="clear" w:color="auto" w:fill="E9E9E9"/>
          </w:tcPr>
          <w:p>
            <w:pPr>
              <w:spacing w:after="0"/>
              <w:rPr>
                <w:sz w:val="20"/>
                <w:szCs w:val="20"/>
                <w:color w:val="auto"/>
              </w:rPr>
            </w:pPr>
            <w:r>
              <w:rPr>
                <w:rFonts w:ascii="Arial" w:cs="Arial" w:eastAsia="Arial" w:hAnsi="Arial"/>
                <w:sz w:val="17"/>
                <w:szCs w:val="17"/>
                <w:color w:val="auto"/>
              </w:rPr>
              <w:t>Revenue growth</w:t>
            </w:r>
          </w:p>
        </w:tc>
        <w:tc>
          <w:tcPr>
            <w:tcW w:w="4100" w:type="dxa"/>
            <w:vAlign w:val="bottom"/>
            <w:shd w:val="clear" w:color="auto" w:fill="E9E9E9"/>
          </w:tcPr>
          <w:p>
            <w:pPr>
              <w:jc w:val="right"/>
              <w:ind w:right="98"/>
              <w:spacing w:after="0"/>
              <w:rPr>
                <w:sz w:val="20"/>
                <w:szCs w:val="20"/>
                <w:color w:val="auto"/>
              </w:rPr>
            </w:pPr>
            <w:r>
              <w:rPr>
                <w:rFonts w:ascii="Arial" w:cs="Arial" w:eastAsia="Arial" w:hAnsi="Arial"/>
                <w:sz w:val="17"/>
                <w:szCs w:val="17"/>
                <w:color w:val="auto"/>
              </w:rPr>
              <w:t>34%</w:t>
            </w:r>
          </w:p>
        </w:tc>
        <w:tc>
          <w:tcPr>
            <w:tcW w:w="12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0.3% CAGR</w:t>
            </w:r>
          </w:p>
        </w:tc>
      </w:tr>
      <w:tr>
        <w:trPr>
          <w:trHeight w:val="228"/>
        </w:trPr>
        <w:tc>
          <w:tcPr>
            <w:tcW w:w="6120" w:type="dxa"/>
            <w:vAlign w:val="bottom"/>
          </w:tcPr>
          <w:p>
            <w:pPr>
              <w:spacing w:after="0"/>
              <w:rPr>
                <w:sz w:val="20"/>
                <w:szCs w:val="20"/>
                <w:color w:val="auto"/>
              </w:rPr>
            </w:pPr>
            <w:r>
              <w:rPr>
                <w:rFonts w:ascii="Arial" w:cs="Arial" w:eastAsia="Arial" w:hAnsi="Arial"/>
                <w:sz w:val="17"/>
                <w:szCs w:val="17"/>
                <w:color w:val="auto"/>
              </w:rPr>
              <w:t>Operating margin</w:t>
            </w:r>
          </w:p>
        </w:tc>
        <w:tc>
          <w:tcPr>
            <w:tcW w:w="4100" w:type="dxa"/>
            <w:vAlign w:val="bottom"/>
          </w:tcPr>
          <w:p>
            <w:pPr>
              <w:jc w:val="right"/>
              <w:ind w:right="98"/>
              <w:spacing w:after="0"/>
              <w:rPr>
                <w:sz w:val="20"/>
                <w:szCs w:val="20"/>
                <w:color w:val="auto"/>
              </w:rPr>
            </w:pPr>
            <w:r>
              <w:rPr>
                <w:rFonts w:ascii="Arial" w:cs="Arial" w:eastAsia="Arial" w:hAnsi="Arial"/>
                <w:sz w:val="17"/>
                <w:szCs w:val="17"/>
                <w:color w:val="auto"/>
              </w:rPr>
              <w:t>32%</w:t>
            </w:r>
          </w:p>
        </w:tc>
        <w:tc>
          <w:tcPr>
            <w:tcW w:w="1200" w:type="dxa"/>
            <w:vAlign w:val="bottom"/>
          </w:tcPr>
          <w:p>
            <w:pPr>
              <w:jc w:val="center"/>
              <w:ind w:left="98"/>
              <w:spacing w:after="0"/>
              <w:rPr>
                <w:sz w:val="20"/>
                <w:szCs w:val="20"/>
                <w:color w:val="auto"/>
              </w:rPr>
            </w:pPr>
            <w:r>
              <w:rPr>
                <w:rFonts w:ascii="Arial" w:cs="Arial" w:eastAsia="Arial" w:hAnsi="Arial"/>
                <w:sz w:val="17"/>
                <w:szCs w:val="17"/>
                <w:color w:val="auto"/>
              </w:rPr>
              <w:t>24% average</w:t>
            </w:r>
          </w:p>
        </w:tc>
      </w:tr>
      <w:tr>
        <w:trPr>
          <w:trHeight w:val="244"/>
        </w:trPr>
        <w:tc>
          <w:tcPr>
            <w:tcW w:w="6120" w:type="dxa"/>
            <w:vAlign w:val="bottom"/>
            <w:shd w:val="clear" w:color="auto" w:fill="E9E9E9"/>
          </w:tcPr>
          <w:p>
            <w:pPr>
              <w:spacing w:after="0"/>
              <w:rPr>
                <w:sz w:val="20"/>
                <w:szCs w:val="20"/>
                <w:color w:val="auto"/>
              </w:rPr>
            </w:pPr>
            <w:r>
              <w:rPr>
                <w:rFonts w:ascii="Arial" w:cs="Arial" w:eastAsia="Arial" w:hAnsi="Arial"/>
                <w:sz w:val="17"/>
                <w:szCs w:val="17"/>
                <w:color w:val="auto"/>
              </w:rPr>
              <w:t>Return on invested capital (ROIC)</w:t>
            </w:r>
          </w:p>
        </w:tc>
        <w:tc>
          <w:tcPr>
            <w:tcW w:w="4100" w:type="dxa"/>
            <w:vAlign w:val="bottom"/>
            <w:shd w:val="clear" w:color="auto" w:fill="E9E9E9"/>
          </w:tcPr>
          <w:p>
            <w:pPr>
              <w:jc w:val="right"/>
              <w:ind w:right="98"/>
              <w:spacing w:after="0"/>
              <w:rPr>
                <w:sz w:val="20"/>
                <w:szCs w:val="20"/>
                <w:color w:val="auto"/>
              </w:rPr>
            </w:pPr>
            <w:r>
              <w:rPr>
                <w:rFonts w:ascii="Arial" w:cs="Arial" w:eastAsia="Arial" w:hAnsi="Arial"/>
                <w:sz w:val="17"/>
                <w:szCs w:val="17"/>
                <w:color w:val="auto"/>
              </w:rPr>
              <w:t>31%</w:t>
            </w:r>
          </w:p>
        </w:tc>
        <w:tc>
          <w:tcPr>
            <w:tcW w:w="1200" w:type="dxa"/>
            <w:vAlign w:val="bottom"/>
            <w:shd w:val="clear" w:color="auto" w:fill="E9E9E9"/>
          </w:tcPr>
          <w:p>
            <w:pPr>
              <w:jc w:val="center"/>
              <w:ind w:left="98"/>
              <w:spacing w:after="0"/>
              <w:rPr>
                <w:sz w:val="20"/>
                <w:szCs w:val="20"/>
                <w:color w:val="auto"/>
              </w:rPr>
            </w:pPr>
            <w:r>
              <w:rPr>
                <w:rFonts w:ascii="Arial" w:cs="Arial" w:eastAsia="Arial" w:hAnsi="Arial"/>
                <w:sz w:val="17"/>
                <w:szCs w:val="17"/>
                <w:color w:val="auto"/>
              </w:rPr>
              <w:t>22% average</w:t>
            </w:r>
          </w:p>
        </w:tc>
      </w:tr>
      <w:tr>
        <w:trPr>
          <w:trHeight w:val="228"/>
        </w:trPr>
        <w:tc>
          <w:tcPr>
            <w:tcW w:w="6120" w:type="dxa"/>
            <w:vAlign w:val="bottom"/>
          </w:tcPr>
          <w:p>
            <w:pPr>
              <w:spacing w:after="0"/>
              <w:rPr>
                <w:sz w:val="20"/>
                <w:szCs w:val="20"/>
                <w:color w:val="auto"/>
              </w:rPr>
            </w:pPr>
            <w:r>
              <w:rPr>
                <w:rFonts w:ascii="Arial" w:cs="Arial" w:eastAsia="Arial" w:hAnsi="Arial"/>
                <w:sz w:val="17"/>
                <w:szCs w:val="17"/>
                <w:color w:val="auto"/>
              </w:rPr>
              <w:t>Quarterly dividend growth</w:t>
            </w:r>
          </w:p>
        </w:tc>
        <w:tc>
          <w:tcPr>
            <w:tcW w:w="4100" w:type="dxa"/>
            <w:vAlign w:val="bottom"/>
          </w:tcPr>
          <w:p>
            <w:pPr>
              <w:jc w:val="right"/>
              <w:ind w:right="98"/>
              <w:spacing w:after="0"/>
              <w:rPr>
                <w:sz w:val="20"/>
                <w:szCs w:val="20"/>
                <w:color w:val="auto"/>
              </w:rPr>
            </w:pPr>
            <w:r>
              <w:rPr>
                <w:rFonts w:ascii="Arial" w:cs="Arial" w:eastAsia="Arial" w:hAnsi="Arial"/>
                <w:sz w:val="17"/>
                <w:szCs w:val="17"/>
                <w:color w:val="auto"/>
              </w:rPr>
              <w:t>8%</w:t>
            </w:r>
          </w:p>
        </w:tc>
        <w:tc>
          <w:tcPr>
            <w:tcW w:w="1200" w:type="dxa"/>
            <w:vAlign w:val="bottom"/>
          </w:tcPr>
          <w:p>
            <w:pPr>
              <w:jc w:val="right"/>
              <w:ind w:right="598"/>
              <w:spacing w:after="0"/>
              <w:rPr>
                <w:sz w:val="20"/>
                <w:szCs w:val="20"/>
                <w:color w:val="auto"/>
              </w:rPr>
            </w:pPr>
            <w:r>
              <w:rPr>
                <w:rFonts w:ascii="Arial" w:cs="Arial" w:eastAsia="Arial" w:hAnsi="Arial"/>
                <w:sz w:val="17"/>
                <w:szCs w:val="17"/>
                <w:color w:val="auto"/>
              </w:rPr>
              <w:t>27%</w:t>
            </w:r>
          </w:p>
        </w:tc>
      </w:tr>
      <w:tr>
        <w:trPr>
          <w:trHeight w:val="244"/>
        </w:trPr>
        <w:tc>
          <w:tcPr>
            <w:tcW w:w="6120" w:type="dxa"/>
            <w:vAlign w:val="bottom"/>
            <w:shd w:val="clear" w:color="auto" w:fill="E9E9E9"/>
          </w:tcPr>
          <w:p>
            <w:pPr>
              <w:spacing w:after="0"/>
              <w:rPr>
                <w:sz w:val="20"/>
                <w:szCs w:val="20"/>
                <w:color w:val="auto"/>
              </w:rPr>
            </w:pPr>
            <w:r>
              <w:rPr>
                <w:rFonts w:ascii="Arial" w:cs="Arial" w:eastAsia="Arial" w:hAnsi="Arial"/>
                <w:sz w:val="17"/>
                <w:szCs w:val="17"/>
                <w:color w:val="auto"/>
              </w:rPr>
              <w:t>Total shareholder return (TSR)</w:t>
            </w:r>
          </w:p>
        </w:tc>
        <w:tc>
          <w:tcPr>
            <w:tcW w:w="4100" w:type="dxa"/>
            <w:vAlign w:val="bottom"/>
            <w:shd w:val="clear" w:color="auto" w:fill="E9E9E9"/>
          </w:tcPr>
          <w:p>
            <w:pPr>
              <w:jc w:val="right"/>
              <w:ind w:right="98"/>
              <w:spacing w:after="0"/>
              <w:rPr>
                <w:sz w:val="20"/>
                <w:szCs w:val="20"/>
                <w:color w:val="auto"/>
              </w:rPr>
            </w:pPr>
            <w:r>
              <w:rPr>
                <w:rFonts w:ascii="Arial" w:cs="Arial" w:eastAsia="Arial" w:hAnsi="Arial"/>
                <w:sz w:val="17"/>
                <w:szCs w:val="17"/>
                <w:color w:val="auto"/>
              </w:rPr>
              <w:t>27%</w:t>
            </w:r>
          </w:p>
        </w:tc>
        <w:tc>
          <w:tcPr>
            <w:tcW w:w="1200" w:type="dxa"/>
            <w:vAlign w:val="bottom"/>
            <w:shd w:val="clear" w:color="auto" w:fill="E9E9E9"/>
          </w:tcPr>
          <w:p>
            <w:pPr>
              <w:jc w:val="center"/>
              <w:ind w:left="58"/>
              <w:spacing w:after="0"/>
              <w:rPr>
                <w:sz w:val="20"/>
                <w:szCs w:val="20"/>
                <w:color w:val="auto"/>
              </w:rPr>
            </w:pPr>
            <w:r>
              <w:rPr>
                <w:rFonts w:ascii="Arial" w:cs="Arial" w:eastAsia="Arial" w:hAnsi="Arial"/>
                <w:sz w:val="17"/>
                <w:szCs w:val="17"/>
                <w:color w:val="auto"/>
                <w:w w:val="99"/>
              </w:rPr>
              <w:t>1% CAGR</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CAGR = compound annual growth rate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ROIC = operating margin x (1 – tax rate) / (assets – non-debt liabilities)</w:t>
      </w:r>
    </w:p>
    <w:p>
      <w:pPr>
        <w:spacing w:after="0" w:line="237" w:lineRule="exact"/>
        <w:rPr>
          <w:sz w:val="20"/>
          <w:szCs w:val="20"/>
          <w:color w:val="auto"/>
        </w:rPr>
      </w:pPr>
    </w:p>
    <w:p>
      <w:pPr>
        <w:ind w:left="1500" w:right="160" w:hanging="1494"/>
        <w:spacing w:after="0" w:line="262" w:lineRule="auto"/>
        <w:rPr>
          <w:sz w:val="20"/>
          <w:szCs w:val="20"/>
          <w:color w:val="auto"/>
        </w:rPr>
      </w:pPr>
      <w:r>
        <w:rPr>
          <w:rFonts w:ascii="Arial" w:cs="Arial" w:eastAsia="Arial" w:hAnsi="Arial"/>
          <w:sz w:val="17"/>
          <w:szCs w:val="17"/>
          <w:color w:val="auto"/>
        </w:rPr>
        <w:t>One-year TSR % = (adjusted closing price of the company’s stock at year-end 2010, divided by 2009 year-end adjusted closing price) minus 1. The adjusted closing price is as shown under Historical Prices for the company’s stock on Yahoo! Finance and reflects stock splits and reinvestment of dividends.</w:t>
      </w:r>
    </w:p>
    <w:p>
      <w:pPr>
        <w:spacing w:after="0" w:line="238" w:lineRule="exact"/>
        <w:rPr>
          <w:sz w:val="20"/>
          <w:szCs w:val="20"/>
          <w:color w:val="auto"/>
        </w:rPr>
      </w:pPr>
    </w:p>
    <w:p>
      <w:pPr>
        <w:ind w:left="2160" w:right="480" w:hanging="2162"/>
        <w:spacing w:after="0" w:line="316" w:lineRule="auto"/>
        <w:rPr>
          <w:sz w:val="20"/>
          <w:szCs w:val="20"/>
          <w:color w:val="auto"/>
        </w:rPr>
      </w:pPr>
      <w:r>
        <w:rPr>
          <w:rFonts w:ascii="Arial" w:cs="Arial" w:eastAsia="Arial" w:hAnsi="Arial"/>
          <w:sz w:val="17"/>
          <w:szCs w:val="17"/>
          <w:color w:val="auto"/>
        </w:rPr>
        <w:t xml:space="preserve">Three-year TSR CAGR % = (adjusted closing price of the company’s stock at year-end 2010, divided by 2007 year-end adjusted closing price) </w:t>
      </w:r>
      <w:r>
        <w:rPr>
          <w:rFonts w:ascii="Arial" w:cs="Arial" w:eastAsia="Arial" w:hAnsi="Arial"/>
          <w:sz w:val="11"/>
          <w:szCs w:val="11"/>
          <w:color w:val="auto"/>
        </w:rPr>
        <w:t>1/3</w:t>
      </w:r>
      <w:r>
        <w:rPr>
          <w:rFonts w:ascii="Arial" w:cs="Arial" w:eastAsia="Arial" w:hAnsi="Arial"/>
          <w:sz w:val="17"/>
          <w:szCs w:val="17"/>
          <w:color w:val="auto"/>
        </w:rPr>
        <w:t xml:space="preserve"> minus 1. Adjusted closing price is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185420</wp:posOffset>
            </wp:positionV>
            <wp:extent cx="727138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21" w:name="page22"/>
    <w:bookmarkEnd w:id="21"/>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69</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Before setting the bonuses for the named executive officers, the committee considered the officers’ individual performance. The performance of the CEO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Mr. March is the chief financial officer. The committee noted the financial management of the company.</w:t>
      </w:r>
    </w:p>
    <w:p>
      <w:pPr>
        <w:spacing w:after="0" w:line="40" w:lineRule="exact"/>
        <w:rPr>
          <w:sz w:val="20"/>
          <w:szCs w:val="20"/>
          <w:color w:val="auto"/>
        </w:rPr>
      </w:pPr>
    </w:p>
    <w:p>
      <w:pPr>
        <w:ind w:right="320" w:firstLine="262"/>
        <w:spacing w:after="0" w:line="265" w:lineRule="auto"/>
        <w:rPr>
          <w:sz w:val="20"/>
          <w:szCs w:val="20"/>
          <w:color w:val="auto"/>
        </w:rPr>
      </w:pPr>
      <w:r>
        <w:rPr>
          <w:rFonts w:ascii="Arial" w:cs="Arial" w:eastAsia="Arial" w:hAnsi="Arial"/>
          <w:sz w:val="17"/>
          <w:szCs w:val="17"/>
          <w:color w:val="auto"/>
        </w:rPr>
        <w:t>Mr. Lowe is responsible for the company’s analog semiconductor product lines. The committee noted the financial performance of those product lines, including the company’s analog market share, and the position of the operations strategically and with customers.</w:t>
      </w:r>
    </w:p>
    <w:p>
      <w:pPr>
        <w:spacing w:after="0" w:line="1" w:lineRule="exact"/>
        <w:rPr>
          <w:sz w:val="20"/>
          <w:szCs w:val="20"/>
          <w:color w:val="auto"/>
        </w:rPr>
      </w:pPr>
    </w:p>
    <w:p>
      <w:pPr>
        <w:ind w:right="220" w:firstLine="262"/>
        <w:spacing w:after="0" w:line="265" w:lineRule="auto"/>
        <w:rPr>
          <w:sz w:val="20"/>
          <w:szCs w:val="20"/>
          <w:color w:val="auto"/>
        </w:rPr>
      </w:pPr>
      <w:r>
        <w:rPr>
          <w:rFonts w:ascii="Arial" w:cs="Arial" w:eastAsia="Arial" w:hAnsi="Arial"/>
          <w:sz w:val="17"/>
          <w:szCs w:val="17"/>
          <w:color w:val="auto"/>
        </w:rPr>
        <w:t>Mr. Ritchie is responsible for the company’s semiconductor manufacturing operations. The committee noted the performance of those operations, including their cost-competitiveness and inventory management.</w:t>
      </w:r>
    </w:p>
    <w:p>
      <w:pPr>
        <w:spacing w:after="0" w:line="1" w:lineRule="exact"/>
        <w:rPr>
          <w:sz w:val="20"/>
          <w:szCs w:val="20"/>
          <w:color w:val="auto"/>
        </w:rPr>
      </w:pPr>
    </w:p>
    <w:p>
      <w:pPr>
        <w:jc w:val="both"/>
        <w:ind w:right="80" w:firstLine="262"/>
        <w:spacing w:after="0" w:line="265" w:lineRule="auto"/>
        <w:rPr>
          <w:sz w:val="20"/>
          <w:szCs w:val="20"/>
          <w:color w:val="auto"/>
        </w:rPr>
      </w:pPr>
      <w:r>
        <w:rPr>
          <w:rFonts w:ascii="Arial" w:cs="Arial" w:eastAsia="Arial" w:hAnsi="Arial"/>
          <w:sz w:val="17"/>
          <w:szCs w:val="17"/>
          <w:color w:val="auto"/>
        </w:rPr>
        <w:t>Mr. Crutcher is responsible for the company’s embedded processing and custom product lines. The committee noted the financial performance and strategic position of the product lines, including the microcontroller product line for which he was responsible before his promotion in September 2010.</w:t>
      </w:r>
    </w:p>
    <w:p>
      <w:pPr>
        <w:spacing w:after="0" w:line="1" w:lineRule="exact"/>
        <w:rPr>
          <w:sz w:val="20"/>
          <w:szCs w:val="20"/>
          <w:color w:val="auto"/>
        </w:rPr>
      </w:pPr>
    </w:p>
    <w:p>
      <w:pPr>
        <w:ind w:right="60" w:firstLine="262"/>
        <w:spacing w:after="0" w:line="250" w:lineRule="auto"/>
        <w:rPr>
          <w:sz w:val="20"/>
          <w:szCs w:val="20"/>
          <w:color w:val="auto"/>
        </w:rPr>
      </w:pPr>
      <w:r>
        <w:rPr>
          <w:rFonts w:ascii="Arial" w:cs="Arial" w:eastAsia="Arial" w:hAnsi="Arial"/>
          <w:sz w:val="17"/>
          <w:szCs w:val="17"/>
          <w:color w:val="auto"/>
        </w:rPr>
        <w:t>The bonuses awarded for 2010 performance are shown in the table below. The differences in the amounts awarded to the named executive officers were primarily the result of differences in the officers’ level of responsibility and the applicable market level of total cash compensation expected to be paid to similarly situated officers in the Comparator Group. The bonus of each named executive officer was paid under the Executive Officer Performance Plan described on pages 72 and 75.</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i w:val="1"/>
          <w:iCs w:val="1"/>
          <w:color w:val="auto"/>
        </w:rPr>
        <w:t xml:space="preserve">Results of the compensation decisions – </w:t>
      </w:r>
      <w:r>
        <w:rPr>
          <w:rFonts w:ascii="Arial" w:cs="Arial" w:eastAsia="Arial" w:hAnsi="Arial"/>
          <w:sz w:val="17"/>
          <w:szCs w:val="17"/>
          <w:color w:val="auto"/>
        </w:rPr>
        <w:t>Results of the compensation decisions made by the committee relating to the named executive officers for</w:t>
      </w:r>
      <w:r>
        <w:rPr>
          <w:rFonts w:ascii="Arial" w:cs="Arial" w:eastAsia="Arial" w:hAnsi="Arial"/>
          <w:sz w:val="17"/>
          <w:szCs w:val="17"/>
          <w:i w:val="1"/>
          <w:iCs w:val="1"/>
          <w:color w:val="auto"/>
        </w:rPr>
        <w:t xml:space="preserve"> </w:t>
      </w:r>
      <w:r>
        <w:rPr>
          <w:rFonts w:ascii="Arial" w:cs="Arial" w:eastAsia="Arial" w:hAnsi="Arial"/>
          <w:sz w:val="17"/>
          <w:szCs w:val="17"/>
          <w:color w:val="auto"/>
        </w:rPr>
        <w:t>2010 are summarized in the following table. In the case of Mr. Crutcher, the compensation received after he became an executive officer in September 2010 is shown. This table is provided as a supplement to the summary compensation table on page 73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The principal differences between this table and the summary compensation table are explained in footnote 4 below.</w:t>
      </w:r>
      <w:r>
        <w:rPr>
          <w:rFonts w:ascii="Arial" w:cs="Arial" w:eastAsia="Arial" w:hAnsi="Arial"/>
          <w:sz w:val="23"/>
          <w:szCs w:val="23"/>
          <w:color w:val="auto"/>
          <w:vertAlign w:val="superscript"/>
        </w:rPr>
        <w:t>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Salary</w:t>
            </w:r>
          </w:p>
        </w:tc>
        <w:tc>
          <w:tcPr>
            <w:tcW w:w="320" w:type="dxa"/>
            <w:vAlign w:val="bottom"/>
          </w:tcPr>
          <w:p>
            <w:pPr>
              <w:spacing w:after="0"/>
              <w:rPr>
                <w:sz w:val="15"/>
                <w:szCs w:val="15"/>
                <w:color w:val="auto"/>
              </w:rPr>
            </w:pPr>
          </w:p>
        </w:tc>
        <w:tc>
          <w:tcPr>
            <w:tcW w:w="840" w:type="dxa"/>
            <w:vAlign w:val="bottom"/>
          </w:tcPr>
          <w:p>
            <w:pPr>
              <w:jc w:val="right"/>
              <w:ind w:right="337"/>
              <w:spacing w:after="0"/>
              <w:rPr>
                <w:sz w:val="20"/>
                <w:szCs w:val="20"/>
                <w:color w:val="auto"/>
              </w:rPr>
            </w:pPr>
            <w:r>
              <w:rPr>
                <w:rFonts w:ascii="Arial" w:cs="Arial" w:eastAsia="Arial" w:hAnsi="Arial"/>
                <w:sz w:val="13"/>
                <w:szCs w:val="13"/>
                <w:b w:val="1"/>
                <w:bCs w:val="1"/>
                <w:color w:val="auto"/>
              </w:rPr>
              <w:t>Profit</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gridSpan w:val="2"/>
          </w:tcPr>
          <w:p>
            <w:pPr>
              <w:jc w:val="right"/>
              <w:ind w:right="75"/>
              <w:spacing w:after="0"/>
              <w:rPr>
                <w:sz w:val="20"/>
                <w:szCs w:val="20"/>
                <w:color w:val="auto"/>
              </w:rPr>
            </w:pPr>
            <w:r>
              <w:rPr>
                <w:rFonts w:ascii="Arial" w:cs="Arial" w:eastAsia="Arial" w:hAnsi="Arial"/>
                <w:sz w:val="13"/>
                <w:szCs w:val="13"/>
                <w:b w:val="1"/>
                <w:bCs w:val="1"/>
                <w:color w:val="auto"/>
              </w:rPr>
              <w:t>Equity Compensation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6"/>
        </w:trPr>
        <w:tc>
          <w:tcPr>
            <w:tcW w:w="4020" w:type="dxa"/>
            <w:vAlign w:val="bottom"/>
          </w:tcPr>
          <w:p>
            <w:pPr>
              <w:spacing w:after="0"/>
              <w:rPr>
                <w:sz w:val="20"/>
                <w:szCs w:val="20"/>
                <w:color w:val="auto"/>
              </w:rPr>
            </w:pPr>
            <w:r>
              <w:rPr>
                <w:rFonts w:ascii="Arial" w:cs="Arial" w:eastAsia="Arial" w:hAnsi="Arial"/>
                <w:sz w:val="13"/>
                <w:szCs w:val="13"/>
                <w:b w:val="1"/>
                <w:bCs w:val="1"/>
                <w:color w:val="auto"/>
              </w:rPr>
              <w:t>Officer</w:t>
            </w:r>
          </w:p>
        </w:tc>
        <w:tc>
          <w:tcPr>
            <w:tcW w:w="860" w:type="dxa"/>
            <w:vAlign w:val="bottom"/>
          </w:tcPr>
          <w:p>
            <w:pPr>
              <w:jc w:val="center"/>
              <w:ind w:left="16"/>
              <w:spacing w:after="0"/>
              <w:rPr>
                <w:sz w:val="20"/>
                <w:szCs w:val="20"/>
                <w:color w:val="auto"/>
              </w:rPr>
            </w:pPr>
            <w:r>
              <w:rPr>
                <w:rFonts w:ascii="Arial" w:cs="Arial" w:eastAsia="Arial" w:hAnsi="Arial"/>
                <w:sz w:val="13"/>
                <w:szCs w:val="13"/>
                <w:b w:val="1"/>
                <w:bCs w:val="1"/>
                <w:color w:val="auto"/>
                <w:w w:val="99"/>
              </w:rPr>
              <w:t>Year</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9"/>
              </w:rPr>
              <w:t>(Annual Rate)</w:t>
            </w:r>
          </w:p>
        </w:tc>
        <w:tc>
          <w:tcPr>
            <w:tcW w:w="320" w:type="dxa"/>
            <w:vAlign w:val="bottom"/>
          </w:tcPr>
          <w:p>
            <w:pPr>
              <w:spacing w:after="0"/>
              <w:rPr>
                <w:sz w:val="20"/>
                <w:szCs w:val="20"/>
                <w:color w:val="auto"/>
              </w:rPr>
            </w:pPr>
          </w:p>
        </w:tc>
        <w:tc>
          <w:tcPr>
            <w:tcW w:w="840" w:type="dxa"/>
            <w:vAlign w:val="bottom"/>
          </w:tcPr>
          <w:p>
            <w:pPr>
              <w:jc w:val="right"/>
              <w:ind w:right="257"/>
              <w:spacing w:after="0"/>
              <w:rPr>
                <w:sz w:val="20"/>
                <w:szCs w:val="20"/>
                <w:color w:val="auto"/>
              </w:rPr>
            </w:pPr>
            <w:r>
              <w:rPr>
                <w:rFonts w:ascii="Arial" w:cs="Arial" w:eastAsia="Arial" w:hAnsi="Arial"/>
                <w:sz w:val="13"/>
                <w:szCs w:val="13"/>
                <w:b w:val="1"/>
                <w:bCs w:val="1"/>
                <w:color w:val="auto"/>
                <w:w w:val="99"/>
              </w:rPr>
              <w:t>Sharing</w:t>
            </w:r>
          </w:p>
        </w:tc>
        <w:tc>
          <w:tcPr>
            <w:tcW w:w="320" w:type="dxa"/>
            <w:vAlign w:val="bottom"/>
          </w:tcPr>
          <w:p>
            <w:pPr>
              <w:spacing w:after="0"/>
              <w:rPr>
                <w:sz w:val="20"/>
                <w:szCs w:val="20"/>
                <w:color w:val="auto"/>
              </w:rPr>
            </w:pPr>
          </w:p>
        </w:tc>
        <w:tc>
          <w:tcPr>
            <w:tcW w:w="960" w:type="dxa"/>
            <w:vAlign w:val="bottom"/>
          </w:tcPr>
          <w:p>
            <w:pPr>
              <w:jc w:val="right"/>
              <w:ind w:right="336"/>
              <w:spacing w:after="0"/>
              <w:rPr>
                <w:sz w:val="20"/>
                <w:szCs w:val="20"/>
                <w:color w:val="auto"/>
              </w:rPr>
            </w:pPr>
            <w:r>
              <w:rPr>
                <w:rFonts w:ascii="Arial" w:cs="Arial" w:eastAsia="Arial" w:hAnsi="Arial"/>
                <w:sz w:val="13"/>
                <w:szCs w:val="13"/>
                <w:b w:val="1"/>
                <w:bCs w:val="1"/>
                <w:color w:val="auto"/>
              </w:rPr>
              <w:t>Bonus</w:t>
            </w:r>
          </w:p>
        </w:tc>
        <w:tc>
          <w:tcPr>
            <w:tcW w:w="1740" w:type="dxa"/>
            <w:vAlign w:val="bottom"/>
            <w:gridSpan w:val="2"/>
          </w:tcPr>
          <w:p>
            <w:pPr>
              <w:jc w:val="right"/>
              <w:ind w:right="55"/>
              <w:spacing w:after="0"/>
              <w:rPr>
                <w:sz w:val="20"/>
                <w:szCs w:val="20"/>
                <w:color w:val="auto"/>
              </w:rPr>
            </w:pPr>
            <w:r>
              <w:rPr>
                <w:rFonts w:ascii="Arial" w:cs="Arial" w:eastAsia="Arial" w:hAnsi="Arial"/>
                <w:sz w:val="13"/>
                <w:szCs w:val="13"/>
                <w:b w:val="1"/>
                <w:bCs w:val="1"/>
                <w:color w:val="auto"/>
              </w:rPr>
              <w:t>(Grant Date Fair Value)</w:t>
            </w:r>
          </w:p>
        </w:tc>
        <w:tc>
          <w:tcPr>
            <w:tcW w:w="260" w:type="dxa"/>
            <w:vAlign w:val="bottom"/>
          </w:tcPr>
          <w:p>
            <w:pPr>
              <w:spacing w:after="0"/>
              <w:rPr>
                <w:sz w:val="20"/>
                <w:szCs w:val="20"/>
                <w:color w:val="auto"/>
              </w:rPr>
            </w:pPr>
          </w:p>
        </w:tc>
        <w:tc>
          <w:tcPr>
            <w:tcW w:w="86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r>
      <w:tr>
        <w:trPr>
          <w:trHeight w:val="41"/>
        </w:trPr>
        <w:tc>
          <w:tcPr>
            <w:tcW w:w="4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66"/>
        </w:trPr>
        <w:tc>
          <w:tcPr>
            <w:tcW w:w="402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c>
          <w:tcPr>
            <w:tcW w:w="1240" w:type="dxa"/>
            <w:vAlign w:val="bottom"/>
            <w:shd w:val="clear" w:color="auto" w:fill="808285"/>
          </w:tcPr>
          <w:p>
            <w:pPr>
              <w:spacing w:after="0"/>
              <w:rPr>
                <w:sz w:val="5"/>
                <w:szCs w:val="5"/>
                <w:color w:val="auto"/>
              </w:rPr>
            </w:pPr>
          </w:p>
        </w:tc>
        <w:tc>
          <w:tcPr>
            <w:tcW w:w="320" w:type="dxa"/>
            <w:vAlign w:val="bottom"/>
            <w:shd w:val="clear" w:color="auto" w:fill="808285"/>
          </w:tcPr>
          <w:p>
            <w:pPr>
              <w:spacing w:after="0"/>
              <w:rPr>
                <w:sz w:val="5"/>
                <w:szCs w:val="5"/>
                <w:color w:val="auto"/>
              </w:rPr>
            </w:pPr>
          </w:p>
        </w:tc>
        <w:tc>
          <w:tcPr>
            <w:tcW w:w="840" w:type="dxa"/>
            <w:vAlign w:val="bottom"/>
            <w:shd w:val="clear" w:color="auto" w:fill="808285"/>
          </w:tcPr>
          <w:p>
            <w:pPr>
              <w:spacing w:after="0"/>
              <w:rPr>
                <w:sz w:val="5"/>
                <w:szCs w:val="5"/>
                <w:color w:val="auto"/>
              </w:rPr>
            </w:pPr>
          </w:p>
        </w:tc>
        <w:tc>
          <w:tcPr>
            <w:tcW w:w="320" w:type="dxa"/>
            <w:vAlign w:val="bottom"/>
            <w:shd w:val="clear" w:color="auto" w:fill="808285"/>
          </w:tcPr>
          <w:p>
            <w:pPr>
              <w:spacing w:after="0"/>
              <w:rPr>
                <w:sz w:val="5"/>
                <w:szCs w:val="5"/>
                <w:color w:val="auto"/>
              </w:rPr>
            </w:pPr>
          </w:p>
        </w:tc>
        <w:tc>
          <w:tcPr>
            <w:tcW w:w="960" w:type="dxa"/>
            <w:vAlign w:val="bottom"/>
            <w:shd w:val="clear" w:color="auto" w:fill="808285"/>
          </w:tcPr>
          <w:p>
            <w:pPr>
              <w:spacing w:after="0"/>
              <w:rPr>
                <w:sz w:val="5"/>
                <w:szCs w:val="5"/>
                <w:color w:val="auto"/>
              </w:rPr>
            </w:pPr>
          </w:p>
        </w:tc>
        <w:tc>
          <w:tcPr>
            <w:tcW w:w="560" w:type="dxa"/>
            <w:vAlign w:val="bottom"/>
            <w:shd w:val="clear" w:color="auto" w:fill="808285"/>
          </w:tcPr>
          <w:p>
            <w:pPr>
              <w:spacing w:after="0"/>
              <w:rPr>
                <w:sz w:val="5"/>
                <w:szCs w:val="5"/>
                <w:color w:val="auto"/>
              </w:rPr>
            </w:pPr>
          </w:p>
        </w:tc>
        <w:tc>
          <w:tcPr>
            <w:tcW w:w="1180" w:type="dxa"/>
            <w:vAlign w:val="bottom"/>
            <w:shd w:val="clear" w:color="auto" w:fill="808285"/>
          </w:tcPr>
          <w:p>
            <w:pPr>
              <w:spacing w:after="0"/>
              <w:rPr>
                <w:sz w:val="5"/>
                <w:szCs w:val="5"/>
                <w:color w:val="auto"/>
              </w:rPr>
            </w:pPr>
          </w:p>
        </w:tc>
        <w:tc>
          <w:tcPr>
            <w:tcW w:w="26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r>
      <w:tr>
        <w:trPr>
          <w:trHeight w:val="220"/>
        </w:trPr>
        <w:tc>
          <w:tcPr>
            <w:tcW w:w="4020" w:type="dxa"/>
            <w:vAlign w:val="bottom"/>
            <w:shd w:val="clear" w:color="auto" w:fill="E9E9E9"/>
          </w:tcPr>
          <w:p>
            <w:pPr>
              <w:spacing w:after="0"/>
              <w:rPr>
                <w:sz w:val="20"/>
                <w:szCs w:val="20"/>
                <w:color w:val="auto"/>
              </w:rPr>
            </w:pPr>
            <w:r>
              <w:rPr>
                <w:rFonts w:ascii="Arial" w:cs="Arial" w:eastAsia="Arial" w:hAnsi="Arial"/>
                <w:sz w:val="17"/>
                <w:szCs w:val="17"/>
                <w:color w:val="auto"/>
              </w:rPr>
              <w:t>Mr. Templeton</w:t>
            </w: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$ 990,087</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w w:val="97"/>
              </w:rPr>
              <w:t>171,094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7"/>
              </w:rPr>
              <w:t>3,000,000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7,715,066</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11,876,247</w:t>
            </w:r>
          </w:p>
        </w:tc>
      </w:tr>
      <w:tr>
        <w:trPr>
          <w:trHeight w:val="236"/>
        </w:trPr>
        <w:tc>
          <w:tcPr>
            <w:tcW w:w="4020" w:type="dxa"/>
            <w:vAlign w:val="bottom"/>
            <w:shd w:val="clear" w:color="auto" w:fill="E9E9E9"/>
          </w:tcPr>
          <w:p>
            <w:pPr>
              <w:spacing w:after="0"/>
              <w:rPr>
                <w:sz w:val="20"/>
                <w:szCs w:val="20"/>
                <w:color w:val="auto"/>
              </w:rPr>
            </w:pP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2009</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$ 963,120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63,084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7"/>
              </w:rPr>
              <w:t>1,725,000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6,919,254</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9,670,458</w:t>
            </w:r>
          </w:p>
        </w:tc>
      </w:tr>
      <w:tr>
        <w:trPr>
          <w:trHeight w:val="252"/>
        </w:trPr>
        <w:tc>
          <w:tcPr>
            <w:tcW w:w="4020" w:type="dxa"/>
            <w:vAlign w:val="bottom"/>
            <w:shd w:val="clear" w:color="auto" w:fill="E9E9E9"/>
          </w:tcPr>
          <w:p>
            <w:pPr>
              <w:spacing w:after="0"/>
              <w:rPr>
                <w:sz w:val="21"/>
                <w:szCs w:val="21"/>
                <w:color w:val="auto"/>
              </w:rPr>
            </w:pP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2008</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$ 963,120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64,853</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7"/>
              </w:rPr>
              <w:t>1,500,000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6,866,100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9,394,073</w:t>
            </w:r>
          </w:p>
        </w:tc>
      </w:tr>
      <w:tr>
        <w:trPr>
          <w:trHeight w:val="236"/>
        </w:trPr>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0"/>
        </w:trPr>
        <w:tc>
          <w:tcPr>
            <w:tcW w:w="4020" w:type="dxa"/>
            <w:vAlign w:val="bottom"/>
            <w:shd w:val="clear" w:color="auto" w:fill="E9E9E9"/>
          </w:tcPr>
          <w:p>
            <w:pPr>
              <w:spacing w:after="0"/>
              <w:rPr>
                <w:sz w:val="20"/>
                <w:szCs w:val="20"/>
                <w:color w:val="auto"/>
              </w:rPr>
            </w:pPr>
            <w:r>
              <w:rPr>
                <w:rFonts w:ascii="Arial" w:cs="Arial" w:eastAsia="Arial" w:hAnsi="Arial"/>
                <w:sz w:val="17"/>
                <w:szCs w:val="17"/>
                <w:color w:val="auto"/>
              </w:rPr>
              <w:t>Mr. March</w:t>
            </w: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$ 530,004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90,858</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975,000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2,303,828</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3,899,690</w:t>
            </w:r>
          </w:p>
        </w:tc>
      </w:tr>
      <w:tr>
        <w:trPr>
          <w:trHeight w:val="236"/>
        </w:trPr>
        <w:tc>
          <w:tcPr>
            <w:tcW w:w="4020" w:type="dxa"/>
            <w:vAlign w:val="bottom"/>
            <w:shd w:val="clear" w:color="auto" w:fill="E9E9E9"/>
          </w:tcPr>
          <w:p>
            <w:pPr>
              <w:spacing w:after="0"/>
              <w:rPr>
                <w:sz w:val="20"/>
                <w:szCs w:val="20"/>
                <w:color w:val="auto"/>
              </w:rPr>
            </w:pP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2009</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$ 465,000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30,458</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575,000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1,978,543</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3,049,001</w:t>
            </w:r>
          </w:p>
        </w:tc>
      </w:tr>
      <w:tr>
        <w:trPr>
          <w:trHeight w:val="252"/>
        </w:trPr>
        <w:tc>
          <w:tcPr>
            <w:tcW w:w="4020" w:type="dxa"/>
            <w:vAlign w:val="bottom"/>
            <w:shd w:val="clear" w:color="auto" w:fill="E9E9E9"/>
          </w:tcPr>
          <w:p>
            <w:pPr>
              <w:spacing w:after="0"/>
              <w:rPr>
                <w:sz w:val="21"/>
                <w:szCs w:val="21"/>
                <w:color w:val="auto"/>
              </w:rPr>
            </w:pP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2008</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$ 465,000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31,219</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425,000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1,797,450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2,718,669</w:t>
            </w:r>
          </w:p>
        </w:tc>
      </w:tr>
      <w:tr>
        <w:trPr>
          <w:trHeight w:val="236"/>
        </w:trPr>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0"/>
        </w:trPr>
        <w:tc>
          <w:tcPr>
            <w:tcW w:w="4020" w:type="dxa"/>
            <w:vAlign w:val="bottom"/>
            <w:shd w:val="clear" w:color="auto" w:fill="E9E9E9"/>
          </w:tcPr>
          <w:p>
            <w:pPr>
              <w:spacing w:after="0"/>
              <w:rPr>
                <w:sz w:val="20"/>
                <w:szCs w:val="20"/>
                <w:color w:val="auto"/>
              </w:rPr>
            </w:pPr>
            <w:r>
              <w:rPr>
                <w:rFonts w:ascii="Arial" w:cs="Arial" w:eastAsia="Arial" w:hAnsi="Arial"/>
                <w:sz w:val="17"/>
                <w:szCs w:val="17"/>
                <w:color w:val="auto"/>
              </w:rPr>
              <w:t>Mr. Lowe</w:t>
            </w: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$ 575,004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99,014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7"/>
              </w:rPr>
              <w:t>1,350,000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3,964,709</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5,988,727</w:t>
            </w:r>
          </w:p>
        </w:tc>
      </w:tr>
      <w:tr>
        <w:trPr>
          <w:trHeight w:val="236"/>
        </w:trPr>
        <w:tc>
          <w:tcPr>
            <w:tcW w:w="4020" w:type="dxa"/>
            <w:vAlign w:val="bottom"/>
            <w:shd w:val="clear" w:color="auto" w:fill="E9E9E9"/>
          </w:tcPr>
          <w:p>
            <w:pPr>
              <w:spacing w:after="0"/>
              <w:rPr>
                <w:sz w:val="20"/>
                <w:szCs w:val="20"/>
                <w:color w:val="auto"/>
              </w:rPr>
            </w:pP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2009</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$ 535,020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35,044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775,000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2,915,743</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4,260,807</w:t>
            </w:r>
          </w:p>
        </w:tc>
      </w:tr>
      <w:tr>
        <w:trPr>
          <w:trHeight w:val="252"/>
        </w:trPr>
        <w:tc>
          <w:tcPr>
            <w:tcW w:w="4020" w:type="dxa"/>
            <w:vAlign w:val="bottom"/>
            <w:shd w:val="clear" w:color="auto" w:fill="E9E9E9"/>
          </w:tcPr>
          <w:p>
            <w:pPr>
              <w:spacing w:after="0"/>
              <w:rPr>
                <w:sz w:val="21"/>
                <w:szCs w:val="21"/>
                <w:color w:val="auto"/>
              </w:rPr>
            </w:pP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2008</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$ 535,020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35,945</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730,000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2,675,400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3,976,365</w:t>
            </w:r>
          </w:p>
        </w:tc>
      </w:tr>
      <w:tr>
        <w:trPr>
          <w:trHeight w:val="236"/>
        </w:trPr>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0"/>
        </w:trPr>
        <w:tc>
          <w:tcPr>
            <w:tcW w:w="4020" w:type="dxa"/>
            <w:vAlign w:val="bottom"/>
            <w:shd w:val="clear" w:color="auto" w:fill="E9E9E9"/>
          </w:tcPr>
          <w:p>
            <w:pPr>
              <w:spacing w:after="0"/>
              <w:rPr>
                <w:sz w:val="20"/>
                <w:szCs w:val="20"/>
                <w:color w:val="auto"/>
              </w:rPr>
            </w:pPr>
            <w:r>
              <w:rPr>
                <w:rFonts w:ascii="Arial" w:cs="Arial" w:eastAsia="Arial" w:hAnsi="Arial"/>
                <w:sz w:val="17"/>
                <w:szCs w:val="17"/>
                <w:color w:val="auto"/>
              </w:rPr>
              <w:t>Mr. Ritchie</w:t>
            </w: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$ 470,400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81,151</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w w:val="97"/>
              </w:rPr>
              <w:t>1,100,000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2,678,865</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4,330,416</w:t>
            </w:r>
          </w:p>
        </w:tc>
      </w:tr>
      <w:tr>
        <w:trPr>
          <w:trHeight w:val="236"/>
        </w:trPr>
        <w:tc>
          <w:tcPr>
            <w:tcW w:w="4020" w:type="dxa"/>
            <w:vAlign w:val="bottom"/>
            <w:shd w:val="clear" w:color="auto" w:fill="E9E9E9"/>
          </w:tcPr>
          <w:p>
            <w:pPr>
              <w:spacing w:after="0"/>
              <w:rPr>
                <w:sz w:val="20"/>
                <w:szCs w:val="20"/>
                <w:color w:val="auto"/>
              </w:rPr>
            </w:pP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2009</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$ 448,080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29,349</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600,000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2,603,343</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3,680,772</w:t>
            </w:r>
          </w:p>
        </w:tc>
      </w:tr>
      <w:tr>
        <w:trPr>
          <w:trHeight w:val="252"/>
        </w:trPr>
        <w:tc>
          <w:tcPr>
            <w:tcW w:w="4020" w:type="dxa"/>
            <w:vAlign w:val="bottom"/>
            <w:shd w:val="clear" w:color="auto" w:fill="E9E9E9"/>
          </w:tcPr>
          <w:p>
            <w:pPr>
              <w:spacing w:after="0"/>
              <w:rPr>
                <w:sz w:val="21"/>
                <w:szCs w:val="21"/>
                <w:color w:val="auto"/>
              </w:rPr>
            </w:pP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2008</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$ 448,080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30,172</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520,000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2,377,500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3,375,752</w:t>
            </w:r>
          </w:p>
        </w:tc>
      </w:tr>
      <w:tr>
        <w:trPr>
          <w:trHeight w:val="236"/>
        </w:trPr>
        <w:tc>
          <w:tcPr>
            <w:tcW w:w="4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4020" w:type="dxa"/>
            <w:vAlign w:val="bottom"/>
            <w:shd w:val="clear" w:color="auto" w:fill="E9E9E9"/>
          </w:tcPr>
          <w:p>
            <w:pPr>
              <w:spacing w:after="0"/>
              <w:rPr>
                <w:sz w:val="20"/>
                <w:szCs w:val="20"/>
                <w:color w:val="auto"/>
              </w:rPr>
            </w:pPr>
            <w:r>
              <w:rPr>
                <w:rFonts w:ascii="Arial" w:cs="Arial" w:eastAsia="Arial" w:hAnsi="Arial"/>
                <w:sz w:val="17"/>
                <w:szCs w:val="17"/>
                <w:color w:val="auto"/>
              </w:rPr>
              <w:t>Mr. Crutcher</w:t>
            </w:r>
          </w:p>
        </w:tc>
        <w:tc>
          <w:tcPr>
            <w:tcW w:w="86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12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$ 425,040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137"/>
              <w:spacing w:after="0"/>
              <w:rPr>
                <w:sz w:val="20"/>
                <w:szCs w:val="20"/>
                <w:color w:val="auto"/>
              </w:rPr>
            </w:pPr>
            <w:r>
              <w:rPr>
                <w:rFonts w:ascii="Arial" w:cs="Arial" w:eastAsia="Arial" w:hAnsi="Arial"/>
                <w:sz w:val="17"/>
                <w:szCs w:val="17"/>
                <w:color w:val="auto"/>
              </w:rPr>
              <w:t>62,508</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9E9E9"/>
          </w:tcPr>
          <w:p>
            <w:pPr>
              <w:jc w:val="right"/>
              <w:ind w:right="116"/>
              <w:spacing w:after="0"/>
              <w:rPr>
                <w:sz w:val="20"/>
                <w:szCs w:val="20"/>
                <w:color w:val="auto"/>
              </w:rPr>
            </w:pPr>
            <w:r>
              <w:rPr>
                <w:rFonts w:ascii="Arial" w:cs="Arial" w:eastAsia="Arial" w:hAnsi="Arial"/>
                <w:sz w:val="17"/>
                <w:szCs w:val="17"/>
                <w:color w:val="auto"/>
              </w:rPr>
              <w:t>750,000</w:t>
            </w:r>
          </w:p>
        </w:tc>
        <w:tc>
          <w:tcPr>
            <w:tcW w:w="5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2,498,000</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3,735,548</w:t>
            </w:r>
          </w:p>
        </w:tc>
      </w:tr>
    </w:tbl>
    <w:p>
      <w:pPr>
        <w:spacing w:after="0" w:line="23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For Mr. Templeton, the “Total” shown in this table is higher for 2010 than for 2009 primarily due to the higher bonus paid to him for 2010 performance. For Mr. Lowe, the “Total” is higher for 2010 primarily due to the higher grant date fair value of his equity compensation. For the other named executive officers, the “Total” was higher for 2010 primarily due to their higher bonus or a combination of higher bonus and the higher grant date fair value of their equity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37" w:lineRule="exact"/>
        <w:rPr>
          <w:sz w:val="20"/>
          <w:szCs w:val="20"/>
          <w:color w:val="auto"/>
        </w:rPr>
      </w:pPr>
    </w:p>
    <w:p>
      <w:pPr>
        <w:ind w:left="320" w:hanging="315"/>
        <w:spacing w:after="0" w:line="243"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table shows the annual rate of base salary as set by the committee (effective in September 2010 for Mr. Crutcher, and in February 2010 for the other officers).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The summary compensation table shows the grant date fair value of equity compensation awarded in the year. This table shows the grant date fair value of all equity compensation awarded in the year for all named executive officers except Mr. Crutcher, for whom the value shown is the grant date fair value of equity compensation received after he became an executive officer. Please see notes 3 and 4 to the summary compensation table for information about how grant date fair value was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206375</wp:posOffset>
            </wp:positionV>
            <wp:extent cx="727138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22" w:name="page23"/>
    <w:bookmarkEnd w:id="22"/>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70</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decisions shown above resulted in the following 2010 compensation mix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148590</wp:posOffset>
            </wp:positionV>
            <wp:extent cx="3895725" cy="20059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9572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300" w:right="2460"/>
        <w:spacing w:after="0" w:line="252" w:lineRule="auto"/>
        <w:rPr>
          <w:sz w:val="20"/>
          <w:szCs w:val="20"/>
          <w:color w:val="auto"/>
        </w:rPr>
      </w:pPr>
      <w:r>
        <w:rPr>
          <w:rFonts w:ascii="Arial" w:cs="Arial" w:eastAsia="Arial" w:hAnsi="Arial"/>
          <w:sz w:val="17"/>
          <w:szCs w:val="17"/>
          <w:color w:val="auto"/>
        </w:rPr>
        <w:t>*Average data for the named executive officers other than Mr. Templeton. Totals may not equal 100 percent, due to rounding.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Equity dilution</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2010 under the company’s equity-compensation program resulted in 0 percent net annual dilution.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Process for equity grants</w:t>
      </w:r>
    </w:p>
    <w:p>
      <w:pPr>
        <w:spacing w:after="0" w:line="1"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5" w:lineRule="exact"/>
        <w:rPr>
          <w:sz w:val="20"/>
          <w:szCs w:val="20"/>
          <w:color w:val="auto"/>
        </w:rPr>
      </w:pPr>
    </w:p>
    <w:p>
      <w:pPr>
        <w:ind w:right="60" w:firstLine="262"/>
        <w:spacing w:after="0" w:line="265" w:lineRule="auto"/>
        <w:rPr>
          <w:sz w:val="20"/>
          <w:szCs w:val="20"/>
          <w:color w:val="auto"/>
        </w:rPr>
      </w:pPr>
      <w:r>
        <w:rPr>
          <w:rFonts w:ascii="Arial" w:cs="Arial" w:eastAsia="Arial" w:hAnsi="Arial"/>
          <w:sz w:val="17"/>
          <w:szCs w:val="17"/>
          <w:color w:val="auto"/>
        </w:rPr>
        <w:t>On occasion, the committee may grant stock options or restricted stock units to executives at times other than January. For example, it has done so in connection with job promotions and for purposes of retention.</w:t>
      </w:r>
    </w:p>
    <w:p>
      <w:pPr>
        <w:spacing w:after="0" w:line="1" w:lineRule="exact"/>
        <w:rPr>
          <w:sz w:val="20"/>
          <w:szCs w:val="20"/>
          <w:color w:val="auto"/>
        </w:rPr>
      </w:pPr>
    </w:p>
    <w:p>
      <w:pPr>
        <w:ind w:right="100" w:firstLine="262"/>
        <w:spacing w:after="0" w:line="265" w:lineRule="auto"/>
        <w:rPr>
          <w:sz w:val="20"/>
          <w:szCs w:val="20"/>
          <w:color w:val="auto"/>
        </w:rPr>
      </w:pPr>
      <w:r>
        <w:rPr>
          <w:rFonts w:ascii="Arial" w:cs="Arial" w:eastAsia="Arial" w:hAnsi="Arial"/>
          <w:sz w:val="17"/>
          <w:szCs w:val="17"/>
          <w:color w:val="auto"/>
        </w:rPr>
        <w:t>We do not back-date stock options or restricted stock units. We do not accelerate or delay the release of information due to plans for making equity grants.</w:t>
      </w:r>
    </w:p>
    <w:p>
      <w:pPr>
        <w:spacing w:after="0" w:line="1" w:lineRule="exact"/>
        <w:rPr>
          <w:sz w:val="20"/>
          <w:szCs w:val="20"/>
          <w:color w:val="auto"/>
        </w:rPr>
      </w:pPr>
    </w:p>
    <w:p>
      <w:pPr>
        <w:ind w:right="120" w:firstLine="262"/>
        <w:spacing w:after="0" w:line="250" w:lineRule="auto"/>
        <w:rPr>
          <w:sz w:val="20"/>
          <w:szCs w:val="20"/>
          <w:color w:val="auto"/>
        </w:rPr>
      </w:pPr>
      <w:r>
        <w:rPr>
          <w:rFonts w:ascii="Arial" w:cs="Arial" w:eastAsia="Arial" w:hAnsi="Arial"/>
          <w:sz w:val="17"/>
          <w:szCs w:val="17"/>
          <w:color w:val="auto"/>
        </w:rPr>
        <w:t>Under the committee’s policy, if the committee meeting falls in the same month as the release of the company’s financial results, the grants approved at the meeting will be made effective on the later of (i) the meeting day or (ii) the third trading day after the release of results. Otherwise they will be made effective on the day of committee action. The exercise price of stock options is the closing price of TI stock on the effective date of the grant.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Recoupment policy</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twelve months after the restated period under equity compensation awards. All determinations by the committee with respect to this policy are final and binding on all interested parties.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Benefits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Reflecting the company’s culture of respect and value for all employees, the financial and health benefits received by executive officers are the same as those received by other U.S. employees except for the few benefits described under the sub-heading Other Benefits in the last paragraph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727138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23" w:name="page24"/>
    <w:bookmarkEnd w:id="23"/>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71</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plans</w:t>
      </w:r>
    </w:p>
    <w:p>
      <w:pPr>
        <w:spacing w:after="0" w:line="1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executive officers participate in our retirement plans under the same rules that apply to other U.S. employees. We maintain these plans to have a competitive benefits program and for retention.</w:t>
      </w:r>
    </w:p>
    <w:p>
      <w:pPr>
        <w:spacing w:after="0" w:line="9" w:lineRule="exact"/>
        <w:rPr>
          <w:sz w:val="20"/>
          <w:szCs w:val="20"/>
          <w:color w:val="auto"/>
        </w:rPr>
      </w:pPr>
    </w:p>
    <w:p>
      <w:pPr>
        <w:ind w:right="60" w:firstLine="262"/>
        <w:spacing w:after="0" w:line="245" w:lineRule="auto"/>
        <w:rPr>
          <w:sz w:val="20"/>
          <w:szCs w:val="20"/>
          <w:color w:val="auto"/>
        </w:rPr>
      </w:pPr>
      <w:r>
        <w:rPr>
          <w:rFonts w:ascii="Arial" w:cs="Arial" w:eastAsia="Arial" w:hAnsi="Arial"/>
          <w:sz w:val="17"/>
          <w:szCs w:val="17"/>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remain in the plan, or to have their plan benefits frozen (i.e., no benefit increase attributable to years of service or change in eligible earnings) and begin participating in an enhanced defined contribution plan. Mr. Templeton and Mr. Crutcher chose not to remain in the defined benefit plan. As a result, their benefits under that plan were frozen in 1997 and they participate in the enhanced defined contribution plan. The other named executive officers have continued their participation in the defined benefit pension plan.</w:t>
      </w:r>
    </w:p>
    <w:p>
      <w:pPr>
        <w:spacing w:after="0" w:line="19" w:lineRule="exact"/>
        <w:rPr>
          <w:sz w:val="20"/>
          <w:szCs w:val="20"/>
          <w:color w:val="auto"/>
        </w:rPr>
      </w:pPr>
    </w:p>
    <w:p>
      <w:pPr>
        <w:ind w:right="320" w:firstLine="262"/>
        <w:spacing w:after="0" w:line="250" w:lineRule="auto"/>
        <w:rPr>
          <w:sz w:val="20"/>
          <w:szCs w:val="20"/>
          <w:color w:val="auto"/>
        </w:rPr>
      </w:pPr>
      <w:r>
        <w:rPr>
          <w:rFonts w:ascii="Arial" w:cs="Arial" w:eastAsia="Arial" w:hAnsi="Arial"/>
          <w:sz w:val="17"/>
          <w:szCs w:val="17"/>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pages 80-81.</w:t>
      </w:r>
    </w:p>
    <w:p>
      <w:pPr>
        <w:spacing w:after="0" w:line="11" w:lineRule="exact"/>
        <w:rPr>
          <w:sz w:val="20"/>
          <w:szCs w:val="20"/>
          <w:color w:val="auto"/>
        </w:rPr>
      </w:pPr>
    </w:p>
    <w:p>
      <w:pPr>
        <w:ind w:firstLine="262"/>
        <w:spacing w:after="0" w:line="254" w:lineRule="auto"/>
        <w:rPr>
          <w:sz w:val="20"/>
          <w:szCs w:val="20"/>
          <w:color w:val="auto"/>
        </w:rPr>
      </w:pPr>
      <w:r>
        <w:rPr>
          <w:rFonts w:ascii="Arial" w:cs="Arial" w:eastAsia="Arial" w:hAnsi="Arial"/>
          <w:sz w:val="17"/>
          <w:szCs w:val="17"/>
          <w:color w:val="auto"/>
        </w:rPr>
        <w:t>Employees accruing benefits in the qualified pension plan, including the named executive officers other than Mr. Templeton and Mr. Crutcher, also are eligible to participate in a qualified defined contribution plan that provides employer matching contributions. The enhanced defined contribution plan, in which Mr. Templeton and Mr. Crutcher participate, provides for a fixed employer contribution plus an employer matching contribution.</w:t>
      </w:r>
    </w:p>
    <w:p>
      <w:pPr>
        <w:spacing w:after="0" w:line="9" w:lineRule="exact"/>
        <w:rPr>
          <w:sz w:val="20"/>
          <w:szCs w:val="20"/>
          <w:color w:val="auto"/>
        </w:rPr>
      </w:pPr>
    </w:p>
    <w:p>
      <w:pPr>
        <w:ind w:right="200" w:firstLine="262"/>
        <w:spacing w:after="0" w:line="250" w:lineRule="auto"/>
        <w:rPr>
          <w:sz w:val="20"/>
          <w:szCs w:val="20"/>
          <w:color w:val="auto"/>
        </w:rPr>
      </w:pPr>
      <w:r>
        <w:rPr>
          <w:rFonts w:ascii="Arial" w:cs="Arial" w:eastAsia="Arial" w:hAnsi="Arial"/>
          <w:sz w:val="17"/>
          <w:szCs w:val="17"/>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and Mr. Crutcher do not result in greater benefits for them under the company’s defined benefit pension plans because their benefits under those plans were frozen in 1997. The committee considers the potential effect on the executives’ retirement benefits when it sets salary and performance bonus levels.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compensation</w:t>
      </w:r>
    </w:p>
    <w:p>
      <w:pPr>
        <w:spacing w:after="0" w:line="19"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5" w:lineRule="exact"/>
        <w:rPr>
          <w:sz w:val="20"/>
          <w:szCs w:val="20"/>
          <w:color w:val="auto"/>
        </w:rPr>
      </w:pPr>
    </w:p>
    <w:p>
      <w:pPr>
        <w:ind w:right="80" w:firstLine="262"/>
        <w:spacing w:after="0" w:line="248" w:lineRule="auto"/>
        <w:rPr>
          <w:sz w:val="20"/>
          <w:szCs w:val="20"/>
          <w:color w:val="auto"/>
        </w:rPr>
      </w:pPr>
      <w:r>
        <w:rPr>
          <w:rFonts w:ascii="Arial" w:cs="Arial" w:eastAsia="Arial" w:hAnsi="Arial"/>
          <w:sz w:val="17"/>
          <w:szCs w:val="17"/>
          <w:color w:val="auto"/>
        </w:rPr>
        <w:t>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 rules, no earnings on deferred compensation are shown in the summary compensation table on page 73 for 2010 because no “above market” rates were earned on deferred amounts in 2010.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Our stockholders approved the TI Employees 2005 Stock Purchase Plan in April 2005. Under the plan,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stockholders. Consistent with our general approach to benefit programs, executive officers are also eligible to participate.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Health-related benefits</w:t>
      </w:r>
    </w:p>
    <w:p>
      <w:pPr>
        <w:spacing w:after="0" w:line="1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benefits</w:t>
      </w:r>
    </w:p>
    <w:p>
      <w:pPr>
        <w:spacing w:after="0" w:line="1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Executive officers receive only a few benefits that are not available to all other U.S. employees. Specifically, we promote sustained good health by providing a company-paid physical for each executive officer, and we encourage effective long-term financial planning by providing financial counseling up to $8,000 per year for the CEO and $7,000 per year for the other executive officers. The board of directors has determined that for security reasons, it is in the company’s interest to require the CEO to use company aircraft for personal air travel. The company provides no tax gross-ups for perquisites to any of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138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24" w:name="page25"/>
    <w:bookmarkEnd w:id="24"/>
    <w:p>
      <w:pPr>
        <w:ind w:left="3780"/>
        <w:spacing w:after="0"/>
        <w:tabs>
          <w:tab w:leader="none" w:pos="5400" w:val="left"/>
          <w:tab w:leader="none" w:pos="602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72</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following employment termination or change in control</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82. None of the few additional benefits that the executive officers receive continue after termination of employment, except the amount described above for financial counseling is provided in the following year in the event of retirement. The committee reviews the potential impact of these programs before finalizing the annual compensation for the named executive officers. The committee did not raise or lower compensation for 2010 based on this review.</w:t>
      </w:r>
    </w:p>
    <w:p>
      <w:pPr>
        <w:spacing w:after="0" w:line="19" w:lineRule="exact"/>
        <w:rPr>
          <w:sz w:val="20"/>
          <w:szCs w:val="20"/>
          <w:color w:val="auto"/>
        </w:rPr>
      </w:pPr>
    </w:p>
    <w:p>
      <w:pPr>
        <w:ind w:right="180" w:firstLine="262"/>
        <w:spacing w:after="0" w:line="248" w:lineRule="auto"/>
        <w:rPr>
          <w:sz w:val="20"/>
          <w:szCs w:val="20"/>
          <w:color w:val="auto"/>
        </w:rPr>
      </w:pPr>
      <w:r>
        <w:rPr>
          <w:rFonts w:ascii="Arial" w:cs="Arial" w:eastAsia="Arial" w:hAnsi="Arial"/>
          <w:sz w:val="17"/>
          <w:szCs w:val="17"/>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ownership guidelines and policy against hedging</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15" w:lineRule="exact"/>
        <w:rPr>
          <w:sz w:val="20"/>
          <w:szCs w:val="20"/>
          <w:color w:val="auto"/>
        </w:rPr>
      </w:pPr>
    </w:p>
    <w:p>
      <w:pPr>
        <w:ind w:right="80" w:firstLine="262"/>
        <w:spacing w:after="0" w:line="254" w:lineRule="auto"/>
        <w:rPr>
          <w:sz w:val="20"/>
          <w:szCs w:val="20"/>
          <w:color w:val="auto"/>
        </w:rPr>
      </w:pPr>
      <w:r>
        <w:rPr>
          <w:rFonts w:ascii="Arial" w:cs="Arial" w:eastAsia="Arial" w:hAnsi="Arial"/>
          <w:sz w:val="17"/>
          <w:szCs w:val="17"/>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Consideration of tax and accounting treatment of compensation</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Section 162(m) of the IRC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its stockholders that restricted stock unit awards provide for the retention of our executive officers in all market conditions.</w:t>
      </w:r>
    </w:p>
    <w:p>
      <w:pPr>
        <w:spacing w:after="0" w:line="23" w:lineRule="exact"/>
        <w:rPr>
          <w:sz w:val="20"/>
          <w:szCs w:val="20"/>
          <w:color w:val="auto"/>
        </w:rPr>
      </w:pPr>
    </w:p>
    <w:p>
      <w:pPr>
        <w:ind w:firstLine="262"/>
        <w:spacing w:after="0" w:line="248" w:lineRule="auto"/>
        <w:rPr>
          <w:sz w:val="20"/>
          <w:szCs w:val="20"/>
          <w:color w:val="auto"/>
        </w:rPr>
      </w:pPr>
      <w:r>
        <w:rPr>
          <w:rFonts w:ascii="Arial" w:cs="Arial" w:eastAsia="Arial" w:hAnsi="Arial"/>
          <w:sz w:val="17"/>
          <w:szCs w:val="17"/>
          <w:color w:val="auto"/>
        </w:rPr>
        <w:t>The Texas Instruments Executive Officer Performance Plan is intended to ensure that performance bonuses under the plan are fully tax deductible under Section 162(m). The plan, which stockholders approved in 2002, is described on page 75. The committee’s general policy is to award bonuses within the plan, although the committee reserves the discretion to pay a bonus outside the plan if it determines that it is in our stockholders’ best interest to do so. The committee set the bonuses of the named executive officers for 2010 performance at the levels described on page 69. The bonuses were awarded within the plan.</w:t>
      </w:r>
    </w:p>
    <w:p>
      <w:pPr>
        <w:spacing w:after="0" w:line="13" w:lineRule="exact"/>
        <w:rPr>
          <w:sz w:val="20"/>
          <w:szCs w:val="20"/>
          <w:color w:val="auto"/>
        </w:rPr>
      </w:pPr>
    </w:p>
    <w:p>
      <w:pPr>
        <w:ind w:right="80" w:firstLine="262"/>
        <w:spacing w:after="0" w:line="268" w:lineRule="auto"/>
        <w:rPr>
          <w:sz w:val="20"/>
          <w:szCs w:val="20"/>
          <w:color w:val="auto"/>
        </w:rPr>
      </w:pPr>
      <w:r>
        <w:rPr>
          <w:rFonts w:ascii="Arial" w:cs="Arial" w:eastAsia="Arial" w:hAnsi="Arial"/>
          <w:sz w:val="17"/>
          <w:szCs w:val="17"/>
          <w:color w:val="auto"/>
        </w:rPr>
        <w:t>When setting equity compensation, the committee considers the estimated cost for financial reporting purposes of equity compensation it intends to grant. Its consideration of the estimated cost of grants made in 2010 is discussed on pages 66-67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27138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25" w:name="page26"/>
    <w:bookmarkEnd w:id="25"/>
    <w:p>
      <w:pPr>
        <w:jc w:val="center"/>
        <w:ind w:right="100"/>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73</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of the board of directors has furnished the following report:</w:t>
      </w:r>
    </w:p>
    <w:p>
      <w:pPr>
        <w:spacing w:after="0" w:line="27" w:lineRule="exact"/>
        <w:rPr>
          <w:sz w:val="20"/>
          <w:szCs w:val="20"/>
          <w:color w:val="auto"/>
        </w:rPr>
      </w:pPr>
    </w:p>
    <w:p>
      <w:pPr>
        <w:ind w:right="180" w:firstLine="262"/>
        <w:spacing w:after="0" w:line="254" w:lineRule="auto"/>
        <w:rPr>
          <w:sz w:val="20"/>
          <w:szCs w:val="20"/>
          <w:color w:val="auto"/>
        </w:rPr>
      </w:pPr>
      <w:r>
        <w:rPr>
          <w:rFonts w:ascii="Arial" w:cs="Arial" w:eastAsia="Arial" w:hAnsi="Arial"/>
          <w:sz w:val="17"/>
          <w:szCs w:val="17"/>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2010 and the company’s proxy statement for the 2011 annual meeting of stockholders.</w:t>
      </w:r>
    </w:p>
    <w:p>
      <w:pPr>
        <w:spacing w:after="0" w:line="179" w:lineRule="exact"/>
        <w:rPr>
          <w:sz w:val="20"/>
          <w:szCs w:val="20"/>
          <w:color w:val="auto"/>
        </w:rPr>
      </w:pPr>
    </w:p>
    <w:p>
      <w:pPr>
        <w:ind w:left="1140"/>
        <w:spacing w:after="0"/>
        <w:tabs>
          <w:tab w:leader="none" w:pos="5080" w:val="left"/>
          <w:tab w:leader="none" w:pos="8680" w:val="left"/>
        </w:tabs>
        <w:rPr>
          <w:sz w:val="20"/>
          <w:szCs w:val="20"/>
          <w:color w:val="auto"/>
        </w:rPr>
      </w:pPr>
      <w:r>
        <w:rPr>
          <w:rFonts w:ascii="Arial" w:cs="Arial" w:eastAsia="Arial" w:hAnsi="Arial"/>
          <w:sz w:val="17"/>
          <w:szCs w:val="17"/>
          <w:color w:val="auto"/>
        </w:rPr>
        <w:t>Carrie S. Cox, Chair</w:t>
      </w:r>
      <w:r>
        <w:rPr>
          <w:sz w:val="20"/>
          <w:szCs w:val="20"/>
          <w:color w:val="auto"/>
        </w:rPr>
        <w:tab/>
      </w:r>
      <w:r>
        <w:rPr>
          <w:rFonts w:ascii="Arial" w:cs="Arial" w:eastAsia="Arial" w:hAnsi="Arial"/>
          <w:sz w:val="17"/>
          <w:szCs w:val="17"/>
          <w:color w:val="auto"/>
        </w:rPr>
        <w:t>David R. Goode</w:t>
      </w:r>
      <w:r>
        <w:rPr>
          <w:sz w:val="20"/>
          <w:szCs w:val="20"/>
          <w:color w:val="auto"/>
        </w:rPr>
        <w:tab/>
      </w:r>
      <w:r>
        <w:rPr>
          <w:rFonts w:ascii="Arial" w:cs="Arial" w:eastAsia="Arial" w:hAnsi="Arial"/>
          <w:sz w:val="16"/>
          <w:szCs w:val="16"/>
          <w:color w:val="auto"/>
        </w:rPr>
        <w:t>Stephen P. MacMillan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summary compensation table</w:t>
      </w:r>
    </w:p>
    <w:p>
      <w:pPr>
        <w:spacing w:after="0" w:line="257"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table below shows the compensation of the company’s chief executive officer, chief financial officer and each of the other three most highly compensated individuals who were executive officers during 2010 (collectively called the “named executive officers”) for services in all capacities to the company in 2010. For a discussion of the amount of a named executive officer’s salary and bonus in proportion to his total compensation, please see the Compensation Discussion and Analysis on pages 62-72.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ind w:left="280"/>
              <w:spacing w:after="0"/>
              <w:rPr>
                <w:sz w:val="20"/>
                <w:szCs w:val="20"/>
                <w:color w:val="auto"/>
              </w:rPr>
            </w:pPr>
            <w:r>
              <w:rPr>
                <w:rFonts w:ascii="Arial" w:cs="Arial" w:eastAsia="Arial" w:hAnsi="Arial"/>
                <w:sz w:val="13"/>
                <w:szCs w:val="13"/>
                <w:b w:val="1"/>
                <w:bCs w:val="1"/>
                <w:color w:val="auto"/>
              </w:rPr>
              <w:t>Change in</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6"/>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rPr>
              <w:t>Pension Value</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center"/>
              <w:ind w:right="339"/>
              <w:spacing w:after="0"/>
              <w:rPr>
                <w:sz w:val="20"/>
                <w:szCs w:val="20"/>
                <w:color w:val="auto"/>
              </w:rPr>
            </w:pPr>
            <w:r>
              <w:rPr>
                <w:rFonts w:ascii="Arial" w:cs="Arial" w:eastAsia="Arial" w:hAnsi="Arial"/>
                <w:sz w:val="13"/>
                <w:szCs w:val="13"/>
                <w:b w:val="1"/>
                <w:bCs w:val="1"/>
                <w:color w:val="auto"/>
                <w:w w:val="94"/>
              </w:rPr>
              <w:t>and</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Non-Equity</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Non-qualified</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8"/>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20"/>
                <w:szCs w:val="20"/>
                <w:color w:val="auto"/>
              </w:rPr>
            </w:pPr>
          </w:p>
        </w:tc>
        <w:tc>
          <w:tcPr>
            <w:tcW w:w="920" w:type="dxa"/>
            <w:vAlign w:val="bottom"/>
          </w:tcPr>
          <w:p>
            <w:pPr>
              <w:jc w:val="center"/>
              <w:ind w:right="178"/>
              <w:spacing w:after="0"/>
              <w:rPr>
                <w:sz w:val="20"/>
                <w:szCs w:val="20"/>
                <w:color w:val="auto"/>
              </w:rPr>
            </w:pPr>
            <w:r>
              <w:rPr>
                <w:rFonts w:ascii="Arial" w:cs="Arial" w:eastAsia="Arial" w:hAnsi="Arial"/>
                <w:sz w:val="13"/>
                <w:szCs w:val="13"/>
                <w:b w:val="1"/>
                <w:bCs w:val="1"/>
                <w:color w:val="auto"/>
              </w:rPr>
              <w:t>Option</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Incentive Plan</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Deferred</w:t>
            </w:r>
          </w:p>
        </w:tc>
        <w:tc>
          <w:tcPr>
            <w:tcW w:w="1180" w:type="dxa"/>
            <w:vAlign w:val="bottom"/>
            <w:gridSpan w:val="2"/>
          </w:tcPr>
          <w:p>
            <w:pPr>
              <w:jc w:val="right"/>
              <w:ind w:right="236"/>
              <w:spacing w:after="0"/>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2140" w:type="dxa"/>
            <w:vAlign w:val="bottom"/>
          </w:tcPr>
          <w:p>
            <w:pPr>
              <w:spacing w:after="0"/>
              <w:rPr>
                <w:sz w:val="20"/>
                <w:szCs w:val="20"/>
                <w:color w:val="auto"/>
              </w:rPr>
            </w:pPr>
            <w:r>
              <w:rPr>
                <w:rFonts w:ascii="Arial" w:cs="Arial" w:eastAsia="Arial" w:hAnsi="Arial"/>
                <w:sz w:val="13"/>
                <w:szCs w:val="13"/>
                <w:b w:val="1"/>
                <w:bCs w:val="1"/>
                <w:color w:val="auto"/>
              </w:rPr>
              <w:t>Name and Principal</w:t>
            </w:r>
          </w:p>
        </w:tc>
        <w:tc>
          <w:tcPr>
            <w:tcW w:w="7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Salary</w:t>
            </w:r>
          </w:p>
        </w:tc>
        <w:tc>
          <w:tcPr>
            <w:tcW w:w="680" w:type="dxa"/>
            <w:vAlign w:val="bottom"/>
          </w:tcPr>
          <w:p>
            <w:pPr>
              <w:ind w:left="140"/>
              <w:spacing w:after="0"/>
              <w:rPr>
                <w:sz w:val="20"/>
                <w:szCs w:val="20"/>
                <w:color w:val="auto"/>
              </w:rPr>
            </w:pPr>
            <w:r>
              <w:rPr>
                <w:rFonts w:ascii="Arial" w:cs="Arial" w:eastAsia="Arial" w:hAnsi="Arial"/>
                <w:sz w:val="13"/>
                <w:szCs w:val="13"/>
                <w:b w:val="1"/>
                <w:bCs w:val="1"/>
                <w:color w:val="auto"/>
              </w:rPr>
              <w:t>Bonus</w:t>
            </w:r>
          </w:p>
        </w:tc>
        <w:tc>
          <w:tcPr>
            <w:tcW w:w="240" w:type="dxa"/>
            <w:vAlign w:val="bottom"/>
          </w:tcPr>
          <w:p>
            <w:pPr>
              <w:spacing w:after="0"/>
              <w:rPr>
                <w:sz w:val="20"/>
                <w:szCs w:val="20"/>
                <w:color w:val="auto"/>
              </w:rPr>
            </w:pPr>
          </w:p>
        </w:tc>
        <w:tc>
          <w:tcPr>
            <w:tcW w:w="900" w:type="dxa"/>
            <w:vAlign w:val="bottom"/>
          </w:tcPr>
          <w:p>
            <w:pPr>
              <w:jc w:val="center"/>
              <w:ind w:right="178"/>
              <w:spacing w:after="0"/>
              <w:rPr>
                <w:sz w:val="20"/>
                <w:szCs w:val="20"/>
                <w:color w:val="auto"/>
              </w:rPr>
            </w:pPr>
            <w:r>
              <w:rPr>
                <w:rFonts w:ascii="Arial" w:cs="Arial" w:eastAsia="Arial" w:hAnsi="Arial"/>
                <w:sz w:val="13"/>
                <w:szCs w:val="13"/>
                <w:b w:val="1"/>
                <w:bCs w:val="1"/>
                <w:color w:val="auto"/>
              </w:rPr>
              <w:t>Awards</w:t>
            </w:r>
          </w:p>
        </w:tc>
        <w:tc>
          <w:tcPr>
            <w:tcW w:w="220" w:type="dxa"/>
            <w:vAlign w:val="bottom"/>
          </w:tcPr>
          <w:p>
            <w:pPr>
              <w:spacing w:after="0"/>
              <w:rPr>
                <w:sz w:val="20"/>
                <w:szCs w:val="20"/>
                <w:color w:val="auto"/>
              </w:rPr>
            </w:pPr>
          </w:p>
        </w:tc>
        <w:tc>
          <w:tcPr>
            <w:tcW w:w="920" w:type="dxa"/>
            <w:vAlign w:val="bottom"/>
          </w:tcPr>
          <w:p>
            <w:pPr>
              <w:jc w:val="center"/>
              <w:ind w:right="178"/>
              <w:spacing w:after="0"/>
              <w:rPr>
                <w:sz w:val="20"/>
                <w:szCs w:val="20"/>
                <w:color w:val="auto"/>
              </w:rPr>
            </w:pPr>
            <w:r>
              <w:rPr>
                <w:rFonts w:ascii="Arial" w:cs="Arial" w:eastAsia="Arial" w:hAnsi="Arial"/>
                <w:sz w:val="13"/>
                <w:szCs w:val="13"/>
                <w:b w:val="1"/>
                <w:bCs w:val="1"/>
                <w:color w:val="auto"/>
                <w:w w:val="97"/>
              </w:rPr>
              <w:t>Awards</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Compensation</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18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Compensation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214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780" w:type="dxa"/>
            <w:vAlign w:val="bottom"/>
          </w:tcPr>
          <w:p>
            <w:pPr>
              <w:jc w:val="center"/>
              <w:ind w:left="56"/>
              <w:spacing w:after="0"/>
              <w:rPr>
                <w:sz w:val="20"/>
                <w:szCs w:val="20"/>
                <w:color w:val="auto"/>
              </w:rPr>
            </w:pPr>
            <w:r>
              <w:rPr>
                <w:rFonts w:ascii="Arial" w:cs="Arial" w:eastAsia="Arial" w:hAnsi="Arial"/>
                <w:sz w:val="13"/>
                <w:szCs w:val="13"/>
                <w:b w:val="1"/>
                <w:bCs w:val="1"/>
                <w:color w:val="auto"/>
                <w:w w:val="99"/>
              </w:rPr>
              <w:t>Year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240" w:type="dxa"/>
            <w:vAlign w:val="bottom"/>
          </w:tcPr>
          <w:p>
            <w:pPr>
              <w:spacing w:after="0"/>
              <w:rPr>
                <w:sz w:val="20"/>
                <w:szCs w:val="20"/>
                <w:color w:val="auto"/>
              </w:rPr>
            </w:pPr>
          </w:p>
        </w:tc>
        <w:tc>
          <w:tcPr>
            <w:tcW w:w="900" w:type="dxa"/>
            <w:vAlign w:val="bottom"/>
          </w:tcPr>
          <w:p>
            <w:pPr>
              <w:jc w:val="center"/>
              <w:ind w:right="178"/>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20"/>
                <w:szCs w:val="20"/>
                <w:color w:val="auto"/>
              </w:rPr>
            </w:pPr>
          </w:p>
        </w:tc>
        <w:tc>
          <w:tcPr>
            <w:tcW w:w="920" w:type="dxa"/>
            <w:vAlign w:val="bottom"/>
          </w:tcPr>
          <w:p>
            <w:pPr>
              <w:jc w:val="center"/>
              <w:ind w:right="158"/>
              <w:spacing w:after="0"/>
              <w:rPr>
                <w:sz w:val="20"/>
                <w:szCs w:val="20"/>
                <w:color w:val="auto"/>
              </w:rPr>
            </w:pPr>
            <w:r>
              <w:rPr>
                <w:rFonts w:ascii="Arial" w:cs="Arial" w:eastAsia="Arial" w:hAnsi="Arial"/>
                <w:sz w:val="13"/>
                <w:szCs w:val="13"/>
                <w:b w:val="1"/>
                <w:bCs w:val="1"/>
                <w:color w:val="auto"/>
              </w:rPr>
              <w:t>($)(4)</w:t>
            </w:r>
          </w:p>
        </w:tc>
        <w:tc>
          <w:tcPr>
            <w:tcW w:w="380" w:type="dxa"/>
            <w:vAlign w:val="bottom"/>
          </w:tcPr>
          <w:p>
            <w:pPr>
              <w:spacing w:after="0"/>
              <w:rPr>
                <w:sz w:val="20"/>
                <w:szCs w:val="20"/>
                <w:color w:val="auto"/>
              </w:rPr>
            </w:pPr>
          </w:p>
        </w:tc>
        <w:tc>
          <w:tcPr>
            <w:tcW w:w="840" w:type="dxa"/>
            <w:vAlign w:val="bottom"/>
          </w:tcPr>
          <w:p>
            <w:pPr>
              <w:jc w:val="center"/>
              <w:ind w:right="317"/>
              <w:spacing w:after="0"/>
              <w:rPr>
                <w:sz w:val="20"/>
                <w:szCs w:val="20"/>
                <w:color w:val="auto"/>
              </w:rPr>
            </w:pPr>
            <w:r>
              <w:rPr>
                <w:rFonts w:ascii="Arial" w:cs="Arial" w:eastAsia="Arial" w:hAnsi="Arial"/>
                <w:sz w:val="13"/>
                <w:szCs w:val="13"/>
                <w:b w:val="1"/>
                <w:bCs w:val="1"/>
                <w:color w:val="auto"/>
              </w:rPr>
              <w:t>($)(5)</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Earnings ($)(6)</w:t>
            </w:r>
          </w:p>
        </w:tc>
        <w:tc>
          <w:tcPr>
            <w:tcW w:w="380" w:type="dxa"/>
            <w:vAlign w:val="bottom"/>
          </w:tcPr>
          <w:p>
            <w:pPr>
              <w:spacing w:after="0"/>
              <w:rPr>
                <w:sz w:val="20"/>
                <w:szCs w:val="20"/>
                <w:color w:val="auto"/>
              </w:rPr>
            </w:pPr>
          </w:p>
        </w:tc>
        <w:tc>
          <w:tcPr>
            <w:tcW w:w="800" w:type="dxa"/>
            <w:vAlign w:val="bottom"/>
          </w:tcPr>
          <w:p>
            <w:pPr>
              <w:jc w:val="right"/>
              <w:ind w:right="236"/>
              <w:spacing w:after="0"/>
              <w:rPr>
                <w:sz w:val="20"/>
                <w:szCs w:val="20"/>
                <w:color w:val="auto"/>
              </w:rPr>
            </w:pPr>
            <w:r>
              <w:rPr>
                <w:rFonts w:ascii="Arial" w:cs="Arial" w:eastAsia="Arial" w:hAnsi="Arial"/>
                <w:sz w:val="13"/>
                <w:szCs w:val="13"/>
                <w:b w:val="1"/>
                <w:bCs w:val="1"/>
                <w:color w:val="auto"/>
              </w:rPr>
              <w:t>($)(7)</w:t>
            </w:r>
          </w:p>
        </w:tc>
        <w:tc>
          <w:tcPr>
            <w:tcW w:w="220" w:type="dxa"/>
            <w:vAlign w:val="bottom"/>
          </w:tcPr>
          <w:p>
            <w:pPr>
              <w:spacing w:after="0"/>
              <w:rPr>
                <w:sz w:val="20"/>
                <w:szCs w:val="20"/>
                <w:color w:val="auto"/>
              </w:rPr>
            </w:pP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Total ($)</w:t>
            </w:r>
          </w:p>
        </w:tc>
      </w:tr>
      <w:tr>
        <w:trPr>
          <w:trHeight w:val="41"/>
        </w:trPr>
        <w:tc>
          <w:tcPr>
            <w:tcW w:w="2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66"/>
        </w:trPr>
        <w:tc>
          <w:tcPr>
            <w:tcW w:w="2140" w:type="dxa"/>
            <w:vAlign w:val="bottom"/>
            <w:shd w:val="clear" w:color="auto" w:fill="808285"/>
          </w:tcPr>
          <w:p>
            <w:pPr>
              <w:spacing w:after="0"/>
              <w:rPr>
                <w:sz w:val="5"/>
                <w:szCs w:val="5"/>
                <w:color w:val="auto"/>
              </w:rPr>
            </w:pPr>
          </w:p>
        </w:tc>
        <w:tc>
          <w:tcPr>
            <w:tcW w:w="780" w:type="dxa"/>
            <w:vAlign w:val="bottom"/>
            <w:shd w:val="clear" w:color="auto" w:fill="808285"/>
          </w:tcPr>
          <w:p>
            <w:pPr>
              <w:spacing w:after="0"/>
              <w:rPr>
                <w:sz w:val="5"/>
                <w:szCs w:val="5"/>
                <w:color w:val="auto"/>
              </w:rPr>
            </w:pPr>
          </w:p>
        </w:tc>
        <w:tc>
          <w:tcPr>
            <w:tcW w:w="980" w:type="dxa"/>
            <w:vAlign w:val="bottom"/>
            <w:shd w:val="clear" w:color="auto" w:fill="808285"/>
          </w:tcPr>
          <w:p>
            <w:pPr>
              <w:spacing w:after="0"/>
              <w:rPr>
                <w:sz w:val="5"/>
                <w:szCs w:val="5"/>
                <w:color w:val="auto"/>
              </w:rPr>
            </w:pPr>
          </w:p>
        </w:tc>
        <w:tc>
          <w:tcPr>
            <w:tcW w:w="680" w:type="dxa"/>
            <w:vAlign w:val="bottom"/>
            <w:shd w:val="clear" w:color="auto" w:fill="808285"/>
          </w:tcPr>
          <w:p>
            <w:pPr>
              <w:spacing w:after="0"/>
              <w:rPr>
                <w:sz w:val="5"/>
                <w:szCs w:val="5"/>
                <w:color w:val="auto"/>
              </w:rPr>
            </w:pPr>
          </w:p>
        </w:tc>
        <w:tc>
          <w:tcPr>
            <w:tcW w:w="240" w:type="dxa"/>
            <w:vAlign w:val="bottom"/>
            <w:shd w:val="clear" w:color="auto" w:fill="808285"/>
          </w:tcPr>
          <w:p>
            <w:pPr>
              <w:spacing w:after="0"/>
              <w:rPr>
                <w:sz w:val="5"/>
                <w:szCs w:val="5"/>
                <w:color w:val="auto"/>
              </w:rPr>
            </w:pPr>
          </w:p>
        </w:tc>
        <w:tc>
          <w:tcPr>
            <w:tcW w:w="900" w:type="dxa"/>
            <w:vAlign w:val="bottom"/>
            <w:shd w:val="clear" w:color="auto" w:fill="808285"/>
          </w:tcPr>
          <w:p>
            <w:pPr>
              <w:spacing w:after="0"/>
              <w:rPr>
                <w:sz w:val="5"/>
                <w:szCs w:val="5"/>
                <w:color w:val="auto"/>
              </w:rPr>
            </w:pPr>
          </w:p>
        </w:tc>
        <w:tc>
          <w:tcPr>
            <w:tcW w:w="220" w:type="dxa"/>
            <w:vAlign w:val="bottom"/>
            <w:shd w:val="clear" w:color="auto" w:fill="808285"/>
          </w:tcPr>
          <w:p>
            <w:pPr>
              <w:spacing w:after="0"/>
              <w:rPr>
                <w:sz w:val="5"/>
                <w:szCs w:val="5"/>
                <w:color w:val="auto"/>
              </w:rPr>
            </w:pPr>
          </w:p>
        </w:tc>
        <w:tc>
          <w:tcPr>
            <w:tcW w:w="920" w:type="dxa"/>
            <w:vAlign w:val="bottom"/>
            <w:shd w:val="clear" w:color="auto" w:fill="808285"/>
          </w:tcPr>
          <w:p>
            <w:pPr>
              <w:spacing w:after="0"/>
              <w:rPr>
                <w:sz w:val="5"/>
                <w:szCs w:val="5"/>
                <w:color w:val="auto"/>
              </w:rPr>
            </w:pPr>
          </w:p>
        </w:tc>
        <w:tc>
          <w:tcPr>
            <w:tcW w:w="1220" w:type="dxa"/>
            <w:vAlign w:val="bottom"/>
            <w:gridSpan w:val="2"/>
            <w:shd w:val="clear" w:color="auto" w:fill="808285"/>
          </w:tcPr>
          <w:p>
            <w:pPr>
              <w:spacing w:after="0"/>
              <w:rPr>
                <w:sz w:val="5"/>
                <w:szCs w:val="5"/>
                <w:color w:val="auto"/>
              </w:rPr>
            </w:pPr>
          </w:p>
        </w:tc>
        <w:tc>
          <w:tcPr>
            <w:tcW w:w="420" w:type="dxa"/>
            <w:vAlign w:val="bottom"/>
            <w:shd w:val="clear" w:color="auto" w:fill="808285"/>
          </w:tcPr>
          <w:p>
            <w:pPr>
              <w:spacing w:after="0"/>
              <w:rPr>
                <w:sz w:val="5"/>
                <w:szCs w:val="5"/>
                <w:color w:val="auto"/>
              </w:rPr>
            </w:pPr>
          </w:p>
        </w:tc>
        <w:tc>
          <w:tcPr>
            <w:tcW w:w="760" w:type="dxa"/>
            <w:vAlign w:val="bottom"/>
            <w:shd w:val="clear" w:color="auto" w:fill="808285"/>
          </w:tcPr>
          <w:p>
            <w:pPr>
              <w:spacing w:after="0"/>
              <w:rPr>
                <w:sz w:val="5"/>
                <w:szCs w:val="5"/>
                <w:color w:val="auto"/>
              </w:rPr>
            </w:pPr>
          </w:p>
        </w:tc>
        <w:tc>
          <w:tcPr>
            <w:tcW w:w="380" w:type="dxa"/>
            <w:vAlign w:val="bottom"/>
            <w:shd w:val="clear" w:color="auto" w:fill="808285"/>
          </w:tcPr>
          <w:p>
            <w:pPr>
              <w:spacing w:after="0"/>
              <w:rPr>
                <w:sz w:val="5"/>
                <w:szCs w:val="5"/>
                <w:color w:val="auto"/>
              </w:rPr>
            </w:pPr>
          </w:p>
        </w:tc>
        <w:tc>
          <w:tcPr>
            <w:tcW w:w="800" w:type="dxa"/>
            <w:vAlign w:val="bottom"/>
            <w:shd w:val="clear" w:color="auto" w:fill="808285"/>
          </w:tcPr>
          <w:p>
            <w:pPr>
              <w:spacing w:after="0"/>
              <w:rPr>
                <w:sz w:val="5"/>
                <w:szCs w:val="5"/>
                <w:color w:val="auto"/>
              </w:rPr>
            </w:pPr>
          </w:p>
        </w:tc>
        <w:tc>
          <w:tcPr>
            <w:tcW w:w="22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r>
      <w:tr>
        <w:trPr>
          <w:trHeight w:val="220"/>
        </w:trPr>
        <w:tc>
          <w:tcPr>
            <w:tcW w:w="2140" w:type="dxa"/>
            <w:vAlign w:val="bottom"/>
            <w:shd w:val="clear" w:color="auto" w:fill="E9E9E9"/>
          </w:tcPr>
          <w:p>
            <w:pPr>
              <w:spacing w:after="0"/>
              <w:rPr>
                <w:sz w:val="20"/>
                <w:szCs w:val="20"/>
                <w:color w:val="auto"/>
              </w:rPr>
            </w:pPr>
            <w:r>
              <w:rPr>
                <w:rFonts w:ascii="Arial" w:cs="Arial" w:eastAsia="Arial" w:hAnsi="Arial"/>
                <w:sz w:val="17"/>
                <w:szCs w:val="17"/>
                <w:color w:val="auto"/>
              </w:rPr>
              <w:t>Richard K. Templeton</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$987,840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4,149,000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3,566,066</w:t>
            </w:r>
          </w:p>
        </w:tc>
        <w:tc>
          <w:tcPr>
            <w:tcW w:w="1220" w:type="dxa"/>
            <w:vAlign w:val="bottom"/>
            <w:gridSpan w:val="2"/>
            <w:shd w:val="clear" w:color="auto" w:fill="E9E9E9"/>
          </w:tcPr>
          <w:p>
            <w:pPr>
              <w:jc w:val="right"/>
              <w:ind w:right="57"/>
              <w:spacing w:after="0"/>
              <w:rPr>
                <w:sz w:val="20"/>
                <w:szCs w:val="20"/>
                <w:color w:val="auto"/>
              </w:rPr>
            </w:pPr>
            <w:r>
              <w:rPr>
                <w:rFonts w:ascii="Arial" w:cs="Arial" w:eastAsia="Arial" w:hAnsi="Arial"/>
                <w:sz w:val="17"/>
                <w:szCs w:val="17"/>
                <w:color w:val="auto"/>
              </w:rPr>
              <w:t>$3,171,094</w:t>
            </w:r>
          </w:p>
        </w:tc>
        <w:tc>
          <w:tcPr>
            <w:tcW w:w="420" w:type="dxa"/>
            <w:vAlign w:val="bottom"/>
            <w:shd w:val="clear" w:color="auto" w:fill="E9E9E9"/>
          </w:tcPr>
          <w:p>
            <w:pPr>
              <w:ind w:lef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98,899</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240,521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12,213,420</w:t>
            </w:r>
          </w:p>
        </w:tc>
      </w:tr>
      <w:tr>
        <w:trPr>
          <w:trHeight w:val="236"/>
        </w:trPr>
        <w:tc>
          <w:tcPr>
            <w:tcW w:w="21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Chairman, President</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2009</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$963,120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3,311,231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3,608,023</w:t>
            </w:r>
          </w:p>
        </w:tc>
        <w:tc>
          <w:tcPr>
            <w:tcW w:w="1220" w:type="dxa"/>
            <w:vAlign w:val="bottom"/>
            <w:gridSpan w:val="2"/>
            <w:shd w:val="clear" w:color="auto" w:fill="E9E9E9"/>
          </w:tcPr>
          <w:p>
            <w:pPr>
              <w:jc w:val="right"/>
              <w:ind w:right="57"/>
              <w:spacing w:after="0"/>
              <w:rPr>
                <w:sz w:val="20"/>
                <w:szCs w:val="20"/>
                <w:color w:val="auto"/>
              </w:rPr>
            </w:pPr>
            <w:r>
              <w:rPr>
                <w:rFonts w:ascii="Arial" w:cs="Arial" w:eastAsia="Arial" w:hAnsi="Arial"/>
                <w:sz w:val="17"/>
                <w:szCs w:val="17"/>
                <w:color w:val="auto"/>
              </w:rPr>
              <w:t>$1,788,084</w:t>
            </w:r>
          </w:p>
        </w:tc>
        <w:tc>
          <w:tcPr>
            <w:tcW w:w="420" w:type="dxa"/>
            <w:vAlign w:val="bottom"/>
            <w:shd w:val="clear" w:color="auto" w:fill="E9E9E9"/>
          </w:tcPr>
          <w:p>
            <w:pPr>
              <w:ind w:lef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49,566</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145,633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9,865,657</w:t>
            </w:r>
          </w:p>
        </w:tc>
      </w:tr>
      <w:tr>
        <w:trPr>
          <w:trHeight w:val="252"/>
        </w:trPr>
        <w:tc>
          <w:tcPr>
            <w:tcW w:w="2140" w:type="dxa"/>
            <w:vAlign w:val="bottom"/>
            <w:shd w:val="clear" w:color="auto" w:fill="E9E9E9"/>
          </w:tcPr>
          <w:p>
            <w:pPr>
              <w:ind w:left="240"/>
              <w:spacing w:after="0"/>
              <w:rPr>
                <w:sz w:val="20"/>
                <w:szCs w:val="20"/>
                <w:color w:val="auto"/>
              </w:rPr>
            </w:pPr>
            <w:r>
              <w:rPr>
                <w:rFonts w:ascii="Arial" w:cs="Arial" w:eastAsia="Arial" w:hAnsi="Arial"/>
                <w:sz w:val="17"/>
                <w:szCs w:val="17"/>
                <w:color w:val="auto"/>
                <w:w w:val="99"/>
              </w:rPr>
              <w:t>&amp; Chief Executive Officer</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2008</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$960,780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4,468,500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2,397,600</w:t>
            </w:r>
          </w:p>
        </w:tc>
        <w:tc>
          <w:tcPr>
            <w:tcW w:w="1220" w:type="dxa"/>
            <w:vAlign w:val="bottom"/>
            <w:gridSpan w:val="2"/>
            <w:shd w:val="clear" w:color="auto" w:fill="E9E9E9"/>
          </w:tcPr>
          <w:p>
            <w:pPr>
              <w:jc w:val="right"/>
              <w:ind w:right="57"/>
              <w:spacing w:after="0"/>
              <w:rPr>
                <w:sz w:val="20"/>
                <w:szCs w:val="20"/>
                <w:color w:val="auto"/>
              </w:rPr>
            </w:pPr>
            <w:r>
              <w:rPr>
                <w:rFonts w:ascii="Arial" w:cs="Arial" w:eastAsia="Arial" w:hAnsi="Arial"/>
                <w:sz w:val="17"/>
                <w:szCs w:val="17"/>
                <w:color w:val="auto"/>
              </w:rPr>
              <w:t>$1,564,853</w:t>
            </w:r>
          </w:p>
        </w:tc>
        <w:tc>
          <w:tcPr>
            <w:tcW w:w="420" w:type="dxa"/>
            <w:vAlign w:val="bottom"/>
            <w:shd w:val="clear" w:color="auto" w:fill="E9E9E9"/>
          </w:tcPr>
          <w:p>
            <w:pPr>
              <w:ind w:lef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36,592</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231,857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9,660,182</w:t>
            </w:r>
          </w:p>
        </w:tc>
      </w:tr>
      <w:tr>
        <w:trPr>
          <w:trHeight w:val="236"/>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0"/>
        </w:trPr>
        <w:tc>
          <w:tcPr>
            <w:tcW w:w="2140" w:type="dxa"/>
            <w:vAlign w:val="bottom"/>
            <w:shd w:val="clear" w:color="auto" w:fill="E9E9E9"/>
          </w:tcPr>
          <w:p>
            <w:pPr>
              <w:spacing w:after="0"/>
              <w:rPr>
                <w:sz w:val="20"/>
                <w:szCs w:val="20"/>
                <w:color w:val="auto"/>
              </w:rPr>
            </w:pPr>
            <w:r>
              <w:rPr>
                <w:rFonts w:ascii="Arial" w:cs="Arial" w:eastAsia="Arial" w:hAnsi="Arial"/>
                <w:sz w:val="17"/>
                <w:szCs w:val="17"/>
                <w:color w:val="auto"/>
              </w:rPr>
              <w:t>Kevin P. March</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$524,587</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1,238,961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1,064,867</w:t>
            </w:r>
          </w:p>
        </w:tc>
        <w:tc>
          <w:tcPr>
            <w:tcW w:w="1220" w:type="dxa"/>
            <w:vAlign w:val="bottom"/>
            <w:gridSpan w:val="2"/>
            <w:shd w:val="clear" w:color="auto" w:fill="E9E9E9"/>
          </w:tcPr>
          <w:p>
            <w:pPr>
              <w:jc w:val="right"/>
              <w:ind w:right="57"/>
              <w:spacing w:after="0"/>
              <w:rPr>
                <w:sz w:val="20"/>
                <w:szCs w:val="20"/>
                <w:color w:val="auto"/>
              </w:rPr>
            </w:pPr>
            <w:r>
              <w:rPr>
                <w:rFonts w:ascii="Arial" w:cs="Arial" w:eastAsia="Arial" w:hAnsi="Arial"/>
                <w:sz w:val="17"/>
                <w:szCs w:val="17"/>
                <w:color w:val="auto"/>
              </w:rPr>
              <w:t>$1,065,858</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$ 558,705</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19,995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4,472,973</w:t>
            </w:r>
          </w:p>
        </w:tc>
      </w:tr>
      <w:tr>
        <w:trPr>
          <w:trHeight w:val="236"/>
        </w:trPr>
        <w:tc>
          <w:tcPr>
            <w:tcW w:w="21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2009</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$465,000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946,843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1,031,700</w:t>
            </w:r>
          </w:p>
        </w:tc>
        <w:tc>
          <w:tcPr>
            <w:tcW w:w="38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605,458</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$ 327,928</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20,646</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3,397,575</w:t>
            </w:r>
          </w:p>
        </w:tc>
      </w:tr>
      <w:tr>
        <w:trPr>
          <w:trHeight w:val="252"/>
        </w:trPr>
        <w:tc>
          <w:tcPr>
            <w:tcW w:w="21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&amp; Chief Financial Officer</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2008</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$462,500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1,042,650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754,800</w:t>
            </w:r>
          </w:p>
        </w:tc>
        <w:tc>
          <w:tcPr>
            <w:tcW w:w="38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456,219</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$ 385,214</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31,477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3,132,860</w:t>
            </w:r>
          </w:p>
        </w:tc>
      </w:tr>
      <w:tr>
        <w:trPr>
          <w:trHeight w:val="236"/>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0"/>
        </w:trPr>
        <w:tc>
          <w:tcPr>
            <w:tcW w:w="2140" w:type="dxa"/>
            <w:vAlign w:val="bottom"/>
            <w:shd w:val="clear" w:color="auto" w:fill="E9E9E9"/>
          </w:tcPr>
          <w:p>
            <w:pPr>
              <w:spacing w:after="0"/>
              <w:rPr>
                <w:sz w:val="20"/>
                <w:szCs w:val="20"/>
                <w:color w:val="auto"/>
              </w:rPr>
            </w:pPr>
            <w:r>
              <w:rPr>
                <w:rFonts w:ascii="Arial" w:cs="Arial" w:eastAsia="Arial" w:hAnsi="Arial"/>
                <w:sz w:val="17"/>
                <w:szCs w:val="17"/>
                <w:color w:val="auto"/>
              </w:rPr>
              <w:t>Gregg A. Lowe</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$571,672</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2,132,148</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1,832,561</w:t>
            </w:r>
          </w:p>
        </w:tc>
        <w:tc>
          <w:tcPr>
            <w:tcW w:w="1220" w:type="dxa"/>
            <w:vAlign w:val="bottom"/>
            <w:gridSpan w:val="2"/>
            <w:shd w:val="clear" w:color="auto" w:fill="E9E9E9"/>
          </w:tcPr>
          <w:p>
            <w:pPr>
              <w:jc w:val="right"/>
              <w:ind w:right="57"/>
              <w:spacing w:after="0"/>
              <w:rPr>
                <w:sz w:val="20"/>
                <w:szCs w:val="20"/>
                <w:color w:val="auto"/>
              </w:rPr>
            </w:pPr>
            <w:r>
              <w:rPr>
                <w:rFonts w:ascii="Arial" w:cs="Arial" w:eastAsia="Arial" w:hAnsi="Arial"/>
                <w:sz w:val="17"/>
                <w:szCs w:val="17"/>
                <w:color w:val="auto"/>
              </w:rPr>
              <w:t>$1,449,014</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$ 596,660</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15,927</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6,597,982</w:t>
            </w:r>
          </w:p>
        </w:tc>
      </w:tr>
      <w:tr>
        <w:trPr>
          <w:trHeight w:val="236"/>
        </w:trPr>
        <w:tc>
          <w:tcPr>
            <w:tcW w:w="21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2009</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$535,020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1,395,343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1,520,400</w:t>
            </w:r>
          </w:p>
        </w:tc>
        <w:tc>
          <w:tcPr>
            <w:tcW w:w="38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810,044</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$ 378,384</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15,693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4,654,884</w:t>
            </w:r>
          </w:p>
        </w:tc>
      </w:tr>
      <w:tr>
        <w:trPr>
          <w:trHeight w:val="252"/>
        </w:trPr>
        <w:tc>
          <w:tcPr>
            <w:tcW w:w="2140" w:type="dxa"/>
            <w:vAlign w:val="bottom"/>
            <w:shd w:val="clear" w:color="auto" w:fill="E9E9E9"/>
          </w:tcPr>
          <w:p>
            <w:pPr>
              <w:spacing w:after="0"/>
              <w:rPr>
                <w:sz w:val="21"/>
                <w:szCs w:val="21"/>
                <w:color w:val="auto"/>
              </w:rPr>
            </w:pP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2008</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$532,520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1,787,400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888,000</w:t>
            </w:r>
          </w:p>
        </w:tc>
        <w:tc>
          <w:tcPr>
            <w:tcW w:w="38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765,945</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$ 429,163</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89,471</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4,492,499</w:t>
            </w:r>
          </w:p>
        </w:tc>
      </w:tr>
      <w:tr>
        <w:trPr>
          <w:trHeight w:val="236"/>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0"/>
        </w:trPr>
        <w:tc>
          <w:tcPr>
            <w:tcW w:w="2140" w:type="dxa"/>
            <w:vAlign w:val="bottom"/>
            <w:shd w:val="clear" w:color="auto" w:fill="E9E9E9"/>
          </w:tcPr>
          <w:p>
            <w:pPr>
              <w:spacing w:after="0"/>
              <w:rPr>
                <w:sz w:val="20"/>
                <w:szCs w:val="20"/>
                <w:color w:val="auto"/>
              </w:rPr>
            </w:pPr>
            <w:r>
              <w:rPr>
                <w:rFonts w:ascii="Arial" w:cs="Arial" w:eastAsia="Arial" w:hAnsi="Arial"/>
                <w:sz w:val="17"/>
                <w:szCs w:val="17"/>
                <w:color w:val="auto"/>
              </w:rPr>
              <w:t>Brian T. Crutcher (1)</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$360,903</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3,650,500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990,574</w:t>
            </w:r>
          </w:p>
        </w:tc>
        <w:tc>
          <w:tcPr>
            <w:tcW w:w="38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812,508</w:t>
            </w:r>
          </w:p>
        </w:tc>
        <w:tc>
          <w:tcPr>
            <w:tcW w:w="420" w:type="dxa"/>
            <w:vAlign w:val="bottom"/>
            <w:shd w:val="clear" w:color="auto" w:fill="E9E9E9"/>
          </w:tcPr>
          <w:p>
            <w:pPr>
              <w:ind w:left="260"/>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402</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30,468</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5,845,355</w:t>
            </w:r>
          </w:p>
        </w:tc>
      </w:tr>
      <w:tr>
        <w:trPr>
          <w:trHeight w:val="252"/>
        </w:trPr>
        <w:tc>
          <w:tcPr>
            <w:tcW w:w="21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78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r>
      <w:tr>
        <w:trPr>
          <w:trHeight w:val="236"/>
        </w:trPr>
        <w:tc>
          <w:tcPr>
            <w:tcW w:w="2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0"/>
        </w:trPr>
        <w:tc>
          <w:tcPr>
            <w:tcW w:w="2140" w:type="dxa"/>
            <w:vAlign w:val="bottom"/>
            <w:shd w:val="clear" w:color="auto" w:fill="E9E9E9"/>
          </w:tcPr>
          <w:p>
            <w:pPr>
              <w:spacing w:after="0"/>
              <w:rPr>
                <w:sz w:val="20"/>
                <w:szCs w:val="20"/>
                <w:color w:val="auto"/>
              </w:rPr>
            </w:pPr>
            <w:r>
              <w:rPr>
                <w:rFonts w:ascii="Arial" w:cs="Arial" w:eastAsia="Arial" w:hAnsi="Arial"/>
                <w:sz w:val="17"/>
                <w:szCs w:val="17"/>
                <w:color w:val="auto"/>
              </w:rPr>
              <w:t>Kevin J. Ritchie</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2010</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$468,540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1,440,648</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1,238,217</w:t>
            </w:r>
          </w:p>
        </w:tc>
        <w:tc>
          <w:tcPr>
            <w:tcW w:w="1220" w:type="dxa"/>
            <w:vAlign w:val="bottom"/>
            <w:gridSpan w:val="2"/>
            <w:shd w:val="clear" w:color="auto" w:fill="E9E9E9"/>
          </w:tcPr>
          <w:p>
            <w:pPr>
              <w:jc w:val="right"/>
              <w:ind w:right="57"/>
              <w:spacing w:after="0"/>
              <w:rPr>
                <w:sz w:val="20"/>
                <w:szCs w:val="20"/>
                <w:color w:val="auto"/>
              </w:rPr>
            </w:pPr>
            <w:r>
              <w:rPr>
                <w:rFonts w:ascii="Arial" w:cs="Arial" w:eastAsia="Arial" w:hAnsi="Arial"/>
                <w:sz w:val="17"/>
                <w:szCs w:val="17"/>
                <w:color w:val="auto"/>
              </w:rPr>
              <w:t>$1,181,151</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$ 630,532</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13,520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4,972,608</w:t>
            </w:r>
          </w:p>
        </w:tc>
      </w:tr>
      <w:tr>
        <w:trPr>
          <w:trHeight w:val="236"/>
        </w:trPr>
        <w:tc>
          <w:tcPr>
            <w:tcW w:w="2140" w:type="dxa"/>
            <w:vAlign w:val="bottom"/>
            <w:shd w:val="clear" w:color="auto" w:fill="E9E9E9"/>
          </w:tcPr>
          <w:p>
            <w:pPr>
              <w:ind w:left="240"/>
              <w:spacing w:after="0"/>
              <w:rPr>
                <w:sz w:val="20"/>
                <w:szCs w:val="20"/>
                <w:color w:val="auto"/>
              </w:rPr>
            </w:pPr>
            <w:r>
              <w:rPr>
                <w:rFonts w:ascii="Arial" w:cs="Arial" w:eastAsia="Arial" w:hAnsi="Arial"/>
                <w:sz w:val="17"/>
                <w:szCs w:val="17"/>
                <w:color w:val="auto"/>
              </w:rPr>
              <w:t>Senior Vice President</w:t>
            </w: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2009</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$448,080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1,245,843</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w w:val="97"/>
              </w:rPr>
              <w:t>1,357,500</w:t>
            </w:r>
          </w:p>
        </w:tc>
        <w:tc>
          <w:tcPr>
            <w:tcW w:w="38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629,349</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$ 418,897</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11,506</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4,111,175</w:t>
            </w:r>
          </w:p>
        </w:tc>
      </w:tr>
      <w:tr>
        <w:trPr>
          <w:trHeight w:val="252"/>
        </w:trPr>
        <w:tc>
          <w:tcPr>
            <w:tcW w:w="2140" w:type="dxa"/>
            <w:vAlign w:val="bottom"/>
            <w:shd w:val="clear" w:color="auto" w:fill="E9E9E9"/>
          </w:tcPr>
          <w:p>
            <w:pPr>
              <w:spacing w:after="0"/>
              <w:rPr>
                <w:sz w:val="21"/>
                <w:szCs w:val="21"/>
                <w:color w:val="auto"/>
              </w:rPr>
            </w:pPr>
          </w:p>
        </w:tc>
        <w:tc>
          <w:tcPr>
            <w:tcW w:w="780" w:type="dxa"/>
            <w:vAlign w:val="bottom"/>
            <w:shd w:val="clear" w:color="auto" w:fill="E9E9E9"/>
          </w:tcPr>
          <w:p>
            <w:pPr>
              <w:jc w:val="center"/>
              <w:ind w:left="36"/>
              <w:spacing w:after="0"/>
              <w:rPr>
                <w:sz w:val="20"/>
                <w:szCs w:val="20"/>
                <w:color w:val="auto"/>
              </w:rPr>
            </w:pPr>
            <w:r>
              <w:rPr>
                <w:rFonts w:ascii="Arial" w:cs="Arial" w:eastAsia="Arial" w:hAnsi="Arial"/>
                <w:sz w:val="17"/>
                <w:szCs w:val="17"/>
                <w:color w:val="auto"/>
              </w:rPr>
              <w:t>2008</w:t>
            </w:r>
          </w:p>
        </w:tc>
        <w:tc>
          <w:tcPr>
            <w:tcW w:w="9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$446,990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w w:val="97"/>
              </w:rPr>
              <w:t>1,489,500</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ind w:right="78"/>
              <w:spacing w:after="0"/>
              <w:rPr>
                <w:sz w:val="20"/>
                <w:szCs w:val="20"/>
                <w:color w:val="auto"/>
              </w:rPr>
            </w:pPr>
            <w:r>
              <w:rPr>
                <w:rFonts w:ascii="Arial" w:cs="Arial" w:eastAsia="Arial" w:hAnsi="Arial"/>
                <w:sz w:val="17"/>
                <w:szCs w:val="17"/>
                <w:color w:val="auto"/>
              </w:rPr>
              <w:t>888,000</w:t>
            </w:r>
          </w:p>
        </w:tc>
        <w:tc>
          <w:tcPr>
            <w:tcW w:w="380" w:type="dxa"/>
            <w:vAlign w:val="bottom"/>
            <w:shd w:val="clear" w:color="auto" w:fill="E9E9E9"/>
          </w:tcPr>
          <w:p>
            <w:pPr>
              <w:ind w:left="240"/>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57"/>
              <w:spacing w:after="0"/>
              <w:rPr>
                <w:sz w:val="20"/>
                <w:szCs w:val="20"/>
                <w:color w:val="auto"/>
              </w:rPr>
            </w:pPr>
            <w:r>
              <w:rPr>
                <w:rFonts w:ascii="Arial" w:cs="Arial" w:eastAsia="Arial" w:hAnsi="Arial"/>
                <w:sz w:val="17"/>
                <w:szCs w:val="17"/>
                <w:color w:val="auto"/>
              </w:rPr>
              <w:t>550,172</w:t>
            </w:r>
          </w:p>
        </w:tc>
        <w:tc>
          <w:tcPr>
            <w:tcW w:w="118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$ 540,851</w:t>
            </w:r>
          </w:p>
        </w:tc>
        <w:tc>
          <w:tcPr>
            <w:tcW w:w="3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ind w:right="56"/>
              <w:spacing w:after="0"/>
              <w:rPr>
                <w:sz w:val="20"/>
                <w:szCs w:val="20"/>
                <w:color w:val="auto"/>
              </w:rPr>
            </w:pPr>
            <w:r>
              <w:rPr>
                <w:rFonts w:ascii="Arial" w:cs="Arial" w:eastAsia="Arial" w:hAnsi="Arial"/>
                <w:sz w:val="17"/>
                <w:szCs w:val="17"/>
                <w:color w:val="auto"/>
              </w:rPr>
              <w:t>16,836</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3,932,349</w:t>
            </w:r>
          </w:p>
        </w:tc>
      </w:tr>
    </w:tbl>
    <w:p>
      <w:pPr>
        <w:spacing w:after="0" w:line="239" w:lineRule="exact"/>
        <w:rPr>
          <w:sz w:val="20"/>
          <w:szCs w:val="20"/>
          <w:color w:val="auto"/>
        </w:rPr>
      </w:pPr>
    </w:p>
    <w:p>
      <w:pPr>
        <w:ind w:left="480" w:hanging="475"/>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Crutcher became an executive officer in September 2010. Compensation shown is for the full year.</w:t>
      </w:r>
    </w:p>
    <w:p>
      <w:pPr>
        <w:spacing w:after="0" w:line="276" w:lineRule="exact"/>
        <w:rPr>
          <w:rFonts w:ascii="Arial" w:cs="Arial" w:eastAsia="Arial" w:hAnsi="Arial"/>
          <w:sz w:val="17"/>
          <w:szCs w:val="17"/>
          <w:color w:val="auto"/>
        </w:rPr>
      </w:pPr>
    </w:p>
    <w:p>
      <w:pPr>
        <w:ind w:left="480" w:right="1060" w:hanging="475"/>
        <w:spacing w:after="0" w:line="252"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Performance bonuses for 2010 were paid under the Texas Instruments Executive Officer Performance Plan. In accordance with SEC requirements, these amounts are reported in the Non-Equity Incentive Plan Compensation column.</w:t>
      </w:r>
    </w:p>
    <w:p>
      <w:pPr>
        <w:spacing w:after="0" w:line="218" w:lineRule="exact"/>
        <w:rPr>
          <w:rFonts w:ascii="Arial" w:cs="Arial" w:eastAsia="Arial" w:hAnsi="Arial"/>
          <w:sz w:val="17"/>
          <w:szCs w:val="17"/>
          <w:color w:val="auto"/>
        </w:rPr>
      </w:pPr>
    </w:p>
    <w:p>
      <w:pPr>
        <w:ind w:left="480" w:right="260" w:hanging="475"/>
        <w:spacing w:after="0" w:line="243"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awards calculated in accordance with ASC 718. The discussion of the assumptions used for purposes of the valuation of the awards granted in 2010 appears on pages 11-14 of Exhibit 13 to TI’s annual report on Form 10-K for the year ended December 31, 2010. For a description of these grant terms, please see pages 78-79. The discussion of the assumptions used for purposes of the valuation of the awards granted in 2009 and 2008 appears respectively in Exhibit 13 to TI’s annual report on Form 10-K for the year ended December 31, 2009 (pages 12-15) and to TI’s annual report on Form 10-K for the year ended December 31, 2008 (pages 12-15).</w:t>
      </w:r>
    </w:p>
    <w:p>
      <w:pPr>
        <w:spacing w:after="0" w:line="228" w:lineRule="exact"/>
        <w:rPr>
          <w:rFonts w:ascii="Arial" w:cs="Arial" w:eastAsia="Arial" w:hAnsi="Arial"/>
          <w:sz w:val="17"/>
          <w:szCs w:val="17"/>
          <w:color w:val="auto"/>
        </w:rPr>
      </w:pPr>
    </w:p>
    <w:p>
      <w:pPr>
        <w:ind w:left="480" w:right="120" w:hanging="475"/>
        <w:spacing w:after="0" w:line="244" w:lineRule="auto"/>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Shown is the aggregate grant date fair value of options calculated in accordance with ASC 718. The discussion of the assumptions used for purposes of the valuation of options granted in 2010 appears on pages 11-14 of Exhibit 13 to TI’s annual report on Form 10-K for the year ended December 31, 2010. For a description of these grant terms, please see pages 78-79. The discussion of the assumptions used for purposes of the valuation of the awards granted in 2009 and 2008 appears respectively in Exhibit 13 to TI’s annual report on Form 10-K for the year ended December 31, 2009 (pages 12-15) and to TI’s annual report on Form 10-K for the year ended December 31, 2008 (pages 12-15).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138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520"/>
          </w:cols>
          <w:pgMar w:left="240" w:top="595" w:right="139" w:bottom="1440" w:gutter="0" w:footer="0" w:header="0"/>
        </w:sectPr>
      </w:pPr>
    </w:p>
    <w:bookmarkStart w:id="26" w:name="page27"/>
    <w:bookmarkEnd w:id="26"/>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74</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left="480" w:right="20" w:hanging="475"/>
        <w:spacing w:after="0" w:line="252"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Consists of performance bonus and profit sharing for 2010. Please see page 69 of the Compensation Discussion and Analysis for the amounts of bonus and profit sharing paid to each of the named executive officers for 2010.</w:t>
      </w:r>
    </w:p>
    <w:p>
      <w:pPr>
        <w:spacing w:after="0" w:line="218" w:lineRule="exact"/>
        <w:rPr>
          <w:rFonts w:ascii="Arial" w:cs="Arial" w:eastAsia="Arial" w:hAnsi="Arial"/>
          <w:sz w:val="17"/>
          <w:szCs w:val="17"/>
          <w:color w:val="auto"/>
        </w:rPr>
      </w:pPr>
    </w:p>
    <w:p>
      <w:pPr>
        <w:ind w:left="480" w:right="60" w:hanging="475"/>
        <w:spacing w:after="0" w:line="243"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2009, through December 31, 2010. This “change in the actuarial value” is the difference between the 2009 and 2010 present value of the pension benefit accumulated as of year-end by the named executive officer, assuming that benefit is not paid until age 65. Messrs. Templeton and Crutcher’s benefits under the company’s pension plans were frozen as of December 31, 1997.</w:t>
      </w:r>
    </w:p>
    <w:p>
      <w:pPr>
        <w:spacing w:after="0" w:line="227" w:lineRule="exact"/>
        <w:rPr>
          <w:rFonts w:ascii="Arial" w:cs="Arial" w:eastAsia="Arial" w:hAnsi="Arial"/>
          <w:sz w:val="17"/>
          <w:szCs w:val="17"/>
          <w:color w:val="auto"/>
        </w:rPr>
      </w:pPr>
    </w:p>
    <w:p>
      <w:pPr>
        <w:ind w:left="480" w:right="140" w:hanging="475"/>
        <w:spacing w:after="0" w:line="252"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interest of transparency, the value of perquisites and other personal benefits is provided in this column even if the amount is less than the reporting threshold established by the SEC. The table below shows the value of perquisites and other benefits for 2010.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6"/>
        </w:trPr>
        <w:tc>
          <w:tcPr>
            <w:tcW w:w="2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9"/>
              </w:rPr>
              <w:t>Contribution</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Unused</w:t>
            </w:r>
          </w:p>
        </w:tc>
        <w:tc>
          <w:tcPr>
            <w:tcW w:w="1200" w:type="dxa"/>
            <w:vAlign w:val="bottom"/>
            <w:gridSpan w:val="2"/>
          </w:tcPr>
          <w:p>
            <w:pPr>
              <w:jc w:val="right"/>
              <w:ind w:right="95"/>
              <w:spacing w:after="0"/>
              <w:rPr>
                <w:sz w:val="20"/>
                <w:szCs w:val="20"/>
                <w:color w:val="auto"/>
              </w:rPr>
            </w:pPr>
            <w:r>
              <w:rPr>
                <w:rFonts w:ascii="Arial" w:cs="Arial" w:eastAsia="Arial" w:hAnsi="Arial"/>
                <w:sz w:val="13"/>
                <w:szCs w:val="13"/>
                <w:b w:val="1"/>
                <w:bCs w:val="1"/>
                <w:color w:val="auto"/>
              </w:rPr>
              <w:t>Personal Use</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6"/>
        </w:trPr>
        <w:tc>
          <w:tcPr>
            <w:tcW w:w="2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401(k)</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Retirement</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Vacation</w:t>
            </w:r>
          </w:p>
        </w:tc>
        <w:tc>
          <w:tcPr>
            <w:tcW w:w="1200" w:type="dxa"/>
            <w:vAlign w:val="bottom"/>
            <w:gridSpan w:val="2"/>
          </w:tcPr>
          <w:p>
            <w:pPr>
              <w:jc w:val="right"/>
              <w:ind w:right="115"/>
              <w:spacing w:after="0"/>
              <w:rPr>
                <w:sz w:val="20"/>
                <w:szCs w:val="20"/>
                <w:color w:val="auto"/>
              </w:rPr>
            </w:pPr>
            <w:r>
              <w:rPr>
                <w:rFonts w:ascii="Arial" w:cs="Arial" w:eastAsia="Arial" w:hAnsi="Arial"/>
                <w:sz w:val="13"/>
                <w:szCs w:val="13"/>
                <w:b w:val="1"/>
                <w:bCs w:val="1"/>
                <w:color w:val="auto"/>
              </w:rPr>
              <w:t>of Company</w:t>
            </w:r>
          </w:p>
        </w:tc>
        <w:tc>
          <w:tcPr>
            <w:tcW w:w="1020" w:type="dxa"/>
            <w:vAlign w:val="bottom"/>
            <w:gridSpan w:val="2"/>
          </w:tcPr>
          <w:p>
            <w:pPr>
              <w:jc w:val="right"/>
              <w:ind w:right="135"/>
              <w:spacing w:after="0"/>
              <w:rPr>
                <w:sz w:val="20"/>
                <w:szCs w:val="20"/>
                <w:color w:val="auto"/>
              </w:rPr>
            </w:pPr>
            <w:r>
              <w:rPr>
                <w:rFonts w:ascii="Arial" w:cs="Arial" w:eastAsia="Arial" w:hAnsi="Arial"/>
                <w:sz w:val="13"/>
                <w:szCs w:val="13"/>
                <w:b w:val="1"/>
                <w:bCs w:val="1"/>
                <w:color w:val="auto"/>
              </w:rPr>
              <w:t>Financial</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Executive</w:t>
            </w:r>
          </w:p>
        </w:tc>
      </w:tr>
      <w:tr>
        <w:trPr>
          <w:trHeight w:val="236"/>
        </w:trPr>
        <w:tc>
          <w:tcPr>
            <w:tcW w:w="28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360" w:type="dxa"/>
            <w:vAlign w:val="bottom"/>
          </w:tcPr>
          <w:p>
            <w:pPr>
              <w:jc w:val="center"/>
              <w:ind w:left="1418"/>
              <w:spacing w:after="0"/>
              <w:rPr>
                <w:sz w:val="20"/>
                <w:szCs w:val="20"/>
                <w:color w:val="auto"/>
              </w:rPr>
            </w:pPr>
            <w:r>
              <w:rPr>
                <w:rFonts w:ascii="Arial" w:cs="Arial" w:eastAsia="Arial" w:hAnsi="Arial"/>
                <w:sz w:val="13"/>
                <w:szCs w:val="13"/>
                <w:b w:val="1"/>
                <w:bCs w:val="1"/>
                <w:color w:val="auto"/>
              </w:rPr>
              <w:t>Insurance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9"/>
              </w:rPr>
              <w:t>Contribution</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Plan (a)</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Time (b)</w:t>
            </w:r>
          </w:p>
        </w:tc>
        <w:tc>
          <w:tcPr>
            <w:tcW w:w="1200" w:type="dxa"/>
            <w:vAlign w:val="bottom"/>
            <w:gridSpan w:val="2"/>
          </w:tcPr>
          <w:p>
            <w:pPr>
              <w:ind w:left="280"/>
              <w:spacing w:after="0"/>
              <w:rPr>
                <w:sz w:val="20"/>
                <w:szCs w:val="20"/>
                <w:color w:val="auto"/>
              </w:rPr>
            </w:pPr>
            <w:r>
              <w:rPr>
                <w:rFonts w:ascii="Arial" w:cs="Arial" w:eastAsia="Arial" w:hAnsi="Arial"/>
                <w:sz w:val="13"/>
                <w:szCs w:val="13"/>
                <w:b w:val="1"/>
                <w:bCs w:val="1"/>
                <w:color w:val="auto"/>
              </w:rPr>
              <w:t>Aircraft (c)</w:t>
            </w:r>
          </w:p>
        </w:tc>
        <w:tc>
          <w:tcPr>
            <w:tcW w:w="1020" w:type="dxa"/>
            <w:vAlign w:val="bottom"/>
            <w:gridSpan w:val="2"/>
          </w:tcPr>
          <w:p>
            <w:pPr>
              <w:jc w:val="right"/>
              <w:ind w:right="55"/>
              <w:spacing w:after="0"/>
              <w:rPr>
                <w:sz w:val="20"/>
                <w:szCs w:val="20"/>
                <w:color w:val="auto"/>
              </w:rPr>
            </w:pPr>
            <w:r>
              <w:rPr>
                <w:rFonts w:ascii="Arial" w:cs="Arial" w:eastAsia="Arial" w:hAnsi="Arial"/>
                <w:sz w:val="13"/>
                <w:szCs w:val="13"/>
                <w:b w:val="1"/>
                <w:bCs w:val="1"/>
                <w:color w:val="auto"/>
              </w:rPr>
              <w:t>Counseling</w:t>
            </w:r>
          </w:p>
        </w:tc>
        <w:tc>
          <w:tcPr>
            <w:tcW w:w="820" w:type="dxa"/>
            <w:vAlign w:val="bottom"/>
          </w:tcPr>
          <w:p>
            <w:pPr>
              <w:jc w:val="right"/>
              <w:ind w:right="20"/>
              <w:spacing w:after="0"/>
              <w:rPr>
                <w:sz w:val="20"/>
                <w:szCs w:val="20"/>
                <w:color w:val="auto"/>
              </w:rPr>
            </w:pPr>
            <w:r>
              <w:rPr>
                <w:rFonts w:ascii="Arial" w:cs="Arial" w:eastAsia="Arial" w:hAnsi="Arial"/>
                <w:sz w:val="13"/>
                <w:szCs w:val="13"/>
                <w:b w:val="1"/>
                <w:bCs w:val="1"/>
                <w:color w:val="auto"/>
              </w:rPr>
              <w:t>Physical</w:t>
            </w:r>
          </w:p>
        </w:tc>
      </w:tr>
      <w:tr>
        <w:trPr>
          <w:trHeight w:val="41"/>
        </w:trPr>
        <w:tc>
          <w:tcPr>
            <w:tcW w:w="28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66"/>
        </w:trPr>
        <w:tc>
          <w:tcPr>
            <w:tcW w:w="2840" w:type="dxa"/>
            <w:vAlign w:val="bottom"/>
            <w:shd w:val="clear" w:color="auto" w:fill="808285"/>
          </w:tcPr>
          <w:p>
            <w:pPr>
              <w:spacing w:after="0"/>
              <w:rPr>
                <w:sz w:val="5"/>
                <w:szCs w:val="5"/>
                <w:color w:val="auto"/>
              </w:rPr>
            </w:pPr>
          </w:p>
        </w:tc>
        <w:tc>
          <w:tcPr>
            <w:tcW w:w="2360" w:type="dxa"/>
            <w:vAlign w:val="bottom"/>
            <w:shd w:val="clear" w:color="auto" w:fill="808285"/>
          </w:tcPr>
          <w:p>
            <w:pPr>
              <w:spacing w:after="0"/>
              <w:rPr>
                <w:sz w:val="5"/>
                <w:szCs w:val="5"/>
                <w:color w:val="auto"/>
              </w:rPr>
            </w:pPr>
          </w:p>
        </w:tc>
        <w:tc>
          <w:tcPr>
            <w:tcW w:w="1060" w:type="dxa"/>
            <w:vAlign w:val="bottom"/>
            <w:shd w:val="clear" w:color="auto" w:fill="808285"/>
          </w:tcPr>
          <w:p>
            <w:pPr>
              <w:spacing w:after="0"/>
              <w:rPr>
                <w:sz w:val="5"/>
                <w:szCs w:val="5"/>
                <w:color w:val="auto"/>
              </w:rPr>
            </w:pPr>
          </w:p>
        </w:tc>
        <w:tc>
          <w:tcPr>
            <w:tcW w:w="1120" w:type="dxa"/>
            <w:vAlign w:val="bottom"/>
            <w:shd w:val="clear" w:color="auto" w:fill="808285"/>
          </w:tcPr>
          <w:p>
            <w:pPr>
              <w:spacing w:after="0"/>
              <w:rPr>
                <w:sz w:val="5"/>
                <w:szCs w:val="5"/>
                <w:color w:val="auto"/>
              </w:rPr>
            </w:pPr>
          </w:p>
        </w:tc>
        <w:tc>
          <w:tcPr>
            <w:tcW w:w="280" w:type="dxa"/>
            <w:vAlign w:val="bottom"/>
            <w:shd w:val="clear" w:color="auto" w:fill="808285"/>
          </w:tcPr>
          <w:p>
            <w:pPr>
              <w:spacing w:after="0"/>
              <w:rPr>
                <w:sz w:val="5"/>
                <w:szCs w:val="5"/>
                <w:color w:val="auto"/>
              </w:rPr>
            </w:pPr>
          </w:p>
        </w:tc>
        <w:tc>
          <w:tcPr>
            <w:tcW w:w="720" w:type="dxa"/>
            <w:vAlign w:val="bottom"/>
            <w:shd w:val="clear" w:color="auto" w:fill="808285"/>
          </w:tcPr>
          <w:p>
            <w:pPr>
              <w:spacing w:after="0"/>
              <w:rPr>
                <w:sz w:val="5"/>
                <w:szCs w:val="5"/>
                <w:color w:val="auto"/>
              </w:rPr>
            </w:pPr>
          </w:p>
        </w:tc>
        <w:tc>
          <w:tcPr>
            <w:tcW w:w="360" w:type="dxa"/>
            <w:vAlign w:val="bottom"/>
            <w:shd w:val="clear" w:color="auto" w:fill="808285"/>
          </w:tcPr>
          <w:p>
            <w:pPr>
              <w:spacing w:after="0"/>
              <w:rPr>
                <w:sz w:val="5"/>
                <w:szCs w:val="5"/>
                <w:color w:val="auto"/>
              </w:rPr>
            </w:pPr>
          </w:p>
        </w:tc>
        <w:tc>
          <w:tcPr>
            <w:tcW w:w="840" w:type="dxa"/>
            <w:vAlign w:val="bottom"/>
            <w:shd w:val="clear" w:color="auto" w:fill="808285"/>
          </w:tcPr>
          <w:p>
            <w:pPr>
              <w:spacing w:after="0"/>
              <w:rPr>
                <w:sz w:val="5"/>
                <w:szCs w:val="5"/>
                <w:color w:val="auto"/>
              </w:rPr>
            </w:pPr>
          </w:p>
        </w:tc>
        <w:tc>
          <w:tcPr>
            <w:tcW w:w="360" w:type="dxa"/>
            <w:vAlign w:val="bottom"/>
            <w:shd w:val="clear" w:color="auto" w:fill="808285"/>
          </w:tcPr>
          <w:p>
            <w:pPr>
              <w:spacing w:after="0"/>
              <w:rPr>
                <w:sz w:val="5"/>
                <w:szCs w:val="5"/>
                <w:color w:val="auto"/>
              </w:rPr>
            </w:pPr>
          </w:p>
        </w:tc>
        <w:tc>
          <w:tcPr>
            <w:tcW w:w="660" w:type="dxa"/>
            <w:vAlign w:val="bottom"/>
            <w:shd w:val="clear" w:color="auto" w:fill="808285"/>
          </w:tcPr>
          <w:p>
            <w:pPr>
              <w:spacing w:after="0"/>
              <w:rPr>
                <w:sz w:val="5"/>
                <w:szCs w:val="5"/>
                <w:color w:val="auto"/>
              </w:rPr>
            </w:pPr>
          </w:p>
        </w:tc>
        <w:tc>
          <w:tcPr>
            <w:tcW w:w="820" w:type="dxa"/>
            <w:vAlign w:val="bottom"/>
            <w:shd w:val="clear" w:color="auto" w:fill="808285"/>
          </w:tcPr>
          <w:p>
            <w:pPr>
              <w:spacing w:after="0"/>
              <w:rPr>
                <w:sz w:val="5"/>
                <w:szCs w:val="5"/>
                <w:color w:val="auto"/>
              </w:rPr>
            </w:pPr>
          </w:p>
        </w:tc>
      </w:tr>
      <w:tr>
        <w:trPr>
          <w:trHeight w:val="236"/>
        </w:trPr>
        <w:tc>
          <w:tcPr>
            <w:tcW w:w="284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2360" w:type="dxa"/>
            <w:vAlign w:val="bottom"/>
            <w:shd w:val="clear" w:color="auto" w:fill="E9E9E9"/>
          </w:tcPr>
          <w:p>
            <w:pPr>
              <w:jc w:val="center"/>
              <w:ind w:left="1458"/>
              <w:spacing w:after="0"/>
              <w:rPr>
                <w:sz w:val="20"/>
                <w:szCs w:val="20"/>
                <w:color w:val="auto"/>
              </w:rPr>
            </w:pPr>
            <w:r>
              <w:rPr>
                <w:rFonts w:ascii="Arial" w:cs="Arial" w:eastAsia="Arial" w:hAnsi="Arial"/>
                <w:sz w:val="17"/>
                <w:szCs w:val="17"/>
                <w:color w:val="auto"/>
              </w:rPr>
              <w:t>$250</w:t>
            </w:r>
          </w:p>
        </w:tc>
        <w:tc>
          <w:tcPr>
            <w:tcW w:w="10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$9,800</w:t>
            </w:r>
          </w:p>
        </w:tc>
        <w:tc>
          <w:tcPr>
            <w:tcW w:w="11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$60,957</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ind w:right="115"/>
              <w:spacing w:after="0"/>
              <w:rPr>
                <w:sz w:val="20"/>
                <w:szCs w:val="20"/>
                <w:color w:val="auto"/>
              </w:rPr>
            </w:pPr>
            <w:r>
              <w:rPr>
                <w:rFonts w:ascii="Arial" w:cs="Arial" w:eastAsia="Arial" w:hAnsi="Arial"/>
                <w:sz w:val="17"/>
                <w:szCs w:val="17"/>
                <w:color w:val="auto"/>
                <w:w w:val="96"/>
              </w:rPr>
              <w:t>47,786</w:t>
            </w:r>
          </w:p>
        </w:tc>
        <w:tc>
          <w:tcPr>
            <w:tcW w:w="360" w:type="dxa"/>
            <w:vAlign w:val="bottom"/>
            <w:shd w:val="clear" w:color="auto" w:fill="E9E9E9"/>
          </w:tcPr>
          <w:p>
            <w:pPr>
              <w:ind w:left="2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w w:val="97"/>
              </w:rPr>
              <w:t>111,204</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w w:val="98"/>
              </w:rPr>
              <w:t>8,000</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$2,524</w:t>
            </w:r>
          </w:p>
        </w:tc>
      </w:tr>
      <w:tr>
        <w:trPr>
          <w:trHeight w:val="228"/>
        </w:trPr>
        <w:tc>
          <w:tcPr>
            <w:tcW w:w="2840" w:type="dxa"/>
            <w:vAlign w:val="bottom"/>
          </w:tcPr>
          <w:p>
            <w:pPr>
              <w:spacing w:after="0"/>
              <w:rPr>
                <w:sz w:val="20"/>
                <w:szCs w:val="20"/>
                <w:color w:val="auto"/>
              </w:rPr>
            </w:pPr>
            <w:r>
              <w:rPr>
                <w:rFonts w:ascii="Arial" w:cs="Arial" w:eastAsia="Arial" w:hAnsi="Arial"/>
                <w:sz w:val="17"/>
                <w:szCs w:val="17"/>
                <w:color w:val="auto"/>
              </w:rPr>
              <w:t>K. P. March</w:t>
            </w:r>
          </w:p>
        </w:tc>
        <w:tc>
          <w:tcPr>
            <w:tcW w:w="2360" w:type="dxa"/>
            <w:vAlign w:val="bottom"/>
          </w:tcPr>
          <w:p>
            <w:pPr>
              <w:jc w:val="center"/>
              <w:ind w:left="1458"/>
              <w:spacing w:after="0"/>
              <w:rPr>
                <w:sz w:val="20"/>
                <w:szCs w:val="20"/>
                <w:color w:val="auto"/>
              </w:rPr>
            </w:pPr>
            <w:r>
              <w:rPr>
                <w:rFonts w:ascii="Arial" w:cs="Arial" w:eastAsia="Arial" w:hAnsi="Arial"/>
                <w:sz w:val="17"/>
                <w:szCs w:val="17"/>
                <w:color w:val="auto"/>
              </w:rPr>
              <w:t>$250</w:t>
            </w:r>
          </w:p>
        </w:tc>
        <w:tc>
          <w:tcPr>
            <w:tcW w:w="1060" w:type="dxa"/>
            <w:vAlign w:val="bottom"/>
          </w:tcPr>
          <w:p>
            <w:pPr>
              <w:jc w:val="center"/>
              <w:spacing w:after="0"/>
              <w:rPr>
                <w:sz w:val="20"/>
                <w:szCs w:val="20"/>
                <w:color w:val="auto"/>
              </w:rPr>
            </w:pPr>
            <w:r>
              <w:rPr>
                <w:rFonts w:ascii="Arial" w:cs="Arial" w:eastAsia="Arial" w:hAnsi="Arial"/>
                <w:sz w:val="17"/>
                <w:szCs w:val="17"/>
                <w:color w:val="auto"/>
              </w:rPr>
              <w:t>$4,900</w:t>
            </w:r>
          </w:p>
        </w:tc>
        <w:tc>
          <w:tcPr>
            <w:tcW w:w="1120" w:type="dxa"/>
            <w:vAlign w:val="bottom"/>
          </w:tcPr>
          <w:p>
            <w:pPr>
              <w:ind w:left="580"/>
              <w:spacing w:after="0"/>
              <w:rPr>
                <w:sz w:val="20"/>
                <w:szCs w:val="20"/>
                <w:color w:val="auto"/>
              </w:rPr>
            </w:pPr>
            <w:r>
              <w:rPr>
                <w:rFonts w:ascii="Arial" w:cs="Arial" w:eastAsia="Arial" w:hAnsi="Arial"/>
                <w:sz w:val="17"/>
                <w:szCs w:val="17"/>
                <w:color w:val="auto"/>
              </w:rPr>
              <w:t>N/A</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15"/>
              <w:spacing w:after="0"/>
              <w:rPr>
                <w:sz w:val="20"/>
                <w:szCs w:val="20"/>
                <w:color w:val="auto"/>
              </w:rPr>
            </w:pPr>
            <w:r>
              <w:rPr>
                <w:rFonts w:ascii="Arial" w:cs="Arial" w:eastAsia="Arial" w:hAnsi="Arial"/>
                <w:sz w:val="17"/>
                <w:szCs w:val="17"/>
                <w:color w:val="auto"/>
                <w:w w:val="96"/>
              </w:rPr>
              <w:t>10,328</w:t>
            </w:r>
          </w:p>
        </w:tc>
        <w:tc>
          <w:tcPr>
            <w:tcW w:w="36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35"/>
              <w:spacing w:after="0"/>
              <w:rPr>
                <w:sz w:val="20"/>
                <w:szCs w:val="20"/>
                <w:color w:val="auto"/>
              </w:rPr>
            </w:pPr>
            <w:r>
              <w:rPr>
                <w:rFonts w:ascii="Arial" w:cs="Arial" w:eastAsia="Arial" w:hAnsi="Arial"/>
                <w:sz w:val="17"/>
                <w:szCs w:val="17"/>
                <w:color w:val="auto"/>
              </w:rPr>
              <w:t>839</w:t>
            </w:r>
          </w:p>
        </w:tc>
        <w:tc>
          <w:tcPr>
            <w:tcW w:w="820" w:type="dxa"/>
            <w:vAlign w:val="bottom"/>
          </w:tcPr>
          <w:p>
            <w:pPr>
              <w:jc w:val="right"/>
              <w:spacing w:after="0"/>
              <w:rPr>
                <w:sz w:val="20"/>
                <w:szCs w:val="20"/>
                <w:color w:val="auto"/>
              </w:rPr>
            </w:pPr>
            <w:r>
              <w:rPr>
                <w:rFonts w:ascii="Arial" w:cs="Arial" w:eastAsia="Arial" w:hAnsi="Arial"/>
                <w:sz w:val="17"/>
                <w:szCs w:val="17"/>
                <w:color w:val="auto"/>
              </w:rPr>
              <w:t>$3,678</w:t>
            </w:r>
          </w:p>
        </w:tc>
      </w:tr>
      <w:tr>
        <w:trPr>
          <w:trHeight w:val="244"/>
        </w:trPr>
        <w:tc>
          <w:tcPr>
            <w:tcW w:w="284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2360" w:type="dxa"/>
            <w:vAlign w:val="bottom"/>
            <w:shd w:val="clear" w:color="auto" w:fill="E9E9E9"/>
          </w:tcPr>
          <w:p>
            <w:pPr>
              <w:jc w:val="center"/>
              <w:ind w:left="1458"/>
              <w:spacing w:after="0"/>
              <w:rPr>
                <w:sz w:val="20"/>
                <w:szCs w:val="20"/>
                <w:color w:val="auto"/>
              </w:rPr>
            </w:pPr>
            <w:r>
              <w:rPr>
                <w:rFonts w:ascii="Arial" w:cs="Arial" w:eastAsia="Arial" w:hAnsi="Arial"/>
                <w:sz w:val="17"/>
                <w:szCs w:val="17"/>
                <w:color w:val="auto"/>
              </w:rPr>
              <w:t>$250</w:t>
            </w:r>
          </w:p>
        </w:tc>
        <w:tc>
          <w:tcPr>
            <w:tcW w:w="10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$4,900</w:t>
            </w:r>
          </w:p>
        </w:tc>
        <w:tc>
          <w:tcPr>
            <w:tcW w:w="1120" w:type="dxa"/>
            <w:vAlign w:val="bottom"/>
            <w:shd w:val="clear" w:color="auto" w:fill="E9E9E9"/>
          </w:tcPr>
          <w:p>
            <w:pPr>
              <w:ind w:left="580"/>
              <w:spacing w:after="0"/>
              <w:rPr>
                <w:sz w:val="20"/>
                <w:szCs w:val="20"/>
                <w:color w:val="auto"/>
              </w:rPr>
            </w:pPr>
            <w:r>
              <w:rPr>
                <w:rFonts w:ascii="Arial" w:cs="Arial" w:eastAsia="Arial" w:hAnsi="Arial"/>
                <w:sz w:val="17"/>
                <w:szCs w:val="17"/>
                <w:color w:val="auto"/>
              </w:rPr>
              <w:t>N/A</w:t>
            </w:r>
          </w:p>
        </w:tc>
        <w:tc>
          <w:tcPr>
            <w:tcW w:w="280" w:type="dxa"/>
            <w:vAlign w:val="bottom"/>
            <w:shd w:val="clear" w:color="auto" w:fill="E9E9E9"/>
          </w:tcPr>
          <w:p>
            <w:pPr>
              <w:spacing w:after="0"/>
              <w:rPr>
                <w:sz w:val="21"/>
                <w:szCs w:val="21"/>
                <w:color w:val="auto"/>
              </w:rPr>
            </w:pPr>
          </w:p>
        </w:tc>
        <w:tc>
          <w:tcPr>
            <w:tcW w:w="720" w:type="dxa"/>
            <w:vAlign w:val="bottom"/>
            <w:shd w:val="clear" w:color="auto" w:fill="E9E9E9"/>
          </w:tcPr>
          <w:p>
            <w:pPr>
              <w:jc w:val="right"/>
              <w:ind w:right="115"/>
              <w:spacing w:after="0"/>
              <w:rPr>
                <w:sz w:val="20"/>
                <w:szCs w:val="20"/>
                <w:color w:val="auto"/>
              </w:rPr>
            </w:pPr>
            <w:r>
              <w:rPr>
                <w:rFonts w:ascii="Arial" w:cs="Arial" w:eastAsia="Arial" w:hAnsi="Arial"/>
                <w:sz w:val="17"/>
                <w:szCs w:val="17"/>
                <w:color w:val="auto"/>
              </w:rPr>
              <w:t>—</w:t>
            </w:r>
          </w:p>
        </w:tc>
        <w:tc>
          <w:tcPr>
            <w:tcW w:w="360" w:type="dxa"/>
            <w:vAlign w:val="bottom"/>
            <w:shd w:val="clear" w:color="auto" w:fill="E9E9E9"/>
          </w:tcPr>
          <w:p>
            <w:pPr>
              <w:ind w:left="2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6,353</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w w:val="98"/>
              </w:rPr>
              <w:t>2,354</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$2,070</w:t>
            </w:r>
          </w:p>
        </w:tc>
      </w:tr>
      <w:tr>
        <w:trPr>
          <w:trHeight w:val="228"/>
        </w:trPr>
        <w:tc>
          <w:tcPr>
            <w:tcW w:w="2840" w:type="dxa"/>
            <w:vAlign w:val="bottom"/>
          </w:tcPr>
          <w:p>
            <w:pPr>
              <w:spacing w:after="0"/>
              <w:rPr>
                <w:sz w:val="20"/>
                <w:szCs w:val="20"/>
                <w:color w:val="auto"/>
              </w:rPr>
            </w:pPr>
            <w:r>
              <w:rPr>
                <w:rFonts w:ascii="Arial" w:cs="Arial" w:eastAsia="Arial" w:hAnsi="Arial"/>
                <w:sz w:val="17"/>
                <w:szCs w:val="17"/>
                <w:color w:val="auto"/>
              </w:rPr>
              <w:t>B. T. Crutcher</w:t>
            </w:r>
          </w:p>
        </w:tc>
        <w:tc>
          <w:tcPr>
            <w:tcW w:w="2360" w:type="dxa"/>
            <w:vAlign w:val="bottom"/>
          </w:tcPr>
          <w:p>
            <w:pPr>
              <w:jc w:val="center"/>
              <w:ind w:left="1458"/>
              <w:spacing w:after="0"/>
              <w:rPr>
                <w:sz w:val="20"/>
                <w:szCs w:val="20"/>
                <w:color w:val="auto"/>
              </w:rPr>
            </w:pPr>
            <w:r>
              <w:rPr>
                <w:rFonts w:ascii="Arial" w:cs="Arial" w:eastAsia="Arial" w:hAnsi="Arial"/>
                <w:sz w:val="17"/>
                <w:szCs w:val="17"/>
                <w:color w:val="auto"/>
              </w:rPr>
              <w:t>$250</w:t>
            </w:r>
          </w:p>
        </w:tc>
        <w:tc>
          <w:tcPr>
            <w:tcW w:w="1060" w:type="dxa"/>
            <w:vAlign w:val="bottom"/>
          </w:tcPr>
          <w:p>
            <w:pPr>
              <w:jc w:val="center"/>
              <w:spacing w:after="0"/>
              <w:rPr>
                <w:sz w:val="20"/>
                <w:szCs w:val="20"/>
                <w:color w:val="auto"/>
              </w:rPr>
            </w:pPr>
            <w:r>
              <w:rPr>
                <w:rFonts w:ascii="Arial" w:cs="Arial" w:eastAsia="Arial" w:hAnsi="Arial"/>
                <w:sz w:val="17"/>
                <w:szCs w:val="17"/>
                <w:color w:val="auto"/>
              </w:rPr>
              <w:t>$9,800</w:t>
            </w:r>
          </w:p>
        </w:tc>
        <w:tc>
          <w:tcPr>
            <w:tcW w:w="1120" w:type="dxa"/>
            <w:vAlign w:val="bottom"/>
          </w:tcPr>
          <w:p>
            <w:pPr>
              <w:jc w:val="center"/>
              <w:spacing w:after="0"/>
              <w:rPr>
                <w:sz w:val="20"/>
                <w:szCs w:val="20"/>
                <w:color w:val="auto"/>
              </w:rPr>
            </w:pPr>
            <w:r>
              <w:rPr>
                <w:rFonts w:ascii="Arial" w:cs="Arial" w:eastAsia="Arial" w:hAnsi="Arial"/>
                <w:sz w:val="17"/>
                <w:szCs w:val="17"/>
                <w:color w:val="auto"/>
              </w:rPr>
              <w:t>$20,418</w:t>
            </w:r>
          </w:p>
        </w:tc>
        <w:tc>
          <w:tcPr>
            <w:tcW w:w="280" w:type="dxa"/>
            <w:vAlign w:val="bottom"/>
          </w:tcPr>
          <w:p>
            <w:pPr>
              <w:spacing w:after="0"/>
              <w:rPr>
                <w:sz w:val="19"/>
                <w:szCs w:val="19"/>
                <w:color w:val="auto"/>
              </w:rPr>
            </w:pPr>
          </w:p>
        </w:tc>
        <w:tc>
          <w:tcPr>
            <w:tcW w:w="7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66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284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2360" w:type="dxa"/>
            <w:vAlign w:val="bottom"/>
            <w:shd w:val="clear" w:color="auto" w:fill="E9E9E9"/>
          </w:tcPr>
          <w:p>
            <w:pPr>
              <w:jc w:val="center"/>
              <w:ind w:left="1458"/>
              <w:spacing w:after="0"/>
              <w:rPr>
                <w:sz w:val="20"/>
                <w:szCs w:val="20"/>
                <w:color w:val="auto"/>
              </w:rPr>
            </w:pPr>
            <w:r>
              <w:rPr>
                <w:rFonts w:ascii="Arial" w:cs="Arial" w:eastAsia="Arial" w:hAnsi="Arial"/>
                <w:sz w:val="17"/>
                <w:szCs w:val="17"/>
                <w:color w:val="auto"/>
              </w:rPr>
              <w:t>$250</w:t>
            </w:r>
          </w:p>
        </w:tc>
        <w:tc>
          <w:tcPr>
            <w:tcW w:w="10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$4,900</w:t>
            </w:r>
          </w:p>
        </w:tc>
        <w:tc>
          <w:tcPr>
            <w:tcW w:w="1120" w:type="dxa"/>
            <w:vAlign w:val="bottom"/>
            <w:shd w:val="clear" w:color="auto" w:fill="E9E9E9"/>
          </w:tcPr>
          <w:p>
            <w:pPr>
              <w:ind w:left="580"/>
              <w:spacing w:after="0"/>
              <w:rPr>
                <w:sz w:val="20"/>
                <w:szCs w:val="20"/>
                <w:color w:val="auto"/>
              </w:rPr>
            </w:pPr>
            <w:r>
              <w:rPr>
                <w:rFonts w:ascii="Arial" w:cs="Arial" w:eastAsia="Arial" w:hAnsi="Arial"/>
                <w:sz w:val="17"/>
                <w:szCs w:val="17"/>
                <w:color w:val="auto"/>
              </w:rPr>
              <w:t>N/A</w:t>
            </w:r>
          </w:p>
        </w:tc>
        <w:tc>
          <w:tcPr>
            <w:tcW w:w="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9E9E9"/>
          </w:tcPr>
          <w:p>
            <w:pPr>
              <w:jc w:val="right"/>
              <w:ind w:right="115"/>
              <w:spacing w:after="0"/>
              <w:rPr>
                <w:sz w:val="20"/>
                <w:szCs w:val="20"/>
                <w:color w:val="auto"/>
              </w:rPr>
            </w:pPr>
            <w:r>
              <w:rPr>
                <w:rFonts w:ascii="Arial" w:cs="Arial" w:eastAsia="Arial" w:hAnsi="Arial"/>
                <w:sz w:val="17"/>
                <w:szCs w:val="17"/>
                <w:color w:val="auto"/>
              </w:rPr>
              <w:t>6,721</w:t>
            </w:r>
          </w:p>
        </w:tc>
        <w:tc>
          <w:tcPr>
            <w:tcW w:w="360" w:type="dxa"/>
            <w:vAlign w:val="bottom"/>
            <w:shd w:val="clear" w:color="auto" w:fill="E9E9E9"/>
          </w:tcPr>
          <w:p>
            <w:pPr>
              <w:spacing w:after="0"/>
              <w:rPr>
                <w:sz w:val="21"/>
                <w:szCs w:val="21"/>
                <w:color w:val="auto"/>
              </w:rPr>
            </w:pPr>
          </w:p>
        </w:tc>
        <w:tc>
          <w:tcPr>
            <w:tcW w:w="84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rPr>
              <w:t>—</w:t>
            </w:r>
          </w:p>
        </w:tc>
        <w:tc>
          <w:tcPr>
            <w:tcW w:w="3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ind w:right="135"/>
              <w:spacing w:after="0"/>
              <w:rPr>
                <w:sz w:val="20"/>
                <w:szCs w:val="20"/>
                <w:color w:val="auto"/>
              </w:rPr>
            </w:pPr>
            <w:r>
              <w:rPr>
                <w:rFonts w:ascii="Arial" w:cs="Arial" w:eastAsia="Arial" w:hAnsi="Arial"/>
                <w:sz w:val="17"/>
                <w:szCs w:val="17"/>
                <w:color w:val="auto"/>
                <w:w w:val="98"/>
              </w:rPr>
              <w:t>1,649</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r>
    </w:tbl>
    <w:p>
      <w:pPr>
        <w:spacing w:after="0" w:line="239" w:lineRule="exact"/>
        <w:rPr>
          <w:sz w:val="20"/>
          <w:szCs w:val="20"/>
          <w:color w:val="auto"/>
        </w:rPr>
      </w:pPr>
    </w:p>
    <w:p>
      <w:pPr>
        <w:jc w:val="both"/>
        <w:ind w:left="480" w:right="520" w:hanging="475"/>
        <w:spacing w:after="0" w:line="269" w:lineRule="auto"/>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(i) contributions under the company’s enhanced defined contribution retirement plan of $4,900, and (ii) an additional amount of $56,057 for Mr. Templeton and $15,518 for Mr. Crutcher accrued by TI to offset IRC limitations on amounts that could be contributed to the enhanced defined contribution retirement plan, which amount is also shown in the Non-qualified Deferred Compensation table on page 81.</w:t>
      </w:r>
    </w:p>
    <w:p>
      <w:pPr>
        <w:spacing w:after="0" w:line="207" w:lineRule="exact"/>
        <w:rPr>
          <w:rFonts w:ascii="Arial" w:cs="Arial" w:eastAsia="Arial" w:hAnsi="Arial"/>
          <w:sz w:val="16"/>
          <w:szCs w:val="16"/>
          <w:color w:val="auto"/>
        </w:rPr>
      </w:pPr>
    </w:p>
    <w:p>
      <w:pPr>
        <w:ind w:left="480" w:hanging="475"/>
        <w:spacing w:after="0"/>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payments for unused vacation time that could not be carried forward.</w:t>
      </w:r>
    </w:p>
    <w:p>
      <w:pPr>
        <w:spacing w:after="0" w:line="276" w:lineRule="exact"/>
        <w:rPr>
          <w:rFonts w:ascii="Arial" w:cs="Arial" w:eastAsia="Arial" w:hAnsi="Arial"/>
          <w:sz w:val="17"/>
          <w:szCs w:val="17"/>
          <w:color w:val="auto"/>
        </w:rPr>
      </w:pPr>
    </w:p>
    <w:p>
      <w:pPr>
        <w:ind w:left="480" w:right="80" w:hanging="475"/>
        <w:spacing w:after="0" w:line="242"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board of directors has determined that for security reasons, it is in TI’s interest to require the chief executive officer to use the company aircraft for personal air travel. The amount shown for Mr. Templeton is the incremental cost of his personal use of aircraft. We valued this incremental cost using a method that takes into account: landing, parking and flight planning services expenses; crew travel expenses; supplies and catering expenses; aircraft fuel and oil expenses per hour of flight; communications costs; a portion of ongoing maintenance; and any customs, foreign permit and similar fees. Because company aircraft are primarily used for business travel, this methodology excludes the fixed costs, which do not change based on usage, such as pilots’ salaries and the lease cost of the company aircraft. The amount shown for Mr. Lowe was valued using the same methodology. Under SEC rules, Mr. Lowe is deemed to have received a personal benefit in 2010, because corporate aircraft incurred additional mileage in picking him up from, or delivering him to, his home outside Dallas in connection with some of his business trips.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209550</wp:posOffset>
            </wp:positionV>
            <wp:extent cx="727138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27" w:name="page28"/>
    <w:bookmarkEnd w:id="27"/>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75</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2010</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grants of plan-based awards to the named executive officers in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6"/>
        </w:trPr>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6"/>
        </w:trPr>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or Base</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6"/>
        </w:trPr>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rPr>
              <w:t>Estimated Possible Payouts</w:t>
            </w:r>
          </w:p>
        </w:tc>
        <w:tc>
          <w:tcPr>
            <w:tcW w:w="1920" w:type="dxa"/>
            <w:vAlign w:val="bottom"/>
            <w:gridSpan w:val="3"/>
          </w:tcPr>
          <w:p>
            <w:pPr>
              <w:jc w:val="center"/>
              <w:spacing w:after="0"/>
              <w:rPr>
                <w:sz w:val="20"/>
                <w:szCs w:val="20"/>
                <w:color w:val="auto"/>
              </w:rPr>
            </w:pPr>
            <w:r>
              <w:rPr>
                <w:rFonts w:ascii="Arial" w:cs="Arial" w:eastAsia="Arial" w:hAnsi="Arial"/>
                <w:sz w:val="13"/>
                <w:szCs w:val="13"/>
                <w:b w:val="1"/>
                <w:bCs w:val="1"/>
                <w:color w:val="auto"/>
              </w:rPr>
              <w:t>Estimated Future Payouts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Price of</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Grant Date</w:t>
            </w:r>
          </w:p>
        </w:tc>
      </w:tr>
      <w:tr>
        <w:trPr>
          <w:trHeight w:val="236"/>
        </w:trPr>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rPr>
              <w:t>under Non-Equity Incentive</w:t>
            </w:r>
          </w:p>
        </w:tc>
        <w:tc>
          <w:tcPr>
            <w:tcW w:w="1920" w:type="dxa"/>
            <w:vAlign w:val="bottom"/>
            <w:gridSpan w:val="3"/>
          </w:tcPr>
          <w:p>
            <w:pPr>
              <w:jc w:val="center"/>
              <w:spacing w:after="0"/>
              <w:rPr>
                <w:sz w:val="20"/>
                <w:szCs w:val="20"/>
                <w:color w:val="auto"/>
              </w:rPr>
            </w:pPr>
            <w:r>
              <w:rPr>
                <w:rFonts w:ascii="Arial" w:cs="Arial" w:eastAsia="Arial" w:hAnsi="Arial"/>
                <w:sz w:val="13"/>
                <w:szCs w:val="13"/>
                <w:b w:val="1"/>
                <w:bCs w:val="1"/>
                <w:color w:val="auto"/>
              </w:rPr>
              <w:t>under Equity Incentive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Shares of</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20"/>
                <w:szCs w:val="20"/>
                <w:color w:val="auto"/>
              </w:rPr>
            </w:pPr>
          </w:p>
        </w:tc>
        <w:tc>
          <w:tcPr>
            <w:tcW w:w="740" w:type="dxa"/>
            <w:vAlign w:val="bottom"/>
          </w:tcPr>
          <w:p>
            <w:pPr>
              <w:jc w:val="center"/>
              <w:ind w:right="48"/>
              <w:spacing w:after="0"/>
              <w:rPr>
                <w:sz w:val="20"/>
                <w:szCs w:val="20"/>
                <w:color w:val="auto"/>
              </w:rPr>
            </w:pPr>
            <w:r>
              <w:rPr>
                <w:rFonts w:ascii="Arial" w:cs="Arial" w:eastAsia="Arial" w:hAnsi="Arial"/>
                <w:sz w:val="13"/>
                <w:szCs w:val="13"/>
                <w:b w:val="1"/>
                <w:bCs w:val="1"/>
                <w:color w:val="auto"/>
                <w:w w:val="99"/>
              </w:rPr>
              <w:t>Fair Value</w:t>
            </w:r>
          </w:p>
        </w:tc>
      </w:tr>
      <w:tr>
        <w:trPr>
          <w:trHeight w:val="236"/>
        </w:trPr>
        <w:tc>
          <w:tcPr>
            <w:tcW w:w="2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Date of</w:t>
            </w:r>
          </w:p>
        </w:tc>
        <w:tc>
          <w:tcPr>
            <w:tcW w:w="20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9"/>
              </w:rPr>
              <w:t>Plan Awards</w:t>
            </w:r>
          </w:p>
        </w:tc>
        <w:tc>
          <w:tcPr>
            <w:tcW w:w="1440" w:type="dxa"/>
            <w:vAlign w:val="bottom"/>
            <w:gridSpan w:val="2"/>
          </w:tcPr>
          <w:p>
            <w:pPr>
              <w:jc w:val="center"/>
              <w:ind w:left="405"/>
              <w:spacing w:after="0"/>
              <w:rPr>
                <w:sz w:val="20"/>
                <w:szCs w:val="20"/>
                <w:color w:val="auto"/>
              </w:rPr>
            </w:pPr>
            <w:r>
              <w:rPr>
                <w:rFonts w:ascii="Arial" w:cs="Arial" w:eastAsia="Arial" w:hAnsi="Arial"/>
                <w:sz w:val="13"/>
                <w:szCs w:val="13"/>
                <w:b w:val="1"/>
                <w:bCs w:val="1"/>
                <w:color w:val="auto"/>
              </w:rPr>
              <w:t>Plan Awards</w:t>
            </w:r>
          </w:p>
        </w:tc>
        <w:tc>
          <w:tcPr>
            <w:tcW w:w="4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Stock or</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160" w:type="dxa"/>
            <w:vAlign w:val="bottom"/>
          </w:tcPr>
          <w:p>
            <w:pPr>
              <w:spacing w:after="0"/>
              <w:rPr>
                <w:sz w:val="20"/>
                <w:szCs w:val="20"/>
                <w:color w:val="auto"/>
              </w:rPr>
            </w:pPr>
          </w:p>
        </w:tc>
        <w:tc>
          <w:tcPr>
            <w:tcW w:w="740" w:type="dxa"/>
            <w:vAlign w:val="bottom"/>
          </w:tcPr>
          <w:p>
            <w:pPr>
              <w:jc w:val="center"/>
              <w:ind w:right="48"/>
              <w:spacing w:after="0"/>
              <w:rPr>
                <w:sz w:val="20"/>
                <w:szCs w:val="20"/>
                <w:color w:val="auto"/>
              </w:rPr>
            </w:pPr>
            <w:r>
              <w:rPr>
                <w:rFonts w:ascii="Arial" w:cs="Arial" w:eastAsia="Arial" w:hAnsi="Arial"/>
                <w:sz w:val="13"/>
                <w:szCs w:val="13"/>
                <w:b w:val="1"/>
                <w:bCs w:val="1"/>
                <w:color w:val="auto"/>
                <w:w w:val="97"/>
              </w:rPr>
              <w:t>of Stock</w:t>
            </w:r>
          </w:p>
        </w:tc>
      </w:tr>
      <w:tr>
        <w:trPr>
          <w:trHeight w:val="41"/>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Borders>
              <w:bottom w:val="single" w:sz="8" w:color="808285"/>
            </w:tcBorders>
          </w:tcPr>
          <w:p>
            <w:pPr>
              <w:spacing w:after="0"/>
              <w:rPr>
                <w:sz w:val="3"/>
                <w:szCs w:val="3"/>
                <w:color w:val="auto"/>
              </w:rPr>
            </w:pPr>
          </w:p>
        </w:tc>
        <w:tc>
          <w:tcPr>
            <w:tcW w:w="520" w:type="dxa"/>
            <w:vAlign w:val="bottom"/>
            <w:tcBorders>
              <w:bottom w:val="single" w:sz="8" w:color="808285"/>
            </w:tcBorders>
          </w:tcPr>
          <w:p>
            <w:pPr>
              <w:spacing w:after="0"/>
              <w:rPr>
                <w:sz w:val="3"/>
                <w:szCs w:val="3"/>
                <w:color w:val="auto"/>
              </w:rPr>
            </w:pPr>
          </w:p>
        </w:tc>
        <w:tc>
          <w:tcPr>
            <w:tcW w:w="680" w:type="dxa"/>
            <w:vAlign w:val="bottom"/>
            <w:tcBorders>
              <w:bottom w:val="single" w:sz="8" w:color="808285"/>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808285"/>
            </w:tcBorders>
          </w:tcPr>
          <w:p>
            <w:pPr>
              <w:spacing w:after="0"/>
              <w:rPr>
                <w:sz w:val="3"/>
                <w:szCs w:val="3"/>
                <w:color w:val="auto"/>
              </w:rPr>
            </w:pPr>
          </w:p>
        </w:tc>
        <w:tc>
          <w:tcPr>
            <w:tcW w:w="1200" w:type="dxa"/>
            <w:vAlign w:val="bottom"/>
            <w:tcBorders>
              <w:bottom w:val="single" w:sz="8" w:color="808285"/>
            </w:tcBorders>
            <w:gridSpan w:val="2"/>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r>
      <w:tr>
        <w:trPr>
          <w:trHeight w:val="188"/>
        </w:trPr>
        <w:tc>
          <w:tcPr>
            <w:tcW w:w="244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Arial" w:cs="Arial" w:eastAsia="Arial" w:hAnsi="Arial"/>
                <w:sz w:val="13"/>
                <w:szCs w:val="13"/>
                <w:b w:val="1"/>
                <w:bCs w:val="1"/>
                <w:color w:val="auto"/>
              </w:rPr>
              <w:t>Grant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Committee</w:t>
            </w:r>
          </w:p>
        </w:tc>
        <w:tc>
          <w:tcPr>
            <w:tcW w:w="700" w:type="dxa"/>
            <w:vAlign w:val="bottom"/>
          </w:tcPr>
          <w:p>
            <w:pPr>
              <w:spacing w:after="0"/>
              <w:rPr>
                <w:sz w:val="20"/>
                <w:szCs w:val="20"/>
                <w:color w:val="auto"/>
              </w:rPr>
            </w:pPr>
            <w:r>
              <w:rPr>
                <w:rFonts w:ascii="Arial" w:cs="Arial" w:eastAsia="Arial" w:hAnsi="Arial"/>
                <w:sz w:val="13"/>
                <w:szCs w:val="13"/>
                <w:b w:val="1"/>
                <w:bCs w:val="1"/>
                <w:color w:val="auto"/>
              </w:rPr>
              <w:t>Threshold</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Maximum</w:t>
            </w:r>
          </w:p>
        </w:tc>
        <w:tc>
          <w:tcPr>
            <w:tcW w:w="720" w:type="dxa"/>
            <w:vAlign w:val="bottom"/>
          </w:tcPr>
          <w:p>
            <w:pPr>
              <w:jc w:val="center"/>
              <w:ind w:right="5"/>
              <w:spacing w:after="0"/>
              <w:rPr>
                <w:sz w:val="20"/>
                <w:szCs w:val="20"/>
                <w:color w:val="auto"/>
              </w:rPr>
            </w:pPr>
            <w:r>
              <w:rPr>
                <w:rFonts w:ascii="Arial" w:cs="Arial" w:eastAsia="Arial" w:hAnsi="Arial"/>
                <w:sz w:val="13"/>
                <w:szCs w:val="13"/>
                <w:b w:val="1"/>
                <w:bCs w:val="1"/>
                <w:color w:val="auto"/>
              </w:rPr>
              <w:t>Threshold</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Target  Maximum</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($/Sh)</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rPr>
              <w:t>and Option</w:t>
            </w:r>
          </w:p>
        </w:tc>
      </w:tr>
      <w:tr>
        <w:trPr>
          <w:trHeight w:val="236"/>
        </w:trPr>
        <w:tc>
          <w:tcPr>
            <w:tcW w:w="24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tcPr>
          <w:p>
            <w:pPr>
              <w:ind w:left="240"/>
              <w:spacing w:after="0"/>
              <w:rPr>
                <w:sz w:val="20"/>
                <w:szCs w:val="20"/>
                <w:color w:val="auto"/>
              </w:rPr>
            </w:pPr>
            <w:r>
              <w:rPr>
                <w:rFonts w:ascii="Arial" w:cs="Arial" w:eastAsia="Arial" w:hAnsi="Arial"/>
                <w:sz w:val="13"/>
                <w:szCs w:val="13"/>
                <w:b w:val="1"/>
                <w:bCs w:val="1"/>
                <w:color w:val="auto"/>
              </w:rPr>
              <w:t>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8"/>
              </w:rPr>
              <w:t>Action</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p>
        </w:tc>
        <w:tc>
          <w:tcPr>
            <w:tcW w:w="720" w:type="dxa"/>
            <w:vAlign w:val="bottom"/>
          </w:tcPr>
          <w:p>
            <w:pPr>
              <w:jc w:val="center"/>
              <w:ind w:right="5"/>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ind w:right="160"/>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158"/>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Awards (5)</w:t>
            </w:r>
          </w:p>
        </w:tc>
      </w:tr>
      <w:tr>
        <w:trPr>
          <w:trHeight w:val="41"/>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r>
      <w:tr>
        <w:trPr>
          <w:trHeight w:val="66"/>
        </w:trPr>
        <w:tc>
          <w:tcPr>
            <w:tcW w:w="2440" w:type="dxa"/>
            <w:vAlign w:val="bottom"/>
            <w:shd w:val="clear" w:color="auto" w:fill="808285"/>
          </w:tcPr>
          <w:p>
            <w:pPr>
              <w:spacing w:after="0"/>
              <w:rPr>
                <w:sz w:val="5"/>
                <w:szCs w:val="5"/>
                <w:color w:val="auto"/>
              </w:rPr>
            </w:pPr>
          </w:p>
        </w:tc>
        <w:tc>
          <w:tcPr>
            <w:tcW w:w="980" w:type="dxa"/>
            <w:vAlign w:val="bottom"/>
            <w:shd w:val="clear" w:color="auto" w:fill="808285"/>
          </w:tcPr>
          <w:p>
            <w:pPr>
              <w:spacing w:after="0"/>
              <w:rPr>
                <w:sz w:val="5"/>
                <w:szCs w:val="5"/>
                <w:color w:val="auto"/>
              </w:rPr>
            </w:pPr>
          </w:p>
        </w:tc>
        <w:tc>
          <w:tcPr>
            <w:tcW w:w="84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520" w:type="dxa"/>
            <w:vAlign w:val="bottom"/>
            <w:shd w:val="clear" w:color="auto" w:fill="808285"/>
          </w:tcPr>
          <w:p>
            <w:pPr>
              <w:spacing w:after="0"/>
              <w:rPr>
                <w:sz w:val="5"/>
                <w:szCs w:val="5"/>
                <w:color w:val="auto"/>
              </w:rPr>
            </w:pPr>
          </w:p>
        </w:tc>
        <w:tc>
          <w:tcPr>
            <w:tcW w:w="680" w:type="dxa"/>
            <w:vAlign w:val="bottom"/>
            <w:shd w:val="clear" w:color="auto" w:fill="808285"/>
          </w:tcPr>
          <w:p>
            <w:pPr>
              <w:spacing w:after="0"/>
              <w:rPr>
                <w:sz w:val="5"/>
                <w:szCs w:val="5"/>
                <w:color w:val="auto"/>
              </w:rPr>
            </w:pPr>
          </w:p>
        </w:tc>
        <w:tc>
          <w:tcPr>
            <w:tcW w:w="100" w:type="dxa"/>
            <w:vAlign w:val="bottom"/>
            <w:shd w:val="clear" w:color="auto" w:fill="808285"/>
          </w:tcPr>
          <w:p>
            <w:pPr>
              <w:spacing w:after="0"/>
              <w:rPr>
                <w:sz w:val="5"/>
                <w:szCs w:val="5"/>
                <w:color w:val="auto"/>
              </w:rPr>
            </w:pPr>
          </w:p>
        </w:tc>
        <w:tc>
          <w:tcPr>
            <w:tcW w:w="720" w:type="dxa"/>
            <w:vAlign w:val="bottom"/>
            <w:shd w:val="clear" w:color="auto" w:fill="808285"/>
          </w:tcPr>
          <w:p>
            <w:pPr>
              <w:spacing w:after="0"/>
              <w:rPr>
                <w:sz w:val="5"/>
                <w:szCs w:val="5"/>
                <w:color w:val="auto"/>
              </w:rPr>
            </w:pPr>
          </w:p>
        </w:tc>
        <w:tc>
          <w:tcPr>
            <w:tcW w:w="720" w:type="dxa"/>
            <w:vAlign w:val="bottom"/>
            <w:shd w:val="clear" w:color="auto" w:fill="808285"/>
          </w:tcPr>
          <w:p>
            <w:pPr>
              <w:spacing w:after="0"/>
              <w:rPr>
                <w:sz w:val="5"/>
                <w:szCs w:val="5"/>
                <w:color w:val="auto"/>
              </w:rPr>
            </w:pPr>
          </w:p>
        </w:tc>
        <w:tc>
          <w:tcPr>
            <w:tcW w:w="480" w:type="dxa"/>
            <w:vAlign w:val="bottom"/>
            <w:shd w:val="clear" w:color="auto" w:fill="808285"/>
          </w:tcPr>
          <w:p>
            <w:pPr>
              <w:spacing w:after="0"/>
              <w:rPr>
                <w:sz w:val="5"/>
                <w:szCs w:val="5"/>
                <w:color w:val="auto"/>
              </w:rPr>
            </w:pPr>
          </w:p>
        </w:tc>
        <w:tc>
          <w:tcPr>
            <w:tcW w:w="840" w:type="dxa"/>
            <w:vAlign w:val="bottom"/>
            <w:shd w:val="clear" w:color="auto" w:fill="808285"/>
          </w:tcPr>
          <w:p>
            <w:pPr>
              <w:spacing w:after="0"/>
              <w:rPr>
                <w:sz w:val="5"/>
                <w:szCs w:val="5"/>
                <w:color w:val="auto"/>
              </w:rPr>
            </w:pPr>
          </w:p>
        </w:tc>
        <w:tc>
          <w:tcPr>
            <w:tcW w:w="820" w:type="dxa"/>
            <w:vAlign w:val="bottom"/>
            <w:shd w:val="clear" w:color="auto" w:fill="808285"/>
          </w:tcPr>
          <w:p>
            <w:pPr>
              <w:spacing w:after="0"/>
              <w:rPr>
                <w:sz w:val="5"/>
                <w:szCs w:val="5"/>
                <w:color w:val="auto"/>
              </w:rPr>
            </w:pPr>
          </w:p>
        </w:tc>
        <w:tc>
          <w:tcPr>
            <w:tcW w:w="680" w:type="dxa"/>
            <w:vAlign w:val="bottom"/>
            <w:shd w:val="clear" w:color="auto" w:fill="808285"/>
          </w:tcPr>
          <w:p>
            <w:pPr>
              <w:spacing w:after="0"/>
              <w:rPr>
                <w:sz w:val="5"/>
                <w:szCs w:val="5"/>
                <w:color w:val="auto"/>
              </w:rPr>
            </w:pPr>
          </w:p>
        </w:tc>
        <w:tc>
          <w:tcPr>
            <w:tcW w:w="900" w:type="dxa"/>
            <w:vAlign w:val="bottom"/>
            <w:gridSpan w:val="2"/>
            <w:shd w:val="clear" w:color="auto" w:fill="808285"/>
          </w:tcPr>
          <w:p>
            <w:pPr>
              <w:spacing w:after="0"/>
              <w:rPr>
                <w:sz w:val="5"/>
                <w:szCs w:val="5"/>
                <w:color w:val="auto"/>
              </w:rPr>
            </w:pPr>
          </w:p>
        </w:tc>
      </w:tr>
      <w:tr>
        <w:trPr>
          <w:trHeight w:val="220"/>
        </w:trPr>
        <w:tc>
          <w:tcPr>
            <w:tcW w:w="244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980" w:type="dxa"/>
            <w:vAlign w:val="bottom"/>
            <w:shd w:val="clear" w:color="auto" w:fill="E9E9E9"/>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shd w:val="clear" w:color="auto" w:fill="E9E9E9"/>
          </w:tcPr>
          <w:p>
            <w:pPr>
              <w:spacing w:after="0"/>
              <w:rPr>
                <w:sz w:val="19"/>
                <w:szCs w:val="19"/>
                <w:color w:val="auto"/>
              </w:rPr>
            </w:pPr>
          </w:p>
        </w:tc>
        <w:tc>
          <w:tcPr>
            <w:tcW w:w="720" w:type="dxa"/>
            <w:vAlign w:val="bottom"/>
            <w:shd w:val="clear" w:color="auto" w:fill="E9E9E9"/>
          </w:tcPr>
          <w:p>
            <w:pPr>
              <w:jc w:val="center"/>
              <w:ind w:right="5"/>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right="1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E9E9E9"/>
          </w:tcPr>
          <w:p>
            <w:pPr>
              <w:jc w:val="right"/>
              <w:ind w:right="15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spacing w:after="0"/>
              <w:rPr>
                <w:sz w:val="19"/>
                <w:szCs w:val="19"/>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540,000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$23.05</w:t>
            </w:r>
          </w:p>
        </w:tc>
        <w:tc>
          <w:tcPr>
            <w:tcW w:w="9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$3,566,066</w:t>
            </w:r>
          </w:p>
        </w:tc>
      </w:tr>
      <w:tr>
        <w:trPr>
          <w:trHeight w:val="252"/>
        </w:trPr>
        <w:tc>
          <w:tcPr>
            <w:tcW w:w="2440" w:type="dxa"/>
            <w:vAlign w:val="bottom"/>
            <w:shd w:val="clear" w:color="auto" w:fill="E9E9E9"/>
          </w:tcPr>
          <w:p>
            <w:pPr>
              <w:spacing w:after="0"/>
              <w:rPr>
                <w:sz w:val="21"/>
                <w:szCs w:val="21"/>
                <w:color w:val="auto"/>
              </w:rPr>
            </w:pPr>
          </w:p>
        </w:tc>
        <w:tc>
          <w:tcPr>
            <w:tcW w:w="980" w:type="dxa"/>
            <w:vAlign w:val="bottom"/>
            <w:shd w:val="clear" w:color="auto" w:fill="E9E9E9"/>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84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180,000</w:t>
            </w:r>
          </w:p>
        </w:tc>
        <w:tc>
          <w:tcPr>
            <w:tcW w:w="8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9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$4,149,000</w:t>
            </w:r>
          </w:p>
        </w:tc>
      </w:tr>
      <w:tr>
        <w:trPr>
          <w:trHeight w:val="220"/>
        </w:trPr>
        <w:tc>
          <w:tcPr>
            <w:tcW w:w="2440" w:type="dxa"/>
            <w:vAlign w:val="bottom"/>
          </w:tcPr>
          <w:p>
            <w:pPr>
              <w:spacing w:after="0"/>
              <w:rPr>
                <w:sz w:val="20"/>
                <w:szCs w:val="20"/>
                <w:color w:val="auto"/>
              </w:rPr>
            </w:pPr>
            <w:r>
              <w:rPr>
                <w:rFonts w:ascii="Arial" w:cs="Arial" w:eastAsia="Arial" w:hAnsi="Arial"/>
                <w:sz w:val="17"/>
                <w:szCs w:val="17"/>
                <w:color w:val="auto"/>
              </w:rPr>
              <w:t>March</w:t>
            </w:r>
          </w:p>
        </w:tc>
        <w:tc>
          <w:tcPr>
            <w:tcW w:w="980" w:type="dxa"/>
            <w:vAlign w:val="bottom"/>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52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19"/>
                <w:szCs w:val="19"/>
                <w:color w:val="auto"/>
              </w:rPr>
            </w:pPr>
          </w:p>
        </w:tc>
        <w:tc>
          <w:tcPr>
            <w:tcW w:w="720" w:type="dxa"/>
            <w:vAlign w:val="bottom"/>
          </w:tcPr>
          <w:p>
            <w:pPr>
              <w:jc w:val="center"/>
              <w:ind w:right="5"/>
              <w:spacing w:after="0"/>
              <w:rPr>
                <w:sz w:val="20"/>
                <w:szCs w:val="20"/>
                <w:color w:val="auto"/>
              </w:rPr>
            </w:pPr>
            <w:r>
              <w:rPr>
                <w:rFonts w:ascii="Arial" w:cs="Arial" w:eastAsia="Arial" w:hAnsi="Arial"/>
                <w:sz w:val="17"/>
                <w:szCs w:val="17"/>
                <w:color w:val="auto"/>
                <w:w w:val="93"/>
              </w:rPr>
              <w:t>—</w:t>
            </w:r>
          </w:p>
        </w:tc>
        <w:tc>
          <w:tcPr>
            <w:tcW w:w="720" w:type="dxa"/>
            <w:vAlign w:val="bottom"/>
          </w:tcPr>
          <w:p>
            <w:pPr>
              <w:jc w:val="center"/>
              <w:ind w:right="160"/>
              <w:spacing w:after="0"/>
              <w:rPr>
                <w:sz w:val="20"/>
                <w:szCs w:val="20"/>
                <w:color w:val="auto"/>
              </w:rPr>
            </w:pPr>
            <w:r>
              <w:rPr>
                <w:rFonts w:ascii="Arial" w:cs="Arial" w:eastAsia="Arial" w:hAnsi="Arial"/>
                <w:sz w:val="17"/>
                <w:szCs w:val="17"/>
                <w:color w:val="auto"/>
                <w:w w:val="93"/>
              </w:rPr>
              <w:t>—</w:t>
            </w:r>
          </w:p>
        </w:tc>
        <w:tc>
          <w:tcPr>
            <w:tcW w:w="48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161,250</w:t>
            </w:r>
          </w:p>
        </w:tc>
        <w:tc>
          <w:tcPr>
            <w:tcW w:w="680" w:type="dxa"/>
            <w:vAlign w:val="bottom"/>
          </w:tcPr>
          <w:p>
            <w:pPr>
              <w:jc w:val="center"/>
              <w:spacing w:after="0"/>
              <w:rPr>
                <w:sz w:val="20"/>
                <w:szCs w:val="20"/>
                <w:color w:val="auto"/>
              </w:rPr>
            </w:pPr>
            <w:r>
              <w:rPr>
                <w:rFonts w:ascii="Arial" w:cs="Arial" w:eastAsia="Arial" w:hAnsi="Arial"/>
                <w:sz w:val="17"/>
                <w:szCs w:val="17"/>
                <w:color w:val="auto"/>
              </w:rPr>
              <w:t>$23.05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$1,064,867</w:t>
            </w:r>
          </w:p>
        </w:tc>
      </w:tr>
      <w:tr>
        <w:trPr>
          <w:trHeight w:val="244"/>
        </w:trPr>
        <w:tc>
          <w:tcPr>
            <w:tcW w:w="244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Arial" w:cs="Arial" w:eastAsia="Arial" w:hAnsi="Arial"/>
                <w:sz w:val="17"/>
                <w:szCs w:val="17"/>
                <w:color w:val="auto"/>
              </w:rPr>
              <w:t>53,751</w:t>
            </w: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$1,238,961</w:t>
            </w:r>
          </w:p>
        </w:tc>
      </w:tr>
      <w:tr>
        <w:trPr>
          <w:trHeight w:val="228"/>
        </w:trPr>
        <w:tc>
          <w:tcPr>
            <w:tcW w:w="244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980" w:type="dxa"/>
            <w:vAlign w:val="bottom"/>
            <w:shd w:val="clear" w:color="auto" w:fill="E9E9E9"/>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shd w:val="clear" w:color="auto" w:fill="E9E9E9"/>
          </w:tcPr>
          <w:p>
            <w:pPr>
              <w:spacing w:after="0"/>
              <w:rPr>
                <w:sz w:val="19"/>
                <w:szCs w:val="19"/>
                <w:color w:val="auto"/>
              </w:rPr>
            </w:pPr>
          </w:p>
        </w:tc>
        <w:tc>
          <w:tcPr>
            <w:tcW w:w="720" w:type="dxa"/>
            <w:vAlign w:val="bottom"/>
            <w:shd w:val="clear" w:color="auto" w:fill="E9E9E9"/>
          </w:tcPr>
          <w:p>
            <w:pPr>
              <w:jc w:val="center"/>
              <w:ind w:right="5"/>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right="1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E9E9E9"/>
          </w:tcPr>
          <w:p>
            <w:pPr>
              <w:jc w:val="right"/>
              <w:ind w:right="15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spacing w:after="0"/>
              <w:rPr>
                <w:sz w:val="19"/>
                <w:szCs w:val="19"/>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277,500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$23.05</w:t>
            </w:r>
          </w:p>
        </w:tc>
        <w:tc>
          <w:tcPr>
            <w:tcW w:w="9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$1,832,561</w:t>
            </w:r>
          </w:p>
        </w:tc>
      </w:tr>
      <w:tr>
        <w:trPr>
          <w:trHeight w:val="252"/>
        </w:trPr>
        <w:tc>
          <w:tcPr>
            <w:tcW w:w="2440" w:type="dxa"/>
            <w:vAlign w:val="bottom"/>
            <w:shd w:val="clear" w:color="auto" w:fill="E9E9E9"/>
          </w:tcPr>
          <w:p>
            <w:pPr>
              <w:spacing w:after="0"/>
              <w:rPr>
                <w:sz w:val="21"/>
                <w:szCs w:val="21"/>
                <w:color w:val="auto"/>
              </w:rPr>
            </w:pPr>
          </w:p>
        </w:tc>
        <w:tc>
          <w:tcPr>
            <w:tcW w:w="980" w:type="dxa"/>
            <w:vAlign w:val="bottom"/>
            <w:shd w:val="clear" w:color="auto" w:fill="E9E9E9"/>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84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92,501</w:t>
            </w:r>
          </w:p>
        </w:tc>
        <w:tc>
          <w:tcPr>
            <w:tcW w:w="8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9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$2,132,148</w:t>
            </w:r>
          </w:p>
        </w:tc>
      </w:tr>
      <w:tr>
        <w:trPr>
          <w:trHeight w:val="220"/>
        </w:trPr>
        <w:tc>
          <w:tcPr>
            <w:tcW w:w="2440" w:type="dxa"/>
            <w:vAlign w:val="bottom"/>
          </w:tcPr>
          <w:p>
            <w:pPr>
              <w:spacing w:after="0"/>
              <w:rPr>
                <w:sz w:val="20"/>
                <w:szCs w:val="20"/>
                <w:color w:val="auto"/>
              </w:rPr>
            </w:pPr>
            <w:r>
              <w:rPr>
                <w:rFonts w:ascii="Arial" w:cs="Arial" w:eastAsia="Arial" w:hAnsi="Arial"/>
                <w:sz w:val="17"/>
                <w:szCs w:val="17"/>
                <w:color w:val="auto"/>
              </w:rPr>
              <w:t>Crutcher</w:t>
            </w:r>
          </w:p>
        </w:tc>
        <w:tc>
          <w:tcPr>
            <w:tcW w:w="980" w:type="dxa"/>
            <w:vAlign w:val="bottom"/>
          </w:tcPr>
          <w:p>
            <w:pPr>
              <w:ind w:left="100"/>
              <w:spacing w:after="0"/>
              <w:rPr>
                <w:sz w:val="20"/>
                <w:szCs w:val="20"/>
                <w:color w:val="auto"/>
              </w:rPr>
            </w:pPr>
            <w:r>
              <w:rPr>
                <w:rFonts w:ascii="Arial" w:cs="Arial" w:eastAsia="Arial" w:hAnsi="Arial"/>
                <w:sz w:val="17"/>
                <w:szCs w:val="17"/>
                <w:color w:val="auto"/>
              </w:rPr>
              <w:t>9/16/10</w:t>
            </w:r>
          </w:p>
        </w:tc>
        <w:tc>
          <w:tcPr>
            <w:tcW w:w="840" w:type="dxa"/>
            <w:vAlign w:val="bottom"/>
          </w:tcPr>
          <w:p>
            <w:pPr>
              <w:jc w:val="center"/>
              <w:spacing w:after="0"/>
              <w:rPr>
                <w:sz w:val="20"/>
                <w:szCs w:val="20"/>
                <w:color w:val="auto"/>
              </w:rPr>
            </w:pPr>
            <w:r>
              <w:rPr>
                <w:rFonts w:ascii="Arial" w:cs="Arial" w:eastAsia="Arial" w:hAnsi="Arial"/>
                <w:sz w:val="17"/>
                <w:szCs w:val="17"/>
                <w:color w:val="auto"/>
                <w:w w:val="98"/>
              </w:rPr>
              <w:t>9/16/10</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7"/>
                <w:szCs w:val="17"/>
                <w:color w:val="auto"/>
              </w:rPr>
              <w:t>100,000</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$2,498,000</w:t>
            </w:r>
          </w:p>
        </w:tc>
      </w:tr>
      <w:tr>
        <w:trPr>
          <w:trHeight w:val="236"/>
        </w:trPr>
        <w:tc>
          <w:tcPr>
            <w:tcW w:w="2440" w:type="dxa"/>
            <w:vAlign w:val="bottom"/>
          </w:tcPr>
          <w:p>
            <w:pPr>
              <w:spacing w:after="0"/>
              <w:rPr>
                <w:sz w:val="20"/>
                <w:szCs w:val="20"/>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52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680" w:type="dxa"/>
            <w:vAlign w:val="bottom"/>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tcPr>
          <w:p>
            <w:pPr>
              <w:spacing w:after="0"/>
              <w:rPr>
                <w:sz w:val="20"/>
                <w:szCs w:val="20"/>
                <w:color w:val="auto"/>
              </w:rPr>
            </w:pPr>
          </w:p>
        </w:tc>
        <w:tc>
          <w:tcPr>
            <w:tcW w:w="720" w:type="dxa"/>
            <w:vAlign w:val="bottom"/>
          </w:tcPr>
          <w:p>
            <w:pPr>
              <w:jc w:val="center"/>
              <w:ind w:right="5"/>
              <w:spacing w:after="0"/>
              <w:rPr>
                <w:sz w:val="20"/>
                <w:szCs w:val="20"/>
                <w:color w:val="auto"/>
              </w:rPr>
            </w:pPr>
            <w:r>
              <w:rPr>
                <w:rFonts w:ascii="Arial" w:cs="Arial" w:eastAsia="Arial" w:hAnsi="Arial"/>
                <w:sz w:val="17"/>
                <w:szCs w:val="17"/>
                <w:color w:val="auto"/>
                <w:w w:val="93"/>
              </w:rPr>
              <w:t>—</w:t>
            </w:r>
          </w:p>
        </w:tc>
        <w:tc>
          <w:tcPr>
            <w:tcW w:w="720" w:type="dxa"/>
            <w:vAlign w:val="bottom"/>
          </w:tcPr>
          <w:p>
            <w:pPr>
              <w:jc w:val="center"/>
              <w:ind w:right="160"/>
              <w:spacing w:after="0"/>
              <w:rPr>
                <w:sz w:val="20"/>
                <w:szCs w:val="20"/>
                <w:color w:val="auto"/>
              </w:rPr>
            </w:pPr>
            <w:r>
              <w:rPr>
                <w:rFonts w:ascii="Arial" w:cs="Arial" w:eastAsia="Arial" w:hAnsi="Arial"/>
                <w:sz w:val="17"/>
                <w:szCs w:val="17"/>
                <w:color w:val="auto"/>
                <w:w w:val="93"/>
              </w:rPr>
              <w:t>—</w:t>
            </w:r>
          </w:p>
        </w:tc>
        <w:tc>
          <w:tcPr>
            <w:tcW w:w="48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150,000</w:t>
            </w:r>
          </w:p>
        </w:tc>
        <w:tc>
          <w:tcPr>
            <w:tcW w:w="680" w:type="dxa"/>
            <w:vAlign w:val="bottom"/>
          </w:tcPr>
          <w:p>
            <w:pPr>
              <w:jc w:val="center"/>
              <w:spacing w:after="0"/>
              <w:rPr>
                <w:sz w:val="20"/>
                <w:szCs w:val="20"/>
                <w:color w:val="auto"/>
              </w:rPr>
            </w:pPr>
            <w:r>
              <w:rPr>
                <w:rFonts w:ascii="Arial" w:cs="Arial" w:eastAsia="Arial" w:hAnsi="Arial"/>
                <w:sz w:val="17"/>
                <w:szCs w:val="17"/>
                <w:color w:val="auto"/>
              </w:rPr>
              <w:t>$23.05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990,574</w:t>
            </w:r>
          </w:p>
        </w:tc>
      </w:tr>
      <w:tr>
        <w:trPr>
          <w:trHeight w:val="244"/>
        </w:trPr>
        <w:tc>
          <w:tcPr>
            <w:tcW w:w="244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6"/>
              <w:spacing w:after="0"/>
              <w:rPr>
                <w:sz w:val="20"/>
                <w:szCs w:val="20"/>
                <w:color w:val="auto"/>
              </w:rPr>
            </w:pPr>
            <w:r>
              <w:rPr>
                <w:rFonts w:ascii="Arial" w:cs="Arial" w:eastAsia="Arial" w:hAnsi="Arial"/>
                <w:sz w:val="17"/>
                <w:szCs w:val="17"/>
                <w:color w:val="auto"/>
              </w:rPr>
              <w:t>50,000</w:t>
            </w: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$1,152,500</w:t>
            </w:r>
          </w:p>
        </w:tc>
      </w:tr>
      <w:tr>
        <w:trPr>
          <w:trHeight w:val="228"/>
        </w:trPr>
        <w:tc>
          <w:tcPr>
            <w:tcW w:w="2440" w:type="dxa"/>
            <w:vAlign w:val="bottom"/>
            <w:shd w:val="clear" w:color="auto" w:fill="E9E9E9"/>
          </w:tcPr>
          <w:p>
            <w:pPr>
              <w:spacing w:after="0"/>
              <w:rPr>
                <w:sz w:val="20"/>
                <w:szCs w:val="20"/>
                <w:color w:val="auto"/>
              </w:rPr>
            </w:pPr>
            <w:r>
              <w:rPr>
                <w:rFonts w:ascii="Arial" w:cs="Arial" w:eastAsia="Arial" w:hAnsi="Arial"/>
                <w:sz w:val="17"/>
                <w:szCs w:val="17"/>
                <w:color w:val="auto"/>
              </w:rPr>
              <w:t>Ritchie</w:t>
            </w:r>
          </w:p>
        </w:tc>
        <w:tc>
          <w:tcPr>
            <w:tcW w:w="980" w:type="dxa"/>
            <w:vAlign w:val="bottom"/>
            <w:shd w:val="clear" w:color="auto" w:fill="E9E9E9"/>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5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89"/>
              </w:rPr>
              <w:t>*</w:t>
            </w:r>
          </w:p>
        </w:tc>
        <w:tc>
          <w:tcPr>
            <w:tcW w:w="100" w:type="dxa"/>
            <w:vAlign w:val="bottom"/>
            <w:shd w:val="clear" w:color="auto" w:fill="E9E9E9"/>
          </w:tcPr>
          <w:p>
            <w:pPr>
              <w:spacing w:after="0"/>
              <w:rPr>
                <w:sz w:val="19"/>
                <w:szCs w:val="19"/>
                <w:color w:val="auto"/>
              </w:rPr>
            </w:pPr>
          </w:p>
        </w:tc>
        <w:tc>
          <w:tcPr>
            <w:tcW w:w="720" w:type="dxa"/>
            <w:vAlign w:val="bottom"/>
            <w:shd w:val="clear" w:color="auto" w:fill="E9E9E9"/>
          </w:tcPr>
          <w:p>
            <w:pPr>
              <w:jc w:val="center"/>
              <w:ind w:right="5"/>
              <w:spacing w:after="0"/>
              <w:rPr>
                <w:sz w:val="20"/>
                <w:szCs w:val="20"/>
                <w:color w:val="auto"/>
              </w:rPr>
            </w:pPr>
            <w:r>
              <w:rPr>
                <w:rFonts w:ascii="Arial" w:cs="Arial" w:eastAsia="Arial" w:hAnsi="Arial"/>
                <w:sz w:val="17"/>
                <w:szCs w:val="17"/>
                <w:color w:val="auto"/>
                <w:w w:val="93"/>
              </w:rPr>
              <w:t>—</w:t>
            </w:r>
          </w:p>
        </w:tc>
        <w:tc>
          <w:tcPr>
            <w:tcW w:w="720" w:type="dxa"/>
            <w:vAlign w:val="bottom"/>
            <w:shd w:val="clear" w:color="auto" w:fill="E9E9E9"/>
          </w:tcPr>
          <w:p>
            <w:pPr>
              <w:jc w:val="center"/>
              <w:ind w:right="160"/>
              <w:spacing w:after="0"/>
              <w:rPr>
                <w:sz w:val="20"/>
                <w:szCs w:val="20"/>
                <w:color w:val="auto"/>
              </w:rPr>
            </w:pPr>
            <w:r>
              <w:rPr>
                <w:rFonts w:ascii="Arial" w:cs="Arial" w:eastAsia="Arial" w:hAnsi="Arial"/>
                <w:sz w:val="17"/>
                <w:szCs w:val="17"/>
                <w:color w:val="auto"/>
                <w:w w:val="93"/>
              </w:rPr>
              <w:t>—</w:t>
            </w:r>
          </w:p>
        </w:tc>
        <w:tc>
          <w:tcPr>
            <w:tcW w:w="480" w:type="dxa"/>
            <w:vAlign w:val="bottom"/>
            <w:shd w:val="clear" w:color="auto" w:fill="E9E9E9"/>
          </w:tcPr>
          <w:p>
            <w:pPr>
              <w:jc w:val="right"/>
              <w:ind w:right="15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spacing w:after="0"/>
              <w:rPr>
                <w:sz w:val="19"/>
                <w:szCs w:val="19"/>
                <w:color w:val="auto"/>
              </w:rPr>
            </w:pP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187,500</w:t>
            </w:r>
          </w:p>
        </w:tc>
        <w:tc>
          <w:tcPr>
            <w:tcW w:w="6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$23.05</w:t>
            </w:r>
          </w:p>
        </w:tc>
        <w:tc>
          <w:tcPr>
            <w:tcW w:w="9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$1,238,217</w:t>
            </w:r>
          </w:p>
        </w:tc>
      </w:tr>
      <w:tr>
        <w:trPr>
          <w:trHeight w:val="252"/>
        </w:trPr>
        <w:tc>
          <w:tcPr>
            <w:tcW w:w="2440" w:type="dxa"/>
            <w:vAlign w:val="bottom"/>
            <w:shd w:val="clear" w:color="auto" w:fill="E9E9E9"/>
          </w:tcPr>
          <w:p>
            <w:pPr>
              <w:spacing w:after="0"/>
              <w:rPr>
                <w:sz w:val="21"/>
                <w:szCs w:val="21"/>
                <w:color w:val="auto"/>
              </w:rPr>
            </w:pPr>
          </w:p>
        </w:tc>
        <w:tc>
          <w:tcPr>
            <w:tcW w:w="980" w:type="dxa"/>
            <w:vAlign w:val="bottom"/>
            <w:shd w:val="clear" w:color="auto" w:fill="E9E9E9"/>
          </w:tcPr>
          <w:p>
            <w:pPr>
              <w:ind w:left="100"/>
              <w:spacing w:after="0"/>
              <w:rPr>
                <w:sz w:val="20"/>
                <w:szCs w:val="20"/>
                <w:color w:val="auto"/>
              </w:rPr>
            </w:pPr>
            <w:r>
              <w:rPr>
                <w:rFonts w:ascii="Arial" w:cs="Arial" w:eastAsia="Arial" w:hAnsi="Arial"/>
                <w:sz w:val="17"/>
                <w:szCs w:val="17"/>
                <w:color w:val="auto"/>
              </w:rPr>
              <w:t>1/28/10 (1)</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1/21/10</w:t>
            </w:r>
          </w:p>
        </w:tc>
        <w:tc>
          <w:tcPr>
            <w:tcW w:w="7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84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62,501</w:t>
            </w:r>
          </w:p>
        </w:tc>
        <w:tc>
          <w:tcPr>
            <w:tcW w:w="8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90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$1,440,648</w:t>
            </w:r>
          </w:p>
        </w:tc>
      </w:tr>
    </w:tbl>
    <w:p>
      <w:pPr>
        <w:spacing w:after="0" w:line="239" w:lineRule="exact"/>
        <w:rPr>
          <w:sz w:val="20"/>
          <w:szCs w:val="20"/>
          <w:color w:val="auto"/>
        </w:rPr>
      </w:pPr>
    </w:p>
    <w:p>
      <w:pPr>
        <w:ind w:left="480" w:right="140" w:hanging="475"/>
        <w:spacing w:after="0" w:line="245"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2010.</w:t>
      </w:r>
    </w:p>
    <w:p>
      <w:pPr>
        <w:spacing w:after="0" w:line="224" w:lineRule="exact"/>
        <w:rPr>
          <w:sz w:val="20"/>
          <w:szCs w:val="20"/>
          <w:color w:val="auto"/>
        </w:rPr>
      </w:pPr>
    </w:p>
    <w:p>
      <w:pPr>
        <w:jc w:val="both"/>
        <w:ind w:left="480" w:right="360" w:hanging="475"/>
        <w:spacing w:after="0" w:line="246"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accordance with the grant policy of the Compensation Committee of the board (described on page 70), the grants became effective on the third trading day after the company released its financial results for the fourth quarter and year 2009. The company released these results on January 25, 2010.</w:t>
      </w:r>
    </w:p>
    <w:p>
      <w:pPr>
        <w:spacing w:after="0" w:line="224" w:lineRule="exact"/>
        <w:rPr>
          <w:rFonts w:ascii="Arial" w:cs="Arial" w:eastAsia="Arial" w:hAnsi="Arial"/>
          <w:sz w:val="17"/>
          <w:szCs w:val="17"/>
          <w:color w:val="auto"/>
        </w:rPr>
      </w:pPr>
    </w:p>
    <w:p>
      <w:pPr>
        <w:ind w:left="480" w:right="200" w:hanging="475"/>
        <w:spacing w:after="0" w:line="282"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stock awards granted to the named executive officers in 2010 were RSU awards. These awards were made under the company’s 2009 Long-Term Incentive Plan. For information on the terms and conditions of these RSU awards, please see the discussion beginning on page 78.</w:t>
      </w:r>
    </w:p>
    <w:p>
      <w:pPr>
        <w:spacing w:after="0" w:line="196" w:lineRule="exact"/>
        <w:rPr>
          <w:rFonts w:ascii="Arial" w:cs="Arial" w:eastAsia="Arial" w:hAnsi="Arial"/>
          <w:sz w:val="16"/>
          <w:szCs w:val="16"/>
          <w:color w:val="auto"/>
        </w:rPr>
      </w:pPr>
    </w:p>
    <w:p>
      <w:pPr>
        <w:ind w:left="480" w:right="300" w:hanging="475"/>
        <w:spacing w:after="0" w:line="252"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options were granted under the company’s 2009 Long-Term Incentive Plan. For information on the terms and conditions of these options, please see the discussion on page 78.</w:t>
      </w:r>
    </w:p>
    <w:p>
      <w:pPr>
        <w:spacing w:after="0" w:line="218" w:lineRule="exact"/>
        <w:rPr>
          <w:rFonts w:ascii="Arial" w:cs="Arial" w:eastAsia="Arial" w:hAnsi="Arial"/>
          <w:sz w:val="17"/>
          <w:szCs w:val="17"/>
          <w:color w:val="auto"/>
        </w:rPr>
      </w:pPr>
    </w:p>
    <w:p>
      <w:pPr>
        <w:ind w:left="480" w:hanging="475"/>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exercise price of the options is the closing price of TI common stock on January 28, 2010.</w:t>
      </w:r>
    </w:p>
    <w:p>
      <w:pPr>
        <w:spacing w:after="0" w:line="276" w:lineRule="exact"/>
        <w:rPr>
          <w:rFonts w:ascii="Arial" w:cs="Arial" w:eastAsia="Arial" w:hAnsi="Arial"/>
          <w:sz w:val="17"/>
          <w:szCs w:val="17"/>
          <w:color w:val="auto"/>
        </w:rPr>
      </w:pPr>
    </w:p>
    <w:p>
      <w:pPr>
        <w:ind w:left="480" w:right="180" w:hanging="475"/>
        <w:spacing w:after="0" w:line="246"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ASC 718 for stock and option awards in 2010. The discussion of the assumptions used for purposes of the valuation appears on pages 11-14 of Exhibit 13 to TI’s annual report on Form 10-K for the year ended December 31, 2010.</w:t>
      </w:r>
    </w:p>
    <w:p>
      <w:pPr>
        <w:spacing w:after="0" w:line="224"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7"/>
          <w:szCs w:val="17"/>
          <w:color w:val="auto"/>
        </w:rPr>
        <w:t>None of the options or other equity awards granted to the named executive officers was repriced or modified by the company.</w:t>
      </w:r>
    </w:p>
    <w:p>
      <w:pPr>
        <w:spacing w:after="0" w:line="276" w:lineRule="exact"/>
        <w:rPr>
          <w:rFonts w:ascii="Arial" w:cs="Arial" w:eastAsia="Arial" w:hAnsi="Arial"/>
          <w:sz w:val="17"/>
          <w:szCs w:val="17"/>
          <w:color w:val="auto"/>
        </w:rPr>
      </w:pPr>
    </w:p>
    <w:p>
      <w:pPr>
        <w:ind w:left="480" w:right="180"/>
        <w:spacing w:after="0" w:line="252" w:lineRule="auto"/>
        <w:rPr>
          <w:rFonts w:ascii="Arial" w:cs="Arial" w:eastAsia="Arial" w:hAnsi="Arial"/>
          <w:sz w:val="17"/>
          <w:szCs w:val="17"/>
          <w:color w:val="auto"/>
        </w:rPr>
      </w:pPr>
      <w:r>
        <w:rPr>
          <w:rFonts w:ascii="Arial" w:cs="Arial" w:eastAsia="Arial" w:hAnsi="Arial"/>
          <w:sz w:val="17"/>
          <w:szCs w:val="17"/>
          <w:color w:val="auto"/>
        </w:rPr>
        <w:t>For additional information regarding TI’s equity compensation grant practices, please see the Compensation Discussion and Analysis on pages 64, 66-67 and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28" w:name="page29"/>
    <w:bookmarkEnd w:id="28"/>
    <w:p>
      <w:pPr>
        <w:ind w:left="3780"/>
        <w:spacing w:after="0"/>
        <w:tabs>
          <w:tab w:leader="none" w:pos="5400" w:val="left"/>
          <w:tab w:leader="none" w:pos="602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76</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2010</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outstanding equity awards for each of the named executive officers as of December 31, 2010.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3"/>
                <w:szCs w:val="13"/>
                <w:b w:val="1"/>
                <w:bCs w:val="1"/>
                <w:color w:val="auto"/>
              </w:rPr>
              <w:t>Option Awards</w:t>
            </w: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gridSpan w:val="2"/>
          </w:tcPr>
          <w:p>
            <w:pPr>
              <w:ind w:left="480"/>
              <w:spacing w:after="0"/>
              <w:rPr>
                <w:sz w:val="20"/>
                <w:szCs w:val="20"/>
                <w:color w:val="auto"/>
              </w:rPr>
            </w:pPr>
            <w:r>
              <w:rPr>
                <w:rFonts w:ascii="Arial" w:cs="Arial" w:eastAsia="Arial" w:hAnsi="Arial"/>
                <w:sz w:val="13"/>
                <w:szCs w:val="13"/>
                <w:b w:val="1"/>
                <w:bCs w:val="1"/>
                <w:color w:val="auto"/>
              </w:rPr>
              <w:t>Stock Awards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1"/>
        </w:trPr>
        <w:tc>
          <w:tcPr>
            <w:tcW w:w="30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88"/>
        </w:trPr>
        <w:tc>
          <w:tcPr>
            <w:tcW w:w="3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Plan Awards:</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Market or</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Payout Value</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9"/>
              </w:rPr>
              <w:t>Market Value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of Unearned</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of Shares or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8"/>
              </w:rPr>
              <w:t>Shares, Units</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Underlying</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5"/>
              <w:spacing w:after="0"/>
              <w:rPr>
                <w:sz w:val="20"/>
                <w:szCs w:val="20"/>
                <w:color w:val="auto"/>
              </w:rPr>
            </w:pPr>
            <w:r>
              <w:rPr>
                <w:rFonts w:ascii="Arial" w:cs="Arial" w:eastAsia="Arial" w:hAnsi="Arial"/>
                <w:sz w:val="13"/>
                <w:szCs w:val="13"/>
                <w:b w:val="1"/>
                <w:bCs w:val="1"/>
                <w:color w:val="auto"/>
                <w:w w:val="99"/>
              </w:rPr>
              <w:t>Shares or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Units of 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or Other</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Unexercised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800" w:type="dxa"/>
            <w:vAlign w:val="bottom"/>
          </w:tcPr>
          <w:p>
            <w:pPr>
              <w:jc w:val="center"/>
              <w:ind w:left="16"/>
              <w:spacing w:after="0"/>
              <w:rPr>
                <w:sz w:val="20"/>
                <w:szCs w:val="20"/>
                <w:color w:val="auto"/>
              </w:rPr>
            </w:pPr>
            <w:r>
              <w:rPr>
                <w:rFonts w:ascii="Arial" w:cs="Arial" w:eastAsia="Arial" w:hAnsi="Arial"/>
                <w:sz w:val="13"/>
                <w:szCs w:val="13"/>
                <w:b w:val="1"/>
                <w:bCs w:val="1"/>
                <w:color w:val="auto"/>
              </w:rPr>
              <w:t>Option</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Option</w:t>
            </w:r>
          </w:p>
        </w:tc>
        <w:tc>
          <w:tcPr>
            <w:tcW w:w="980" w:type="dxa"/>
            <w:vAlign w:val="bottom"/>
            <w:gridSpan w:val="2"/>
          </w:tcPr>
          <w:p>
            <w:pPr>
              <w:jc w:val="center"/>
              <w:ind w:right="15"/>
              <w:spacing w:after="0"/>
              <w:rPr>
                <w:sz w:val="20"/>
                <w:szCs w:val="20"/>
                <w:color w:val="auto"/>
              </w:rPr>
            </w:pPr>
            <w:r>
              <w:rPr>
                <w:rFonts w:ascii="Arial" w:cs="Arial" w:eastAsia="Arial" w:hAnsi="Arial"/>
                <w:sz w:val="13"/>
                <w:szCs w:val="13"/>
                <w:b w:val="1"/>
                <w:bCs w:val="1"/>
                <w:color w:val="auto"/>
              </w:rPr>
              <w:t>Units of Stock</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That Have Not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Options (#)</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Options (#)</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800" w:type="dxa"/>
            <w:vAlign w:val="bottom"/>
          </w:tcPr>
          <w:p>
            <w:pPr>
              <w:jc w:val="center"/>
              <w:ind w:left="16"/>
              <w:spacing w:after="0"/>
              <w:rPr>
                <w:sz w:val="20"/>
                <w:szCs w:val="20"/>
                <w:color w:val="auto"/>
              </w:rPr>
            </w:pPr>
            <w:r>
              <w:rPr>
                <w:rFonts w:ascii="Arial" w:cs="Arial" w:eastAsia="Arial" w:hAnsi="Arial"/>
                <w:sz w:val="13"/>
                <w:szCs w:val="13"/>
                <w:b w:val="1"/>
                <w:bCs w:val="1"/>
                <w:color w:val="auto"/>
              </w:rPr>
              <w:t>Exercise</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Expiration</w:t>
            </w:r>
          </w:p>
        </w:tc>
        <w:tc>
          <w:tcPr>
            <w:tcW w:w="980" w:type="dxa"/>
            <w:vAlign w:val="bottom"/>
            <w:gridSpan w:val="2"/>
          </w:tcPr>
          <w:p>
            <w:pPr>
              <w:jc w:val="center"/>
              <w:ind w:right="15"/>
              <w:spacing w:after="0"/>
              <w:rPr>
                <w:sz w:val="20"/>
                <w:szCs w:val="20"/>
                <w:color w:val="auto"/>
              </w:rPr>
            </w:pPr>
            <w:r>
              <w:rPr>
                <w:rFonts w:ascii="Arial" w:cs="Arial" w:eastAsia="Arial" w:hAnsi="Arial"/>
                <w:sz w:val="13"/>
                <w:szCs w:val="13"/>
                <w:b w:val="1"/>
                <w:bCs w:val="1"/>
                <w:color w:val="auto"/>
              </w:rPr>
              <w:t>That Have Not</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Vested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Have Not</w:t>
            </w:r>
          </w:p>
        </w:tc>
        <w:tc>
          <w:tcPr>
            <w:tcW w:w="20" w:type="dxa"/>
            <w:vAlign w:val="bottom"/>
          </w:tcPr>
          <w:p>
            <w:pPr>
              <w:spacing w:after="0"/>
              <w:rPr>
                <w:sz w:val="20"/>
                <w:szCs w:val="20"/>
                <w:color w:val="auto"/>
              </w:rPr>
            </w:pPr>
          </w:p>
        </w:tc>
      </w:tr>
      <w:tr>
        <w:trPr>
          <w:trHeight w:val="236"/>
        </w:trPr>
        <w:tc>
          <w:tcPr>
            <w:tcW w:w="30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Exercisable</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Unexercisable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Options (#)</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Price ($)</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Date</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20" w:type="dxa"/>
            <w:vAlign w:val="bottom"/>
          </w:tcPr>
          <w:p>
            <w:pPr>
              <w:spacing w:after="0"/>
              <w:rPr>
                <w:sz w:val="20"/>
                <w:szCs w:val="20"/>
                <w:color w:val="auto"/>
              </w:rPr>
            </w:pPr>
          </w:p>
        </w:tc>
      </w:tr>
      <w:tr>
        <w:trPr>
          <w:trHeight w:val="41"/>
        </w:trPr>
        <w:tc>
          <w:tcPr>
            <w:tcW w:w="30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gridSpan w:val="3"/>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66"/>
        </w:trPr>
        <w:tc>
          <w:tcPr>
            <w:tcW w:w="3060" w:type="dxa"/>
            <w:vAlign w:val="bottom"/>
            <w:shd w:val="clear" w:color="auto" w:fill="808285"/>
          </w:tcPr>
          <w:p>
            <w:pPr>
              <w:spacing w:after="0"/>
              <w:rPr>
                <w:sz w:val="5"/>
                <w:szCs w:val="5"/>
                <w:color w:val="auto"/>
              </w:rPr>
            </w:pPr>
          </w:p>
        </w:tc>
        <w:tc>
          <w:tcPr>
            <w:tcW w:w="900" w:type="dxa"/>
            <w:vAlign w:val="bottom"/>
            <w:shd w:val="clear" w:color="auto" w:fill="808285"/>
          </w:tcPr>
          <w:p>
            <w:pPr>
              <w:spacing w:after="0"/>
              <w:rPr>
                <w:sz w:val="5"/>
                <w:szCs w:val="5"/>
                <w:color w:val="auto"/>
              </w:rPr>
            </w:pPr>
          </w:p>
        </w:tc>
        <w:tc>
          <w:tcPr>
            <w:tcW w:w="1060" w:type="dxa"/>
            <w:vAlign w:val="bottom"/>
            <w:gridSpan w:val="2"/>
            <w:shd w:val="clear" w:color="auto" w:fill="808285"/>
          </w:tcPr>
          <w:p>
            <w:pPr>
              <w:spacing w:after="0"/>
              <w:rPr>
                <w:sz w:val="5"/>
                <w:szCs w:val="5"/>
                <w:color w:val="auto"/>
              </w:rPr>
            </w:pPr>
          </w:p>
        </w:tc>
        <w:tc>
          <w:tcPr>
            <w:tcW w:w="780" w:type="dxa"/>
            <w:vAlign w:val="bottom"/>
            <w:shd w:val="clear" w:color="auto" w:fill="808285"/>
          </w:tcPr>
          <w:p>
            <w:pPr>
              <w:spacing w:after="0"/>
              <w:rPr>
                <w:sz w:val="5"/>
                <w:szCs w:val="5"/>
                <w:color w:val="auto"/>
              </w:rPr>
            </w:pPr>
          </w:p>
        </w:tc>
        <w:tc>
          <w:tcPr>
            <w:tcW w:w="800" w:type="dxa"/>
            <w:vAlign w:val="bottom"/>
            <w:shd w:val="clear" w:color="auto" w:fill="808285"/>
          </w:tcPr>
          <w:p>
            <w:pPr>
              <w:spacing w:after="0"/>
              <w:rPr>
                <w:sz w:val="5"/>
                <w:szCs w:val="5"/>
                <w:color w:val="auto"/>
              </w:rPr>
            </w:pPr>
          </w:p>
        </w:tc>
        <w:tc>
          <w:tcPr>
            <w:tcW w:w="960" w:type="dxa"/>
            <w:vAlign w:val="bottom"/>
            <w:shd w:val="clear" w:color="auto" w:fill="808285"/>
          </w:tcPr>
          <w:p>
            <w:pPr>
              <w:spacing w:after="0"/>
              <w:rPr>
                <w:sz w:val="5"/>
                <w:szCs w:val="5"/>
                <w:color w:val="auto"/>
              </w:rPr>
            </w:pPr>
          </w:p>
        </w:tc>
        <w:tc>
          <w:tcPr>
            <w:tcW w:w="1060" w:type="dxa"/>
            <w:vAlign w:val="bottom"/>
            <w:gridSpan w:val="3"/>
            <w:shd w:val="clear" w:color="auto" w:fill="808285"/>
          </w:tcPr>
          <w:p>
            <w:pPr>
              <w:spacing w:after="0"/>
              <w:rPr>
                <w:sz w:val="5"/>
                <w:szCs w:val="5"/>
                <w:color w:val="auto"/>
              </w:rPr>
            </w:pPr>
          </w:p>
        </w:tc>
        <w:tc>
          <w:tcPr>
            <w:tcW w:w="1060" w:type="dxa"/>
            <w:vAlign w:val="bottom"/>
            <w:shd w:val="clear" w:color="auto" w:fill="808285"/>
          </w:tcPr>
          <w:p>
            <w:pPr>
              <w:spacing w:after="0"/>
              <w:rPr>
                <w:sz w:val="5"/>
                <w:szCs w:val="5"/>
                <w:color w:val="auto"/>
              </w:rPr>
            </w:pPr>
          </w:p>
        </w:tc>
        <w:tc>
          <w:tcPr>
            <w:tcW w:w="840" w:type="dxa"/>
            <w:vAlign w:val="bottom"/>
            <w:shd w:val="clear" w:color="auto" w:fill="808285"/>
          </w:tcPr>
          <w:p>
            <w:pPr>
              <w:spacing w:after="0"/>
              <w:rPr>
                <w:sz w:val="5"/>
                <w:szCs w:val="5"/>
                <w:color w:val="auto"/>
              </w:rPr>
            </w:pPr>
          </w:p>
        </w:tc>
        <w:tc>
          <w:tcPr>
            <w:tcW w:w="900" w:type="dxa"/>
            <w:vAlign w:val="bottom"/>
            <w:shd w:val="clear" w:color="auto" w:fill="808285"/>
          </w:tcPr>
          <w:p>
            <w:pPr>
              <w:spacing w:after="0"/>
              <w:rPr>
                <w:sz w:val="5"/>
                <w:szCs w:val="5"/>
                <w:color w:val="auto"/>
              </w:rPr>
            </w:pPr>
          </w:p>
        </w:tc>
        <w:tc>
          <w:tcPr>
            <w:tcW w:w="20" w:type="dxa"/>
            <w:vAlign w:val="bottom"/>
          </w:tcPr>
          <w:p>
            <w:pPr>
              <w:spacing w:after="0"/>
              <w:rPr>
                <w:sz w:val="5"/>
                <w:szCs w:val="5"/>
                <w:color w:val="auto"/>
              </w:rPr>
            </w:pPr>
          </w:p>
        </w:tc>
      </w:tr>
      <w:tr>
        <w:trPr>
          <w:trHeight w:val="220"/>
        </w:trPr>
        <w:tc>
          <w:tcPr>
            <w:tcW w:w="306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540,000(2)</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$23.05</w:t>
            </w:r>
          </w:p>
        </w:tc>
        <w:tc>
          <w:tcPr>
            <w:tcW w:w="2020" w:type="dxa"/>
            <w:vAlign w:val="bottom"/>
            <w:gridSpan w:val="4"/>
            <w:shd w:val="clear" w:color="auto" w:fill="E9E9E9"/>
          </w:tcPr>
          <w:p>
            <w:pPr>
              <w:jc w:val="right"/>
              <w:spacing w:after="0"/>
              <w:rPr>
                <w:sz w:val="20"/>
                <w:szCs w:val="20"/>
                <w:color w:val="auto"/>
              </w:rPr>
            </w:pPr>
            <w:r>
              <w:rPr>
                <w:rFonts w:ascii="Arial" w:cs="Arial" w:eastAsia="Arial" w:hAnsi="Arial"/>
                <w:sz w:val="17"/>
                <w:szCs w:val="17"/>
                <w:color w:val="auto"/>
              </w:rPr>
              <w:t>1/28/2020 180,000 (6)</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$5,850,000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166,115</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498,346(3)</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$14.95</w:t>
            </w:r>
          </w:p>
        </w:tc>
        <w:tc>
          <w:tcPr>
            <w:tcW w:w="2020" w:type="dxa"/>
            <w:vAlign w:val="bottom"/>
            <w:gridSpan w:val="4"/>
            <w:shd w:val="clear" w:color="auto" w:fill="E9E9E9"/>
          </w:tcPr>
          <w:p>
            <w:pPr>
              <w:jc w:val="right"/>
              <w:spacing w:after="0"/>
              <w:rPr>
                <w:sz w:val="20"/>
                <w:szCs w:val="20"/>
                <w:color w:val="auto"/>
              </w:rPr>
            </w:pPr>
            <w:r>
              <w:rPr>
                <w:rFonts w:ascii="Arial" w:cs="Arial" w:eastAsia="Arial" w:hAnsi="Arial"/>
                <w:sz w:val="17"/>
                <w:szCs w:val="17"/>
                <w:color w:val="auto"/>
              </w:rPr>
              <w:t>1/29/2019 221,487 (7)</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$7,198,328</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135,000</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135,000(4)</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$29.79</w:t>
            </w:r>
          </w:p>
        </w:tc>
        <w:tc>
          <w:tcPr>
            <w:tcW w:w="2020" w:type="dxa"/>
            <w:vAlign w:val="bottom"/>
            <w:gridSpan w:val="4"/>
            <w:shd w:val="clear" w:color="auto" w:fill="E9E9E9"/>
          </w:tcPr>
          <w:p>
            <w:pPr>
              <w:jc w:val="right"/>
              <w:spacing w:after="0"/>
              <w:rPr>
                <w:sz w:val="20"/>
                <w:szCs w:val="20"/>
                <w:color w:val="auto"/>
              </w:rPr>
            </w:pPr>
            <w:r>
              <w:rPr>
                <w:rFonts w:ascii="Arial" w:cs="Arial" w:eastAsia="Arial" w:hAnsi="Arial"/>
                <w:sz w:val="17"/>
                <w:szCs w:val="17"/>
                <w:color w:val="auto"/>
              </w:rPr>
              <w:t>1/25/2018 150,000 (8)</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$4,875,000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202,500</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67,500(5)</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$28.32</w:t>
            </w:r>
          </w:p>
        </w:tc>
        <w:tc>
          <w:tcPr>
            <w:tcW w:w="2020" w:type="dxa"/>
            <w:vAlign w:val="bottom"/>
            <w:gridSpan w:val="4"/>
            <w:shd w:val="clear" w:color="auto" w:fill="E9E9E9"/>
          </w:tcPr>
          <w:p>
            <w:pPr>
              <w:jc w:val="right"/>
              <w:spacing w:after="0"/>
              <w:rPr>
                <w:sz w:val="20"/>
                <w:szCs w:val="20"/>
                <w:color w:val="auto"/>
              </w:rPr>
            </w:pPr>
            <w:r>
              <w:rPr>
                <w:rFonts w:ascii="Arial" w:cs="Arial" w:eastAsia="Arial" w:hAnsi="Arial"/>
                <w:sz w:val="17"/>
                <w:szCs w:val="17"/>
                <w:color w:val="auto"/>
              </w:rPr>
              <w:t>1/18/2017 150,000 (9)</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$4,875,000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350,000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$32.55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1/19/2016</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500,000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$21.55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1/20/2015</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700,000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$32.39</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1/14/2014</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375,000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$16.25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2/20/2013</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625,000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$16.11</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1/15/2013</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625,000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$26.50</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1/16/2012</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210,000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$31.30</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11/29/2011</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2"/>
        </w:trPr>
        <w:tc>
          <w:tcPr>
            <w:tcW w:w="3060" w:type="dxa"/>
            <w:vAlign w:val="bottom"/>
            <w:shd w:val="clear" w:color="auto" w:fill="E9E9E9"/>
          </w:tcPr>
          <w:p>
            <w:pPr>
              <w:spacing w:after="0"/>
              <w:rPr>
                <w:sz w:val="21"/>
                <w:szCs w:val="21"/>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325,000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1"/>
                <w:szCs w:val="21"/>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$50.38</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1/17/2011</w:t>
            </w:r>
          </w:p>
        </w:tc>
        <w:tc>
          <w:tcPr>
            <w:tcW w:w="80" w:type="dxa"/>
            <w:vAlign w:val="bottom"/>
            <w:shd w:val="clear" w:color="auto" w:fill="E9E9E9"/>
          </w:tcPr>
          <w:p>
            <w:pPr>
              <w:spacing w:after="0"/>
              <w:rPr>
                <w:sz w:val="21"/>
                <w:szCs w:val="21"/>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1"/>
                <w:szCs w:val="21"/>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36"/>
        </w:trPr>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306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161,250</w:t>
            </w:r>
          </w:p>
        </w:tc>
        <w:tc>
          <w:tcPr>
            <w:tcW w:w="300" w:type="dxa"/>
            <w:vAlign w:val="bottom"/>
            <w:shd w:val="clear" w:color="auto" w:fill="E9E9E9"/>
          </w:tcPr>
          <w:p>
            <w:pPr>
              <w:jc w:val="right"/>
              <w:ind w:right="5"/>
              <w:spacing w:after="0"/>
              <w:rPr>
                <w:sz w:val="20"/>
                <w:szCs w:val="20"/>
                <w:color w:val="auto"/>
              </w:rPr>
            </w:pPr>
            <w:r>
              <w:rPr>
                <w:rFonts w:ascii="Arial" w:cs="Arial" w:eastAsia="Arial" w:hAnsi="Arial"/>
                <w:sz w:val="17"/>
                <w:szCs w:val="17"/>
                <w:color w:val="auto"/>
                <w:w w:val="96"/>
              </w:rPr>
              <w:t>(2)</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$23.05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1/28/2020</w:t>
            </w:r>
          </w:p>
        </w:tc>
        <w:tc>
          <w:tcPr>
            <w:tcW w:w="80" w:type="dxa"/>
            <w:vAlign w:val="bottom"/>
            <w:shd w:val="clear" w:color="auto" w:fill="E9E9E9"/>
          </w:tcPr>
          <w:p>
            <w:pPr>
              <w:spacing w:after="0"/>
              <w:rPr>
                <w:sz w:val="19"/>
                <w:szCs w:val="19"/>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53,751</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$1,746,908</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34"/>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47,500</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142,500(3)</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$14.95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1/29/2019</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63,334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$2,058,355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42,500</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42,500(4)</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$29.79</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1/25/2018</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$1,137,500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63,750</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21,250(5)</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$28.32</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1/18/2017</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35,000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$1,137,500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85,000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$32.55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1/19/2016</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80,000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$21.55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1/20/2015</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120,000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$32.39</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1/14/2014</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60,000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$16.25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2/20/2013</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30,000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$16.11</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1/15/2013</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12,700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$35.13</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7/31/2011</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2"/>
        </w:trPr>
        <w:tc>
          <w:tcPr>
            <w:tcW w:w="3060" w:type="dxa"/>
            <w:vAlign w:val="bottom"/>
            <w:shd w:val="clear" w:color="auto" w:fill="E9E9E9"/>
          </w:tcPr>
          <w:p>
            <w:pPr>
              <w:spacing w:after="0"/>
              <w:rPr>
                <w:sz w:val="21"/>
                <w:szCs w:val="21"/>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20,000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1"/>
                <w:szCs w:val="21"/>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$50.38</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1/17/2011</w:t>
            </w:r>
          </w:p>
        </w:tc>
        <w:tc>
          <w:tcPr>
            <w:tcW w:w="80" w:type="dxa"/>
            <w:vAlign w:val="bottom"/>
            <w:shd w:val="clear" w:color="auto" w:fill="E9E9E9"/>
          </w:tcPr>
          <w:p>
            <w:pPr>
              <w:spacing w:after="0"/>
              <w:rPr>
                <w:sz w:val="21"/>
                <w:szCs w:val="21"/>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1"/>
                <w:szCs w:val="21"/>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36"/>
        </w:trPr>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306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277,500(2)</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$23.05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1/28/2020</w:t>
            </w:r>
          </w:p>
        </w:tc>
        <w:tc>
          <w:tcPr>
            <w:tcW w:w="80" w:type="dxa"/>
            <w:vAlign w:val="bottom"/>
            <w:shd w:val="clear" w:color="auto" w:fill="E9E9E9"/>
          </w:tcPr>
          <w:p>
            <w:pPr>
              <w:spacing w:after="0"/>
              <w:rPr>
                <w:sz w:val="19"/>
                <w:szCs w:val="19"/>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92,501</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$3,006,283</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210,000(3)</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$14.95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1/29/2019</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93,334</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$3,033,355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50,000</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50,000(4)</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$29.79</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1/25/2018</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$1,950,000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75,000</w:t>
            </w:r>
          </w:p>
        </w:tc>
        <w:tc>
          <w:tcPr>
            <w:tcW w:w="1060" w:type="dxa"/>
            <w:vAlign w:val="bottom"/>
            <w:gridSpan w:val="2"/>
            <w:shd w:val="clear" w:color="auto" w:fill="E9E9E9"/>
          </w:tcPr>
          <w:p>
            <w:pPr>
              <w:jc w:val="right"/>
              <w:ind w:right="5"/>
              <w:spacing w:after="0"/>
              <w:rPr>
                <w:sz w:val="20"/>
                <w:szCs w:val="20"/>
                <w:color w:val="auto"/>
              </w:rPr>
            </w:pPr>
            <w:r>
              <w:rPr>
                <w:rFonts w:ascii="Arial" w:cs="Arial" w:eastAsia="Arial" w:hAnsi="Arial"/>
                <w:sz w:val="17"/>
                <w:szCs w:val="17"/>
                <w:color w:val="auto"/>
              </w:rPr>
              <w:t>25,000(5)</w:t>
            </w: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$28.32</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1/18/2017</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60,000</w:t>
            </w:r>
          </w:p>
        </w:tc>
        <w:tc>
          <w:tcPr>
            <w:tcW w:w="3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w:t>
            </w: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$1,950,000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100,000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$32.55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1/19/2016</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100,000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$21.55</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1/20/2015</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150,000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$32.39</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1/14/2014</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36"/>
        </w:trPr>
        <w:tc>
          <w:tcPr>
            <w:tcW w:w="306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70,000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0"/>
                <w:szCs w:val="20"/>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$31.30</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11/29/2011</w:t>
            </w:r>
          </w:p>
        </w:tc>
        <w:tc>
          <w:tcPr>
            <w:tcW w:w="80" w:type="dxa"/>
            <w:vAlign w:val="bottom"/>
            <w:shd w:val="clear" w:color="auto" w:fill="E9E9E9"/>
          </w:tcPr>
          <w:p>
            <w:pPr>
              <w:spacing w:after="0"/>
              <w:rPr>
                <w:sz w:val="20"/>
                <w:szCs w:val="20"/>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0"/>
                <w:szCs w:val="20"/>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2"/>
        </w:trPr>
        <w:tc>
          <w:tcPr>
            <w:tcW w:w="3060" w:type="dxa"/>
            <w:vAlign w:val="bottom"/>
            <w:shd w:val="clear" w:color="auto" w:fill="E9E9E9"/>
          </w:tcPr>
          <w:p>
            <w:pPr>
              <w:spacing w:after="0"/>
              <w:rPr>
                <w:sz w:val="21"/>
                <w:szCs w:val="21"/>
                <w:color w:val="auto"/>
              </w:rPr>
            </w:pPr>
          </w:p>
        </w:tc>
        <w:tc>
          <w:tcPr>
            <w:tcW w:w="900" w:type="dxa"/>
            <w:vAlign w:val="bottom"/>
            <w:shd w:val="clear" w:color="auto" w:fill="E9E9E9"/>
          </w:tcPr>
          <w:p>
            <w:pPr>
              <w:jc w:val="right"/>
              <w:ind w:right="58"/>
              <w:spacing w:after="0"/>
              <w:rPr>
                <w:sz w:val="20"/>
                <w:szCs w:val="20"/>
                <w:color w:val="auto"/>
              </w:rPr>
            </w:pPr>
            <w:r>
              <w:rPr>
                <w:rFonts w:ascii="Arial" w:cs="Arial" w:eastAsia="Arial" w:hAnsi="Arial"/>
                <w:sz w:val="17"/>
                <w:szCs w:val="17"/>
                <w:color w:val="auto"/>
              </w:rPr>
              <w:t>60,000</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E9E9E9"/>
          </w:tcPr>
          <w:p>
            <w:pPr>
              <w:spacing w:after="0"/>
              <w:rPr>
                <w:sz w:val="21"/>
                <w:szCs w:val="21"/>
                <w:color w:val="auto"/>
              </w:rPr>
            </w:pPr>
          </w:p>
        </w:tc>
        <w:tc>
          <w:tcPr>
            <w:tcW w:w="7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$50.38</w:t>
            </w:r>
          </w:p>
        </w:tc>
        <w:tc>
          <w:tcPr>
            <w:tcW w:w="9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1/17/2011</w:t>
            </w:r>
          </w:p>
        </w:tc>
        <w:tc>
          <w:tcPr>
            <w:tcW w:w="80" w:type="dxa"/>
            <w:vAlign w:val="bottom"/>
            <w:shd w:val="clear" w:color="auto" w:fill="E9E9E9"/>
          </w:tcPr>
          <w:p>
            <w:pPr>
              <w:spacing w:after="0"/>
              <w:rPr>
                <w:sz w:val="21"/>
                <w:szCs w:val="21"/>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E9E9E9"/>
          </w:tcPr>
          <w:p>
            <w:pPr>
              <w:spacing w:after="0"/>
              <w:rPr>
                <w:sz w:val="21"/>
                <w:szCs w:val="21"/>
                <w:color w:val="auto"/>
              </w:rPr>
            </w:pPr>
          </w:p>
        </w:tc>
        <w:tc>
          <w:tcPr>
            <w:tcW w:w="10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9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351"/>
        </w:trPr>
        <w:tc>
          <w:tcPr>
            <w:tcW w:w="30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95" w:right="219" w:bottom="1440" w:gutter="0" w:footer="0" w:header="0"/>
        </w:sectPr>
      </w:pPr>
    </w:p>
    <w:bookmarkStart w:id="29" w:name="page30"/>
    <w:bookmarkEnd w:id="29"/>
    <w:p>
      <w:pPr>
        <w:ind w:left="3780"/>
        <w:spacing w:after="0"/>
        <w:tabs>
          <w:tab w:leader="none" w:pos="5400" w:val="left"/>
          <w:tab w:leader="none" w:pos="602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77</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2010 (cont’d)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3"/>
                <w:szCs w:val="13"/>
                <w:b w:val="1"/>
                <w:bCs w:val="1"/>
                <w:color w:val="auto"/>
              </w:rPr>
              <w:t>Option Awards</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200"/>
              <w:spacing w:after="0"/>
              <w:rPr>
                <w:sz w:val="20"/>
                <w:szCs w:val="20"/>
                <w:color w:val="auto"/>
              </w:rPr>
            </w:pPr>
            <w:r>
              <w:rPr>
                <w:rFonts w:ascii="Arial" w:cs="Arial" w:eastAsia="Arial" w:hAnsi="Arial"/>
                <w:sz w:val="13"/>
                <w:szCs w:val="13"/>
                <w:b w:val="1"/>
                <w:bCs w:val="1"/>
                <w:color w:val="auto"/>
              </w:rPr>
              <w:t>Stock Awards</w:t>
            </w:r>
          </w:p>
        </w:tc>
        <w:tc>
          <w:tcPr>
            <w:tcW w:w="880" w:type="dxa"/>
            <w:vAlign w:val="bottom"/>
          </w:tcPr>
          <w:p>
            <w:pPr>
              <w:spacing w:after="0"/>
              <w:rPr>
                <w:sz w:val="15"/>
                <w:szCs w:val="15"/>
                <w:color w:val="auto"/>
              </w:rPr>
            </w:pPr>
          </w:p>
        </w:tc>
      </w:tr>
      <w:tr>
        <w:trPr>
          <w:trHeight w:val="41"/>
        </w:trPr>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310" w:type="dxa"/>
            <w:vAlign w:val="bottom"/>
            <w:tcBorders>
              <w:bottom w:val="single" w:sz="8" w:color="808285"/>
            </w:tcBorders>
          </w:tcPr>
          <w:p>
            <w:pPr>
              <w:spacing w:after="0"/>
              <w:rPr>
                <w:sz w:val="3"/>
                <w:szCs w:val="3"/>
                <w:color w:val="auto"/>
              </w:rPr>
            </w:pPr>
          </w:p>
        </w:tc>
        <w:tc>
          <w:tcPr>
            <w:tcW w:w="93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1020" w:type="dxa"/>
            <w:vAlign w:val="bottom"/>
            <w:tcBorders>
              <w:bottom w:val="single" w:sz="8" w:color="808285"/>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Borders>
              <w:bottom w:val="single" w:sz="8" w:color="808285"/>
            </w:tcBorders>
          </w:tcPr>
          <w:p>
            <w:pPr>
              <w:spacing w:after="0"/>
              <w:rPr>
                <w:sz w:val="3"/>
                <w:szCs w:val="3"/>
                <w:color w:val="auto"/>
              </w:rPr>
            </w:pPr>
          </w:p>
        </w:tc>
        <w:tc>
          <w:tcPr>
            <w:tcW w:w="420" w:type="dxa"/>
            <w:vAlign w:val="bottom"/>
            <w:tcBorders>
              <w:bottom w:val="single" w:sz="8" w:color="808285"/>
            </w:tcBorders>
          </w:tcPr>
          <w:p>
            <w:pPr>
              <w:spacing w:after="0"/>
              <w:rPr>
                <w:sz w:val="3"/>
                <w:szCs w:val="3"/>
                <w:color w:val="auto"/>
              </w:rPr>
            </w:pPr>
          </w:p>
        </w:tc>
        <w:tc>
          <w:tcPr>
            <w:tcW w:w="200" w:type="dxa"/>
            <w:vAlign w:val="bottom"/>
            <w:tcBorders>
              <w:bottom w:val="single" w:sz="8" w:color="808285"/>
            </w:tcBorders>
          </w:tcPr>
          <w:p>
            <w:pPr>
              <w:spacing w:after="0"/>
              <w:rPr>
                <w:sz w:val="3"/>
                <w:szCs w:val="3"/>
                <w:color w:val="auto"/>
              </w:rPr>
            </w:pPr>
          </w:p>
        </w:tc>
        <w:tc>
          <w:tcPr>
            <w:tcW w:w="800" w:type="dxa"/>
            <w:vAlign w:val="bottom"/>
            <w:tcBorders>
              <w:bottom w:val="single" w:sz="8" w:color="808285"/>
            </w:tcBorders>
          </w:tcPr>
          <w:p>
            <w:pPr>
              <w:spacing w:after="0"/>
              <w:rPr>
                <w:sz w:val="3"/>
                <w:szCs w:val="3"/>
                <w:color w:val="auto"/>
              </w:rPr>
            </w:pPr>
          </w:p>
        </w:tc>
        <w:tc>
          <w:tcPr>
            <w:tcW w:w="840" w:type="dxa"/>
            <w:vAlign w:val="bottom"/>
            <w:tcBorders>
              <w:bottom w:val="single" w:sz="8" w:color="808285"/>
            </w:tcBorders>
          </w:tcPr>
          <w:p>
            <w:pPr>
              <w:spacing w:after="0"/>
              <w:rPr>
                <w:sz w:val="3"/>
                <w:szCs w:val="3"/>
                <w:color w:val="auto"/>
              </w:rPr>
            </w:pPr>
          </w:p>
        </w:tc>
        <w:tc>
          <w:tcPr>
            <w:tcW w:w="880" w:type="dxa"/>
            <w:vAlign w:val="bottom"/>
            <w:tcBorders>
              <w:bottom w:val="single" w:sz="8" w:color="808285"/>
            </w:tcBorders>
          </w:tcPr>
          <w:p>
            <w:pPr>
              <w:spacing w:after="0"/>
              <w:rPr>
                <w:sz w:val="3"/>
                <w:szCs w:val="3"/>
                <w:color w:val="auto"/>
              </w:rPr>
            </w:pPr>
          </w:p>
        </w:tc>
      </w:tr>
      <w:tr>
        <w:trPr>
          <w:trHeight w:val="188"/>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10" w:type="dxa"/>
            <w:vAlign w:val="bottom"/>
          </w:tcPr>
          <w:p>
            <w:pPr>
              <w:spacing w:after="0"/>
              <w:rPr>
                <w:sz w:val="16"/>
                <w:szCs w:val="16"/>
                <w:color w:val="auto"/>
              </w:rPr>
            </w:pPr>
          </w:p>
        </w:tc>
        <w:tc>
          <w:tcPr>
            <w:tcW w:w="93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880" w:type="dxa"/>
            <w:vAlign w:val="bottom"/>
          </w:tcPr>
          <w:p>
            <w:pPr>
              <w:spacing w:after="0"/>
              <w:rPr>
                <w:sz w:val="16"/>
                <w:szCs w:val="16"/>
                <w:color w:val="auto"/>
              </w:rPr>
            </w:pP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 w:type="dxa"/>
            <w:vAlign w:val="bottom"/>
          </w:tcPr>
          <w:p>
            <w:pPr>
              <w:spacing w:after="0"/>
              <w:rPr>
                <w:sz w:val="20"/>
                <w:szCs w:val="20"/>
                <w:color w:val="auto"/>
              </w:rPr>
            </w:pP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 w:type="dxa"/>
            <w:vAlign w:val="bottom"/>
          </w:tcPr>
          <w:p>
            <w:pPr>
              <w:spacing w:after="0"/>
              <w:rPr>
                <w:sz w:val="20"/>
                <w:szCs w:val="20"/>
                <w:color w:val="auto"/>
              </w:rPr>
            </w:pP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Plan Awards:</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 w:type="dxa"/>
            <w:vAlign w:val="bottom"/>
          </w:tcPr>
          <w:p>
            <w:pPr>
              <w:spacing w:after="0"/>
              <w:rPr>
                <w:sz w:val="20"/>
                <w:szCs w:val="20"/>
                <w:color w:val="auto"/>
              </w:rPr>
            </w:pP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Market or</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 w:type="dxa"/>
            <w:vAlign w:val="bottom"/>
          </w:tcPr>
          <w:p>
            <w:pPr>
              <w:spacing w:after="0"/>
              <w:rPr>
                <w:sz w:val="20"/>
                <w:szCs w:val="20"/>
                <w:color w:val="auto"/>
              </w:rPr>
            </w:pP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Payout Value</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11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rPr>
              <w:t>Number of</w:t>
            </w: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Market Value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of Unearned</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Securities</w:t>
            </w:r>
          </w:p>
        </w:tc>
        <w:tc>
          <w:tcPr>
            <w:tcW w:w="111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w w:val="99"/>
              </w:rPr>
              <w:t>Securities</w:t>
            </w: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of Shares or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Shares, Units</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110" w:type="dxa"/>
            <w:vAlign w:val="bottom"/>
            <w:gridSpan w:val="2"/>
          </w:tcPr>
          <w:p>
            <w:pPr>
              <w:jc w:val="center"/>
              <w:ind w:left="9"/>
              <w:spacing w:after="0"/>
              <w:rPr>
                <w:sz w:val="20"/>
                <w:szCs w:val="20"/>
                <w:color w:val="auto"/>
              </w:rPr>
            </w:pPr>
            <w:r>
              <w:rPr>
                <w:rFonts w:ascii="Arial" w:cs="Arial" w:eastAsia="Arial" w:hAnsi="Arial"/>
                <w:sz w:val="13"/>
                <w:szCs w:val="13"/>
                <w:b w:val="1"/>
                <w:bCs w:val="1"/>
                <w:color w:val="auto"/>
              </w:rPr>
              <w:t>Underlying</w:t>
            </w: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Shares or</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Units of 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or Other</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11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rPr>
              <w:t>Unexercised</w:t>
            </w: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2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Option</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Units of Stock</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rPr>
              <w:t>That Have Not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Rights That</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Options (#)</w:t>
            </w:r>
          </w:p>
        </w:tc>
        <w:tc>
          <w:tcPr>
            <w:tcW w:w="111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rPr>
              <w:t>Options (#)</w:t>
            </w: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w w:val="99"/>
              </w:rPr>
              <w:t>Unearned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Expiration</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rPr>
              <w:t>That Have Not</w:t>
            </w:r>
          </w:p>
        </w:tc>
        <w:tc>
          <w:tcPr>
            <w:tcW w:w="200" w:type="dxa"/>
            <w:vAlign w:val="bottom"/>
          </w:tcPr>
          <w:p>
            <w:pPr>
              <w:spacing w:after="0"/>
              <w:rPr>
                <w:sz w:val="20"/>
                <w:szCs w:val="20"/>
                <w:color w:val="auto"/>
              </w:rPr>
            </w:pPr>
          </w:p>
        </w:tc>
        <w:tc>
          <w:tcPr>
            <w:tcW w:w="80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Vested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r>
      <w:tr>
        <w:trPr>
          <w:trHeight w:val="236"/>
        </w:trPr>
        <w:tc>
          <w:tcPr>
            <w:tcW w:w="25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Exercisable</w:t>
            </w:r>
          </w:p>
        </w:tc>
        <w:tc>
          <w:tcPr>
            <w:tcW w:w="1110" w:type="dxa"/>
            <w:vAlign w:val="bottom"/>
            <w:gridSpan w:val="2"/>
          </w:tcPr>
          <w:p>
            <w:pPr>
              <w:jc w:val="center"/>
              <w:ind w:left="29"/>
              <w:spacing w:after="0"/>
              <w:rPr>
                <w:sz w:val="20"/>
                <w:szCs w:val="20"/>
                <w:color w:val="auto"/>
              </w:rPr>
            </w:pPr>
            <w:r>
              <w:rPr>
                <w:rFonts w:ascii="Arial" w:cs="Arial" w:eastAsia="Arial" w:hAnsi="Arial"/>
                <w:sz w:val="13"/>
                <w:szCs w:val="13"/>
                <w:b w:val="1"/>
                <w:bCs w:val="1"/>
                <w:color w:val="auto"/>
              </w:rPr>
              <w:t>Unexercisable</w:t>
            </w:r>
          </w:p>
        </w:tc>
        <w:tc>
          <w:tcPr>
            <w:tcW w:w="930" w:type="dxa"/>
            <w:vAlign w:val="bottom"/>
          </w:tcPr>
          <w:p>
            <w:pPr>
              <w:jc w:val="center"/>
              <w:spacing w:after="0"/>
              <w:rPr>
                <w:sz w:val="20"/>
                <w:szCs w:val="20"/>
                <w:color w:val="auto"/>
              </w:rPr>
            </w:pPr>
            <w:r>
              <w:rPr>
                <w:rFonts w:ascii="Arial" w:cs="Arial" w:eastAsia="Arial" w:hAnsi="Arial"/>
                <w:sz w:val="13"/>
                <w:szCs w:val="13"/>
                <w:b w:val="1"/>
                <w:bCs w:val="1"/>
                <w:color w:val="auto"/>
                <w:w w:val="99"/>
              </w:rPr>
              <w:t>Options (#)</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Price ($)</w:t>
            </w: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Date</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200" w:type="dxa"/>
            <w:vAlign w:val="bottom"/>
          </w:tcPr>
          <w:p>
            <w:pPr>
              <w:spacing w:after="0"/>
              <w:rPr>
                <w:sz w:val="20"/>
                <w:szCs w:val="20"/>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rPr>
              <w:t>($)(1)</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Vested ($)</w:t>
            </w:r>
          </w:p>
        </w:tc>
      </w:tr>
      <w:tr>
        <w:trPr>
          <w:trHeight w:val="41"/>
        </w:trPr>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10" w:type="dxa"/>
            <w:vAlign w:val="bottom"/>
          </w:tcPr>
          <w:p>
            <w:pPr>
              <w:spacing w:after="0"/>
              <w:rPr>
                <w:sz w:val="3"/>
                <w:szCs w:val="3"/>
                <w:color w:val="auto"/>
              </w:rPr>
            </w:pPr>
          </w:p>
        </w:tc>
        <w:tc>
          <w:tcPr>
            <w:tcW w:w="93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66"/>
        </w:trPr>
        <w:tc>
          <w:tcPr>
            <w:tcW w:w="2580" w:type="dxa"/>
            <w:vAlign w:val="bottom"/>
            <w:shd w:val="clear" w:color="auto" w:fill="808285"/>
          </w:tcPr>
          <w:p>
            <w:pPr>
              <w:spacing w:after="0"/>
              <w:rPr>
                <w:sz w:val="5"/>
                <w:szCs w:val="5"/>
                <w:color w:val="auto"/>
              </w:rPr>
            </w:pPr>
          </w:p>
        </w:tc>
        <w:tc>
          <w:tcPr>
            <w:tcW w:w="120" w:type="dxa"/>
            <w:vAlign w:val="bottom"/>
            <w:shd w:val="clear" w:color="auto" w:fill="808285"/>
          </w:tcPr>
          <w:p>
            <w:pPr>
              <w:spacing w:after="0"/>
              <w:rPr>
                <w:sz w:val="5"/>
                <w:szCs w:val="5"/>
                <w:color w:val="auto"/>
              </w:rPr>
            </w:pPr>
          </w:p>
        </w:tc>
        <w:tc>
          <w:tcPr>
            <w:tcW w:w="900" w:type="dxa"/>
            <w:vAlign w:val="bottom"/>
            <w:shd w:val="clear" w:color="auto" w:fill="808285"/>
          </w:tcPr>
          <w:p>
            <w:pPr>
              <w:spacing w:after="0"/>
              <w:rPr>
                <w:sz w:val="5"/>
                <w:szCs w:val="5"/>
                <w:color w:val="auto"/>
              </w:rPr>
            </w:pPr>
          </w:p>
        </w:tc>
        <w:tc>
          <w:tcPr>
            <w:tcW w:w="800" w:type="dxa"/>
            <w:vAlign w:val="bottom"/>
            <w:shd w:val="clear" w:color="auto" w:fill="808285"/>
          </w:tcPr>
          <w:p>
            <w:pPr>
              <w:spacing w:after="0"/>
              <w:rPr>
                <w:sz w:val="5"/>
                <w:szCs w:val="5"/>
                <w:color w:val="auto"/>
              </w:rPr>
            </w:pPr>
          </w:p>
        </w:tc>
        <w:tc>
          <w:tcPr>
            <w:tcW w:w="310" w:type="dxa"/>
            <w:vAlign w:val="bottom"/>
            <w:shd w:val="clear" w:color="auto" w:fill="808285"/>
          </w:tcPr>
          <w:p>
            <w:pPr>
              <w:spacing w:after="0"/>
              <w:rPr>
                <w:sz w:val="5"/>
                <w:szCs w:val="5"/>
                <w:color w:val="auto"/>
              </w:rPr>
            </w:pPr>
          </w:p>
        </w:tc>
        <w:tc>
          <w:tcPr>
            <w:tcW w:w="930" w:type="dxa"/>
            <w:vAlign w:val="bottom"/>
            <w:shd w:val="clear" w:color="auto" w:fill="808285"/>
          </w:tcPr>
          <w:p>
            <w:pPr>
              <w:spacing w:after="0"/>
              <w:rPr>
                <w:sz w:val="5"/>
                <w:szCs w:val="5"/>
                <w:color w:val="auto"/>
              </w:rPr>
            </w:pPr>
          </w:p>
        </w:tc>
        <w:tc>
          <w:tcPr>
            <w:tcW w:w="800" w:type="dxa"/>
            <w:vAlign w:val="bottom"/>
            <w:shd w:val="clear" w:color="auto" w:fill="808285"/>
          </w:tcPr>
          <w:p>
            <w:pPr>
              <w:spacing w:after="0"/>
              <w:rPr>
                <w:sz w:val="5"/>
                <w:szCs w:val="5"/>
                <w:color w:val="auto"/>
              </w:rPr>
            </w:pPr>
          </w:p>
        </w:tc>
        <w:tc>
          <w:tcPr>
            <w:tcW w:w="102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640" w:type="dxa"/>
            <w:vAlign w:val="bottom"/>
            <w:shd w:val="clear" w:color="auto" w:fill="808285"/>
          </w:tcPr>
          <w:p>
            <w:pPr>
              <w:spacing w:after="0"/>
              <w:rPr>
                <w:sz w:val="5"/>
                <w:szCs w:val="5"/>
                <w:color w:val="auto"/>
              </w:rPr>
            </w:pPr>
          </w:p>
        </w:tc>
        <w:tc>
          <w:tcPr>
            <w:tcW w:w="420" w:type="dxa"/>
            <w:vAlign w:val="bottom"/>
            <w:shd w:val="clear" w:color="auto" w:fill="808285"/>
          </w:tcPr>
          <w:p>
            <w:pPr>
              <w:spacing w:after="0"/>
              <w:rPr>
                <w:sz w:val="5"/>
                <w:szCs w:val="5"/>
                <w:color w:val="auto"/>
              </w:rPr>
            </w:pPr>
          </w:p>
        </w:tc>
        <w:tc>
          <w:tcPr>
            <w:tcW w:w="200" w:type="dxa"/>
            <w:vAlign w:val="bottom"/>
            <w:shd w:val="clear" w:color="auto" w:fill="808285"/>
          </w:tcPr>
          <w:p>
            <w:pPr>
              <w:spacing w:after="0"/>
              <w:rPr>
                <w:sz w:val="5"/>
                <w:szCs w:val="5"/>
                <w:color w:val="auto"/>
              </w:rPr>
            </w:pPr>
          </w:p>
        </w:tc>
        <w:tc>
          <w:tcPr>
            <w:tcW w:w="800" w:type="dxa"/>
            <w:vAlign w:val="bottom"/>
            <w:shd w:val="clear" w:color="auto" w:fill="808285"/>
          </w:tcPr>
          <w:p>
            <w:pPr>
              <w:spacing w:after="0"/>
              <w:rPr>
                <w:sz w:val="5"/>
                <w:szCs w:val="5"/>
                <w:color w:val="auto"/>
              </w:rPr>
            </w:pPr>
          </w:p>
        </w:tc>
        <w:tc>
          <w:tcPr>
            <w:tcW w:w="840" w:type="dxa"/>
            <w:vAlign w:val="bottom"/>
            <w:shd w:val="clear" w:color="auto" w:fill="808285"/>
          </w:tcPr>
          <w:p>
            <w:pPr>
              <w:spacing w:after="0"/>
              <w:rPr>
                <w:sz w:val="5"/>
                <w:szCs w:val="5"/>
                <w:color w:val="auto"/>
              </w:rPr>
            </w:pPr>
          </w:p>
        </w:tc>
        <w:tc>
          <w:tcPr>
            <w:tcW w:w="880" w:type="dxa"/>
            <w:vAlign w:val="bottom"/>
            <w:shd w:val="clear" w:color="auto" w:fill="808285"/>
          </w:tcPr>
          <w:p>
            <w:pPr>
              <w:spacing w:after="0"/>
              <w:rPr>
                <w:sz w:val="5"/>
                <w:szCs w:val="5"/>
                <w:color w:val="auto"/>
              </w:rPr>
            </w:pPr>
          </w:p>
        </w:tc>
      </w:tr>
      <w:tr>
        <w:trPr>
          <w:trHeight w:val="220"/>
        </w:trPr>
        <w:tc>
          <w:tcPr>
            <w:tcW w:w="258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120" w:type="dxa"/>
            <w:vAlign w:val="bottom"/>
            <w:shd w:val="clear" w:color="auto" w:fill="E9E9E9"/>
          </w:tcPr>
          <w:p>
            <w:pPr>
              <w:spacing w:after="0"/>
              <w:rPr>
                <w:sz w:val="19"/>
                <w:szCs w:val="19"/>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150,000</w:t>
            </w:r>
          </w:p>
        </w:tc>
        <w:tc>
          <w:tcPr>
            <w:tcW w:w="31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6"/>
              </w:rPr>
              <w:t>(2)</w:t>
            </w: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$23.05</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1/28/2020</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(6)</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1,625,000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02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25,000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75,000</w:t>
            </w:r>
          </w:p>
        </w:tc>
        <w:tc>
          <w:tcPr>
            <w:tcW w:w="31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6"/>
              </w:rPr>
              <w:t>(3)</w:t>
            </w: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$14.95</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1/29/2019</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33,334</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(7)</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1,083,355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15,000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15,000</w:t>
            </w:r>
          </w:p>
        </w:tc>
        <w:tc>
          <w:tcPr>
            <w:tcW w:w="31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6"/>
              </w:rPr>
              <w:t>(4)</w:t>
            </w: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$29.79</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1/25/2018</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20,000</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(8)</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650,000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22,500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7,500</w:t>
            </w:r>
          </w:p>
        </w:tc>
        <w:tc>
          <w:tcPr>
            <w:tcW w:w="31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6"/>
              </w:rPr>
              <w:t>(5)</w:t>
            </w: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$28.32</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1/18/2017</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10,000</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325,000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15,000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$32.55</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1/19/2016</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100,000</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(10)</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3,250,000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15,000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$21.55</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1/20/2015</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13,500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$32.39</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1/14/2014</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$29.19</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2/21/2012</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11,000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$26.50</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1/16/2012</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7,000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$35.13</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7/31/2011</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52"/>
        </w:trPr>
        <w:tc>
          <w:tcPr>
            <w:tcW w:w="25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5,000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1"/>
                <w:szCs w:val="21"/>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$50.38</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1/17/2011</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0"/>
        </w:trPr>
        <w:tc>
          <w:tcPr>
            <w:tcW w:w="258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120" w:type="dxa"/>
            <w:vAlign w:val="bottom"/>
            <w:shd w:val="clear" w:color="auto" w:fill="E9E9E9"/>
          </w:tcPr>
          <w:p>
            <w:pPr>
              <w:spacing w:after="0"/>
              <w:rPr>
                <w:sz w:val="19"/>
                <w:szCs w:val="19"/>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187,500</w:t>
            </w:r>
          </w:p>
        </w:tc>
        <w:tc>
          <w:tcPr>
            <w:tcW w:w="31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6"/>
              </w:rPr>
              <w:t>(2)</w:t>
            </w: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$23.05</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1/28/2020</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62,501</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(6)</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2,031,283</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020" w:type="dxa"/>
            <w:vAlign w:val="bottom"/>
            <w:gridSpan w:val="2"/>
            <w:shd w:val="clear" w:color="auto" w:fill="E9E9E9"/>
          </w:tcPr>
          <w:p>
            <w:pPr>
              <w:jc w:val="right"/>
              <w:ind w:right="59"/>
              <w:spacing w:after="0"/>
              <w:rPr>
                <w:sz w:val="20"/>
                <w:szCs w:val="20"/>
                <w:color w:val="auto"/>
              </w:rPr>
            </w:pPr>
            <w:r>
              <w:rPr>
                <w:rFonts w:ascii="Arial" w:cs="Arial" w:eastAsia="Arial" w:hAnsi="Arial"/>
                <w:sz w:val="17"/>
                <w:szCs w:val="17"/>
                <w:color w:val="auto"/>
              </w:rPr>
              <w:t>62,500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187,500</w:t>
            </w:r>
          </w:p>
        </w:tc>
        <w:tc>
          <w:tcPr>
            <w:tcW w:w="31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6"/>
              </w:rPr>
              <w:t>(3)</w:t>
            </w: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$14.95</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1/29/2019</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83,334</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(7)</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2,708,355</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50,000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31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6"/>
              </w:rPr>
              <w:t>(4)</w:t>
            </w: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$29.79</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1/25/2018</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(8)</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1,625,000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75,000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25,000</w:t>
            </w:r>
          </w:p>
        </w:tc>
        <w:tc>
          <w:tcPr>
            <w:tcW w:w="310" w:type="dxa"/>
            <w:vAlign w:val="bottom"/>
            <w:shd w:val="clear" w:color="auto" w:fill="E9E9E9"/>
          </w:tcPr>
          <w:p>
            <w:pPr>
              <w:jc w:val="right"/>
              <w:ind w:right="7"/>
              <w:spacing w:after="0"/>
              <w:rPr>
                <w:sz w:val="20"/>
                <w:szCs w:val="20"/>
                <w:color w:val="auto"/>
              </w:rPr>
            </w:pPr>
            <w:r>
              <w:rPr>
                <w:rFonts w:ascii="Arial" w:cs="Arial" w:eastAsia="Arial" w:hAnsi="Arial"/>
                <w:sz w:val="17"/>
                <w:szCs w:val="17"/>
                <w:color w:val="auto"/>
                <w:w w:val="96"/>
              </w:rPr>
              <w:t>(5)</w:t>
            </w: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$28.32</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1/18/2017</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50,000</w:t>
            </w:r>
          </w:p>
        </w:tc>
        <w:tc>
          <w:tcPr>
            <w:tcW w:w="420" w:type="dxa"/>
            <w:vAlign w:val="bottom"/>
            <w:shd w:val="clear" w:color="auto" w:fill="E9E9E9"/>
          </w:tcPr>
          <w:p>
            <w:pPr>
              <w:ind w:left="40"/>
              <w:spacing w:after="0"/>
              <w:rPr>
                <w:sz w:val="20"/>
                <w:szCs w:val="20"/>
                <w:color w:val="auto"/>
              </w:rPr>
            </w:pPr>
            <w:r>
              <w:rPr>
                <w:rFonts w:ascii="Arial" w:cs="Arial" w:eastAsia="Arial" w:hAnsi="Arial"/>
                <w:sz w:val="17"/>
                <w:szCs w:val="17"/>
                <w:color w:val="auto"/>
              </w:rPr>
              <w:t>(9)</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1,625,000</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100,000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$32.55</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1/19/2016</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100,000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$21.55</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1/20/2015</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150,000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$32.39</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1/14/2014</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$29.19</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2/21/2012</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125,000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$26.50</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1/16/2012</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36"/>
        </w:trPr>
        <w:tc>
          <w:tcPr>
            <w:tcW w:w="258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40,000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0"/>
                <w:szCs w:val="20"/>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$31.30</w:t>
            </w:r>
          </w:p>
        </w:tc>
        <w:tc>
          <w:tcPr>
            <w:tcW w:w="10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11/29/2011</w:t>
            </w:r>
          </w:p>
        </w:tc>
        <w:tc>
          <w:tcPr>
            <w:tcW w:w="180" w:type="dxa"/>
            <w:vAlign w:val="bottom"/>
            <w:shd w:val="clear" w:color="auto" w:fill="E9E9E9"/>
          </w:tcPr>
          <w:p>
            <w:pPr>
              <w:spacing w:after="0"/>
              <w:rPr>
                <w:sz w:val="20"/>
                <w:szCs w:val="20"/>
                <w:color w:val="auto"/>
              </w:rPr>
            </w:pP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r>
        <w:trPr>
          <w:trHeight w:val="252"/>
        </w:trPr>
        <w:tc>
          <w:tcPr>
            <w:tcW w:w="25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00" w:type="dxa"/>
            <w:vAlign w:val="bottom"/>
            <w:shd w:val="clear" w:color="auto" w:fill="E9E9E9"/>
          </w:tcPr>
          <w:p>
            <w:pPr>
              <w:jc w:val="right"/>
              <w:ind w:right="59"/>
              <w:spacing w:after="0"/>
              <w:rPr>
                <w:sz w:val="20"/>
                <w:szCs w:val="20"/>
                <w:color w:val="auto"/>
              </w:rPr>
            </w:pPr>
            <w:r>
              <w:rPr>
                <w:rFonts w:ascii="Arial" w:cs="Arial" w:eastAsia="Arial" w:hAnsi="Arial"/>
                <w:sz w:val="17"/>
                <w:szCs w:val="17"/>
                <w:color w:val="auto"/>
              </w:rPr>
              <w:t>50,000</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310" w:type="dxa"/>
            <w:vAlign w:val="bottom"/>
            <w:shd w:val="clear" w:color="auto" w:fill="E9E9E9"/>
          </w:tcPr>
          <w:p>
            <w:pPr>
              <w:spacing w:after="0"/>
              <w:rPr>
                <w:sz w:val="21"/>
                <w:szCs w:val="21"/>
                <w:color w:val="auto"/>
              </w:rPr>
            </w:pPr>
          </w:p>
        </w:tc>
        <w:tc>
          <w:tcPr>
            <w:tcW w:w="93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$50.38</w:t>
            </w:r>
          </w:p>
        </w:tc>
        <w:tc>
          <w:tcPr>
            <w:tcW w:w="1200" w:type="dxa"/>
            <w:vAlign w:val="bottom"/>
            <w:gridSpan w:val="2"/>
            <w:shd w:val="clear" w:color="auto" w:fill="E9E9E9"/>
          </w:tcPr>
          <w:p>
            <w:pPr>
              <w:jc w:val="right"/>
              <w:ind w:right="180"/>
              <w:spacing w:after="0"/>
              <w:rPr>
                <w:sz w:val="20"/>
                <w:szCs w:val="20"/>
                <w:color w:val="auto"/>
              </w:rPr>
            </w:pPr>
            <w:r>
              <w:rPr>
                <w:rFonts w:ascii="Arial" w:cs="Arial" w:eastAsia="Arial" w:hAnsi="Arial"/>
                <w:sz w:val="17"/>
                <w:szCs w:val="17"/>
                <w:color w:val="auto"/>
              </w:rPr>
              <w:t>1/17/2011</w:t>
            </w:r>
          </w:p>
        </w:tc>
        <w:tc>
          <w:tcPr>
            <w:tcW w:w="6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r>
    </w:tbl>
    <w:p>
      <w:pPr>
        <w:spacing w:after="0" w:line="252" w:lineRule="exact"/>
        <w:rPr>
          <w:sz w:val="20"/>
          <w:szCs w:val="20"/>
          <w:color w:val="auto"/>
        </w:rPr>
      </w:pPr>
    </w:p>
    <w:p>
      <w:pPr>
        <w:ind w:left="580" w:hanging="575"/>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Calculated by multiplying the number of restricted stock units by the closing price of TI’s common stock on December 31, 2010 ($32.50).</w:t>
      </w:r>
    </w:p>
    <w:p>
      <w:pPr>
        <w:spacing w:after="0" w:line="263" w:lineRule="exact"/>
        <w:rPr>
          <w:rFonts w:ascii="Arial" w:cs="Arial" w:eastAsia="Arial" w:hAnsi="Arial"/>
          <w:sz w:val="17"/>
          <w:szCs w:val="17"/>
          <w:color w:val="auto"/>
        </w:rPr>
      </w:pPr>
    </w:p>
    <w:p>
      <w:pPr>
        <w:ind w:left="580" w:right="400" w:hanging="575"/>
        <w:spacing w:after="0" w:line="252"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One-quarter of the shares became exercisable on January 28, 2011, and one-third of the remaining shares become exercisable on each of January 28, 2012, January 28, 2013, and January 28, 2014.</w:t>
      </w:r>
    </w:p>
    <w:p>
      <w:pPr>
        <w:spacing w:after="0" w:line="218" w:lineRule="exact"/>
        <w:rPr>
          <w:rFonts w:ascii="Arial" w:cs="Arial" w:eastAsia="Arial" w:hAnsi="Arial"/>
          <w:sz w:val="17"/>
          <w:szCs w:val="17"/>
          <w:color w:val="auto"/>
        </w:rPr>
      </w:pPr>
    </w:p>
    <w:p>
      <w:pPr>
        <w:ind w:left="580" w:hanging="575"/>
        <w:spacing w:after="0" w:line="252"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One-third of the shares became exercisable on January 29, 2011, and one-half of the remaining shares become exercisable on each of January 29, 2012, and January 29, 2013.</w:t>
      </w:r>
    </w:p>
    <w:p>
      <w:pPr>
        <w:spacing w:after="0" w:line="231" w:lineRule="exact"/>
        <w:rPr>
          <w:rFonts w:ascii="Arial" w:cs="Arial" w:eastAsia="Arial" w:hAnsi="Arial"/>
          <w:sz w:val="17"/>
          <w:szCs w:val="17"/>
          <w:color w:val="auto"/>
        </w:rPr>
      </w:pPr>
    </w:p>
    <w:p>
      <w:pPr>
        <w:ind w:left="580" w:hanging="575"/>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One-half of the shares became exercisable on January 25, 2011, and the remaining one-half become exercisable on January 25, 2012.</w:t>
      </w:r>
    </w:p>
    <w:p>
      <w:pPr>
        <w:spacing w:after="0" w:line="276" w:lineRule="exact"/>
        <w:rPr>
          <w:rFonts w:ascii="Arial" w:cs="Arial" w:eastAsia="Arial" w:hAnsi="Arial"/>
          <w:sz w:val="17"/>
          <w:szCs w:val="17"/>
          <w:color w:val="auto"/>
        </w:rPr>
      </w:pPr>
    </w:p>
    <w:p>
      <w:pPr>
        <w:ind w:left="580" w:hanging="575"/>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Became fully exercisable on January 18, 2011.</w:t>
      </w:r>
    </w:p>
    <w:p>
      <w:pPr>
        <w:spacing w:after="0" w:line="276" w:lineRule="exact"/>
        <w:rPr>
          <w:rFonts w:ascii="Arial" w:cs="Arial" w:eastAsia="Arial" w:hAnsi="Arial"/>
          <w:sz w:val="17"/>
          <w:szCs w:val="17"/>
          <w:color w:val="auto"/>
        </w:rPr>
      </w:pPr>
    </w:p>
    <w:p>
      <w:pPr>
        <w:ind w:left="580" w:hanging="575"/>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Vesting date is January 31, 2014. Dividend equivalents are paid on these restricted stock units.</w:t>
      </w:r>
    </w:p>
    <w:p>
      <w:pPr>
        <w:spacing w:after="0" w:line="276" w:lineRule="exact"/>
        <w:rPr>
          <w:rFonts w:ascii="Arial" w:cs="Arial" w:eastAsia="Arial" w:hAnsi="Arial"/>
          <w:sz w:val="17"/>
          <w:szCs w:val="17"/>
          <w:color w:val="auto"/>
        </w:rPr>
      </w:pPr>
    </w:p>
    <w:p>
      <w:pPr>
        <w:ind w:left="580" w:hanging="575"/>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Vesting date is January 31, 2013. Dividend equivalents are paid on these restricted stock units.</w:t>
      </w:r>
    </w:p>
    <w:p>
      <w:pPr>
        <w:spacing w:after="0" w:line="276" w:lineRule="exact"/>
        <w:rPr>
          <w:rFonts w:ascii="Arial" w:cs="Arial" w:eastAsia="Arial" w:hAnsi="Arial"/>
          <w:sz w:val="17"/>
          <w:szCs w:val="17"/>
          <w:color w:val="auto"/>
        </w:rPr>
      </w:pPr>
    </w:p>
    <w:p>
      <w:pPr>
        <w:ind w:left="580" w:hanging="575"/>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Vesting date is January 31, 2012. Dividend equivalents are paid on these restricted stock units.</w:t>
      </w:r>
    </w:p>
    <w:p>
      <w:pPr>
        <w:spacing w:after="0" w:line="276" w:lineRule="exact"/>
        <w:rPr>
          <w:rFonts w:ascii="Arial" w:cs="Arial" w:eastAsia="Arial" w:hAnsi="Arial"/>
          <w:sz w:val="17"/>
          <w:szCs w:val="17"/>
          <w:color w:val="auto"/>
        </w:rPr>
      </w:pPr>
    </w:p>
    <w:p>
      <w:pPr>
        <w:ind w:left="580" w:hanging="575"/>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Vested on January 31, 2011. Dividend equivalents were paid on these restricted stock units.</w:t>
      </w:r>
    </w:p>
    <w:p>
      <w:pPr>
        <w:spacing w:after="0" w:line="276" w:lineRule="exact"/>
        <w:rPr>
          <w:rFonts w:ascii="Arial" w:cs="Arial" w:eastAsia="Arial" w:hAnsi="Arial"/>
          <w:sz w:val="17"/>
          <w:szCs w:val="17"/>
          <w:color w:val="auto"/>
        </w:rPr>
      </w:pPr>
    </w:p>
    <w:p>
      <w:pPr>
        <w:ind w:left="580" w:hanging="575"/>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Vesting date is October 31, 2014. Dividend equivalents are paid on these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229870</wp:posOffset>
            </wp:positionV>
            <wp:extent cx="727138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0" w:name="page31"/>
    <w:bookmarkEnd w:id="30"/>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78</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Option Awards</w:t>
      </w:r>
      <w:r>
        <w:rPr>
          <w:rFonts w:ascii="Arial" w:cs="Arial" w:eastAsia="Arial" w:hAnsi="Arial"/>
          <w:sz w:val="17"/>
          <w:szCs w:val="17"/>
          <w:color w:val="auto"/>
        </w:rPr>
        <w:t>” shown in the table above are non-qualified stock options, each of which represents the right to purchase shares of TI common stock at the stated exercise price. For grants before 2007, the exercise price is the average of the high and low price of TI common stock on the grant date. For grants after 2006, the exercise price is the closing price of TI common stock on the grant date. The term of each option is 10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outstanding stock options as of December 31, 2010. The Compensation Committee of the board of directors established these termination provisions to promote employee retention while offering competitive terms.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9"/>
              </w:rPr>
              <w:t>Employment</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w w:val="99"/>
              </w:rPr>
              <w:t>Employment Termination</w:t>
            </w:r>
          </w:p>
        </w:tc>
        <w:tc>
          <w:tcPr>
            <w:tcW w:w="14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36"/>
        </w:trPr>
        <w:tc>
          <w:tcPr>
            <w:tcW w:w="2540" w:type="dxa"/>
            <w:vAlign w:val="bottom"/>
          </w:tcPr>
          <w:p>
            <w:pPr>
              <w:jc w:val="center"/>
              <w:spacing w:after="0"/>
              <w:rPr>
                <w:sz w:val="20"/>
                <w:szCs w:val="20"/>
                <w:color w:val="auto"/>
              </w:rPr>
            </w:pPr>
            <w:r>
              <w:rPr>
                <w:rFonts w:ascii="Arial" w:cs="Arial" w:eastAsia="Arial" w:hAnsi="Arial"/>
                <w:sz w:val="13"/>
                <w:szCs w:val="13"/>
                <w:b w:val="1"/>
                <w:bCs w:val="1"/>
                <w:color w:val="auto"/>
              </w:rPr>
              <w:t>Employment</w:t>
            </w:r>
          </w:p>
        </w:tc>
        <w:tc>
          <w:tcPr>
            <w:tcW w:w="2240" w:type="dxa"/>
            <w:vAlign w:val="bottom"/>
          </w:tcPr>
          <w:p>
            <w:pPr>
              <w:jc w:val="center"/>
              <w:ind w:left="7"/>
              <w:spacing w:after="0"/>
              <w:rPr>
                <w:sz w:val="20"/>
                <w:szCs w:val="20"/>
                <w:color w:val="auto"/>
              </w:rPr>
            </w:pPr>
            <w:r>
              <w:rPr>
                <w:rFonts w:ascii="Arial" w:cs="Arial" w:eastAsia="Arial" w:hAnsi="Arial"/>
                <w:sz w:val="13"/>
                <w:szCs w:val="13"/>
                <w:b w:val="1"/>
                <w:bCs w:val="1"/>
                <w:color w:val="auto"/>
              </w:rPr>
              <w:t>Termination (at Least</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rPr>
              <w:t>(at Least 6 Months after Grant)</w:t>
            </w:r>
          </w:p>
        </w:tc>
        <w:tc>
          <w:tcPr>
            <w:tcW w:w="1440" w:type="dxa"/>
            <w:vAlign w:val="bottom"/>
          </w:tcPr>
          <w:p>
            <w:pPr>
              <w:spacing w:after="0"/>
              <w:rPr>
                <w:sz w:val="20"/>
                <w:szCs w:val="20"/>
                <w:color w:val="auto"/>
              </w:rPr>
            </w:pPr>
          </w:p>
        </w:tc>
        <w:tc>
          <w:tcPr>
            <w:tcW w:w="1800" w:type="dxa"/>
            <w:vAlign w:val="bottom"/>
          </w:tcPr>
          <w:p>
            <w:pPr>
              <w:jc w:val="center"/>
              <w:ind w:left="46"/>
              <w:spacing w:after="0"/>
              <w:rPr>
                <w:sz w:val="20"/>
                <w:szCs w:val="20"/>
                <w:color w:val="auto"/>
              </w:rPr>
            </w:pPr>
            <w:r>
              <w:rPr>
                <w:rFonts w:ascii="Arial" w:cs="Arial" w:eastAsia="Arial" w:hAnsi="Arial"/>
                <w:sz w:val="13"/>
                <w:szCs w:val="13"/>
                <w:b w:val="1"/>
                <w:bCs w:val="1"/>
                <w:color w:val="auto"/>
              </w:rPr>
              <w:t>Other</w:t>
            </w:r>
          </w:p>
        </w:tc>
      </w:tr>
      <w:tr>
        <w:trPr>
          <w:trHeight w:val="236"/>
        </w:trPr>
        <w:tc>
          <w:tcPr>
            <w:tcW w:w="2540" w:type="dxa"/>
            <w:vAlign w:val="bottom"/>
          </w:tcPr>
          <w:p>
            <w:pPr>
              <w:jc w:val="center"/>
              <w:ind w:right="8"/>
              <w:spacing w:after="0"/>
              <w:rPr>
                <w:sz w:val="20"/>
                <w:szCs w:val="20"/>
                <w:color w:val="auto"/>
              </w:rPr>
            </w:pPr>
            <w:r>
              <w:rPr>
                <w:rFonts w:ascii="Arial" w:cs="Arial" w:eastAsia="Arial" w:hAnsi="Arial"/>
                <w:sz w:val="13"/>
                <w:szCs w:val="13"/>
                <w:b w:val="1"/>
                <w:bCs w:val="1"/>
                <w:color w:val="auto"/>
                <w:w w:val="99"/>
              </w:rPr>
              <w:t>Termination Due to</w:t>
            </w:r>
          </w:p>
        </w:tc>
        <w:tc>
          <w:tcPr>
            <w:tcW w:w="2240" w:type="dxa"/>
            <w:vAlign w:val="bottom"/>
          </w:tcPr>
          <w:p>
            <w:pPr>
              <w:jc w:val="center"/>
              <w:ind w:left="7"/>
              <w:spacing w:after="0"/>
              <w:rPr>
                <w:sz w:val="20"/>
                <w:szCs w:val="20"/>
                <w:color w:val="auto"/>
              </w:rPr>
            </w:pPr>
            <w:r>
              <w:rPr>
                <w:rFonts w:ascii="Arial" w:cs="Arial" w:eastAsia="Arial" w:hAnsi="Arial"/>
                <w:sz w:val="13"/>
                <w:szCs w:val="13"/>
                <w:b w:val="1"/>
                <w:bCs w:val="1"/>
                <w:color w:val="auto"/>
              </w:rPr>
              <w:t>6 Months after Grant)</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rPr>
              <w:t>with 20 Years of Credited</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rPr>
              <w:t>Employment</w:t>
            </w:r>
          </w:p>
        </w:tc>
        <w:tc>
          <w:tcPr>
            <w:tcW w:w="1800" w:type="dxa"/>
            <w:vAlign w:val="bottom"/>
          </w:tcPr>
          <w:p>
            <w:pPr>
              <w:jc w:val="center"/>
              <w:ind w:left="66"/>
              <w:spacing w:after="0"/>
              <w:rPr>
                <w:sz w:val="20"/>
                <w:szCs w:val="20"/>
                <w:color w:val="auto"/>
              </w:rPr>
            </w:pPr>
            <w:r>
              <w:rPr>
                <w:rFonts w:ascii="Arial" w:cs="Arial" w:eastAsia="Arial" w:hAnsi="Arial"/>
                <w:sz w:val="13"/>
                <w:szCs w:val="13"/>
                <w:b w:val="1"/>
                <w:bCs w:val="1"/>
                <w:color w:val="auto"/>
              </w:rPr>
              <w:t>Circumstances</w:t>
            </w:r>
          </w:p>
        </w:tc>
      </w:tr>
      <w:tr>
        <w:trPr>
          <w:trHeight w:val="236"/>
        </w:trPr>
        <w:tc>
          <w:tcPr>
            <w:tcW w:w="2540" w:type="dxa"/>
            <w:vAlign w:val="bottom"/>
          </w:tcPr>
          <w:p>
            <w:pPr>
              <w:jc w:val="center"/>
              <w:spacing w:after="0"/>
              <w:rPr>
                <w:sz w:val="20"/>
                <w:szCs w:val="20"/>
                <w:color w:val="auto"/>
              </w:rPr>
            </w:pPr>
            <w:r>
              <w:rPr>
                <w:rFonts w:ascii="Arial" w:cs="Arial" w:eastAsia="Arial" w:hAnsi="Arial"/>
                <w:sz w:val="13"/>
                <w:szCs w:val="13"/>
                <w:b w:val="1"/>
                <w:bCs w:val="1"/>
                <w:color w:val="auto"/>
              </w:rPr>
              <w:t>Death or Permanent</w:t>
            </w:r>
          </w:p>
        </w:tc>
        <w:tc>
          <w:tcPr>
            <w:tcW w:w="2240" w:type="dxa"/>
            <w:vAlign w:val="bottom"/>
          </w:tcPr>
          <w:p>
            <w:pPr>
              <w:jc w:val="center"/>
              <w:ind w:left="7"/>
              <w:spacing w:after="0"/>
              <w:rPr>
                <w:sz w:val="20"/>
                <w:szCs w:val="20"/>
                <w:color w:val="auto"/>
              </w:rPr>
            </w:pPr>
            <w:r>
              <w:rPr>
                <w:rFonts w:ascii="Arial" w:cs="Arial" w:eastAsia="Arial" w:hAnsi="Arial"/>
                <w:sz w:val="13"/>
                <w:szCs w:val="13"/>
                <w:b w:val="1"/>
                <w:bCs w:val="1"/>
                <w:color w:val="auto"/>
              </w:rPr>
              <w:t>When Retirement</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rPr>
              <w:t>Service, but Not Retirement</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rPr>
              <w:t>Termination for</w:t>
            </w:r>
          </w:p>
        </w:tc>
        <w:tc>
          <w:tcPr>
            <w:tcW w:w="1800" w:type="dxa"/>
            <w:vAlign w:val="bottom"/>
          </w:tcPr>
          <w:p>
            <w:pPr>
              <w:jc w:val="center"/>
              <w:ind w:left="66"/>
              <w:spacing w:after="0"/>
              <w:rPr>
                <w:sz w:val="20"/>
                <w:szCs w:val="20"/>
                <w:color w:val="auto"/>
              </w:rPr>
            </w:pPr>
            <w:r>
              <w:rPr>
                <w:rFonts w:ascii="Arial" w:cs="Arial" w:eastAsia="Arial" w:hAnsi="Arial"/>
                <w:sz w:val="13"/>
                <w:szCs w:val="13"/>
                <w:b w:val="1"/>
                <w:bCs w:val="1"/>
                <w:color w:val="auto"/>
              </w:rPr>
              <w:t>of Employment</w:t>
            </w:r>
          </w:p>
        </w:tc>
      </w:tr>
      <w:tr>
        <w:trPr>
          <w:trHeight w:val="236"/>
        </w:trPr>
        <w:tc>
          <w:tcPr>
            <w:tcW w:w="2540" w:type="dxa"/>
            <w:vAlign w:val="bottom"/>
          </w:tcPr>
          <w:p>
            <w:pPr>
              <w:jc w:val="center"/>
              <w:ind w:right="8"/>
              <w:spacing w:after="0"/>
              <w:rPr>
                <w:sz w:val="20"/>
                <w:szCs w:val="20"/>
                <w:color w:val="auto"/>
              </w:rPr>
            </w:pPr>
            <w:r>
              <w:rPr>
                <w:rFonts w:ascii="Arial" w:cs="Arial" w:eastAsia="Arial" w:hAnsi="Arial"/>
                <w:sz w:val="13"/>
                <w:szCs w:val="13"/>
                <w:b w:val="1"/>
                <w:bCs w:val="1"/>
                <w:color w:val="auto"/>
              </w:rPr>
              <w:t>Disability</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9"/>
              </w:rPr>
              <w:t>Eligible</w:t>
            </w: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w w:val="99"/>
              </w:rPr>
              <w:t>Eligible</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rPr>
              <w:t>Cause</w:t>
            </w:r>
          </w:p>
        </w:tc>
        <w:tc>
          <w:tcPr>
            <w:tcW w:w="1800" w:type="dxa"/>
            <w:vAlign w:val="bottom"/>
          </w:tcPr>
          <w:p>
            <w:pPr>
              <w:jc w:val="center"/>
              <w:ind w:left="66"/>
              <w:spacing w:after="0"/>
              <w:rPr>
                <w:sz w:val="20"/>
                <w:szCs w:val="20"/>
                <w:color w:val="auto"/>
              </w:rPr>
            </w:pPr>
            <w:r>
              <w:rPr>
                <w:rFonts w:ascii="Arial" w:cs="Arial" w:eastAsia="Arial" w:hAnsi="Arial"/>
                <w:sz w:val="13"/>
                <w:szCs w:val="13"/>
                <w:b w:val="1"/>
                <w:bCs w:val="1"/>
                <w:color w:val="auto"/>
                <w:w w:val="99"/>
              </w:rPr>
              <w:t>Termination</w:t>
            </w:r>
          </w:p>
        </w:tc>
      </w:tr>
      <w:tr>
        <w:trPr>
          <w:trHeight w:val="41"/>
        </w:trPr>
        <w:tc>
          <w:tcPr>
            <w:tcW w:w="2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66"/>
        </w:trPr>
        <w:tc>
          <w:tcPr>
            <w:tcW w:w="2540" w:type="dxa"/>
            <w:vAlign w:val="bottom"/>
            <w:shd w:val="clear" w:color="auto" w:fill="808285"/>
          </w:tcPr>
          <w:p>
            <w:pPr>
              <w:spacing w:after="0"/>
              <w:rPr>
                <w:sz w:val="5"/>
                <w:szCs w:val="5"/>
                <w:color w:val="auto"/>
              </w:rPr>
            </w:pPr>
          </w:p>
        </w:tc>
        <w:tc>
          <w:tcPr>
            <w:tcW w:w="2240" w:type="dxa"/>
            <w:vAlign w:val="bottom"/>
            <w:shd w:val="clear" w:color="auto" w:fill="808285"/>
          </w:tcPr>
          <w:p>
            <w:pPr>
              <w:spacing w:after="0"/>
              <w:rPr>
                <w:sz w:val="5"/>
                <w:szCs w:val="5"/>
                <w:color w:val="auto"/>
              </w:rPr>
            </w:pPr>
          </w:p>
        </w:tc>
        <w:tc>
          <w:tcPr>
            <w:tcW w:w="3400" w:type="dxa"/>
            <w:vAlign w:val="bottom"/>
            <w:shd w:val="clear" w:color="auto" w:fill="808285"/>
          </w:tcPr>
          <w:p>
            <w:pPr>
              <w:spacing w:after="0"/>
              <w:rPr>
                <w:sz w:val="5"/>
                <w:szCs w:val="5"/>
                <w:color w:val="auto"/>
              </w:rPr>
            </w:pPr>
          </w:p>
        </w:tc>
        <w:tc>
          <w:tcPr>
            <w:tcW w:w="1440" w:type="dxa"/>
            <w:vAlign w:val="bottom"/>
            <w:shd w:val="clear" w:color="auto" w:fill="808285"/>
          </w:tcPr>
          <w:p>
            <w:pPr>
              <w:spacing w:after="0"/>
              <w:rPr>
                <w:sz w:val="5"/>
                <w:szCs w:val="5"/>
                <w:color w:val="auto"/>
              </w:rPr>
            </w:pPr>
          </w:p>
        </w:tc>
        <w:tc>
          <w:tcPr>
            <w:tcW w:w="1800" w:type="dxa"/>
            <w:vAlign w:val="bottom"/>
            <w:shd w:val="clear" w:color="auto" w:fill="808285"/>
          </w:tcPr>
          <w:p>
            <w:pPr>
              <w:spacing w:after="0"/>
              <w:rPr>
                <w:sz w:val="5"/>
                <w:szCs w:val="5"/>
                <w:color w:val="auto"/>
              </w:rPr>
            </w:pPr>
          </w:p>
        </w:tc>
      </w:tr>
      <w:tr>
        <w:trPr>
          <w:trHeight w:val="220"/>
        </w:trPr>
        <w:tc>
          <w:tcPr>
            <w:tcW w:w="2540" w:type="dxa"/>
            <w:vAlign w:val="bottom"/>
            <w:shd w:val="clear" w:color="auto" w:fill="E9E9E9"/>
          </w:tcPr>
          <w:p>
            <w:pPr>
              <w:spacing w:after="0"/>
              <w:rPr>
                <w:sz w:val="20"/>
                <w:szCs w:val="20"/>
                <w:color w:val="auto"/>
              </w:rPr>
            </w:pPr>
            <w:r>
              <w:rPr>
                <w:rFonts w:ascii="Arial" w:cs="Arial" w:eastAsia="Arial" w:hAnsi="Arial"/>
                <w:sz w:val="17"/>
                <w:szCs w:val="17"/>
                <w:color w:val="auto"/>
              </w:rPr>
              <w:t>Vesting continues; option</w:t>
            </w:r>
          </w:p>
        </w:tc>
        <w:tc>
          <w:tcPr>
            <w:tcW w:w="22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8"/>
              </w:rPr>
              <w:t>Vesting continues; option</w:t>
            </w:r>
          </w:p>
        </w:tc>
        <w:tc>
          <w:tcPr>
            <w:tcW w:w="3400" w:type="dxa"/>
            <w:vAlign w:val="bottom"/>
            <w:shd w:val="clear" w:color="auto" w:fill="E9E9E9"/>
          </w:tcPr>
          <w:p>
            <w:pPr>
              <w:ind w:left="140"/>
              <w:spacing w:after="0"/>
              <w:rPr>
                <w:sz w:val="20"/>
                <w:szCs w:val="20"/>
                <w:color w:val="auto"/>
              </w:rPr>
            </w:pPr>
            <w:r>
              <w:rPr>
                <w:rFonts w:ascii="Arial" w:cs="Arial" w:eastAsia="Arial" w:hAnsi="Arial"/>
                <w:sz w:val="17"/>
                <w:szCs w:val="17"/>
                <w:color w:val="auto"/>
              </w:rPr>
              <w:t>Option remains in effect to the end of the</w:t>
            </w:r>
          </w:p>
        </w:tc>
        <w:tc>
          <w:tcPr>
            <w:tcW w:w="144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9"/>
              </w:rPr>
              <w:t>Option cancels</w:t>
            </w:r>
          </w:p>
        </w:tc>
        <w:tc>
          <w:tcPr>
            <w:tcW w:w="1800" w:type="dxa"/>
            <w:vAlign w:val="bottom"/>
            <w:shd w:val="clear" w:color="auto" w:fill="E9E9E9"/>
          </w:tcPr>
          <w:p>
            <w:pPr>
              <w:ind w:left="120"/>
              <w:spacing w:after="0"/>
              <w:rPr>
                <w:sz w:val="20"/>
                <w:szCs w:val="20"/>
                <w:color w:val="auto"/>
              </w:rPr>
            </w:pPr>
            <w:r>
              <w:rPr>
                <w:rFonts w:ascii="Arial" w:cs="Arial" w:eastAsia="Arial" w:hAnsi="Arial"/>
                <w:sz w:val="17"/>
                <w:szCs w:val="17"/>
                <w:color w:val="auto"/>
              </w:rPr>
              <w:t>Option remains</w:t>
            </w:r>
          </w:p>
        </w:tc>
      </w:tr>
      <w:tr>
        <w:trPr>
          <w:trHeight w:val="236"/>
        </w:trPr>
        <w:tc>
          <w:tcPr>
            <w:tcW w:w="2540" w:type="dxa"/>
            <w:vAlign w:val="bottom"/>
            <w:shd w:val="clear" w:color="auto" w:fill="E9E9E9"/>
          </w:tcPr>
          <w:p>
            <w:pPr>
              <w:spacing w:after="0"/>
              <w:rPr>
                <w:sz w:val="20"/>
                <w:szCs w:val="20"/>
                <w:color w:val="auto"/>
              </w:rPr>
            </w:pPr>
            <w:r>
              <w:rPr>
                <w:rFonts w:ascii="Arial" w:cs="Arial" w:eastAsia="Arial" w:hAnsi="Arial"/>
                <w:sz w:val="17"/>
                <w:szCs w:val="17"/>
                <w:color w:val="auto"/>
              </w:rPr>
              <w:t>remains in effect to end of term</w:t>
            </w:r>
          </w:p>
        </w:tc>
        <w:tc>
          <w:tcPr>
            <w:tcW w:w="2240" w:type="dxa"/>
            <w:vAlign w:val="bottom"/>
            <w:shd w:val="clear" w:color="auto" w:fill="E9E9E9"/>
          </w:tcPr>
          <w:p>
            <w:pPr>
              <w:ind w:left="200"/>
              <w:spacing w:after="0"/>
              <w:rPr>
                <w:sz w:val="20"/>
                <w:szCs w:val="20"/>
                <w:color w:val="auto"/>
              </w:rPr>
            </w:pPr>
            <w:r>
              <w:rPr>
                <w:rFonts w:ascii="Arial" w:cs="Arial" w:eastAsia="Arial" w:hAnsi="Arial"/>
                <w:sz w:val="17"/>
                <w:szCs w:val="17"/>
                <w:color w:val="auto"/>
              </w:rPr>
              <w:t>remains in effect to end</w:t>
            </w:r>
          </w:p>
        </w:tc>
        <w:tc>
          <w:tcPr>
            <w:tcW w:w="3400" w:type="dxa"/>
            <w:vAlign w:val="bottom"/>
            <w:shd w:val="clear" w:color="auto" w:fill="E9E9E9"/>
          </w:tcPr>
          <w:p>
            <w:pPr>
              <w:ind w:left="140"/>
              <w:spacing w:after="0"/>
              <w:rPr>
                <w:sz w:val="20"/>
                <w:szCs w:val="20"/>
                <w:color w:val="auto"/>
              </w:rPr>
            </w:pPr>
            <w:r>
              <w:rPr>
                <w:rFonts w:ascii="Arial" w:cs="Arial" w:eastAsia="Arial" w:hAnsi="Arial"/>
                <w:sz w:val="17"/>
                <w:szCs w:val="17"/>
                <w:color w:val="auto"/>
              </w:rPr>
              <w:t>term; for options granted on or after</w:t>
            </w:r>
          </w:p>
        </w:tc>
        <w:tc>
          <w:tcPr>
            <w:tcW w:w="1440" w:type="dxa"/>
            <w:vAlign w:val="bottom"/>
            <w:shd w:val="clear" w:color="auto" w:fill="E9E9E9"/>
          </w:tcPr>
          <w:p>
            <w:pPr>
              <w:spacing w:after="0"/>
              <w:rPr>
                <w:sz w:val="20"/>
                <w:szCs w:val="20"/>
                <w:color w:val="auto"/>
              </w:rPr>
            </w:pPr>
          </w:p>
        </w:tc>
        <w:tc>
          <w:tcPr>
            <w:tcW w:w="1800" w:type="dxa"/>
            <w:vAlign w:val="bottom"/>
            <w:shd w:val="clear" w:color="auto" w:fill="E9E9E9"/>
          </w:tcPr>
          <w:p>
            <w:pPr>
              <w:ind w:left="120"/>
              <w:spacing w:after="0"/>
              <w:rPr>
                <w:sz w:val="20"/>
                <w:szCs w:val="20"/>
                <w:color w:val="auto"/>
              </w:rPr>
            </w:pPr>
            <w:r>
              <w:rPr>
                <w:rFonts w:ascii="Arial" w:cs="Arial" w:eastAsia="Arial" w:hAnsi="Arial"/>
                <w:sz w:val="17"/>
                <w:szCs w:val="17"/>
                <w:color w:val="auto"/>
              </w:rPr>
              <w:t>exercisable for 30</w:t>
            </w:r>
          </w:p>
        </w:tc>
      </w:tr>
      <w:tr>
        <w:trPr>
          <w:trHeight w:val="236"/>
        </w:trPr>
        <w:tc>
          <w:tcPr>
            <w:tcW w:w="2540" w:type="dxa"/>
            <w:vAlign w:val="bottom"/>
            <w:shd w:val="clear" w:color="auto" w:fill="E9E9E9"/>
          </w:tcPr>
          <w:p>
            <w:pPr>
              <w:spacing w:after="0"/>
              <w:rPr>
                <w:sz w:val="20"/>
                <w:szCs w:val="20"/>
                <w:color w:val="auto"/>
              </w:rPr>
            </w:pPr>
          </w:p>
        </w:tc>
        <w:tc>
          <w:tcPr>
            <w:tcW w:w="2240" w:type="dxa"/>
            <w:vAlign w:val="bottom"/>
            <w:shd w:val="clear" w:color="auto" w:fill="E9E9E9"/>
          </w:tcPr>
          <w:p>
            <w:pPr>
              <w:ind w:left="200"/>
              <w:spacing w:after="0"/>
              <w:rPr>
                <w:sz w:val="20"/>
                <w:szCs w:val="20"/>
                <w:color w:val="auto"/>
              </w:rPr>
            </w:pPr>
            <w:r>
              <w:rPr>
                <w:rFonts w:ascii="Arial" w:cs="Arial" w:eastAsia="Arial" w:hAnsi="Arial"/>
                <w:sz w:val="17"/>
                <w:szCs w:val="17"/>
                <w:color w:val="auto"/>
              </w:rPr>
              <w:t>of term</w:t>
            </w:r>
          </w:p>
        </w:tc>
        <w:tc>
          <w:tcPr>
            <w:tcW w:w="3400" w:type="dxa"/>
            <w:vAlign w:val="bottom"/>
            <w:shd w:val="clear" w:color="auto" w:fill="E9E9E9"/>
          </w:tcPr>
          <w:p>
            <w:pPr>
              <w:ind w:left="140"/>
              <w:spacing w:after="0"/>
              <w:rPr>
                <w:sz w:val="20"/>
                <w:szCs w:val="20"/>
                <w:color w:val="auto"/>
              </w:rPr>
            </w:pPr>
            <w:r>
              <w:rPr>
                <w:rFonts w:ascii="Arial" w:cs="Arial" w:eastAsia="Arial" w:hAnsi="Arial"/>
                <w:sz w:val="17"/>
                <w:szCs w:val="17"/>
                <w:color w:val="auto"/>
              </w:rPr>
              <w:t>February 20, 2003, vesting does not</w:t>
            </w:r>
          </w:p>
        </w:tc>
        <w:tc>
          <w:tcPr>
            <w:tcW w:w="1440" w:type="dxa"/>
            <w:vAlign w:val="bottom"/>
            <w:shd w:val="clear" w:color="auto" w:fill="E9E9E9"/>
          </w:tcPr>
          <w:p>
            <w:pPr>
              <w:spacing w:after="0"/>
              <w:rPr>
                <w:sz w:val="20"/>
                <w:szCs w:val="20"/>
                <w:color w:val="auto"/>
              </w:rPr>
            </w:pPr>
          </w:p>
        </w:tc>
        <w:tc>
          <w:tcPr>
            <w:tcW w:w="1800" w:type="dxa"/>
            <w:vAlign w:val="bottom"/>
            <w:shd w:val="clear" w:color="auto" w:fill="E9E9E9"/>
          </w:tcPr>
          <w:p>
            <w:pPr>
              <w:ind w:left="120"/>
              <w:spacing w:after="0"/>
              <w:rPr>
                <w:sz w:val="20"/>
                <w:szCs w:val="20"/>
                <w:color w:val="auto"/>
              </w:rPr>
            </w:pPr>
            <w:r>
              <w:rPr>
                <w:rFonts w:ascii="Arial" w:cs="Arial" w:eastAsia="Arial" w:hAnsi="Arial"/>
                <w:sz w:val="17"/>
                <w:szCs w:val="17"/>
                <w:color w:val="auto"/>
              </w:rPr>
              <w:t>days</w:t>
            </w:r>
          </w:p>
        </w:tc>
      </w:tr>
      <w:tr>
        <w:trPr>
          <w:trHeight w:val="252"/>
        </w:trPr>
        <w:tc>
          <w:tcPr>
            <w:tcW w:w="2540" w:type="dxa"/>
            <w:vAlign w:val="bottom"/>
            <w:shd w:val="clear" w:color="auto" w:fill="E9E9E9"/>
          </w:tcPr>
          <w:p>
            <w:pPr>
              <w:spacing w:after="0"/>
              <w:rPr>
                <w:sz w:val="21"/>
                <w:szCs w:val="21"/>
                <w:color w:val="auto"/>
              </w:rPr>
            </w:pPr>
          </w:p>
        </w:tc>
        <w:tc>
          <w:tcPr>
            <w:tcW w:w="2240" w:type="dxa"/>
            <w:vAlign w:val="bottom"/>
            <w:shd w:val="clear" w:color="auto" w:fill="E9E9E9"/>
          </w:tcPr>
          <w:p>
            <w:pPr>
              <w:spacing w:after="0"/>
              <w:rPr>
                <w:sz w:val="21"/>
                <w:szCs w:val="21"/>
                <w:color w:val="auto"/>
              </w:rPr>
            </w:pPr>
          </w:p>
        </w:tc>
        <w:tc>
          <w:tcPr>
            <w:tcW w:w="3400" w:type="dxa"/>
            <w:vAlign w:val="bottom"/>
            <w:shd w:val="clear" w:color="auto" w:fill="E9E9E9"/>
          </w:tcPr>
          <w:p>
            <w:pPr>
              <w:ind w:left="140"/>
              <w:spacing w:after="0"/>
              <w:rPr>
                <w:sz w:val="20"/>
                <w:szCs w:val="20"/>
                <w:color w:val="auto"/>
              </w:rPr>
            </w:pPr>
            <w:r>
              <w:rPr>
                <w:rFonts w:ascii="Arial" w:cs="Arial" w:eastAsia="Arial" w:hAnsi="Arial"/>
                <w:sz w:val="17"/>
                <w:szCs w:val="17"/>
                <w:color w:val="auto"/>
              </w:rPr>
              <w:t>continue after employment termination</w:t>
            </w:r>
          </w:p>
        </w:tc>
        <w:tc>
          <w:tcPr>
            <w:tcW w:w="1440" w:type="dxa"/>
            <w:vAlign w:val="bottom"/>
            <w:shd w:val="clear" w:color="auto" w:fill="E9E9E9"/>
          </w:tcPr>
          <w:p>
            <w:pPr>
              <w:spacing w:after="0"/>
              <w:rPr>
                <w:sz w:val="21"/>
                <w:szCs w:val="21"/>
                <w:color w:val="auto"/>
              </w:rPr>
            </w:pPr>
          </w:p>
        </w:tc>
        <w:tc>
          <w:tcPr>
            <w:tcW w:w="1800" w:type="dxa"/>
            <w:vAlign w:val="bottom"/>
            <w:shd w:val="clear" w:color="auto" w:fill="E9E9E9"/>
          </w:tcPr>
          <w:p>
            <w:pPr>
              <w:spacing w:after="0"/>
              <w:rPr>
                <w:sz w:val="21"/>
                <w:szCs w:val="21"/>
                <w:color w:val="auto"/>
              </w:rPr>
            </w:pPr>
          </w:p>
        </w:tc>
      </w:tr>
    </w:tbl>
    <w:p>
      <w:pPr>
        <w:spacing w:after="0" w:line="23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Options may be cancelled if the grantee competes with TI during the two years after employment termination or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or disclosure of our confidential information.</w:t>
      </w:r>
    </w:p>
    <w:p>
      <w:pPr>
        <w:spacing w:after="0" w:line="15" w:lineRule="exact"/>
        <w:rPr>
          <w:sz w:val="20"/>
          <w:szCs w:val="20"/>
          <w:color w:val="auto"/>
        </w:rPr>
      </w:pPr>
    </w:p>
    <w:p>
      <w:pPr>
        <w:ind w:right="100" w:firstLine="262"/>
        <w:spacing w:after="0" w:line="244" w:lineRule="auto"/>
        <w:rPr>
          <w:sz w:val="20"/>
          <w:szCs w:val="20"/>
          <w:color w:val="auto"/>
        </w:rPr>
      </w:pPr>
      <w:r>
        <w:rPr>
          <w:rFonts w:ascii="Arial" w:cs="Arial" w:eastAsia="Arial" w:hAnsi="Arial"/>
          <w:sz w:val="17"/>
          <w:szCs w:val="17"/>
          <w:color w:val="auto"/>
        </w:rPr>
        <w:t>For options granted after 2009, the option becomes fully vested if the grantee is involuntarily terminated from employment with TI (other than for cause) within 24 months after a change in control of TI. “Change in control” is defined as provided in the Texas Instruments 2009 Long-Term Incentive Plan and occurs upon (1) acquisition of more than 50 percent of the voting stock or at least 80 percent of the assets of TI or (2)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“pre-2010 definition”).</w:t>
      </w:r>
    </w:p>
    <w:p>
      <w:pPr>
        <w:spacing w:after="0" w:line="210"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Stock Awards</w:t>
      </w:r>
      <w:r>
        <w:rPr>
          <w:rFonts w:ascii="Arial" w:cs="Arial" w:eastAsia="Arial" w:hAnsi="Arial"/>
          <w:sz w:val="17"/>
          <w:szCs w:val="17"/>
          <w:color w:val="auto"/>
        </w:rPr>
        <w:t>” in the table of outstanding equity awards at fiscal year-end 2010 are restricted stock unit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 The table below shows the termination provisions of outstanding RSUs as of December 31, 2010.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60" w:type="dxa"/>
            <w:vAlign w:val="bottom"/>
          </w:tcPr>
          <w:p>
            <w:pPr>
              <w:jc w:val="center"/>
              <w:ind w:left="87"/>
              <w:spacing w:after="0"/>
              <w:rPr>
                <w:sz w:val="20"/>
                <w:szCs w:val="20"/>
                <w:color w:val="auto"/>
              </w:rPr>
            </w:pPr>
            <w:r>
              <w:rPr>
                <w:rFonts w:ascii="Arial" w:cs="Arial" w:eastAsia="Arial" w:hAnsi="Arial"/>
                <w:sz w:val="13"/>
                <w:szCs w:val="13"/>
                <w:b w:val="1"/>
                <w:bCs w:val="1"/>
                <w:color w:val="auto"/>
              </w:rPr>
              <w:t>Other Circumstances</w:t>
            </w:r>
          </w:p>
        </w:tc>
      </w:tr>
      <w:tr>
        <w:trPr>
          <w:trHeight w:val="236"/>
        </w:trPr>
        <w:tc>
          <w:tcPr>
            <w:tcW w:w="3360" w:type="dxa"/>
            <w:vAlign w:val="bottom"/>
          </w:tcPr>
          <w:p>
            <w:pPr>
              <w:jc w:val="center"/>
              <w:spacing w:after="0"/>
              <w:rPr>
                <w:sz w:val="20"/>
                <w:szCs w:val="20"/>
                <w:color w:val="auto"/>
              </w:rPr>
            </w:pPr>
            <w:r>
              <w:rPr>
                <w:rFonts w:ascii="Arial" w:cs="Arial" w:eastAsia="Arial" w:hAnsi="Arial"/>
                <w:sz w:val="13"/>
                <w:szCs w:val="13"/>
                <w:b w:val="1"/>
                <w:bCs w:val="1"/>
                <w:color w:val="auto"/>
                <w:w w:val="99"/>
              </w:rPr>
              <w:t>Employment Termination</w:t>
            </w:r>
          </w:p>
        </w:tc>
        <w:tc>
          <w:tcPr>
            <w:tcW w:w="5900" w:type="dxa"/>
            <w:vAlign w:val="bottom"/>
          </w:tcPr>
          <w:p>
            <w:pPr>
              <w:ind w:left="2240"/>
              <w:spacing w:after="0"/>
              <w:rPr>
                <w:sz w:val="20"/>
                <w:szCs w:val="20"/>
                <w:color w:val="auto"/>
              </w:rPr>
            </w:pPr>
            <w:r>
              <w:rPr>
                <w:rFonts w:ascii="Arial" w:cs="Arial" w:eastAsia="Arial" w:hAnsi="Arial"/>
                <w:sz w:val="13"/>
                <w:szCs w:val="13"/>
                <w:b w:val="1"/>
                <w:bCs w:val="1"/>
                <w:color w:val="auto"/>
              </w:rPr>
              <w:t>Employment Termination</w:t>
            </w:r>
          </w:p>
        </w:tc>
        <w:tc>
          <w:tcPr>
            <w:tcW w:w="2160" w:type="dxa"/>
            <w:vAlign w:val="bottom"/>
          </w:tcPr>
          <w:p>
            <w:pPr>
              <w:jc w:val="center"/>
              <w:ind w:left="67"/>
              <w:spacing w:after="0"/>
              <w:rPr>
                <w:sz w:val="20"/>
                <w:szCs w:val="20"/>
                <w:color w:val="auto"/>
              </w:rPr>
            </w:pPr>
            <w:r>
              <w:rPr>
                <w:rFonts w:ascii="Arial" w:cs="Arial" w:eastAsia="Arial" w:hAnsi="Arial"/>
                <w:sz w:val="13"/>
                <w:szCs w:val="13"/>
                <w:b w:val="1"/>
                <w:bCs w:val="1"/>
                <w:color w:val="auto"/>
              </w:rPr>
              <w:t>of Employment</w:t>
            </w:r>
          </w:p>
        </w:tc>
      </w:tr>
      <w:tr>
        <w:trPr>
          <w:trHeight w:val="236"/>
        </w:trPr>
        <w:tc>
          <w:tcPr>
            <w:tcW w:w="3360" w:type="dxa"/>
            <w:vAlign w:val="bottom"/>
          </w:tcPr>
          <w:p>
            <w:pPr>
              <w:jc w:val="center"/>
              <w:spacing w:after="0"/>
              <w:rPr>
                <w:sz w:val="20"/>
                <w:szCs w:val="20"/>
                <w:color w:val="auto"/>
              </w:rPr>
            </w:pPr>
            <w:r>
              <w:rPr>
                <w:rFonts w:ascii="Arial" w:cs="Arial" w:eastAsia="Arial" w:hAnsi="Arial"/>
                <w:sz w:val="13"/>
                <w:szCs w:val="13"/>
                <w:b w:val="1"/>
                <w:bCs w:val="1"/>
                <w:color w:val="auto"/>
              </w:rPr>
              <w:t>Due to Death or Permanent Disability</w:t>
            </w:r>
          </w:p>
        </w:tc>
        <w:tc>
          <w:tcPr>
            <w:tcW w:w="5900" w:type="dxa"/>
            <w:vAlign w:val="bottom"/>
          </w:tcPr>
          <w:p>
            <w:pPr>
              <w:ind w:left="2240"/>
              <w:spacing w:after="0"/>
              <w:rPr>
                <w:sz w:val="20"/>
                <w:szCs w:val="20"/>
                <w:color w:val="auto"/>
              </w:rPr>
            </w:pPr>
            <w:r>
              <w:rPr>
                <w:rFonts w:ascii="Arial" w:cs="Arial" w:eastAsia="Arial" w:hAnsi="Arial"/>
                <w:sz w:val="13"/>
                <w:szCs w:val="13"/>
                <w:b w:val="1"/>
                <w:bCs w:val="1"/>
                <w:color w:val="auto"/>
              </w:rPr>
              <w:t>When Retirement Eligible</w:t>
            </w:r>
          </w:p>
        </w:tc>
        <w:tc>
          <w:tcPr>
            <w:tcW w:w="2160" w:type="dxa"/>
            <w:vAlign w:val="bottom"/>
          </w:tcPr>
          <w:p>
            <w:pPr>
              <w:jc w:val="center"/>
              <w:ind w:left="67"/>
              <w:spacing w:after="0"/>
              <w:rPr>
                <w:sz w:val="20"/>
                <w:szCs w:val="20"/>
                <w:color w:val="auto"/>
              </w:rPr>
            </w:pPr>
            <w:r>
              <w:rPr>
                <w:rFonts w:ascii="Arial" w:cs="Arial" w:eastAsia="Arial" w:hAnsi="Arial"/>
                <w:sz w:val="13"/>
                <w:szCs w:val="13"/>
                <w:b w:val="1"/>
                <w:bCs w:val="1"/>
                <w:color w:val="auto"/>
                <w:w w:val="99"/>
              </w:rPr>
              <w:t>Termination</w:t>
            </w:r>
          </w:p>
        </w:tc>
      </w:tr>
      <w:tr>
        <w:trPr>
          <w:trHeight w:val="41"/>
        </w:trPr>
        <w:tc>
          <w:tcPr>
            <w:tcW w:w="3360" w:type="dxa"/>
            <w:vAlign w:val="bottom"/>
          </w:tcPr>
          <w:p>
            <w:pPr>
              <w:spacing w:after="0"/>
              <w:rPr>
                <w:sz w:val="3"/>
                <w:szCs w:val="3"/>
                <w:color w:val="auto"/>
              </w:rPr>
            </w:pPr>
          </w:p>
        </w:tc>
        <w:tc>
          <w:tcPr>
            <w:tcW w:w="5900" w:type="dxa"/>
            <w:vAlign w:val="bottom"/>
          </w:tcPr>
          <w:p>
            <w:pPr>
              <w:spacing w:after="0"/>
              <w:rPr>
                <w:sz w:val="3"/>
                <w:szCs w:val="3"/>
                <w:color w:val="auto"/>
              </w:rPr>
            </w:pPr>
          </w:p>
        </w:tc>
        <w:tc>
          <w:tcPr>
            <w:tcW w:w="2160" w:type="dxa"/>
            <w:vAlign w:val="bottom"/>
          </w:tcPr>
          <w:p>
            <w:pPr>
              <w:spacing w:after="0"/>
              <w:rPr>
                <w:sz w:val="3"/>
                <w:szCs w:val="3"/>
                <w:color w:val="auto"/>
              </w:rPr>
            </w:pPr>
          </w:p>
        </w:tc>
      </w:tr>
      <w:tr>
        <w:trPr>
          <w:trHeight w:val="66"/>
        </w:trPr>
        <w:tc>
          <w:tcPr>
            <w:tcW w:w="3360" w:type="dxa"/>
            <w:vAlign w:val="bottom"/>
            <w:shd w:val="clear" w:color="auto" w:fill="808285"/>
          </w:tcPr>
          <w:p>
            <w:pPr>
              <w:spacing w:after="0"/>
              <w:rPr>
                <w:sz w:val="5"/>
                <w:szCs w:val="5"/>
                <w:color w:val="auto"/>
              </w:rPr>
            </w:pPr>
          </w:p>
        </w:tc>
        <w:tc>
          <w:tcPr>
            <w:tcW w:w="5900" w:type="dxa"/>
            <w:vAlign w:val="bottom"/>
            <w:shd w:val="clear" w:color="auto" w:fill="808285"/>
          </w:tcPr>
          <w:p>
            <w:pPr>
              <w:spacing w:after="0"/>
              <w:rPr>
                <w:sz w:val="5"/>
                <w:szCs w:val="5"/>
                <w:color w:val="auto"/>
              </w:rPr>
            </w:pPr>
          </w:p>
        </w:tc>
        <w:tc>
          <w:tcPr>
            <w:tcW w:w="2160" w:type="dxa"/>
            <w:vAlign w:val="bottom"/>
            <w:shd w:val="clear" w:color="auto" w:fill="808285"/>
          </w:tcPr>
          <w:p>
            <w:pPr>
              <w:spacing w:after="0"/>
              <w:rPr>
                <w:sz w:val="5"/>
                <w:szCs w:val="5"/>
                <w:color w:val="auto"/>
              </w:rPr>
            </w:pPr>
          </w:p>
        </w:tc>
      </w:tr>
      <w:tr>
        <w:trPr>
          <w:trHeight w:val="220"/>
        </w:trPr>
        <w:tc>
          <w:tcPr>
            <w:tcW w:w="3360" w:type="dxa"/>
            <w:vAlign w:val="bottom"/>
            <w:shd w:val="clear" w:color="auto" w:fill="E9E9E9"/>
          </w:tcPr>
          <w:p>
            <w:pPr>
              <w:spacing w:after="0"/>
              <w:rPr>
                <w:sz w:val="20"/>
                <w:szCs w:val="20"/>
                <w:color w:val="auto"/>
              </w:rPr>
            </w:pPr>
            <w:r>
              <w:rPr>
                <w:rFonts w:ascii="Arial" w:cs="Arial" w:eastAsia="Arial" w:hAnsi="Arial"/>
                <w:sz w:val="17"/>
                <w:szCs w:val="17"/>
                <w:color w:val="auto"/>
              </w:rPr>
              <w:t>Vesting continues; shares are paid at the</w:t>
            </w:r>
          </w:p>
        </w:tc>
        <w:tc>
          <w:tcPr>
            <w:tcW w:w="5900" w:type="dxa"/>
            <w:vAlign w:val="bottom"/>
            <w:shd w:val="clear" w:color="auto" w:fill="E9E9E9"/>
          </w:tcPr>
          <w:p>
            <w:pPr>
              <w:ind w:left="260"/>
              <w:spacing w:after="0"/>
              <w:rPr>
                <w:sz w:val="20"/>
                <w:szCs w:val="20"/>
                <w:color w:val="auto"/>
              </w:rPr>
            </w:pPr>
            <w:r>
              <w:rPr>
                <w:rFonts w:ascii="Arial" w:cs="Arial" w:eastAsia="Arial" w:hAnsi="Arial"/>
                <w:sz w:val="17"/>
                <w:szCs w:val="17"/>
                <w:color w:val="auto"/>
              </w:rPr>
              <w:t>Grant stays in effect and pays out shares at the scheduled vesting date.</w:t>
            </w:r>
          </w:p>
        </w:tc>
        <w:tc>
          <w:tcPr>
            <w:tcW w:w="21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Grant cancels; no shares</w:t>
            </w:r>
          </w:p>
        </w:tc>
      </w:tr>
      <w:tr>
        <w:trPr>
          <w:trHeight w:val="236"/>
        </w:trPr>
        <w:tc>
          <w:tcPr>
            <w:tcW w:w="3360" w:type="dxa"/>
            <w:vAlign w:val="bottom"/>
            <w:shd w:val="clear" w:color="auto" w:fill="E9E9E9"/>
          </w:tcPr>
          <w:p>
            <w:pPr>
              <w:spacing w:after="0"/>
              <w:rPr>
                <w:sz w:val="20"/>
                <w:szCs w:val="20"/>
                <w:color w:val="auto"/>
              </w:rPr>
            </w:pPr>
            <w:r>
              <w:rPr>
                <w:rFonts w:ascii="Arial" w:cs="Arial" w:eastAsia="Arial" w:hAnsi="Arial"/>
                <w:sz w:val="17"/>
                <w:szCs w:val="17"/>
                <w:color w:val="auto"/>
              </w:rPr>
              <w:t>scheduled vesting date</w:t>
            </w:r>
          </w:p>
        </w:tc>
        <w:tc>
          <w:tcPr>
            <w:tcW w:w="5900" w:type="dxa"/>
            <w:vAlign w:val="bottom"/>
            <w:shd w:val="clear" w:color="auto" w:fill="E9E9E9"/>
          </w:tcPr>
          <w:p>
            <w:pPr>
              <w:ind w:left="260"/>
              <w:spacing w:after="0"/>
              <w:rPr>
                <w:sz w:val="20"/>
                <w:szCs w:val="20"/>
                <w:color w:val="auto"/>
              </w:rPr>
            </w:pPr>
            <w:r>
              <w:rPr>
                <w:rFonts w:ascii="Arial" w:cs="Arial" w:eastAsia="Arial" w:hAnsi="Arial"/>
                <w:sz w:val="17"/>
                <w:szCs w:val="17"/>
                <w:color w:val="auto"/>
              </w:rPr>
              <w:t>Number of shares reduced according to the duration of employment over</w:t>
            </w:r>
          </w:p>
        </w:tc>
        <w:tc>
          <w:tcPr>
            <w:tcW w:w="21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are issued</w:t>
            </w:r>
          </w:p>
        </w:tc>
      </w:tr>
      <w:tr>
        <w:trPr>
          <w:trHeight w:val="252"/>
        </w:trPr>
        <w:tc>
          <w:tcPr>
            <w:tcW w:w="3360" w:type="dxa"/>
            <w:vAlign w:val="bottom"/>
            <w:shd w:val="clear" w:color="auto" w:fill="E9E9E9"/>
          </w:tcPr>
          <w:p>
            <w:pPr>
              <w:spacing w:after="0"/>
              <w:rPr>
                <w:sz w:val="21"/>
                <w:szCs w:val="21"/>
                <w:color w:val="auto"/>
              </w:rPr>
            </w:pPr>
          </w:p>
        </w:tc>
        <w:tc>
          <w:tcPr>
            <w:tcW w:w="5900" w:type="dxa"/>
            <w:vAlign w:val="bottom"/>
            <w:shd w:val="clear" w:color="auto" w:fill="E9E9E9"/>
          </w:tcPr>
          <w:p>
            <w:pPr>
              <w:ind w:left="260"/>
              <w:spacing w:after="0"/>
              <w:rPr>
                <w:sz w:val="20"/>
                <w:szCs w:val="20"/>
                <w:color w:val="auto"/>
              </w:rPr>
            </w:pPr>
            <w:r>
              <w:rPr>
                <w:rFonts w:ascii="Arial" w:cs="Arial" w:eastAsia="Arial" w:hAnsi="Arial"/>
                <w:sz w:val="17"/>
                <w:szCs w:val="17"/>
                <w:color w:val="auto"/>
              </w:rPr>
              <w:t>the vesting period*</w:t>
            </w:r>
          </w:p>
        </w:tc>
        <w:tc>
          <w:tcPr>
            <w:tcW w:w="2160" w:type="dxa"/>
            <w:vAlign w:val="bottom"/>
            <w:shd w:val="clear" w:color="auto" w:fill="E9E9E9"/>
          </w:tcPr>
          <w:p>
            <w:pPr>
              <w:spacing w:after="0"/>
              <w:rPr>
                <w:sz w:val="21"/>
                <w:szCs w:val="21"/>
                <w:color w:val="auto"/>
              </w:rPr>
            </w:pPr>
          </w:p>
        </w:tc>
      </w:tr>
    </w:tbl>
    <w:p>
      <w:pPr>
        <w:spacing w:after="0" w:line="239" w:lineRule="exact"/>
        <w:rPr>
          <w:sz w:val="20"/>
          <w:szCs w:val="20"/>
          <w:color w:val="auto"/>
        </w:rPr>
      </w:pPr>
    </w:p>
    <w:p>
      <w:pPr>
        <w:ind w:left="300" w:right="220" w:hanging="295"/>
        <w:spacing w:after="0" w:line="252"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Calculated by multiplying the number of RSUs by a fraction equal to the number of whole 365-day periods from the grant date to the employment termination date (or first day of any bridge leave of absence leading to retirement), divided by the number years in the vesting period.</w:t>
      </w:r>
    </w:p>
    <w:p>
      <w:pPr>
        <w:spacing w:after="0" w:line="2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These termination provisions are intended to promote retention. All RSU awards contain cancellation and clawback provisions like those described above for stock options. For awards granted after 2009, the terms provide that, to the extent permitted by Section 409A of the IRC, the award vests upon involuntary termination of TI employment within 24 months after a change in control. Change in control is the Plan definition. The terms of earlier RSU awards provide for full vesting of the award upon a change in control of TI. Change in control is the pre-2010 definition unless the grant is subject to Section 409A, in which event the definition under Section 409A applies. Section 409A defines a change in control as a change in the ownership or effective control of a corporation or a change in the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207645</wp:posOffset>
            </wp:positionV>
            <wp:extent cx="727138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1" w:name="page32"/>
    <w:bookmarkEnd w:id="31"/>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79</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of a substantial portion of the assets of a corporation. These cancellation, “clawback” and change-in-control terms are intended to conform RSU terms with those of stock options (to the extent permitted by the IRC) and to achieve the objectives described above in the discussion of stock options.</w:t>
      </w:r>
    </w:p>
    <w:p>
      <w:pPr>
        <w:spacing w:after="0" w:line="9" w:lineRule="exact"/>
        <w:rPr>
          <w:sz w:val="20"/>
          <w:szCs w:val="20"/>
          <w:color w:val="auto"/>
        </w:rPr>
      </w:pPr>
    </w:p>
    <w:p>
      <w:pPr>
        <w:ind w:right="100" w:firstLine="262"/>
        <w:spacing w:after="0" w:line="248" w:lineRule="auto"/>
        <w:rPr>
          <w:sz w:val="20"/>
          <w:szCs w:val="20"/>
          <w:color w:val="auto"/>
        </w:rPr>
      </w:pPr>
      <w:r>
        <w:rPr>
          <w:rFonts w:ascii="Arial" w:cs="Arial" w:eastAsia="Arial" w:hAnsi="Arial"/>
          <w:sz w:val="17"/>
          <w:szCs w:val="17"/>
          <w:color w:val="auto"/>
        </w:rPr>
        <w:t>In addition to the “Stock Awards” shown in the outstanding equity awards at fiscal year-end 2010 table above,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2010 non-qualified deferred compensation table on page 81.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option exercises and stock vested</w:t>
      </w:r>
    </w:p>
    <w:p>
      <w:pPr>
        <w:spacing w:after="0" w:line="257"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The following table lists the number of shares acquired and the value realized as a result of option exercises by the named executive officers in 2010 and the value of any restricted stock units that vested in 2010.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960" w:type="dxa"/>
            <w:vAlign w:val="bottom"/>
            <w:gridSpan w:val="4"/>
          </w:tcPr>
          <w:p>
            <w:pPr>
              <w:ind w:left="840"/>
              <w:spacing w:after="0"/>
              <w:rPr>
                <w:sz w:val="20"/>
                <w:szCs w:val="20"/>
                <w:color w:val="auto"/>
              </w:rPr>
            </w:pPr>
            <w:r>
              <w:rPr>
                <w:rFonts w:ascii="Arial" w:cs="Arial" w:eastAsia="Arial" w:hAnsi="Arial"/>
                <w:sz w:val="13"/>
                <w:szCs w:val="13"/>
                <w:b w:val="1"/>
                <w:bCs w:val="1"/>
                <w:color w:val="auto"/>
              </w:rPr>
              <w:t>Option Awards</w:t>
            </w:r>
          </w:p>
        </w:tc>
        <w:tc>
          <w:tcPr>
            <w:tcW w:w="1700" w:type="dxa"/>
            <w:vAlign w:val="bottom"/>
            <w:gridSpan w:val="2"/>
          </w:tcPr>
          <w:p>
            <w:pPr>
              <w:ind w:left="780"/>
              <w:spacing w:after="0"/>
              <w:rPr>
                <w:sz w:val="20"/>
                <w:szCs w:val="20"/>
                <w:color w:val="auto"/>
              </w:rPr>
            </w:pPr>
            <w:r>
              <w:rPr>
                <w:rFonts w:ascii="Arial" w:cs="Arial" w:eastAsia="Arial" w:hAnsi="Arial"/>
                <w:sz w:val="13"/>
                <w:szCs w:val="13"/>
                <w:b w:val="1"/>
                <w:bCs w:val="1"/>
                <w:color w:val="auto"/>
              </w:rPr>
              <w:t>Stock Awards</w:t>
            </w:r>
          </w:p>
        </w:tc>
        <w:tc>
          <w:tcPr>
            <w:tcW w:w="740" w:type="dxa"/>
            <w:vAlign w:val="bottom"/>
          </w:tcPr>
          <w:p>
            <w:pPr>
              <w:spacing w:after="0"/>
              <w:rPr>
                <w:sz w:val="15"/>
                <w:szCs w:val="15"/>
                <w:color w:val="auto"/>
              </w:rPr>
            </w:pPr>
          </w:p>
        </w:tc>
      </w:tr>
      <w:tr>
        <w:trPr>
          <w:trHeight w:val="41"/>
        </w:trPr>
        <w:tc>
          <w:tcPr>
            <w:tcW w:w="6020" w:type="dxa"/>
            <w:vAlign w:val="bottom"/>
          </w:tcPr>
          <w:p>
            <w:pPr>
              <w:spacing w:after="0"/>
              <w:rPr>
                <w:sz w:val="3"/>
                <w:szCs w:val="3"/>
                <w:color w:val="auto"/>
              </w:rPr>
            </w:pPr>
          </w:p>
        </w:tc>
        <w:tc>
          <w:tcPr>
            <w:tcW w:w="1260" w:type="dxa"/>
            <w:vAlign w:val="bottom"/>
            <w:tcBorders>
              <w:bottom w:val="single" w:sz="8" w:color="808285"/>
            </w:tcBorders>
          </w:tcPr>
          <w:p>
            <w:pPr>
              <w:spacing w:after="0"/>
              <w:rPr>
                <w:sz w:val="3"/>
                <w:szCs w:val="3"/>
                <w:color w:val="auto"/>
              </w:rPr>
            </w:pPr>
          </w:p>
        </w:tc>
        <w:tc>
          <w:tcPr>
            <w:tcW w:w="380" w:type="dxa"/>
            <w:vAlign w:val="bottom"/>
            <w:tcBorders>
              <w:bottom w:val="single" w:sz="8" w:color="808285"/>
            </w:tcBorders>
          </w:tcPr>
          <w:p>
            <w:pPr>
              <w:spacing w:after="0"/>
              <w:rPr>
                <w:sz w:val="3"/>
                <w:szCs w:val="3"/>
                <w:color w:val="auto"/>
              </w:rPr>
            </w:pPr>
          </w:p>
        </w:tc>
        <w:tc>
          <w:tcPr>
            <w:tcW w:w="980" w:type="dxa"/>
            <w:vAlign w:val="bottom"/>
            <w:tcBorders>
              <w:bottom w:val="single" w:sz="8" w:color="808285"/>
            </w:tcBorders>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Borders>
              <w:bottom w:val="single" w:sz="8" w:color="808285"/>
            </w:tcBorders>
          </w:tcPr>
          <w:p>
            <w:pPr>
              <w:spacing w:after="0"/>
              <w:rPr>
                <w:sz w:val="3"/>
                <w:szCs w:val="3"/>
                <w:color w:val="auto"/>
              </w:rPr>
            </w:pPr>
          </w:p>
        </w:tc>
        <w:tc>
          <w:tcPr>
            <w:tcW w:w="420" w:type="dxa"/>
            <w:vAlign w:val="bottom"/>
            <w:tcBorders>
              <w:bottom w:val="single" w:sz="8" w:color="808285"/>
            </w:tcBorders>
          </w:tcPr>
          <w:p>
            <w:pPr>
              <w:spacing w:after="0"/>
              <w:rPr>
                <w:sz w:val="3"/>
                <w:szCs w:val="3"/>
                <w:color w:val="auto"/>
              </w:rPr>
            </w:pPr>
          </w:p>
        </w:tc>
        <w:tc>
          <w:tcPr>
            <w:tcW w:w="740" w:type="dxa"/>
            <w:vAlign w:val="bottom"/>
            <w:tcBorders>
              <w:bottom w:val="single" w:sz="8" w:color="808285"/>
            </w:tcBorders>
          </w:tcPr>
          <w:p>
            <w:pPr>
              <w:spacing w:after="0"/>
              <w:rPr>
                <w:sz w:val="3"/>
                <w:szCs w:val="3"/>
                <w:color w:val="auto"/>
              </w:rPr>
            </w:pPr>
          </w:p>
        </w:tc>
      </w:tr>
      <w:tr>
        <w:trPr>
          <w:trHeight w:val="188"/>
        </w:trPr>
        <w:tc>
          <w:tcPr>
            <w:tcW w:w="6020" w:type="dxa"/>
            <w:vAlign w:val="bottom"/>
          </w:tcPr>
          <w:p>
            <w:pPr>
              <w:spacing w:after="0"/>
              <w:rPr>
                <w:sz w:val="16"/>
                <w:szCs w:val="16"/>
                <w:color w:val="auto"/>
              </w:rPr>
            </w:pPr>
          </w:p>
        </w:tc>
        <w:tc>
          <w:tcPr>
            <w:tcW w:w="1260" w:type="dxa"/>
            <w:vAlign w:val="bottom"/>
          </w:tcPr>
          <w:p>
            <w:pPr>
              <w:jc w:val="center"/>
              <w:ind w:right="124"/>
              <w:spacing w:after="0"/>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ind w:right="84"/>
              <w:spacing w:after="0"/>
              <w:rPr>
                <w:sz w:val="20"/>
                <w:szCs w:val="20"/>
                <w:color w:val="auto"/>
              </w:rPr>
            </w:pPr>
            <w:r>
              <w:rPr>
                <w:rFonts w:ascii="Arial" w:cs="Arial" w:eastAsia="Arial" w:hAnsi="Arial"/>
                <w:sz w:val="13"/>
                <w:szCs w:val="13"/>
                <w:b w:val="1"/>
                <w:bCs w:val="1"/>
                <w:color w:val="auto"/>
                <w:w w:val="98"/>
              </w:rPr>
              <w:t>Number of</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6"/>
        </w:trPr>
        <w:tc>
          <w:tcPr>
            <w:tcW w:w="6020" w:type="dxa"/>
            <w:vAlign w:val="bottom"/>
          </w:tcPr>
          <w:p>
            <w:pPr>
              <w:spacing w:after="0"/>
              <w:rPr>
                <w:sz w:val="20"/>
                <w:szCs w:val="20"/>
                <w:color w:val="auto"/>
              </w:rPr>
            </w:pPr>
          </w:p>
        </w:tc>
        <w:tc>
          <w:tcPr>
            <w:tcW w:w="1260" w:type="dxa"/>
            <w:vAlign w:val="bottom"/>
          </w:tcPr>
          <w:p>
            <w:pPr>
              <w:jc w:val="center"/>
              <w:ind w:right="144"/>
              <w:spacing w:after="0"/>
              <w:rPr>
                <w:sz w:val="20"/>
                <w:szCs w:val="20"/>
                <w:color w:val="auto"/>
              </w:rPr>
            </w:pPr>
            <w:r>
              <w:rPr>
                <w:rFonts w:ascii="Arial" w:cs="Arial" w:eastAsia="Arial" w:hAnsi="Arial"/>
                <w:sz w:val="13"/>
                <w:szCs w:val="13"/>
                <w:b w:val="1"/>
                <w:bCs w:val="1"/>
                <w:color w:val="auto"/>
              </w:rPr>
              <w:t>Shares Acquired</w:t>
            </w:r>
          </w:p>
        </w:tc>
        <w:tc>
          <w:tcPr>
            <w:tcW w:w="1700" w:type="dxa"/>
            <w:vAlign w:val="bottom"/>
            <w:gridSpan w:val="3"/>
          </w:tcPr>
          <w:p>
            <w:pPr>
              <w:ind w:left="260"/>
              <w:spacing w:after="0"/>
              <w:rPr>
                <w:sz w:val="20"/>
                <w:szCs w:val="20"/>
                <w:color w:val="auto"/>
              </w:rPr>
            </w:pPr>
            <w:r>
              <w:rPr>
                <w:rFonts w:ascii="Arial" w:cs="Arial" w:eastAsia="Arial" w:hAnsi="Arial"/>
                <w:sz w:val="13"/>
                <w:szCs w:val="13"/>
                <w:b w:val="1"/>
                <w:bCs w:val="1"/>
                <w:color w:val="auto"/>
              </w:rPr>
              <w:t>Value Realized</w:t>
            </w:r>
          </w:p>
        </w:tc>
        <w:tc>
          <w:tcPr>
            <w:tcW w:w="1280" w:type="dxa"/>
            <w:vAlign w:val="bottom"/>
          </w:tcPr>
          <w:p>
            <w:pPr>
              <w:jc w:val="center"/>
              <w:ind w:right="84"/>
              <w:spacing w:after="0"/>
              <w:rPr>
                <w:sz w:val="20"/>
                <w:szCs w:val="20"/>
                <w:color w:val="auto"/>
              </w:rPr>
            </w:pPr>
            <w:r>
              <w:rPr>
                <w:rFonts w:ascii="Arial" w:cs="Arial" w:eastAsia="Arial" w:hAnsi="Arial"/>
                <w:sz w:val="13"/>
                <w:szCs w:val="13"/>
                <w:b w:val="1"/>
                <w:bCs w:val="1"/>
                <w:color w:val="auto"/>
              </w:rPr>
              <w:t>Shares Acquired</w:t>
            </w: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Realized</w:t>
            </w:r>
          </w:p>
        </w:tc>
      </w:tr>
      <w:tr>
        <w:trPr>
          <w:trHeight w:val="236"/>
        </w:trPr>
        <w:tc>
          <w:tcPr>
            <w:tcW w:w="60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60" w:type="dxa"/>
            <w:vAlign w:val="bottom"/>
          </w:tcPr>
          <w:p>
            <w:pPr>
              <w:jc w:val="center"/>
              <w:ind w:right="124"/>
              <w:spacing w:after="0"/>
              <w:rPr>
                <w:sz w:val="20"/>
                <w:szCs w:val="20"/>
                <w:color w:val="auto"/>
              </w:rPr>
            </w:pPr>
            <w:r>
              <w:rPr>
                <w:rFonts w:ascii="Arial" w:cs="Arial" w:eastAsia="Arial" w:hAnsi="Arial"/>
                <w:sz w:val="13"/>
                <w:szCs w:val="13"/>
                <w:b w:val="1"/>
                <w:bCs w:val="1"/>
                <w:color w:val="auto"/>
              </w:rPr>
              <w:t>on Exercise (#)</w:t>
            </w:r>
          </w:p>
        </w:tc>
        <w:tc>
          <w:tcPr>
            <w:tcW w:w="1700" w:type="dxa"/>
            <w:vAlign w:val="bottom"/>
            <w:gridSpan w:val="3"/>
          </w:tcPr>
          <w:p>
            <w:pPr>
              <w:ind w:left="240"/>
              <w:spacing w:after="0"/>
              <w:rPr>
                <w:sz w:val="20"/>
                <w:szCs w:val="20"/>
                <w:color w:val="auto"/>
              </w:rPr>
            </w:pPr>
            <w:r>
              <w:rPr>
                <w:rFonts w:ascii="Arial" w:cs="Arial" w:eastAsia="Arial" w:hAnsi="Arial"/>
                <w:sz w:val="13"/>
                <w:szCs w:val="13"/>
                <w:b w:val="1"/>
                <w:bCs w:val="1"/>
                <w:color w:val="auto"/>
              </w:rPr>
              <w:t>on Exercise ($)</w:t>
            </w:r>
          </w:p>
        </w:tc>
        <w:tc>
          <w:tcPr>
            <w:tcW w:w="1280" w:type="dxa"/>
            <w:vAlign w:val="bottom"/>
          </w:tcPr>
          <w:p>
            <w:pPr>
              <w:jc w:val="center"/>
              <w:ind w:right="64"/>
              <w:spacing w:after="0"/>
              <w:rPr>
                <w:sz w:val="20"/>
                <w:szCs w:val="20"/>
                <w:color w:val="auto"/>
              </w:rPr>
            </w:pPr>
            <w:r>
              <w:rPr>
                <w:rFonts w:ascii="Arial" w:cs="Arial" w:eastAsia="Arial" w:hAnsi="Arial"/>
                <w:sz w:val="13"/>
                <w:szCs w:val="13"/>
                <w:b w:val="1"/>
                <w:bCs w:val="1"/>
                <w:color w:val="auto"/>
                <w:w w:val="99"/>
              </w:rPr>
              <w:t>on Vesting (#)</w:t>
            </w: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on Vesting ($)</w:t>
            </w:r>
          </w:p>
        </w:tc>
      </w:tr>
      <w:tr>
        <w:trPr>
          <w:trHeight w:val="41"/>
        </w:trPr>
        <w:tc>
          <w:tcPr>
            <w:tcW w:w="6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r>
      <w:tr>
        <w:trPr>
          <w:trHeight w:val="66"/>
        </w:trPr>
        <w:tc>
          <w:tcPr>
            <w:tcW w:w="6020" w:type="dxa"/>
            <w:vAlign w:val="bottom"/>
            <w:shd w:val="clear" w:color="auto" w:fill="808285"/>
          </w:tcPr>
          <w:p>
            <w:pPr>
              <w:spacing w:after="0"/>
              <w:rPr>
                <w:sz w:val="5"/>
                <w:szCs w:val="5"/>
                <w:color w:val="auto"/>
              </w:rPr>
            </w:pPr>
          </w:p>
        </w:tc>
        <w:tc>
          <w:tcPr>
            <w:tcW w:w="1260" w:type="dxa"/>
            <w:vAlign w:val="bottom"/>
            <w:shd w:val="clear" w:color="auto" w:fill="808285"/>
          </w:tcPr>
          <w:p>
            <w:pPr>
              <w:spacing w:after="0"/>
              <w:rPr>
                <w:sz w:val="5"/>
                <w:szCs w:val="5"/>
                <w:color w:val="auto"/>
              </w:rPr>
            </w:pPr>
          </w:p>
        </w:tc>
        <w:tc>
          <w:tcPr>
            <w:tcW w:w="380" w:type="dxa"/>
            <w:vAlign w:val="bottom"/>
            <w:shd w:val="clear" w:color="auto" w:fill="808285"/>
          </w:tcPr>
          <w:p>
            <w:pPr>
              <w:spacing w:after="0"/>
              <w:rPr>
                <w:sz w:val="5"/>
                <w:szCs w:val="5"/>
                <w:color w:val="auto"/>
              </w:rPr>
            </w:pPr>
          </w:p>
        </w:tc>
        <w:tc>
          <w:tcPr>
            <w:tcW w:w="980" w:type="dxa"/>
            <w:vAlign w:val="bottom"/>
            <w:shd w:val="clear" w:color="auto" w:fill="808285"/>
          </w:tcPr>
          <w:p>
            <w:pPr>
              <w:spacing w:after="0"/>
              <w:rPr>
                <w:sz w:val="5"/>
                <w:szCs w:val="5"/>
                <w:color w:val="auto"/>
              </w:rPr>
            </w:pPr>
          </w:p>
        </w:tc>
        <w:tc>
          <w:tcPr>
            <w:tcW w:w="340" w:type="dxa"/>
            <w:vAlign w:val="bottom"/>
            <w:shd w:val="clear" w:color="auto" w:fill="808285"/>
          </w:tcPr>
          <w:p>
            <w:pPr>
              <w:spacing w:after="0"/>
              <w:rPr>
                <w:sz w:val="5"/>
                <w:szCs w:val="5"/>
                <w:color w:val="auto"/>
              </w:rPr>
            </w:pPr>
          </w:p>
        </w:tc>
        <w:tc>
          <w:tcPr>
            <w:tcW w:w="1280" w:type="dxa"/>
            <w:vAlign w:val="bottom"/>
            <w:shd w:val="clear" w:color="auto" w:fill="808285"/>
          </w:tcPr>
          <w:p>
            <w:pPr>
              <w:spacing w:after="0"/>
              <w:rPr>
                <w:sz w:val="5"/>
                <w:szCs w:val="5"/>
                <w:color w:val="auto"/>
              </w:rPr>
            </w:pPr>
          </w:p>
        </w:tc>
        <w:tc>
          <w:tcPr>
            <w:tcW w:w="1160" w:type="dxa"/>
            <w:vAlign w:val="bottom"/>
            <w:gridSpan w:val="2"/>
            <w:shd w:val="clear" w:color="auto" w:fill="808285"/>
          </w:tcPr>
          <w:p>
            <w:pPr>
              <w:spacing w:after="0"/>
              <w:rPr>
                <w:sz w:val="5"/>
                <w:szCs w:val="5"/>
                <w:color w:val="auto"/>
              </w:rPr>
            </w:pPr>
          </w:p>
        </w:tc>
      </w:tr>
      <w:tr>
        <w:trPr>
          <w:trHeight w:val="236"/>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1260" w:type="dxa"/>
            <w:vAlign w:val="bottom"/>
            <w:shd w:val="clear" w:color="auto" w:fill="E9E9E9"/>
          </w:tcPr>
          <w:p>
            <w:pPr>
              <w:jc w:val="right"/>
              <w:ind w:right="344"/>
              <w:spacing w:after="0"/>
              <w:rPr>
                <w:sz w:val="20"/>
                <w:szCs w:val="20"/>
                <w:color w:val="auto"/>
              </w:rPr>
            </w:pPr>
            <w:r>
              <w:rPr>
                <w:rFonts w:ascii="Arial" w:cs="Arial" w:eastAsia="Arial" w:hAnsi="Arial"/>
                <w:sz w:val="17"/>
                <w:szCs w:val="17"/>
                <w:color w:val="auto"/>
              </w:rPr>
              <w:t>—</w:t>
            </w:r>
          </w:p>
        </w:tc>
        <w:tc>
          <w:tcPr>
            <w:tcW w:w="380" w:type="dxa"/>
            <w:vAlign w:val="bottom"/>
            <w:shd w:val="clear" w:color="auto" w:fill="E9E9E9"/>
          </w:tcPr>
          <w:p>
            <w:pPr>
              <w:spacing w:after="0"/>
              <w:rPr>
                <w:sz w:val="20"/>
                <w:szCs w:val="20"/>
                <w:color w:val="auto"/>
              </w:rPr>
            </w:pPr>
          </w:p>
        </w:tc>
        <w:tc>
          <w:tcPr>
            <w:tcW w:w="1320" w:type="dxa"/>
            <w:vAlign w:val="bottom"/>
            <w:gridSpan w:val="2"/>
            <w:shd w:val="clear" w:color="auto" w:fill="E9E9E9"/>
          </w:tcPr>
          <w:p>
            <w:pPr>
              <w:jc w:val="right"/>
              <w:ind w:right="6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E9E9E9"/>
          </w:tcPr>
          <w:p>
            <w:pPr>
              <w:jc w:val="right"/>
              <w:ind w:right="324"/>
              <w:spacing w:after="0"/>
              <w:rPr>
                <w:sz w:val="20"/>
                <w:szCs w:val="20"/>
                <w:color w:val="auto"/>
              </w:rPr>
            </w:pPr>
            <w:r>
              <w:rPr>
                <w:rFonts w:ascii="Arial" w:cs="Arial" w:eastAsia="Arial" w:hAnsi="Arial"/>
                <w:sz w:val="17"/>
                <w:szCs w:val="17"/>
                <w:color w:val="auto"/>
              </w:rPr>
              <w:t>150,000</w:t>
            </w:r>
          </w:p>
        </w:tc>
        <w:tc>
          <w:tcPr>
            <w:tcW w:w="11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$3,457,500</w:t>
            </w:r>
          </w:p>
        </w:tc>
      </w:tr>
      <w:tr>
        <w:trPr>
          <w:trHeight w:val="228"/>
        </w:trPr>
        <w:tc>
          <w:tcPr>
            <w:tcW w:w="6020" w:type="dxa"/>
            <w:vAlign w:val="bottom"/>
          </w:tcPr>
          <w:p>
            <w:pPr>
              <w:spacing w:after="0"/>
              <w:rPr>
                <w:sz w:val="20"/>
                <w:szCs w:val="20"/>
                <w:color w:val="auto"/>
              </w:rPr>
            </w:pPr>
            <w:r>
              <w:rPr>
                <w:rFonts w:ascii="Arial" w:cs="Arial" w:eastAsia="Arial" w:hAnsi="Arial"/>
                <w:sz w:val="17"/>
                <w:szCs w:val="17"/>
                <w:color w:val="auto"/>
              </w:rPr>
              <w:t>K. P. March</w:t>
            </w:r>
          </w:p>
        </w:tc>
        <w:tc>
          <w:tcPr>
            <w:tcW w:w="1260" w:type="dxa"/>
            <w:vAlign w:val="bottom"/>
          </w:tcPr>
          <w:p>
            <w:pPr>
              <w:jc w:val="right"/>
              <w:ind w:right="344"/>
              <w:spacing w:after="0"/>
              <w:rPr>
                <w:sz w:val="20"/>
                <w:szCs w:val="20"/>
                <w:color w:val="auto"/>
              </w:rPr>
            </w:pPr>
            <w:r>
              <w:rPr>
                <w:rFonts w:ascii="Arial" w:cs="Arial" w:eastAsia="Arial" w:hAnsi="Arial"/>
                <w:sz w:val="17"/>
                <w:szCs w:val="17"/>
                <w:color w:val="auto"/>
              </w:rPr>
              <w:t>60,100</w:t>
            </w:r>
          </w:p>
        </w:tc>
        <w:tc>
          <w:tcPr>
            <w:tcW w:w="380" w:type="dxa"/>
            <w:vAlign w:val="bottom"/>
          </w:tcPr>
          <w:p>
            <w:pPr>
              <w:ind w:left="22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527,556</w:t>
            </w:r>
          </w:p>
        </w:tc>
        <w:tc>
          <w:tcPr>
            <w:tcW w:w="340" w:type="dxa"/>
            <w:vAlign w:val="bottom"/>
          </w:tcPr>
          <w:p>
            <w:pPr>
              <w:spacing w:after="0"/>
              <w:rPr>
                <w:sz w:val="19"/>
                <w:szCs w:val="19"/>
                <w:color w:val="auto"/>
              </w:rPr>
            </w:pPr>
          </w:p>
        </w:tc>
        <w:tc>
          <w:tcPr>
            <w:tcW w:w="1280" w:type="dxa"/>
            <w:vAlign w:val="bottom"/>
          </w:tcPr>
          <w:p>
            <w:pPr>
              <w:jc w:val="right"/>
              <w:ind w:right="324"/>
              <w:spacing w:after="0"/>
              <w:rPr>
                <w:sz w:val="20"/>
                <w:szCs w:val="20"/>
                <w:color w:val="auto"/>
              </w:rPr>
            </w:pPr>
            <w:r>
              <w:rPr>
                <w:rFonts w:ascii="Arial" w:cs="Arial" w:eastAsia="Arial" w:hAnsi="Arial"/>
                <w:sz w:val="17"/>
                <w:szCs w:val="17"/>
                <w:color w:val="auto"/>
              </w:rPr>
              <w:t>30,000</w:t>
            </w:r>
          </w:p>
        </w:tc>
        <w:tc>
          <w:tcPr>
            <w:tcW w:w="420" w:type="dxa"/>
            <w:vAlign w:val="bottom"/>
          </w:tcPr>
          <w:p>
            <w:pPr>
              <w:ind w:lef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691,500</w:t>
            </w:r>
          </w:p>
        </w:tc>
      </w:tr>
      <w:tr>
        <w:trPr>
          <w:trHeight w:val="244"/>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1260" w:type="dxa"/>
            <w:vAlign w:val="bottom"/>
            <w:shd w:val="clear" w:color="auto" w:fill="E9E9E9"/>
          </w:tcPr>
          <w:p>
            <w:pPr>
              <w:jc w:val="right"/>
              <w:ind w:right="344"/>
              <w:spacing w:after="0"/>
              <w:rPr>
                <w:sz w:val="20"/>
                <w:szCs w:val="20"/>
                <w:color w:val="auto"/>
              </w:rPr>
            </w:pPr>
            <w:r>
              <w:rPr>
                <w:rFonts w:ascii="Arial" w:cs="Arial" w:eastAsia="Arial" w:hAnsi="Arial"/>
                <w:sz w:val="17"/>
                <w:szCs w:val="17"/>
                <w:color w:val="auto"/>
              </w:rPr>
              <w:t>195,000</w:t>
            </w:r>
          </w:p>
        </w:tc>
        <w:tc>
          <w:tcPr>
            <w:tcW w:w="1360" w:type="dxa"/>
            <w:vAlign w:val="bottom"/>
            <w:gridSpan w:val="2"/>
            <w:shd w:val="clear" w:color="auto" w:fill="E9E9E9"/>
          </w:tcPr>
          <w:p>
            <w:pPr>
              <w:jc w:val="right"/>
              <w:ind w:right="195"/>
              <w:spacing w:after="0"/>
              <w:rPr>
                <w:sz w:val="20"/>
                <w:szCs w:val="20"/>
                <w:color w:val="auto"/>
              </w:rPr>
            </w:pPr>
            <w:r>
              <w:rPr>
                <w:rFonts w:ascii="Arial" w:cs="Arial" w:eastAsia="Arial" w:hAnsi="Arial"/>
                <w:sz w:val="17"/>
                <w:szCs w:val="17"/>
                <w:color w:val="auto"/>
              </w:rPr>
              <w:t>$1,407,150</w:t>
            </w:r>
          </w:p>
        </w:tc>
        <w:tc>
          <w:tcPr>
            <w:tcW w:w="340" w:type="dxa"/>
            <w:vAlign w:val="bottom"/>
            <w:shd w:val="clear" w:color="auto" w:fill="E9E9E9"/>
          </w:tcPr>
          <w:p>
            <w:pPr>
              <w:spacing w:after="0"/>
              <w:rPr>
                <w:sz w:val="21"/>
                <w:szCs w:val="21"/>
                <w:color w:val="auto"/>
              </w:rPr>
            </w:pPr>
          </w:p>
        </w:tc>
        <w:tc>
          <w:tcPr>
            <w:tcW w:w="1280" w:type="dxa"/>
            <w:vAlign w:val="bottom"/>
            <w:shd w:val="clear" w:color="auto" w:fill="E9E9E9"/>
          </w:tcPr>
          <w:p>
            <w:pPr>
              <w:jc w:val="right"/>
              <w:ind w:right="324"/>
              <w:spacing w:after="0"/>
              <w:rPr>
                <w:sz w:val="20"/>
                <w:szCs w:val="20"/>
                <w:color w:val="auto"/>
              </w:rPr>
            </w:pPr>
            <w:r>
              <w:rPr>
                <w:rFonts w:ascii="Arial" w:cs="Arial" w:eastAsia="Arial" w:hAnsi="Arial"/>
                <w:sz w:val="17"/>
                <w:szCs w:val="17"/>
                <w:color w:val="auto"/>
              </w:rPr>
              <w:t>150,000</w:t>
            </w:r>
          </w:p>
        </w:tc>
        <w:tc>
          <w:tcPr>
            <w:tcW w:w="11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$3,640,500</w:t>
            </w:r>
          </w:p>
        </w:tc>
      </w:tr>
      <w:tr>
        <w:trPr>
          <w:trHeight w:val="228"/>
        </w:trPr>
        <w:tc>
          <w:tcPr>
            <w:tcW w:w="6020" w:type="dxa"/>
            <w:vAlign w:val="bottom"/>
          </w:tcPr>
          <w:p>
            <w:pPr>
              <w:spacing w:after="0"/>
              <w:rPr>
                <w:sz w:val="20"/>
                <w:szCs w:val="20"/>
                <w:color w:val="auto"/>
              </w:rPr>
            </w:pPr>
            <w:r>
              <w:rPr>
                <w:rFonts w:ascii="Arial" w:cs="Arial" w:eastAsia="Arial" w:hAnsi="Arial"/>
                <w:sz w:val="17"/>
                <w:szCs w:val="17"/>
                <w:color w:val="auto"/>
              </w:rPr>
              <w:t>B. T. Crutcher</w:t>
            </w:r>
          </w:p>
        </w:tc>
        <w:tc>
          <w:tcPr>
            <w:tcW w:w="1260" w:type="dxa"/>
            <w:vAlign w:val="bottom"/>
          </w:tcPr>
          <w:p>
            <w:pPr>
              <w:jc w:val="right"/>
              <w:ind w:right="344"/>
              <w:spacing w:after="0"/>
              <w:rPr>
                <w:sz w:val="20"/>
                <w:szCs w:val="20"/>
                <w:color w:val="auto"/>
              </w:rPr>
            </w:pPr>
            <w:r>
              <w:rPr>
                <w:rFonts w:ascii="Arial" w:cs="Arial" w:eastAsia="Arial" w:hAnsi="Arial"/>
                <w:sz w:val="17"/>
                <w:szCs w:val="17"/>
                <w:color w:val="auto"/>
              </w:rPr>
              <w:t>20,000</w:t>
            </w:r>
          </w:p>
        </w:tc>
        <w:tc>
          <w:tcPr>
            <w:tcW w:w="380" w:type="dxa"/>
            <w:vAlign w:val="bottom"/>
          </w:tcPr>
          <w:p>
            <w:pPr>
              <w:ind w:left="22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242,350</w:t>
            </w:r>
          </w:p>
        </w:tc>
        <w:tc>
          <w:tcPr>
            <w:tcW w:w="340" w:type="dxa"/>
            <w:vAlign w:val="bottom"/>
          </w:tcPr>
          <w:p>
            <w:pPr>
              <w:spacing w:after="0"/>
              <w:rPr>
                <w:sz w:val="19"/>
                <w:szCs w:val="19"/>
                <w:color w:val="auto"/>
              </w:rPr>
            </w:pPr>
          </w:p>
        </w:tc>
        <w:tc>
          <w:tcPr>
            <w:tcW w:w="1280" w:type="dxa"/>
            <w:vAlign w:val="bottom"/>
          </w:tcPr>
          <w:p>
            <w:pPr>
              <w:jc w:val="right"/>
              <w:ind w:right="324"/>
              <w:spacing w:after="0"/>
              <w:rPr>
                <w:sz w:val="20"/>
                <w:szCs w:val="20"/>
                <w:color w:val="auto"/>
              </w:rPr>
            </w:pPr>
            <w:r>
              <w:rPr>
                <w:rFonts w:ascii="Arial" w:cs="Arial" w:eastAsia="Arial" w:hAnsi="Arial"/>
                <w:sz w:val="17"/>
                <w:szCs w:val="17"/>
                <w:color w:val="auto"/>
              </w:rPr>
              <w:t>5,000</w:t>
            </w:r>
          </w:p>
        </w:tc>
        <w:tc>
          <w:tcPr>
            <w:tcW w:w="420" w:type="dxa"/>
            <w:vAlign w:val="bottom"/>
          </w:tcPr>
          <w:p>
            <w:pPr>
              <w:ind w:lef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115,250</w:t>
            </w:r>
          </w:p>
        </w:tc>
      </w:tr>
      <w:tr>
        <w:trPr>
          <w:trHeight w:val="244"/>
        </w:trPr>
        <w:tc>
          <w:tcPr>
            <w:tcW w:w="602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1260" w:type="dxa"/>
            <w:vAlign w:val="bottom"/>
            <w:shd w:val="clear" w:color="auto" w:fill="E9E9E9"/>
          </w:tcPr>
          <w:p>
            <w:pPr>
              <w:jc w:val="right"/>
              <w:ind w:right="344"/>
              <w:spacing w:after="0"/>
              <w:rPr>
                <w:sz w:val="20"/>
                <w:szCs w:val="20"/>
                <w:color w:val="auto"/>
              </w:rPr>
            </w:pPr>
            <w:r>
              <w:rPr>
                <w:rFonts w:ascii="Arial" w:cs="Arial" w:eastAsia="Arial" w:hAnsi="Arial"/>
                <w:sz w:val="17"/>
                <w:szCs w:val="17"/>
                <w:color w:val="auto"/>
              </w:rPr>
              <w:t>265,000</w:t>
            </w:r>
          </w:p>
        </w:tc>
        <w:tc>
          <w:tcPr>
            <w:tcW w:w="1360" w:type="dxa"/>
            <w:vAlign w:val="bottom"/>
            <w:gridSpan w:val="2"/>
            <w:shd w:val="clear" w:color="auto" w:fill="E9E9E9"/>
          </w:tcPr>
          <w:p>
            <w:pPr>
              <w:jc w:val="right"/>
              <w:ind w:right="195"/>
              <w:spacing w:after="0"/>
              <w:rPr>
                <w:sz w:val="20"/>
                <w:szCs w:val="20"/>
                <w:color w:val="auto"/>
              </w:rPr>
            </w:pPr>
            <w:r>
              <w:rPr>
                <w:rFonts w:ascii="Arial" w:cs="Arial" w:eastAsia="Arial" w:hAnsi="Arial"/>
                <w:sz w:val="17"/>
                <w:szCs w:val="17"/>
                <w:color w:val="auto"/>
              </w:rPr>
              <w:t>$3,867,000</w:t>
            </w:r>
          </w:p>
        </w:tc>
        <w:tc>
          <w:tcPr>
            <w:tcW w:w="340" w:type="dxa"/>
            <w:vAlign w:val="bottom"/>
            <w:shd w:val="clear" w:color="auto" w:fill="E9E9E9"/>
          </w:tcPr>
          <w:p>
            <w:pPr>
              <w:spacing w:after="0"/>
              <w:rPr>
                <w:sz w:val="21"/>
                <w:szCs w:val="21"/>
                <w:color w:val="auto"/>
              </w:rPr>
            </w:pPr>
          </w:p>
        </w:tc>
        <w:tc>
          <w:tcPr>
            <w:tcW w:w="1280" w:type="dxa"/>
            <w:vAlign w:val="bottom"/>
            <w:shd w:val="clear" w:color="auto" w:fill="E9E9E9"/>
          </w:tcPr>
          <w:p>
            <w:pPr>
              <w:jc w:val="right"/>
              <w:ind w:right="324"/>
              <w:spacing w:after="0"/>
              <w:rPr>
                <w:sz w:val="20"/>
                <w:szCs w:val="20"/>
                <w:color w:val="auto"/>
              </w:rPr>
            </w:pPr>
            <w:r>
              <w:rPr>
                <w:rFonts w:ascii="Arial" w:cs="Arial" w:eastAsia="Arial" w:hAnsi="Arial"/>
                <w:sz w:val="17"/>
                <w:szCs w:val="17"/>
                <w:color w:val="auto"/>
              </w:rPr>
              <w:t>50,000</w:t>
            </w:r>
          </w:p>
        </w:tc>
        <w:tc>
          <w:tcPr>
            <w:tcW w:w="1160" w:type="dxa"/>
            <w:vAlign w:val="bottom"/>
            <w:gridSpan w:val="2"/>
            <w:shd w:val="clear" w:color="auto" w:fill="E9E9E9"/>
          </w:tcPr>
          <w:p>
            <w:pPr>
              <w:jc w:val="right"/>
              <w:spacing w:after="0"/>
              <w:rPr>
                <w:sz w:val="20"/>
                <w:szCs w:val="20"/>
                <w:color w:val="auto"/>
              </w:rPr>
            </w:pPr>
            <w:r>
              <w:rPr>
                <w:rFonts w:ascii="Arial" w:cs="Arial" w:eastAsia="Arial" w:hAnsi="Arial"/>
                <w:sz w:val="17"/>
                <w:szCs w:val="17"/>
                <w:color w:val="auto"/>
              </w:rPr>
              <w:t>$1,152,500</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pension benefits</w:t>
      </w:r>
    </w:p>
    <w:p>
      <w:pPr>
        <w:spacing w:after="0" w:line="257"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The following table shows the present value as of December 31, 2010,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jc w:val="center"/>
              <w:ind w:left="61"/>
              <w:spacing w:after="0"/>
              <w:rPr>
                <w:sz w:val="20"/>
                <w:szCs w:val="20"/>
                <w:color w:val="auto"/>
              </w:rPr>
            </w:pPr>
            <w:r>
              <w:rPr>
                <w:rFonts w:ascii="Arial" w:cs="Arial" w:eastAsia="Arial" w:hAnsi="Arial"/>
                <w:sz w:val="13"/>
                <w:szCs w:val="13"/>
                <w:b w:val="1"/>
                <w:bCs w:val="1"/>
                <w:color w:val="auto"/>
              </w:rPr>
              <w:t>Payments</w:t>
            </w:r>
          </w:p>
        </w:tc>
      </w:tr>
      <w:tr>
        <w:trPr>
          <w:trHeight w:val="236"/>
        </w:trPr>
        <w:tc>
          <w:tcPr>
            <w:tcW w:w="31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38"/>
              <w:spacing w:after="0"/>
              <w:rPr>
                <w:sz w:val="20"/>
                <w:szCs w:val="20"/>
                <w:color w:val="auto"/>
              </w:rPr>
            </w:pPr>
            <w:r>
              <w:rPr>
                <w:rFonts w:ascii="Arial" w:cs="Arial" w:eastAsia="Arial" w:hAnsi="Arial"/>
                <w:sz w:val="13"/>
                <w:szCs w:val="13"/>
                <w:b w:val="1"/>
                <w:bCs w:val="1"/>
                <w:color w:val="auto"/>
              </w:rPr>
              <w:t>Present</w:t>
            </w:r>
          </w:p>
        </w:tc>
        <w:tc>
          <w:tcPr>
            <w:tcW w:w="760" w:type="dxa"/>
            <w:vAlign w:val="bottom"/>
          </w:tcPr>
          <w:p>
            <w:pPr>
              <w:jc w:val="center"/>
              <w:ind w:left="61"/>
              <w:spacing w:after="0"/>
              <w:rPr>
                <w:sz w:val="20"/>
                <w:szCs w:val="20"/>
                <w:color w:val="auto"/>
              </w:rPr>
            </w:pPr>
            <w:r>
              <w:rPr>
                <w:rFonts w:ascii="Arial" w:cs="Arial" w:eastAsia="Arial" w:hAnsi="Arial"/>
                <w:sz w:val="13"/>
                <w:szCs w:val="13"/>
                <w:b w:val="1"/>
                <w:bCs w:val="1"/>
                <w:color w:val="auto"/>
              </w:rPr>
              <w:t>During</w:t>
            </w:r>
          </w:p>
        </w:tc>
      </w:tr>
      <w:tr>
        <w:trPr>
          <w:trHeight w:val="236"/>
        </w:trPr>
        <w:tc>
          <w:tcPr>
            <w:tcW w:w="31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20" w:type="dxa"/>
            <w:vAlign w:val="bottom"/>
            <w:gridSpan w:val="2"/>
          </w:tcPr>
          <w:p>
            <w:pPr>
              <w:jc w:val="center"/>
              <w:ind w:left="59"/>
              <w:spacing w:after="0"/>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20"/>
                <w:szCs w:val="20"/>
                <w:color w:val="auto"/>
              </w:rPr>
            </w:pPr>
          </w:p>
        </w:tc>
        <w:tc>
          <w:tcPr>
            <w:tcW w:w="860" w:type="dxa"/>
            <w:vAlign w:val="bottom"/>
          </w:tcPr>
          <w:p>
            <w:pPr>
              <w:jc w:val="right"/>
              <w:ind w:right="218"/>
              <w:spacing w:after="0"/>
              <w:rPr>
                <w:sz w:val="20"/>
                <w:szCs w:val="20"/>
                <w:color w:val="auto"/>
              </w:rPr>
            </w:pPr>
            <w:r>
              <w:rPr>
                <w:rFonts w:ascii="Arial" w:cs="Arial" w:eastAsia="Arial" w:hAnsi="Arial"/>
                <w:sz w:val="13"/>
                <w:szCs w:val="13"/>
                <w:b w:val="1"/>
                <w:bCs w:val="1"/>
                <w:color w:val="auto"/>
              </w:rPr>
              <w:t>Value of</w:t>
            </w:r>
          </w:p>
        </w:tc>
        <w:tc>
          <w:tcPr>
            <w:tcW w:w="760" w:type="dxa"/>
            <w:vAlign w:val="bottom"/>
          </w:tcPr>
          <w:p>
            <w:pPr>
              <w:jc w:val="center"/>
              <w:ind w:left="61"/>
              <w:spacing w:after="0"/>
              <w:rPr>
                <w:sz w:val="20"/>
                <w:szCs w:val="20"/>
                <w:color w:val="auto"/>
              </w:rPr>
            </w:pPr>
            <w:r>
              <w:rPr>
                <w:rFonts w:ascii="Arial" w:cs="Arial" w:eastAsia="Arial" w:hAnsi="Arial"/>
                <w:sz w:val="13"/>
                <w:szCs w:val="13"/>
                <w:b w:val="1"/>
                <w:bCs w:val="1"/>
                <w:color w:val="auto"/>
                <w:w w:val="97"/>
              </w:rPr>
              <w:t>Last</w:t>
            </w:r>
          </w:p>
        </w:tc>
      </w:tr>
      <w:tr>
        <w:trPr>
          <w:trHeight w:val="236"/>
        </w:trPr>
        <w:tc>
          <w:tcPr>
            <w:tcW w:w="31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20" w:type="dxa"/>
            <w:vAlign w:val="bottom"/>
            <w:gridSpan w:val="2"/>
          </w:tcPr>
          <w:p>
            <w:pPr>
              <w:jc w:val="center"/>
              <w:ind w:left="39"/>
              <w:spacing w:after="0"/>
              <w:rPr>
                <w:sz w:val="20"/>
                <w:szCs w:val="20"/>
                <w:color w:val="auto"/>
              </w:rPr>
            </w:pPr>
            <w:r>
              <w:rPr>
                <w:rFonts w:ascii="Arial" w:cs="Arial" w:eastAsia="Arial" w:hAnsi="Arial"/>
                <w:sz w:val="13"/>
                <w:szCs w:val="13"/>
                <w:b w:val="1"/>
                <w:bCs w:val="1"/>
                <w:color w:val="auto"/>
              </w:rPr>
              <w:t>Years Credited</w:t>
            </w: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Accumulated</w:t>
            </w:r>
          </w:p>
        </w:tc>
        <w:tc>
          <w:tcPr>
            <w:tcW w:w="760" w:type="dxa"/>
            <w:vAlign w:val="bottom"/>
          </w:tcPr>
          <w:p>
            <w:pPr>
              <w:jc w:val="center"/>
              <w:ind w:left="61"/>
              <w:spacing w:after="0"/>
              <w:rPr>
                <w:sz w:val="20"/>
                <w:szCs w:val="20"/>
                <w:color w:val="auto"/>
              </w:rPr>
            </w:pPr>
            <w:r>
              <w:rPr>
                <w:rFonts w:ascii="Arial" w:cs="Arial" w:eastAsia="Arial" w:hAnsi="Arial"/>
                <w:sz w:val="13"/>
                <w:szCs w:val="13"/>
                <w:b w:val="1"/>
                <w:bCs w:val="1"/>
                <w:color w:val="auto"/>
              </w:rPr>
              <w:t>Fiscal</w:t>
            </w:r>
          </w:p>
        </w:tc>
      </w:tr>
      <w:tr>
        <w:trPr>
          <w:trHeight w:val="236"/>
        </w:trPr>
        <w:tc>
          <w:tcPr>
            <w:tcW w:w="31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5040" w:type="dxa"/>
            <w:vAlign w:val="bottom"/>
          </w:tcPr>
          <w:p>
            <w:pPr>
              <w:ind w:left="3040"/>
              <w:spacing w:after="0"/>
              <w:rPr>
                <w:sz w:val="20"/>
                <w:szCs w:val="20"/>
                <w:color w:val="auto"/>
              </w:rPr>
            </w:pPr>
            <w:r>
              <w:rPr>
                <w:rFonts w:ascii="Arial" w:cs="Arial" w:eastAsia="Arial" w:hAnsi="Arial"/>
                <w:sz w:val="13"/>
                <w:szCs w:val="13"/>
                <w:b w:val="1"/>
                <w:bCs w:val="1"/>
                <w:color w:val="auto"/>
              </w:rPr>
              <w:t>Plan Name</w:t>
            </w:r>
          </w:p>
        </w:tc>
        <w:tc>
          <w:tcPr>
            <w:tcW w:w="1320" w:type="dxa"/>
            <w:vAlign w:val="bottom"/>
            <w:gridSpan w:val="2"/>
          </w:tcPr>
          <w:p>
            <w:pPr>
              <w:jc w:val="center"/>
              <w:ind w:left="59"/>
              <w:spacing w:after="0"/>
              <w:rPr>
                <w:sz w:val="20"/>
                <w:szCs w:val="20"/>
                <w:color w:val="auto"/>
              </w:rPr>
            </w:pPr>
            <w:r>
              <w:rPr>
                <w:rFonts w:ascii="Arial" w:cs="Arial" w:eastAsia="Arial" w:hAnsi="Arial"/>
                <w:sz w:val="13"/>
                <w:szCs w:val="13"/>
                <w:b w:val="1"/>
                <w:bCs w:val="1"/>
                <w:color w:val="auto"/>
              </w:rPr>
              <w:t>Service (#)</w:t>
            </w: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Benefit ($)(5)</w:t>
            </w:r>
          </w:p>
        </w:tc>
        <w:tc>
          <w:tcPr>
            <w:tcW w:w="760" w:type="dxa"/>
            <w:vAlign w:val="bottom"/>
          </w:tcPr>
          <w:p>
            <w:pPr>
              <w:jc w:val="center"/>
              <w:ind w:left="61"/>
              <w:spacing w:after="0"/>
              <w:rPr>
                <w:sz w:val="20"/>
                <w:szCs w:val="20"/>
                <w:color w:val="auto"/>
              </w:rPr>
            </w:pPr>
            <w:r>
              <w:rPr>
                <w:rFonts w:ascii="Arial" w:cs="Arial" w:eastAsia="Arial" w:hAnsi="Arial"/>
                <w:sz w:val="13"/>
                <w:szCs w:val="13"/>
                <w:b w:val="1"/>
                <w:bCs w:val="1"/>
                <w:color w:val="auto"/>
                <w:w w:val="96"/>
              </w:rPr>
              <w:t>Year ($)</w:t>
            </w:r>
          </w:p>
        </w:tc>
      </w:tr>
      <w:tr>
        <w:trPr>
          <w:trHeight w:val="41"/>
        </w:trPr>
        <w:tc>
          <w:tcPr>
            <w:tcW w:w="3180" w:type="dxa"/>
            <w:vAlign w:val="bottom"/>
          </w:tcPr>
          <w:p>
            <w:pPr>
              <w:spacing w:after="0"/>
              <w:rPr>
                <w:sz w:val="3"/>
                <w:szCs w:val="3"/>
                <w:color w:val="auto"/>
              </w:rPr>
            </w:pPr>
          </w:p>
        </w:tc>
        <w:tc>
          <w:tcPr>
            <w:tcW w:w="5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66"/>
        </w:trPr>
        <w:tc>
          <w:tcPr>
            <w:tcW w:w="3180" w:type="dxa"/>
            <w:vAlign w:val="bottom"/>
            <w:shd w:val="clear" w:color="auto" w:fill="808285"/>
          </w:tcPr>
          <w:p>
            <w:pPr>
              <w:spacing w:after="0"/>
              <w:rPr>
                <w:sz w:val="5"/>
                <w:szCs w:val="5"/>
                <w:color w:val="auto"/>
              </w:rPr>
            </w:pPr>
          </w:p>
        </w:tc>
        <w:tc>
          <w:tcPr>
            <w:tcW w:w="5040" w:type="dxa"/>
            <w:vAlign w:val="bottom"/>
            <w:shd w:val="clear" w:color="auto" w:fill="808285"/>
          </w:tcPr>
          <w:p>
            <w:pPr>
              <w:spacing w:after="0"/>
              <w:rPr>
                <w:sz w:val="5"/>
                <w:szCs w:val="5"/>
                <w:color w:val="auto"/>
              </w:rPr>
            </w:pPr>
          </w:p>
        </w:tc>
        <w:tc>
          <w:tcPr>
            <w:tcW w:w="740" w:type="dxa"/>
            <w:vAlign w:val="bottom"/>
            <w:shd w:val="clear" w:color="auto" w:fill="808285"/>
          </w:tcPr>
          <w:p>
            <w:pPr>
              <w:spacing w:after="0"/>
              <w:rPr>
                <w:sz w:val="5"/>
                <w:szCs w:val="5"/>
                <w:color w:val="auto"/>
              </w:rPr>
            </w:pPr>
          </w:p>
        </w:tc>
        <w:tc>
          <w:tcPr>
            <w:tcW w:w="580" w:type="dxa"/>
            <w:vAlign w:val="bottom"/>
            <w:shd w:val="clear" w:color="auto" w:fill="808285"/>
          </w:tcPr>
          <w:p>
            <w:pPr>
              <w:spacing w:after="0"/>
              <w:rPr>
                <w:sz w:val="5"/>
                <w:szCs w:val="5"/>
                <w:color w:val="auto"/>
              </w:rPr>
            </w:pPr>
          </w:p>
        </w:tc>
        <w:tc>
          <w:tcPr>
            <w:tcW w:w="26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c>
          <w:tcPr>
            <w:tcW w:w="760" w:type="dxa"/>
            <w:vAlign w:val="bottom"/>
            <w:shd w:val="clear" w:color="auto" w:fill="808285"/>
          </w:tcPr>
          <w:p>
            <w:pPr>
              <w:spacing w:after="0"/>
              <w:rPr>
                <w:sz w:val="5"/>
                <w:szCs w:val="5"/>
                <w:color w:val="auto"/>
              </w:rPr>
            </w:pPr>
          </w:p>
        </w:tc>
      </w:tr>
      <w:tr>
        <w:trPr>
          <w:trHeight w:val="220"/>
        </w:trPr>
        <w:tc>
          <w:tcPr>
            <w:tcW w:w="3180" w:type="dxa"/>
            <w:vAlign w:val="bottom"/>
            <w:shd w:val="clear" w:color="auto" w:fill="E9E9E9"/>
          </w:tcPr>
          <w:p>
            <w:pPr>
              <w:spacing w:after="0"/>
              <w:rPr>
                <w:sz w:val="20"/>
                <w:szCs w:val="20"/>
                <w:color w:val="auto"/>
              </w:rPr>
            </w:pPr>
            <w:r>
              <w:rPr>
                <w:rFonts w:ascii="Arial" w:cs="Arial" w:eastAsia="Arial" w:hAnsi="Arial"/>
                <w:sz w:val="17"/>
                <w:szCs w:val="17"/>
                <w:color w:val="auto"/>
              </w:rPr>
              <w:t>R. K. Templeton (1)</w:t>
            </w:r>
          </w:p>
        </w:tc>
        <w:tc>
          <w:tcPr>
            <w:tcW w:w="5040" w:type="dxa"/>
            <w:vAlign w:val="bottom"/>
            <w:shd w:val="clear" w:color="auto" w:fill="E9E9E9"/>
          </w:tcPr>
          <w:p>
            <w:pPr>
              <w:ind w:left="1720"/>
              <w:spacing w:after="0"/>
              <w:rPr>
                <w:sz w:val="20"/>
                <w:szCs w:val="20"/>
                <w:color w:val="auto"/>
              </w:rPr>
            </w:pPr>
            <w:r>
              <w:rPr>
                <w:rFonts w:ascii="Arial" w:cs="Arial" w:eastAsia="Arial" w:hAnsi="Arial"/>
                <w:sz w:val="17"/>
                <w:szCs w:val="17"/>
                <w:color w:val="auto"/>
              </w:rPr>
              <w:t>TI Employees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w:t>
            </w:r>
          </w:p>
        </w:tc>
        <w:tc>
          <w:tcPr>
            <w:tcW w:w="5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w:t>
            </w:r>
          </w:p>
        </w:tc>
        <w:tc>
          <w:tcPr>
            <w:tcW w:w="2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412,487</w:t>
            </w:r>
          </w:p>
        </w:tc>
        <w:tc>
          <w:tcPr>
            <w:tcW w:w="760" w:type="dxa"/>
            <w:vAlign w:val="bottom"/>
            <w:shd w:val="clear" w:color="auto" w:fill="E9E9E9"/>
          </w:tcPr>
          <w:p>
            <w:pPr>
              <w:jc w:val="center"/>
              <w:ind w:left="61"/>
              <w:spacing w:after="0"/>
              <w:rPr>
                <w:sz w:val="20"/>
                <w:szCs w:val="20"/>
                <w:color w:val="auto"/>
              </w:rPr>
            </w:pPr>
            <w:r>
              <w:rPr>
                <w:rFonts w:ascii="Arial" w:cs="Arial" w:eastAsia="Arial" w:hAnsi="Arial"/>
                <w:sz w:val="17"/>
                <w:szCs w:val="17"/>
                <w:color w:val="auto"/>
              </w:rPr>
              <w:t>—</w:t>
            </w:r>
          </w:p>
        </w:tc>
      </w:tr>
      <w:tr>
        <w:trPr>
          <w:trHeight w:val="252"/>
        </w:trPr>
        <w:tc>
          <w:tcPr>
            <w:tcW w:w="3180" w:type="dxa"/>
            <w:vAlign w:val="bottom"/>
            <w:shd w:val="clear" w:color="auto" w:fill="E9E9E9"/>
          </w:tcPr>
          <w:p>
            <w:pPr>
              <w:spacing w:after="0"/>
              <w:rPr>
                <w:sz w:val="21"/>
                <w:szCs w:val="21"/>
                <w:color w:val="auto"/>
              </w:rPr>
            </w:pPr>
          </w:p>
        </w:tc>
        <w:tc>
          <w:tcPr>
            <w:tcW w:w="5040" w:type="dxa"/>
            <w:vAlign w:val="bottom"/>
            <w:shd w:val="clear" w:color="auto" w:fill="E9E9E9"/>
          </w:tcPr>
          <w:p>
            <w:pPr>
              <w:ind w:left="1720"/>
              <w:spacing w:after="0"/>
              <w:rPr>
                <w:sz w:val="20"/>
                <w:szCs w:val="20"/>
                <w:color w:val="auto"/>
              </w:rPr>
            </w:pPr>
            <w:r>
              <w:rPr>
                <w:rFonts w:ascii="Arial" w:cs="Arial" w:eastAsia="Arial" w:hAnsi="Arial"/>
                <w:sz w:val="17"/>
                <w:szCs w:val="17"/>
                <w:color w:val="auto"/>
              </w:rPr>
              <w:t>TI Employees Non-Qualified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w:t>
            </w:r>
          </w:p>
        </w:tc>
        <w:tc>
          <w:tcPr>
            <w:tcW w:w="5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w:t>
            </w:r>
          </w:p>
        </w:tc>
        <w:tc>
          <w:tcPr>
            <w:tcW w:w="2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302,453</w:t>
            </w:r>
          </w:p>
        </w:tc>
        <w:tc>
          <w:tcPr>
            <w:tcW w:w="760" w:type="dxa"/>
            <w:vAlign w:val="bottom"/>
            <w:shd w:val="clear" w:color="auto" w:fill="E9E9E9"/>
          </w:tcPr>
          <w:p>
            <w:pPr>
              <w:jc w:val="center"/>
              <w:ind w:left="61"/>
              <w:spacing w:after="0"/>
              <w:rPr>
                <w:sz w:val="20"/>
                <w:szCs w:val="20"/>
                <w:color w:val="auto"/>
              </w:rPr>
            </w:pPr>
            <w:r>
              <w:rPr>
                <w:rFonts w:ascii="Arial" w:cs="Arial" w:eastAsia="Arial" w:hAnsi="Arial"/>
                <w:sz w:val="17"/>
                <w:szCs w:val="17"/>
                <w:color w:val="auto"/>
              </w:rPr>
              <w:t>—</w:t>
            </w:r>
          </w:p>
        </w:tc>
      </w:tr>
      <w:tr>
        <w:trPr>
          <w:trHeight w:val="220"/>
        </w:trPr>
        <w:tc>
          <w:tcPr>
            <w:tcW w:w="3180" w:type="dxa"/>
            <w:vAlign w:val="bottom"/>
          </w:tcPr>
          <w:p>
            <w:pPr>
              <w:spacing w:after="0"/>
              <w:rPr>
                <w:sz w:val="20"/>
                <w:szCs w:val="20"/>
                <w:color w:val="auto"/>
              </w:rPr>
            </w:pPr>
            <w:r>
              <w:rPr>
                <w:rFonts w:ascii="Arial" w:cs="Arial" w:eastAsia="Arial" w:hAnsi="Arial"/>
                <w:sz w:val="17"/>
                <w:szCs w:val="17"/>
                <w:color w:val="auto"/>
              </w:rPr>
              <w:t>K. P. March</w:t>
            </w:r>
          </w:p>
        </w:tc>
        <w:tc>
          <w:tcPr>
            <w:tcW w:w="5040" w:type="dxa"/>
            <w:vAlign w:val="bottom"/>
          </w:tcPr>
          <w:p>
            <w:pPr>
              <w:ind w:left="1720"/>
              <w:spacing w:after="0"/>
              <w:rPr>
                <w:sz w:val="20"/>
                <w:szCs w:val="20"/>
                <w:color w:val="auto"/>
              </w:rPr>
            </w:pPr>
            <w:r>
              <w:rPr>
                <w:rFonts w:ascii="Arial" w:cs="Arial" w:eastAsia="Arial" w:hAnsi="Arial"/>
                <w:sz w:val="17"/>
                <w:szCs w:val="17"/>
                <w:color w:val="auto"/>
              </w:rPr>
              <w:t>TI Employees Pension Plan</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(2)</w:t>
            </w:r>
          </w:p>
        </w:tc>
        <w:tc>
          <w:tcPr>
            <w:tcW w:w="260" w:type="dxa"/>
            <w:vAlign w:val="bottom"/>
          </w:tcPr>
          <w:p>
            <w:pPr>
              <w:ind w:lef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449,068</w:t>
            </w:r>
          </w:p>
        </w:tc>
        <w:tc>
          <w:tcPr>
            <w:tcW w:w="760" w:type="dxa"/>
            <w:vAlign w:val="bottom"/>
          </w:tcPr>
          <w:p>
            <w:pPr>
              <w:jc w:val="center"/>
              <w:ind w:left="61"/>
              <w:spacing w:after="0"/>
              <w:rPr>
                <w:sz w:val="20"/>
                <w:szCs w:val="20"/>
                <w:color w:val="auto"/>
              </w:rPr>
            </w:pPr>
            <w:r>
              <w:rPr>
                <w:rFonts w:ascii="Arial" w:cs="Arial" w:eastAsia="Arial" w:hAnsi="Arial"/>
                <w:sz w:val="17"/>
                <w:szCs w:val="17"/>
                <w:color w:val="auto"/>
              </w:rPr>
              <w:t>—</w:t>
            </w:r>
          </w:p>
        </w:tc>
      </w:tr>
      <w:tr>
        <w:trPr>
          <w:trHeight w:val="236"/>
        </w:trPr>
        <w:tc>
          <w:tcPr>
            <w:tcW w:w="3180" w:type="dxa"/>
            <w:vAlign w:val="bottom"/>
          </w:tcPr>
          <w:p>
            <w:pPr>
              <w:spacing w:after="0"/>
              <w:rPr>
                <w:sz w:val="20"/>
                <w:szCs w:val="20"/>
                <w:color w:val="auto"/>
              </w:rPr>
            </w:pPr>
          </w:p>
        </w:tc>
        <w:tc>
          <w:tcPr>
            <w:tcW w:w="5040" w:type="dxa"/>
            <w:vAlign w:val="bottom"/>
          </w:tcPr>
          <w:p>
            <w:pPr>
              <w:ind w:left="1720"/>
              <w:spacing w:after="0"/>
              <w:rPr>
                <w:sz w:val="20"/>
                <w:szCs w:val="20"/>
                <w:color w:val="auto"/>
              </w:rPr>
            </w:pPr>
            <w:r>
              <w:rPr>
                <w:rFonts w:ascii="Arial" w:cs="Arial" w:eastAsia="Arial" w:hAnsi="Arial"/>
                <w:sz w:val="17"/>
                <w:szCs w:val="17"/>
                <w:color w:val="auto"/>
              </w:rPr>
              <w:t>TI Employees Non-Qualified Pension Plan</w:t>
            </w:r>
          </w:p>
        </w:tc>
        <w:tc>
          <w:tcPr>
            <w:tcW w:w="740" w:type="dxa"/>
            <w:vAlign w:val="bottom"/>
          </w:tcPr>
          <w:p>
            <w:pPr>
              <w:jc w:val="right"/>
              <w:spacing w:after="0"/>
              <w:rPr>
                <w:sz w:val="20"/>
                <w:szCs w:val="20"/>
                <w:color w:val="auto"/>
              </w:rPr>
            </w:pPr>
            <w:r>
              <w:rPr>
                <w:rFonts w:ascii="Arial" w:cs="Arial" w:eastAsia="Arial" w:hAnsi="Arial"/>
                <w:sz w:val="17"/>
                <w:szCs w:val="17"/>
                <w:color w:val="auto"/>
              </w:rPr>
              <w:t>19</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(3)</w:t>
            </w:r>
          </w:p>
        </w:tc>
        <w:tc>
          <w:tcPr>
            <w:tcW w:w="260" w:type="dxa"/>
            <w:vAlign w:val="bottom"/>
          </w:tcPr>
          <w:p>
            <w:pPr>
              <w:ind w:lef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182,726</w:t>
            </w:r>
          </w:p>
        </w:tc>
        <w:tc>
          <w:tcPr>
            <w:tcW w:w="760" w:type="dxa"/>
            <w:vAlign w:val="bottom"/>
          </w:tcPr>
          <w:p>
            <w:pPr>
              <w:jc w:val="center"/>
              <w:ind w:left="61"/>
              <w:spacing w:after="0"/>
              <w:rPr>
                <w:sz w:val="20"/>
                <w:szCs w:val="20"/>
                <w:color w:val="auto"/>
              </w:rPr>
            </w:pPr>
            <w:r>
              <w:rPr>
                <w:rFonts w:ascii="Arial" w:cs="Arial" w:eastAsia="Arial" w:hAnsi="Arial"/>
                <w:sz w:val="17"/>
                <w:szCs w:val="17"/>
                <w:color w:val="auto"/>
              </w:rPr>
              <w:t>—</w:t>
            </w:r>
          </w:p>
        </w:tc>
      </w:tr>
      <w:tr>
        <w:trPr>
          <w:trHeight w:val="244"/>
        </w:trPr>
        <w:tc>
          <w:tcPr>
            <w:tcW w:w="3180" w:type="dxa"/>
            <w:vAlign w:val="bottom"/>
          </w:tcPr>
          <w:p>
            <w:pPr>
              <w:spacing w:after="0"/>
              <w:rPr>
                <w:sz w:val="21"/>
                <w:szCs w:val="21"/>
                <w:color w:val="auto"/>
              </w:rPr>
            </w:pPr>
          </w:p>
        </w:tc>
        <w:tc>
          <w:tcPr>
            <w:tcW w:w="5040" w:type="dxa"/>
            <w:vAlign w:val="bottom"/>
          </w:tcPr>
          <w:p>
            <w:pPr>
              <w:ind w:left="1720"/>
              <w:spacing w:after="0"/>
              <w:rPr>
                <w:sz w:val="20"/>
                <w:szCs w:val="20"/>
                <w:color w:val="auto"/>
              </w:rPr>
            </w:pPr>
            <w:r>
              <w:rPr>
                <w:rFonts w:ascii="Arial" w:cs="Arial" w:eastAsia="Arial" w:hAnsi="Arial"/>
                <w:sz w:val="17"/>
                <w:szCs w:val="17"/>
                <w:color w:val="auto"/>
                <w:w w:val="99"/>
              </w:rPr>
              <w:t>TI Employees Non-Qualified Pension Plan II</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(4)</w:t>
            </w:r>
          </w:p>
        </w:tc>
        <w:tc>
          <w:tcPr>
            <w:tcW w:w="1120" w:type="dxa"/>
            <w:vAlign w:val="bottom"/>
            <w:gridSpan w:val="2"/>
          </w:tcPr>
          <w:p>
            <w:pPr>
              <w:jc w:val="right"/>
              <w:ind w:right="38"/>
              <w:spacing w:after="0"/>
              <w:rPr>
                <w:sz w:val="20"/>
                <w:szCs w:val="20"/>
                <w:color w:val="auto"/>
              </w:rPr>
            </w:pPr>
            <w:r>
              <w:rPr>
                <w:rFonts w:ascii="Arial" w:cs="Arial" w:eastAsia="Arial" w:hAnsi="Arial"/>
                <w:sz w:val="17"/>
                <w:szCs w:val="17"/>
                <w:color w:val="auto"/>
              </w:rPr>
              <w:t>$1,635,961</w:t>
            </w:r>
          </w:p>
        </w:tc>
        <w:tc>
          <w:tcPr>
            <w:tcW w:w="760" w:type="dxa"/>
            <w:vAlign w:val="bottom"/>
          </w:tcPr>
          <w:p>
            <w:pPr>
              <w:jc w:val="center"/>
              <w:ind w:left="61"/>
              <w:spacing w:after="0"/>
              <w:rPr>
                <w:sz w:val="20"/>
                <w:szCs w:val="20"/>
                <w:color w:val="auto"/>
              </w:rPr>
            </w:pPr>
            <w:r>
              <w:rPr>
                <w:rFonts w:ascii="Arial" w:cs="Arial" w:eastAsia="Arial" w:hAnsi="Arial"/>
                <w:sz w:val="17"/>
                <w:szCs w:val="17"/>
                <w:color w:val="auto"/>
              </w:rPr>
              <w:t>—</w:t>
            </w:r>
          </w:p>
        </w:tc>
      </w:tr>
      <w:tr>
        <w:trPr>
          <w:trHeight w:val="228"/>
        </w:trPr>
        <w:tc>
          <w:tcPr>
            <w:tcW w:w="318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5040" w:type="dxa"/>
            <w:vAlign w:val="bottom"/>
            <w:shd w:val="clear" w:color="auto" w:fill="E9E9E9"/>
          </w:tcPr>
          <w:p>
            <w:pPr>
              <w:ind w:left="1720"/>
              <w:spacing w:after="0"/>
              <w:rPr>
                <w:sz w:val="20"/>
                <w:szCs w:val="20"/>
                <w:color w:val="auto"/>
              </w:rPr>
            </w:pPr>
            <w:r>
              <w:rPr>
                <w:rFonts w:ascii="Arial" w:cs="Arial" w:eastAsia="Arial" w:hAnsi="Arial"/>
                <w:sz w:val="17"/>
                <w:szCs w:val="17"/>
                <w:color w:val="auto"/>
              </w:rPr>
              <w:t>TI Employees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w:t>
            </w:r>
          </w:p>
        </w:tc>
        <w:tc>
          <w:tcPr>
            <w:tcW w:w="5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w:t>
            </w:r>
          </w:p>
        </w:tc>
        <w:tc>
          <w:tcPr>
            <w:tcW w:w="2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450,687</w:t>
            </w:r>
          </w:p>
        </w:tc>
        <w:tc>
          <w:tcPr>
            <w:tcW w:w="760" w:type="dxa"/>
            <w:vAlign w:val="bottom"/>
            <w:shd w:val="clear" w:color="auto" w:fill="E9E9E9"/>
          </w:tcPr>
          <w:p>
            <w:pPr>
              <w:jc w:val="center"/>
              <w:ind w:left="61"/>
              <w:spacing w:after="0"/>
              <w:rPr>
                <w:sz w:val="20"/>
                <w:szCs w:val="20"/>
                <w:color w:val="auto"/>
              </w:rPr>
            </w:pPr>
            <w:r>
              <w:rPr>
                <w:rFonts w:ascii="Arial" w:cs="Arial" w:eastAsia="Arial" w:hAnsi="Arial"/>
                <w:sz w:val="17"/>
                <w:szCs w:val="17"/>
                <w:color w:val="auto"/>
              </w:rPr>
              <w:t>—</w:t>
            </w:r>
          </w:p>
        </w:tc>
      </w:tr>
      <w:tr>
        <w:trPr>
          <w:trHeight w:val="236"/>
        </w:trPr>
        <w:tc>
          <w:tcPr>
            <w:tcW w:w="3180" w:type="dxa"/>
            <w:vAlign w:val="bottom"/>
            <w:shd w:val="clear" w:color="auto" w:fill="E9E9E9"/>
          </w:tcPr>
          <w:p>
            <w:pPr>
              <w:spacing w:after="0"/>
              <w:rPr>
                <w:sz w:val="20"/>
                <w:szCs w:val="20"/>
                <w:color w:val="auto"/>
              </w:rPr>
            </w:pPr>
          </w:p>
        </w:tc>
        <w:tc>
          <w:tcPr>
            <w:tcW w:w="5040" w:type="dxa"/>
            <w:vAlign w:val="bottom"/>
            <w:shd w:val="clear" w:color="auto" w:fill="E9E9E9"/>
          </w:tcPr>
          <w:p>
            <w:pPr>
              <w:ind w:left="1720"/>
              <w:spacing w:after="0"/>
              <w:rPr>
                <w:sz w:val="20"/>
                <w:szCs w:val="20"/>
                <w:color w:val="auto"/>
              </w:rPr>
            </w:pPr>
            <w:r>
              <w:rPr>
                <w:rFonts w:ascii="Arial" w:cs="Arial" w:eastAsia="Arial" w:hAnsi="Arial"/>
                <w:sz w:val="17"/>
                <w:szCs w:val="17"/>
                <w:color w:val="auto"/>
              </w:rPr>
              <w:t>TI Employees Non-Qualified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19</w:t>
            </w:r>
          </w:p>
        </w:tc>
        <w:tc>
          <w:tcPr>
            <w:tcW w:w="5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(3)</w:t>
            </w:r>
          </w:p>
        </w:tc>
        <w:tc>
          <w:tcPr>
            <w:tcW w:w="2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267,903</w:t>
            </w:r>
          </w:p>
        </w:tc>
        <w:tc>
          <w:tcPr>
            <w:tcW w:w="760" w:type="dxa"/>
            <w:vAlign w:val="bottom"/>
            <w:shd w:val="clear" w:color="auto" w:fill="E9E9E9"/>
          </w:tcPr>
          <w:p>
            <w:pPr>
              <w:jc w:val="center"/>
              <w:ind w:left="61"/>
              <w:spacing w:after="0"/>
              <w:rPr>
                <w:sz w:val="20"/>
                <w:szCs w:val="20"/>
                <w:color w:val="auto"/>
              </w:rPr>
            </w:pPr>
            <w:r>
              <w:rPr>
                <w:rFonts w:ascii="Arial" w:cs="Arial" w:eastAsia="Arial" w:hAnsi="Arial"/>
                <w:sz w:val="17"/>
                <w:szCs w:val="17"/>
                <w:color w:val="auto"/>
              </w:rPr>
              <w:t>—</w:t>
            </w:r>
          </w:p>
        </w:tc>
      </w:tr>
      <w:tr>
        <w:trPr>
          <w:trHeight w:val="252"/>
        </w:trPr>
        <w:tc>
          <w:tcPr>
            <w:tcW w:w="3180" w:type="dxa"/>
            <w:vAlign w:val="bottom"/>
            <w:shd w:val="clear" w:color="auto" w:fill="E9E9E9"/>
          </w:tcPr>
          <w:p>
            <w:pPr>
              <w:spacing w:after="0"/>
              <w:rPr>
                <w:sz w:val="21"/>
                <w:szCs w:val="21"/>
                <w:color w:val="auto"/>
              </w:rPr>
            </w:pPr>
          </w:p>
        </w:tc>
        <w:tc>
          <w:tcPr>
            <w:tcW w:w="5040" w:type="dxa"/>
            <w:vAlign w:val="bottom"/>
            <w:shd w:val="clear" w:color="auto" w:fill="E9E9E9"/>
          </w:tcPr>
          <w:p>
            <w:pPr>
              <w:ind w:left="1720"/>
              <w:spacing w:after="0"/>
              <w:rPr>
                <w:sz w:val="20"/>
                <w:szCs w:val="20"/>
                <w:color w:val="auto"/>
              </w:rPr>
            </w:pPr>
            <w:r>
              <w:rPr>
                <w:rFonts w:ascii="Arial" w:cs="Arial" w:eastAsia="Arial" w:hAnsi="Arial"/>
                <w:sz w:val="17"/>
                <w:szCs w:val="17"/>
                <w:color w:val="auto"/>
                <w:w w:val="99"/>
              </w:rPr>
              <w:t>TI Employees Non-Qualified Pension Plan II</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w:t>
            </w:r>
          </w:p>
        </w:tc>
        <w:tc>
          <w:tcPr>
            <w:tcW w:w="5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(4)</w:t>
            </w:r>
          </w:p>
        </w:tc>
        <w:tc>
          <w:tcPr>
            <w:tcW w:w="1120" w:type="dxa"/>
            <w:vAlign w:val="bottom"/>
            <w:gridSpan w:val="2"/>
            <w:shd w:val="clear" w:color="auto" w:fill="E9E9E9"/>
          </w:tcPr>
          <w:p>
            <w:pPr>
              <w:jc w:val="right"/>
              <w:ind w:right="38"/>
              <w:spacing w:after="0"/>
              <w:rPr>
                <w:sz w:val="20"/>
                <w:szCs w:val="20"/>
                <w:color w:val="auto"/>
              </w:rPr>
            </w:pPr>
            <w:r>
              <w:rPr>
                <w:rFonts w:ascii="Arial" w:cs="Arial" w:eastAsia="Arial" w:hAnsi="Arial"/>
                <w:sz w:val="17"/>
                <w:szCs w:val="17"/>
                <w:color w:val="auto"/>
              </w:rPr>
              <w:t>$1,774,103</w:t>
            </w:r>
          </w:p>
        </w:tc>
        <w:tc>
          <w:tcPr>
            <w:tcW w:w="760" w:type="dxa"/>
            <w:vAlign w:val="bottom"/>
            <w:shd w:val="clear" w:color="auto" w:fill="E9E9E9"/>
          </w:tcPr>
          <w:p>
            <w:pPr>
              <w:jc w:val="center"/>
              <w:ind w:left="61"/>
              <w:spacing w:after="0"/>
              <w:rPr>
                <w:sz w:val="20"/>
                <w:szCs w:val="20"/>
                <w:color w:val="auto"/>
              </w:rPr>
            </w:pPr>
            <w:r>
              <w:rPr>
                <w:rFonts w:ascii="Arial" w:cs="Arial" w:eastAsia="Arial" w:hAnsi="Arial"/>
                <w:sz w:val="17"/>
                <w:szCs w:val="17"/>
                <w:color w:val="auto"/>
              </w:rPr>
              <w:t>—</w:t>
            </w:r>
          </w:p>
        </w:tc>
      </w:tr>
      <w:tr>
        <w:trPr>
          <w:trHeight w:val="228"/>
        </w:trPr>
        <w:tc>
          <w:tcPr>
            <w:tcW w:w="3180" w:type="dxa"/>
            <w:vAlign w:val="bottom"/>
          </w:tcPr>
          <w:p>
            <w:pPr>
              <w:spacing w:after="0"/>
              <w:rPr>
                <w:sz w:val="20"/>
                <w:szCs w:val="20"/>
                <w:color w:val="auto"/>
              </w:rPr>
            </w:pPr>
            <w:r>
              <w:rPr>
                <w:rFonts w:ascii="Arial" w:cs="Arial" w:eastAsia="Arial" w:hAnsi="Arial"/>
                <w:sz w:val="17"/>
                <w:szCs w:val="17"/>
                <w:color w:val="auto"/>
              </w:rPr>
              <w:t>B. T. Crutcher (1)</w:t>
            </w:r>
          </w:p>
        </w:tc>
        <w:tc>
          <w:tcPr>
            <w:tcW w:w="5040" w:type="dxa"/>
            <w:vAlign w:val="bottom"/>
          </w:tcPr>
          <w:p>
            <w:pPr>
              <w:ind w:left="1720"/>
              <w:spacing w:after="0"/>
              <w:rPr>
                <w:sz w:val="20"/>
                <w:szCs w:val="20"/>
                <w:color w:val="auto"/>
              </w:rPr>
            </w:pPr>
            <w:r>
              <w:rPr>
                <w:rFonts w:ascii="Arial" w:cs="Arial" w:eastAsia="Arial" w:hAnsi="Arial"/>
                <w:sz w:val="17"/>
                <w:szCs w:val="17"/>
                <w:color w:val="auto"/>
              </w:rPr>
              <w:t>TI Employees Pension Plan</w:t>
            </w:r>
          </w:p>
        </w:tc>
        <w:tc>
          <w:tcPr>
            <w:tcW w:w="740" w:type="dxa"/>
            <w:vAlign w:val="bottom"/>
          </w:tcPr>
          <w:p>
            <w:pPr>
              <w:jc w:val="right"/>
              <w:spacing w:after="0"/>
              <w:rPr>
                <w:sz w:val="20"/>
                <w:szCs w:val="20"/>
                <w:color w:val="auto"/>
              </w:rPr>
            </w:pPr>
            <w:r>
              <w:rPr>
                <w:rFonts w:ascii="Arial" w:cs="Arial" w:eastAsia="Arial" w:hAnsi="Arial"/>
                <w:sz w:val="17"/>
                <w:szCs w:val="17"/>
                <w:color w:val="auto"/>
              </w:rPr>
              <w:t>0.9</w:t>
            </w:r>
          </w:p>
        </w:tc>
        <w:tc>
          <w:tcPr>
            <w:tcW w:w="580" w:type="dxa"/>
            <w:vAlign w:val="bottom"/>
          </w:tcPr>
          <w:p>
            <w:pPr>
              <w:jc w:val="right"/>
              <w:ind w:right="255"/>
              <w:spacing w:after="0"/>
              <w:rPr>
                <w:sz w:val="20"/>
                <w:szCs w:val="20"/>
                <w:color w:val="auto"/>
              </w:rPr>
            </w:pPr>
            <w:r>
              <w:rPr>
                <w:rFonts w:ascii="Arial" w:cs="Arial" w:eastAsia="Arial" w:hAnsi="Arial"/>
                <w:sz w:val="17"/>
                <w:szCs w:val="17"/>
                <w:color w:val="auto"/>
              </w:rPr>
              <w:t>(2)</w:t>
            </w:r>
          </w:p>
        </w:tc>
        <w:tc>
          <w:tcPr>
            <w:tcW w:w="260" w:type="dxa"/>
            <w:vAlign w:val="bottom"/>
          </w:tcPr>
          <w:p>
            <w:pPr>
              <w:ind w:lef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8"/>
              <w:spacing w:after="0"/>
              <w:rPr>
                <w:sz w:val="20"/>
                <w:szCs w:val="20"/>
                <w:color w:val="auto"/>
              </w:rPr>
            </w:pPr>
            <w:r>
              <w:rPr>
                <w:rFonts w:ascii="Arial" w:cs="Arial" w:eastAsia="Arial" w:hAnsi="Arial"/>
                <w:sz w:val="17"/>
                <w:szCs w:val="17"/>
                <w:color w:val="auto"/>
              </w:rPr>
              <w:t>2,233</w:t>
            </w:r>
          </w:p>
        </w:tc>
        <w:tc>
          <w:tcPr>
            <w:tcW w:w="760" w:type="dxa"/>
            <w:vAlign w:val="bottom"/>
          </w:tcPr>
          <w:p>
            <w:pPr>
              <w:jc w:val="center"/>
              <w:ind w:left="61"/>
              <w:spacing w:after="0"/>
              <w:rPr>
                <w:sz w:val="20"/>
                <w:szCs w:val="20"/>
                <w:color w:val="auto"/>
              </w:rPr>
            </w:pPr>
            <w:r>
              <w:rPr>
                <w:rFonts w:ascii="Arial" w:cs="Arial" w:eastAsia="Arial" w:hAnsi="Arial"/>
                <w:sz w:val="17"/>
                <w:szCs w:val="17"/>
                <w:color w:val="auto"/>
              </w:rPr>
              <w:t>—</w:t>
            </w:r>
          </w:p>
        </w:tc>
      </w:tr>
      <w:tr>
        <w:trPr>
          <w:trHeight w:val="228"/>
        </w:trPr>
        <w:tc>
          <w:tcPr>
            <w:tcW w:w="318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5040" w:type="dxa"/>
            <w:vAlign w:val="bottom"/>
            <w:shd w:val="clear" w:color="auto" w:fill="E9E9E9"/>
          </w:tcPr>
          <w:p>
            <w:pPr>
              <w:ind w:left="1720"/>
              <w:spacing w:after="0"/>
              <w:rPr>
                <w:sz w:val="20"/>
                <w:szCs w:val="20"/>
                <w:color w:val="auto"/>
              </w:rPr>
            </w:pPr>
            <w:r>
              <w:rPr>
                <w:rFonts w:ascii="Arial" w:cs="Arial" w:eastAsia="Arial" w:hAnsi="Arial"/>
                <w:sz w:val="17"/>
                <w:szCs w:val="17"/>
                <w:color w:val="auto"/>
              </w:rPr>
              <w:t>TI Employees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31</w:t>
            </w:r>
          </w:p>
        </w:tc>
        <w:tc>
          <w:tcPr>
            <w:tcW w:w="5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(2)</w:t>
            </w:r>
          </w:p>
        </w:tc>
        <w:tc>
          <w:tcPr>
            <w:tcW w:w="2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760,294</w:t>
            </w:r>
          </w:p>
        </w:tc>
        <w:tc>
          <w:tcPr>
            <w:tcW w:w="760" w:type="dxa"/>
            <w:vAlign w:val="bottom"/>
            <w:shd w:val="clear" w:color="auto" w:fill="E9E9E9"/>
          </w:tcPr>
          <w:p>
            <w:pPr>
              <w:jc w:val="center"/>
              <w:ind w:left="61"/>
              <w:spacing w:after="0"/>
              <w:rPr>
                <w:sz w:val="20"/>
                <w:szCs w:val="20"/>
                <w:color w:val="auto"/>
              </w:rPr>
            </w:pPr>
            <w:r>
              <w:rPr>
                <w:rFonts w:ascii="Arial" w:cs="Arial" w:eastAsia="Arial" w:hAnsi="Arial"/>
                <w:sz w:val="17"/>
                <w:szCs w:val="17"/>
                <w:color w:val="auto"/>
              </w:rPr>
              <w:t>—</w:t>
            </w:r>
          </w:p>
        </w:tc>
      </w:tr>
      <w:tr>
        <w:trPr>
          <w:trHeight w:val="236"/>
        </w:trPr>
        <w:tc>
          <w:tcPr>
            <w:tcW w:w="3180" w:type="dxa"/>
            <w:vAlign w:val="bottom"/>
            <w:shd w:val="clear" w:color="auto" w:fill="E9E9E9"/>
          </w:tcPr>
          <w:p>
            <w:pPr>
              <w:spacing w:after="0"/>
              <w:rPr>
                <w:sz w:val="20"/>
                <w:szCs w:val="20"/>
                <w:color w:val="auto"/>
              </w:rPr>
            </w:pPr>
          </w:p>
        </w:tc>
        <w:tc>
          <w:tcPr>
            <w:tcW w:w="5040" w:type="dxa"/>
            <w:vAlign w:val="bottom"/>
            <w:shd w:val="clear" w:color="auto" w:fill="E9E9E9"/>
          </w:tcPr>
          <w:p>
            <w:pPr>
              <w:ind w:left="1720"/>
              <w:spacing w:after="0"/>
              <w:rPr>
                <w:sz w:val="20"/>
                <w:szCs w:val="20"/>
                <w:color w:val="auto"/>
              </w:rPr>
            </w:pPr>
            <w:r>
              <w:rPr>
                <w:rFonts w:ascii="Arial" w:cs="Arial" w:eastAsia="Arial" w:hAnsi="Arial"/>
                <w:sz w:val="17"/>
                <w:szCs w:val="17"/>
                <w:color w:val="auto"/>
              </w:rPr>
              <w:t>TI Employees Non-Qualified Pension Plan</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25</w:t>
            </w:r>
          </w:p>
        </w:tc>
        <w:tc>
          <w:tcPr>
            <w:tcW w:w="5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(3)</w:t>
            </w:r>
          </w:p>
        </w:tc>
        <w:tc>
          <w:tcPr>
            <w:tcW w:w="260" w:type="dxa"/>
            <w:vAlign w:val="bottom"/>
            <w:shd w:val="clear" w:color="auto" w:fill="E9E9E9"/>
          </w:tcPr>
          <w:p>
            <w:pPr>
              <w:ind w:lef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38"/>
              <w:spacing w:after="0"/>
              <w:rPr>
                <w:sz w:val="20"/>
                <w:szCs w:val="20"/>
                <w:color w:val="auto"/>
              </w:rPr>
            </w:pPr>
            <w:r>
              <w:rPr>
                <w:rFonts w:ascii="Arial" w:cs="Arial" w:eastAsia="Arial" w:hAnsi="Arial"/>
                <w:sz w:val="17"/>
                <w:szCs w:val="17"/>
                <w:color w:val="auto"/>
              </w:rPr>
              <w:t>522,482</w:t>
            </w:r>
          </w:p>
        </w:tc>
        <w:tc>
          <w:tcPr>
            <w:tcW w:w="760" w:type="dxa"/>
            <w:vAlign w:val="bottom"/>
            <w:shd w:val="clear" w:color="auto" w:fill="E9E9E9"/>
          </w:tcPr>
          <w:p>
            <w:pPr>
              <w:jc w:val="center"/>
              <w:ind w:left="61"/>
              <w:spacing w:after="0"/>
              <w:rPr>
                <w:sz w:val="20"/>
                <w:szCs w:val="20"/>
                <w:color w:val="auto"/>
              </w:rPr>
            </w:pPr>
            <w:r>
              <w:rPr>
                <w:rFonts w:ascii="Arial" w:cs="Arial" w:eastAsia="Arial" w:hAnsi="Arial"/>
                <w:sz w:val="17"/>
                <w:szCs w:val="17"/>
                <w:color w:val="auto"/>
              </w:rPr>
              <w:t>—</w:t>
            </w:r>
          </w:p>
        </w:tc>
      </w:tr>
      <w:tr>
        <w:trPr>
          <w:trHeight w:val="252"/>
        </w:trPr>
        <w:tc>
          <w:tcPr>
            <w:tcW w:w="3180" w:type="dxa"/>
            <w:vAlign w:val="bottom"/>
            <w:shd w:val="clear" w:color="auto" w:fill="E9E9E9"/>
          </w:tcPr>
          <w:p>
            <w:pPr>
              <w:spacing w:after="0"/>
              <w:rPr>
                <w:sz w:val="21"/>
                <w:szCs w:val="21"/>
                <w:color w:val="auto"/>
              </w:rPr>
            </w:pPr>
          </w:p>
        </w:tc>
        <w:tc>
          <w:tcPr>
            <w:tcW w:w="5040" w:type="dxa"/>
            <w:vAlign w:val="bottom"/>
            <w:shd w:val="clear" w:color="auto" w:fill="E9E9E9"/>
          </w:tcPr>
          <w:p>
            <w:pPr>
              <w:ind w:left="1720"/>
              <w:spacing w:after="0"/>
              <w:rPr>
                <w:sz w:val="20"/>
                <w:szCs w:val="20"/>
                <w:color w:val="auto"/>
              </w:rPr>
            </w:pPr>
            <w:r>
              <w:rPr>
                <w:rFonts w:ascii="Arial" w:cs="Arial" w:eastAsia="Arial" w:hAnsi="Arial"/>
                <w:sz w:val="17"/>
                <w:szCs w:val="17"/>
                <w:color w:val="auto"/>
                <w:w w:val="99"/>
              </w:rPr>
              <w:t>TI Employees Non-Qualified Pension Plan II</w:t>
            </w:r>
          </w:p>
        </w:tc>
        <w:tc>
          <w:tcPr>
            <w:tcW w:w="7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31</w:t>
            </w:r>
          </w:p>
        </w:tc>
        <w:tc>
          <w:tcPr>
            <w:tcW w:w="580" w:type="dxa"/>
            <w:vAlign w:val="bottom"/>
            <w:shd w:val="clear" w:color="auto" w:fill="E9E9E9"/>
          </w:tcPr>
          <w:p>
            <w:pPr>
              <w:jc w:val="right"/>
              <w:ind w:right="255"/>
              <w:spacing w:after="0"/>
              <w:rPr>
                <w:sz w:val="20"/>
                <w:szCs w:val="20"/>
                <w:color w:val="auto"/>
              </w:rPr>
            </w:pPr>
            <w:r>
              <w:rPr>
                <w:rFonts w:ascii="Arial" w:cs="Arial" w:eastAsia="Arial" w:hAnsi="Arial"/>
                <w:sz w:val="17"/>
                <w:szCs w:val="17"/>
                <w:color w:val="auto"/>
              </w:rPr>
              <w:t>(4)</w:t>
            </w:r>
          </w:p>
        </w:tc>
        <w:tc>
          <w:tcPr>
            <w:tcW w:w="1120" w:type="dxa"/>
            <w:vAlign w:val="bottom"/>
            <w:gridSpan w:val="2"/>
            <w:shd w:val="clear" w:color="auto" w:fill="E9E9E9"/>
          </w:tcPr>
          <w:p>
            <w:pPr>
              <w:jc w:val="right"/>
              <w:ind w:right="38"/>
              <w:spacing w:after="0"/>
              <w:rPr>
                <w:sz w:val="20"/>
                <w:szCs w:val="20"/>
                <w:color w:val="auto"/>
              </w:rPr>
            </w:pPr>
            <w:r>
              <w:rPr>
                <w:rFonts w:ascii="Arial" w:cs="Arial" w:eastAsia="Arial" w:hAnsi="Arial"/>
                <w:sz w:val="17"/>
                <w:szCs w:val="17"/>
                <w:color w:val="auto"/>
              </w:rPr>
              <w:t>$2,090,437</w:t>
            </w:r>
          </w:p>
        </w:tc>
        <w:tc>
          <w:tcPr>
            <w:tcW w:w="760" w:type="dxa"/>
            <w:vAlign w:val="bottom"/>
            <w:shd w:val="clear" w:color="auto" w:fill="E9E9E9"/>
          </w:tcPr>
          <w:p>
            <w:pPr>
              <w:jc w:val="center"/>
              <w:ind w:left="61"/>
              <w:spacing w:after="0"/>
              <w:rPr>
                <w:sz w:val="20"/>
                <w:szCs w:val="20"/>
                <w:color w:val="auto"/>
              </w:rPr>
            </w:pPr>
            <w:r>
              <w:rPr>
                <w:rFonts w:ascii="Arial" w:cs="Arial" w:eastAsia="Arial" w:hAnsi="Arial"/>
                <w:sz w:val="17"/>
                <w:szCs w:val="17"/>
                <w:color w:val="auto"/>
              </w:rPr>
              <w:t>—</w:t>
            </w:r>
          </w:p>
        </w:tc>
      </w:tr>
    </w:tbl>
    <w:p>
      <w:pPr>
        <w:spacing w:after="0" w:line="239" w:lineRule="exact"/>
        <w:rPr>
          <w:sz w:val="20"/>
          <w:szCs w:val="20"/>
          <w:color w:val="auto"/>
        </w:rPr>
      </w:pPr>
    </w:p>
    <w:p>
      <w:pPr>
        <w:ind w:left="480" w:right="20" w:hanging="475"/>
        <w:spacing w:after="0" w:line="244"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1997, TI’s U.S. employees were given the choice between continuing to participate in the defined benefit pension plans or participating in a new enhanced defined contribution retirement plan. Messrs. Templeton and Crutcher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Messrs. Templeton and Crutcher’s benefit are included in the 2010 summary compensation table.</w:t>
      </w:r>
    </w:p>
    <w:p>
      <w:pPr>
        <w:spacing w:after="0" w:line="225" w:lineRule="exact"/>
        <w:rPr>
          <w:rFonts w:ascii="Arial" w:cs="Arial" w:eastAsia="Arial" w:hAnsi="Arial"/>
          <w:sz w:val="17"/>
          <w:szCs w:val="17"/>
          <w:color w:val="auto"/>
        </w:rPr>
      </w:pPr>
    </w:p>
    <w:p>
      <w:pPr>
        <w:ind w:left="480" w:right="100" w:hanging="475"/>
        <w:spacing w:after="0" w:line="244"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each of the named executive officers, credited service began on the date the officer became eligible to participate in the plan. For Mr. Crutcher, eligibility to participate began on the first day of the month following completion of one year of employment. For each of the other named executive officers, eligibility to participate began on the earlier of 18 months of employment, or January 1 following the completion of one year of employment. Accordingly, each of the named executive officers has been employed by TI for longer than the years of credited service shown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138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2" w:name="page33"/>
    <w:bookmarkEnd w:id="32"/>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80</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left="480" w:right="160" w:hanging="475"/>
        <w:spacing w:after="0" w:line="252"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Credited service began on the date the executive officer became eligible to participate in the TI Employees Pension Plan as described in note 2 above and ceased at December 31, 2004.</w:t>
      </w:r>
    </w:p>
    <w:p>
      <w:pPr>
        <w:spacing w:after="0" w:line="218" w:lineRule="exact"/>
        <w:rPr>
          <w:rFonts w:ascii="Arial" w:cs="Arial" w:eastAsia="Arial" w:hAnsi="Arial"/>
          <w:sz w:val="17"/>
          <w:szCs w:val="17"/>
          <w:color w:val="auto"/>
        </w:rPr>
      </w:pPr>
    </w:p>
    <w:p>
      <w:pPr>
        <w:ind w:left="480" w:right="100" w:hanging="475"/>
        <w:spacing w:after="0" w:line="252"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Credited service began on the date the named executive officer became eligible to participate in the TI Employees Pension Plan as described in note 2 above.</w:t>
      </w:r>
    </w:p>
    <w:p>
      <w:pPr>
        <w:spacing w:after="0" w:line="218" w:lineRule="exact"/>
        <w:rPr>
          <w:rFonts w:ascii="Arial" w:cs="Arial" w:eastAsia="Arial" w:hAnsi="Arial"/>
          <w:sz w:val="17"/>
          <w:szCs w:val="17"/>
          <w:color w:val="auto"/>
        </w:rPr>
      </w:pPr>
    </w:p>
    <w:p>
      <w:pPr>
        <w:ind w:left="480" w:right="160" w:hanging="475"/>
        <w:spacing w:after="0" w:line="242"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assumptions and valuation methods used to calculate the present value of the accumulated pension benefits shown are the same as those used by TI for financial reporting purposes and are described in note 10 in Exhibit 13 to TI’s annual report on Form 10-K for the year ended December 31, 2010, except that a named executive officer’s retirement is assumed (in accordance with SEC rules) for purposes of this table to occur at age 65 and no assumption for termination prior to that date is used. The amount of the lump sum benefit earned as of December 31, 2010, is determined using either (i) the Pension Benefit Guaranty Corporation (PBGC) interest assumption of 3.00 percent or (ii) the Pension Protection Act of 2006 (PPA) corporate bond yield interest assumption of 5.58 percent for the TI Employees Pension Plan and 5.64 percent for the TI Employees Non-Qualified Pension Plans, whichever rate produces the higher lump sum amount. A discount rate assumption of 5.58 percent for the TI Employees Pension Plan and 5.64 percent for the non-qualified pension plans were used to determine the present value of each lump sum.</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Pension Plan</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TI Employees Pension Plan is a qualified defined benefit pension plan. Please see page 71 under the Benefits heading of the Compensation Discussion and Analysis for a discussion of the origin and purpose of the plan. Employees who joined the U.S. payroll after November 30, 1997, are not eligible to participate in this plan.</w:t>
      </w:r>
    </w:p>
    <w:p>
      <w:pPr>
        <w:spacing w:after="0" w:line="15" w:lineRule="exact"/>
        <w:rPr>
          <w:sz w:val="20"/>
          <w:szCs w:val="20"/>
          <w:color w:val="auto"/>
        </w:rPr>
      </w:pPr>
    </w:p>
    <w:p>
      <w:pPr>
        <w:ind w:right="60" w:firstLine="262"/>
        <w:spacing w:after="0" w:line="254" w:lineRule="auto"/>
        <w:rPr>
          <w:sz w:val="20"/>
          <w:szCs w:val="20"/>
          <w:color w:val="auto"/>
        </w:rPr>
      </w:pPr>
      <w:r>
        <w:rPr>
          <w:rFonts w:ascii="Arial" w:cs="Arial" w:eastAsia="Arial" w:hAnsi="Arial"/>
          <w:sz w:val="17"/>
          <w:szCs w:val="17"/>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None of the named executive officers are currently eligible for early or normal retirement.</w:t>
      </w:r>
    </w:p>
    <w:p>
      <w:pPr>
        <w:spacing w:after="0" w:line="9" w:lineRule="exact"/>
        <w:rPr>
          <w:sz w:val="20"/>
          <w:szCs w:val="20"/>
          <w:color w:val="auto"/>
        </w:rPr>
      </w:pPr>
    </w:p>
    <w:p>
      <w:pPr>
        <w:jc w:val="both"/>
        <w:ind w:firstLine="262"/>
        <w:spacing w:after="0" w:line="249" w:lineRule="auto"/>
        <w:rPr>
          <w:sz w:val="20"/>
          <w:szCs w:val="20"/>
          <w:color w:val="auto"/>
        </w:rPr>
      </w:pPr>
      <w:r>
        <w:rPr>
          <w:rFonts w:ascii="Arial" w:cs="Arial" w:eastAsia="Arial" w:hAnsi="Arial"/>
          <w:sz w:val="17"/>
          <w:szCs w:val="17"/>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w:t>
      </w:r>
    </w:p>
    <w:p>
      <w:pPr>
        <w:spacing w:after="0" w:line="1" w:lineRule="exact"/>
        <w:rPr>
          <w:sz w:val="20"/>
          <w:szCs w:val="20"/>
          <w:color w:val="auto"/>
        </w:rPr>
      </w:pPr>
    </w:p>
    <w:p>
      <w:pPr>
        <w:ind w:right="140" w:firstLine="5"/>
        <w:spacing w:after="0" w:line="246" w:lineRule="auto"/>
        <w:tabs>
          <w:tab w:leader="none" w:pos="274" w:val="left"/>
        </w:tabs>
        <w:numPr>
          <w:ilvl w:val="0"/>
          <w:numId w:val="30"/>
        </w:numPr>
        <w:rPr>
          <w:rFonts w:ascii="Arial" w:cs="Arial" w:eastAsia="Arial" w:hAnsi="Arial"/>
          <w:sz w:val="17"/>
          <w:szCs w:val="17"/>
          <w:color w:val="auto"/>
        </w:rPr>
      </w:pPr>
      <w:r>
        <w:rPr>
          <w:rFonts w:ascii="Arial" w:cs="Arial" w:eastAsia="Arial" w:hAnsi="Arial"/>
          <w:sz w:val="17"/>
          <w:szCs w:val="17"/>
          <w:color w:val="auto"/>
        </w:rPr>
        <w:t>10-year certain and life annuity, (iv) qualified joint and 50 percent survivor annuity, (v) qualified joint and 75 percent survivor annuity, and (vi) qualified joint and 100 percent survivor annuity. If the participant does not request payment, he will begin to receive his benefit in April of the year after he reaches the age of 70½ in the form of annuity required under the IRC.</w:t>
      </w:r>
    </w:p>
    <w:p>
      <w:pPr>
        <w:spacing w:after="0" w:line="15" w:lineRule="exact"/>
        <w:rPr>
          <w:rFonts w:ascii="Arial" w:cs="Arial" w:eastAsia="Arial" w:hAnsi="Arial"/>
          <w:sz w:val="17"/>
          <w:szCs w:val="17"/>
          <w:color w:val="auto"/>
        </w:rPr>
      </w:pPr>
    </w:p>
    <w:p>
      <w:pPr>
        <w:ind w:right="20" w:firstLine="262"/>
        <w:spacing w:after="0" w:line="250" w:lineRule="auto"/>
        <w:rPr>
          <w:rFonts w:ascii="Arial" w:cs="Arial" w:eastAsia="Arial" w:hAnsi="Arial"/>
          <w:sz w:val="17"/>
          <w:szCs w:val="17"/>
          <w:color w:val="auto"/>
        </w:rPr>
      </w:pPr>
      <w:r>
        <w:rPr>
          <w:rFonts w:ascii="Arial" w:cs="Arial" w:eastAsia="Arial" w:hAnsi="Arial"/>
          <w:sz w:val="17"/>
          <w:szCs w:val="17"/>
          <w:color w:val="auto"/>
        </w:rPr>
        <w:t>The pension formula for the qualified plan is intended to provide a participant with an annual retirement benefit equal to 1.5 percent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11" w:lineRule="exact"/>
        <w:rPr>
          <w:rFonts w:ascii="Arial" w:cs="Arial" w:eastAsia="Arial" w:hAnsi="Arial"/>
          <w:sz w:val="17"/>
          <w:szCs w:val="17"/>
          <w:color w:val="auto"/>
        </w:rPr>
      </w:pPr>
    </w:p>
    <w:p>
      <w:pPr>
        <w:ind w:right="160" w:firstLine="262"/>
        <w:spacing w:after="0" w:line="265" w:lineRule="auto"/>
        <w:rPr>
          <w:rFonts w:ascii="Arial" w:cs="Arial" w:eastAsia="Arial" w:hAnsi="Arial"/>
          <w:sz w:val="17"/>
          <w:szCs w:val="17"/>
          <w:color w:val="auto"/>
        </w:rPr>
      </w:pPr>
      <w:r>
        <w:rPr>
          <w:rFonts w:ascii="Arial" w:cs="Arial" w:eastAsia="Arial" w:hAnsi="Arial"/>
          <w:sz w:val="17"/>
          <w:szCs w:val="17"/>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jc w:val="both"/>
        <w:ind w:right="300" w:firstLine="262"/>
        <w:spacing w:after="0" w:line="250" w:lineRule="auto"/>
        <w:rPr>
          <w:rFonts w:ascii="Arial" w:cs="Arial" w:eastAsia="Arial" w:hAnsi="Arial"/>
          <w:sz w:val="17"/>
          <w:szCs w:val="17"/>
          <w:color w:val="auto"/>
        </w:rPr>
      </w:pPr>
      <w:r>
        <w:rPr>
          <w:rFonts w:ascii="Arial" w:cs="Arial" w:eastAsia="Arial" w:hAnsi="Arial"/>
          <w:sz w:val="17"/>
          <w:szCs w:val="17"/>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he not become disabled and disabled status.</w:t>
      </w:r>
    </w:p>
    <w:p>
      <w:pPr>
        <w:spacing w:after="0" w:line="11" w:lineRule="exact"/>
        <w:rPr>
          <w:rFonts w:ascii="Arial" w:cs="Arial" w:eastAsia="Arial" w:hAnsi="Arial"/>
          <w:sz w:val="17"/>
          <w:szCs w:val="17"/>
          <w:color w:val="auto"/>
        </w:rPr>
      </w:pPr>
    </w:p>
    <w:p>
      <w:pPr>
        <w:ind w:right="80" w:firstLine="262"/>
        <w:spacing w:after="0" w:line="254" w:lineRule="auto"/>
        <w:rPr>
          <w:rFonts w:ascii="Arial" w:cs="Arial" w:eastAsia="Arial" w:hAnsi="Arial"/>
          <w:sz w:val="17"/>
          <w:szCs w:val="17"/>
          <w:color w:val="auto"/>
        </w:rPr>
      </w:pPr>
      <w:r>
        <w:rPr>
          <w:rFonts w:ascii="Arial" w:cs="Arial" w:eastAsia="Arial" w:hAnsi="Arial"/>
          <w:sz w:val="17"/>
          <w:szCs w:val="17"/>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8" w:lineRule="exact"/>
        <w:rPr>
          <w:rFonts w:ascii="Arial" w:cs="Arial" w:eastAsia="Arial" w:hAnsi="Arial"/>
          <w:sz w:val="17"/>
          <w:szCs w:val="17"/>
          <w:color w:val="auto"/>
        </w:rPr>
      </w:pPr>
    </w:p>
    <w:p>
      <w:pPr>
        <w:ind w:right="140" w:firstLine="262"/>
        <w:spacing w:after="0" w:line="268" w:lineRule="auto"/>
        <w:rPr>
          <w:rFonts w:ascii="Arial" w:cs="Arial" w:eastAsia="Arial" w:hAnsi="Arial"/>
          <w:sz w:val="17"/>
          <w:szCs w:val="17"/>
          <w:color w:val="auto"/>
        </w:rPr>
      </w:pPr>
      <w:r>
        <w:rPr>
          <w:rFonts w:ascii="Arial" w:cs="Arial" w:eastAsia="Arial" w:hAnsi="Arial"/>
          <w:sz w:val="17"/>
          <w:szCs w:val="17"/>
          <w:color w:val="auto"/>
        </w:rPr>
        <w:t>Leaves of absence, including a bridge to retirement, are credited to years of service under the qualified pension plan. Please see the discussion of leaves of absence on page 85 below.</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Non-Qualified Pension Plans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Please see page 71 under the Benefits heading of the Compensation Discussion and Analysis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(please see above). Benefits are paid in a lump sum.</w:t>
      </w:r>
    </w:p>
    <w:p>
      <w:pPr>
        <w:spacing w:after="0" w:line="216" w:lineRule="exact"/>
        <w:rPr>
          <w:sz w:val="20"/>
          <w:szCs w:val="20"/>
          <w:color w:val="auto"/>
        </w:rPr>
      </w:pPr>
    </w:p>
    <w:p>
      <w:pPr>
        <w:ind w:right="20" w:firstLine="262"/>
        <w:spacing w:after="0" w:line="248" w:lineRule="auto"/>
        <w:rPr>
          <w:sz w:val="20"/>
          <w:szCs w:val="20"/>
          <w:color w:val="auto"/>
        </w:rPr>
      </w:pPr>
      <w:r>
        <w:rPr>
          <w:rFonts w:ascii="Arial" w:cs="Arial" w:eastAsia="Arial" w:hAnsi="Arial"/>
          <w:sz w:val="17"/>
          <w:szCs w:val="17"/>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 sum benefit payable to an individual under the non-qualified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203835</wp:posOffset>
            </wp:positionV>
            <wp:extent cx="727138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3" w:name="page34"/>
    <w:bookmarkEnd w:id="33"/>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81</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83" w:lineRule="exact"/>
        <w:rPr>
          <w:sz w:val="20"/>
          <w:szCs w:val="20"/>
          <w:color w:val="auto"/>
        </w:rPr>
      </w:pPr>
    </w:p>
    <w:p>
      <w:pPr>
        <w:ind w:right="140" w:firstLine="262"/>
        <w:spacing w:after="0" w:line="250" w:lineRule="auto"/>
        <w:rPr>
          <w:sz w:val="20"/>
          <w:szCs w:val="20"/>
          <w:color w:val="auto"/>
        </w:rPr>
      </w:pPr>
      <w:r>
        <w:rPr>
          <w:rFonts w:ascii="Arial" w:cs="Arial" w:eastAsia="Arial" w:hAnsi="Arial"/>
          <w:sz w:val="17"/>
          <w:szCs w:val="17"/>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 sum distribution payment under Plan II before the first day of the seventh month following termination of employment.</w:t>
      </w:r>
    </w:p>
    <w:p>
      <w:pPr>
        <w:spacing w:after="0" w:line="11" w:lineRule="exact"/>
        <w:rPr>
          <w:sz w:val="20"/>
          <w:szCs w:val="20"/>
          <w:color w:val="auto"/>
        </w:rPr>
      </w:pPr>
    </w:p>
    <w:p>
      <w:pPr>
        <w:jc w:val="both"/>
        <w:ind w:firstLine="262"/>
        <w:spacing w:after="0" w:line="254" w:lineRule="auto"/>
        <w:rPr>
          <w:sz w:val="20"/>
          <w:szCs w:val="20"/>
          <w:color w:val="auto"/>
        </w:rPr>
      </w:pPr>
      <w:r>
        <w:rPr>
          <w:rFonts w:ascii="Arial" w:cs="Arial" w:eastAsia="Arial" w:hAnsi="Arial"/>
          <w:sz w:val="17"/>
          <w:szCs w:val="17"/>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9" w:lineRule="exact"/>
        <w:rPr>
          <w:sz w:val="20"/>
          <w:szCs w:val="20"/>
          <w:color w:val="auto"/>
        </w:rPr>
      </w:pPr>
    </w:p>
    <w:p>
      <w:pPr>
        <w:ind w:right="120" w:firstLine="262"/>
        <w:spacing w:after="0" w:line="265" w:lineRule="auto"/>
        <w:rPr>
          <w:sz w:val="20"/>
          <w:szCs w:val="20"/>
          <w:color w:val="auto"/>
        </w:rPr>
      </w:pPr>
      <w:r>
        <w:rPr>
          <w:rFonts w:ascii="Arial" w:cs="Arial" w:eastAsia="Arial" w:hAnsi="Arial"/>
          <w:sz w:val="17"/>
          <w:szCs w:val="17"/>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 w:lineRule="exact"/>
        <w:rPr>
          <w:sz w:val="20"/>
          <w:szCs w:val="20"/>
          <w:color w:val="auto"/>
        </w:rPr>
      </w:pPr>
    </w:p>
    <w:p>
      <w:pPr>
        <w:ind w:right="20" w:firstLine="262"/>
        <w:spacing w:after="0" w:line="248" w:lineRule="auto"/>
        <w:rPr>
          <w:sz w:val="20"/>
          <w:szCs w:val="20"/>
          <w:color w:val="auto"/>
        </w:rPr>
      </w:pPr>
      <w:r>
        <w:rPr>
          <w:rFonts w:ascii="Arial" w:cs="Arial" w:eastAsia="Arial" w:hAnsi="Arial"/>
          <w:sz w:val="17"/>
          <w:szCs w:val="17"/>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(please see page 78)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3" w:lineRule="exact"/>
        <w:rPr>
          <w:sz w:val="20"/>
          <w:szCs w:val="20"/>
          <w:color w:val="auto"/>
        </w:rPr>
      </w:pPr>
    </w:p>
    <w:p>
      <w:pPr>
        <w:ind w:right="440" w:firstLine="262"/>
        <w:spacing w:after="0" w:line="268" w:lineRule="auto"/>
        <w:rPr>
          <w:sz w:val="20"/>
          <w:szCs w:val="20"/>
          <w:color w:val="auto"/>
        </w:rPr>
      </w:pPr>
      <w:r>
        <w:rPr>
          <w:rFonts w:ascii="Arial" w:cs="Arial" w:eastAsia="Arial" w:hAnsi="Arial"/>
          <w:sz w:val="17"/>
          <w:szCs w:val="17"/>
          <w:color w:val="auto"/>
        </w:rPr>
        <w:t>Leaves of absence, including a bridge to retirement, are credited to years of service under the non-qualified pension plans. For a discussion of leaves of absence, please see page 85 below.</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non-qualified deferred compensation</w:t>
      </w:r>
    </w:p>
    <w:p>
      <w:pPr>
        <w:spacing w:after="0" w:line="257"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The following table shows contributions to the named executive officer’s deferred compensation account in 2010 and the aggregate amount of his deferred compensation as of December 31, 2010.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2820" w:type="dxa"/>
            <w:vAlign w:val="bottom"/>
          </w:tcPr>
          <w:p>
            <w:pPr>
              <w:jc w:val="center"/>
              <w:ind w:left="1582"/>
              <w:spacing w:after="0"/>
              <w:rPr>
                <w:sz w:val="20"/>
                <w:szCs w:val="20"/>
                <w:color w:val="auto"/>
              </w:rPr>
            </w:pPr>
            <w:r>
              <w:rPr>
                <w:rFonts w:ascii="Arial" w:cs="Arial" w:eastAsia="Arial" w:hAnsi="Arial"/>
                <w:sz w:val="13"/>
                <w:szCs w:val="13"/>
                <w:b w:val="1"/>
                <w:bCs w:val="1"/>
                <w:color w:val="auto"/>
                <w:w w:val="98"/>
              </w:rPr>
              <w:t>Executive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rPr>
              <w:t>Registrant</w:t>
            </w: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rPr>
              <w:t>Aggregate</w:t>
            </w:r>
          </w:p>
        </w:tc>
        <w:tc>
          <w:tcPr>
            <w:tcW w:w="260" w:type="dxa"/>
            <w:vAlign w:val="bottom"/>
          </w:tcPr>
          <w:p>
            <w:pPr>
              <w:spacing w:after="0"/>
              <w:rPr>
                <w:sz w:val="15"/>
                <w:szCs w:val="15"/>
                <w:color w:val="auto"/>
              </w:rPr>
            </w:pPr>
          </w:p>
        </w:tc>
        <w:tc>
          <w:tcPr>
            <w:tcW w:w="800" w:type="dxa"/>
            <w:vAlign w:val="bottom"/>
          </w:tcPr>
          <w:p>
            <w:pPr>
              <w:jc w:val="center"/>
              <w:ind w:left="40"/>
              <w:spacing w:after="0"/>
              <w:rPr>
                <w:sz w:val="20"/>
                <w:szCs w:val="20"/>
                <w:color w:val="auto"/>
              </w:rPr>
            </w:pPr>
            <w:r>
              <w:rPr>
                <w:rFonts w:ascii="Arial" w:cs="Arial" w:eastAsia="Arial" w:hAnsi="Arial"/>
                <w:sz w:val="13"/>
                <w:szCs w:val="13"/>
                <w:b w:val="1"/>
                <w:bCs w:val="1"/>
                <w:color w:val="auto"/>
                <w:w w:val="99"/>
              </w:rPr>
              <w:t>Aggregate</w:t>
            </w:r>
          </w:p>
        </w:tc>
        <w:tc>
          <w:tcPr>
            <w:tcW w:w="220" w:type="dxa"/>
            <w:vAlign w:val="bottom"/>
          </w:tcPr>
          <w:p>
            <w:pPr>
              <w:spacing w:after="0"/>
              <w:rPr>
                <w:sz w:val="15"/>
                <w:szCs w:val="15"/>
                <w:color w:val="auto"/>
              </w:rPr>
            </w:pPr>
          </w:p>
        </w:tc>
      </w:tr>
      <w:tr>
        <w:trPr>
          <w:trHeight w:val="236"/>
        </w:trPr>
        <w:tc>
          <w:tcPr>
            <w:tcW w:w="3020" w:type="dxa"/>
            <w:vAlign w:val="bottom"/>
          </w:tcPr>
          <w:p>
            <w:pPr>
              <w:spacing w:after="0"/>
              <w:rPr>
                <w:sz w:val="20"/>
                <w:szCs w:val="20"/>
                <w:color w:val="auto"/>
              </w:rPr>
            </w:pPr>
          </w:p>
        </w:tc>
        <w:tc>
          <w:tcPr>
            <w:tcW w:w="2820" w:type="dxa"/>
            <w:vAlign w:val="bottom"/>
          </w:tcPr>
          <w:p>
            <w:pPr>
              <w:jc w:val="center"/>
              <w:ind w:left="1602"/>
              <w:spacing w:after="0"/>
              <w:rPr>
                <w:sz w:val="20"/>
                <w:szCs w:val="20"/>
                <w:color w:val="auto"/>
              </w:rPr>
            </w:pPr>
            <w:r>
              <w:rPr>
                <w:rFonts w:ascii="Arial" w:cs="Arial" w:eastAsia="Arial" w:hAnsi="Arial"/>
                <w:sz w:val="13"/>
                <w:szCs w:val="13"/>
                <w:b w:val="1"/>
                <w:bCs w:val="1"/>
                <w:color w:val="auto"/>
              </w:rPr>
              <w:t>Contributions</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rPr>
              <w:t>Contributions in</w:t>
            </w:r>
          </w:p>
        </w:tc>
        <w:tc>
          <w:tcPr>
            <w:tcW w:w="1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Aggregate Earnings in</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rPr>
              <w:t>Withdrawals/</w:t>
            </w:r>
          </w:p>
        </w:tc>
        <w:tc>
          <w:tcPr>
            <w:tcW w:w="1280" w:type="dxa"/>
            <w:vAlign w:val="bottom"/>
            <w:gridSpan w:val="3"/>
          </w:tcPr>
          <w:p>
            <w:pPr>
              <w:jc w:val="center"/>
              <w:ind w:left="78"/>
              <w:spacing w:after="0"/>
              <w:rPr>
                <w:sz w:val="20"/>
                <w:szCs w:val="20"/>
                <w:color w:val="auto"/>
              </w:rPr>
            </w:pPr>
            <w:r>
              <w:rPr>
                <w:rFonts w:ascii="Arial" w:cs="Arial" w:eastAsia="Arial" w:hAnsi="Arial"/>
                <w:sz w:val="13"/>
                <w:szCs w:val="13"/>
                <w:b w:val="1"/>
                <w:bCs w:val="1"/>
                <w:color w:val="auto"/>
              </w:rPr>
              <w:t>Balance at Last</w:t>
            </w:r>
          </w:p>
        </w:tc>
      </w:tr>
      <w:tr>
        <w:trPr>
          <w:trHeight w:val="236"/>
        </w:trPr>
        <w:tc>
          <w:tcPr>
            <w:tcW w:w="30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820" w:type="dxa"/>
            <w:vAlign w:val="bottom"/>
          </w:tcPr>
          <w:p>
            <w:pPr>
              <w:jc w:val="center"/>
              <w:ind w:left="1602"/>
              <w:spacing w:after="0"/>
              <w:rPr>
                <w:sz w:val="20"/>
                <w:szCs w:val="20"/>
                <w:color w:val="auto"/>
              </w:rPr>
            </w:pPr>
            <w:r>
              <w:rPr>
                <w:rFonts w:ascii="Arial" w:cs="Arial" w:eastAsia="Arial" w:hAnsi="Arial"/>
                <w:sz w:val="13"/>
                <w:szCs w:val="13"/>
                <w:b w:val="1"/>
                <w:bCs w:val="1"/>
                <w:color w:val="auto"/>
              </w:rPr>
              <w:t>in Last FY ($)</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9"/>
              </w:rPr>
              <w:t>Last FY ($)(2)</w:t>
            </w:r>
          </w:p>
        </w:tc>
        <w:tc>
          <w:tcPr>
            <w:tcW w:w="1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Last FY ($)</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rPr>
              <w:t>Distributions ($)</w:t>
            </w:r>
          </w:p>
        </w:tc>
        <w:tc>
          <w:tcPr>
            <w:tcW w:w="260" w:type="dxa"/>
            <w:vAlign w:val="bottom"/>
          </w:tcPr>
          <w:p>
            <w:pPr>
              <w:spacing w:after="0"/>
              <w:rPr>
                <w:sz w:val="20"/>
                <w:szCs w:val="20"/>
                <w:color w:val="auto"/>
              </w:rPr>
            </w:pPr>
          </w:p>
        </w:tc>
        <w:tc>
          <w:tcPr>
            <w:tcW w:w="800" w:type="dxa"/>
            <w:vAlign w:val="bottom"/>
          </w:tcPr>
          <w:p>
            <w:pPr>
              <w:jc w:val="center"/>
              <w:ind w:left="40"/>
              <w:spacing w:after="0"/>
              <w:rPr>
                <w:sz w:val="20"/>
                <w:szCs w:val="20"/>
                <w:color w:val="auto"/>
              </w:rPr>
            </w:pPr>
            <w:r>
              <w:rPr>
                <w:rFonts w:ascii="Arial" w:cs="Arial" w:eastAsia="Arial" w:hAnsi="Arial"/>
                <w:sz w:val="13"/>
                <w:szCs w:val="13"/>
                <w:b w:val="1"/>
                <w:bCs w:val="1"/>
                <w:color w:val="auto"/>
                <w:w w:val="98"/>
              </w:rPr>
              <w:t>FYE ($)</w:t>
            </w:r>
          </w:p>
        </w:tc>
        <w:tc>
          <w:tcPr>
            <w:tcW w:w="220" w:type="dxa"/>
            <w:vAlign w:val="bottom"/>
          </w:tcPr>
          <w:p>
            <w:pPr>
              <w:spacing w:after="0"/>
              <w:rPr>
                <w:sz w:val="20"/>
                <w:szCs w:val="20"/>
                <w:color w:val="auto"/>
              </w:rPr>
            </w:pPr>
          </w:p>
        </w:tc>
      </w:tr>
      <w:tr>
        <w:trPr>
          <w:trHeight w:val="41"/>
        </w:trPr>
        <w:tc>
          <w:tcPr>
            <w:tcW w:w="30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70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66"/>
        </w:trPr>
        <w:tc>
          <w:tcPr>
            <w:tcW w:w="3020" w:type="dxa"/>
            <w:vAlign w:val="bottom"/>
            <w:shd w:val="clear" w:color="auto" w:fill="808285"/>
          </w:tcPr>
          <w:p>
            <w:pPr>
              <w:spacing w:after="0"/>
              <w:rPr>
                <w:sz w:val="5"/>
                <w:szCs w:val="5"/>
                <w:color w:val="auto"/>
              </w:rPr>
            </w:pPr>
          </w:p>
        </w:tc>
        <w:tc>
          <w:tcPr>
            <w:tcW w:w="2820" w:type="dxa"/>
            <w:vAlign w:val="bottom"/>
            <w:shd w:val="clear" w:color="auto" w:fill="808285"/>
          </w:tcPr>
          <w:p>
            <w:pPr>
              <w:spacing w:after="0"/>
              <w:rPr>
                <w:sz w:val="5"/>
                <w:szCs w:val="5"/>
                <w:color w:val="auto"/>
              </w:rPr>
            </w:pPr>
          </w:p>
        </w:tc>
        <w:tc>
          <w:tcPr>
            <w:tcW w:w="1300" w:type="dxa"/>
            <w:vAlign w:val="bottom"/>
            <w:shd w:val="clear" w:color="auto" w:fill="808285"/>
          </w:tcPr>
          <w:p>
            <w:pPr>
              <w:spacing w:after="0"/>
              <w:rPr>
                <w:sz w:val="5"/>
                <w:szCs w:val="5"/>
                <w:color w:val="auto"/>
              </w:rPr>
            </w:pPr>
          </w:p>
        </w:tc>
        <w:tc>
          <w:tcPr>
            <w:tcW w:w="1700" w:type="dxa"/>
            <w:vAlign w:val="bottom"/>
            <w:gridSpan w:val="2"/>
            <w:shd w:val="clear" w:color="auto" w:fill="808285"/>
          </w:tcPr>
          <w:p>
            <w:pPr>
              <w:spacing w:after="0"/>
              <w:rPr>
                <w:sz w:val="5"/>
                <w:szCs w:val="5"/>
                <w:color w:val="auto"/>
              </w:rPr>
            </w:pPr>
          </w:p>
        </w:tc>
        <w:tc>
          <w:tcPr>
            <w:tcW w:w="1300" w:type="dxa"/>
            <w:vAlign w:val="bottom"/>
            <w:shd w:val="clear" w:color="auto" w:fill="808285"/>
          </w:tcPr>
          <w:p>
            <w:pPr>
              <w:spacing w:after="0"/>
              <w:rPr>
                <w:sz w:val="5"/>
                <w:szCs w:val="5"/>
                <w:color w:val="auto"/>
              </w:rPr>
            </w:pPr>
          </w:p>
        </w:tc>
        <w:tc>
          <w:tcPr>
            <w:tcW w:w="260" w:type="dxa"/>
            <w:vAlign w:val="bottom"/>
            <w:shd w:val="clear" w:color="auto" w:fill="808285"/>
          </w:tcPr>
          <w:p>
            <w:pPr>
              <w:spacing w:after="0"/>
              <w:rPr>
                <w:sz w:val="5"/>
                <w:szCs w:val="5"/>
                <w:color w:val="auto"/>
              </w:rPr>
            </w:pPr>
          </w:p>
        </w:tc>
        <w:tc>
          <w:tcPr>
            <w:tcW w:w="800" w:type="dxa"/>
            <w:vAlign w:val="bottom"/>
            <w:shd w:val="clear" w:color="auto" w:fill="808285"/>
          </w:tcPr>
          <w:p>
            <w:pPr>
              <w:spacing w:after="0"/>
              <w:rPr>
                <w:sz w:val="5"/>
                <w:szCs w:val="5"/>
                <w:color w:val="auto"/>
              </w:rPr>
            </w:pPr>
          </w:p>
        </w:tc>
        <w:tc>
          <w:tcPr>
            <w:tcW w:w="220" w:type="dxa"/>
            <w:vAlign w:val="bottom"/>
            <w:shd w:val="clear" w:color="auto" w:fill="808285"/>
          </w:tcPr>
          <w:p>
            <w:pPr>
              <w:spacing w:after="0"/>
              <w:rPr>
                <w:sz w:val="5"/>
                <w:szCs w:val="5"/>
                <w:color w:val="auto"/>
              </w:rPr>
            </w:pPr>
          </w:p>
        </w:tc>
      </w:tr>
      <w:tr>
        <w:trPr>
          <w:trHeight w:val="236"/>
        </w:trPr>
        <w:tc>
          <w:tcPr>
            <w:tcW w:w="3020" w:type="dxa"/>
            <w:vAlign w:val="bottom"/>
            <w:shd w:val="clear" w:color="auto" w:fill="E9E9E9"/>
          </w:tcPr>
          <w:p>
            <w:pPr>
              <w:spacing w:after="0"/>
              <w:rPr>
                <w:sz w:val="20"/>
                <w:szCs w:val="20"/>
                <w:color w:val="auto"/>
              </w:rPr>
            </w:pPr>
            <w:r>
              <w:rPr>
                <w:rFonts w:ascii="Arial" w:cs="Arial" w:eastAsia="Arial" w:hAnsi="Arial"/>
                <w:sz w:val="17"/>
                <w:szCs w:val="17"/>
                <w:color w:val="auto"/>
              </w:rPr>
              <w:t>R. K. Templeton</w:t>
            </w:r>
          </w:p>
        </w:tc>
        <w:tc>
          <w:tcPr>
            <w:tcW w:w="282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300" w:type="dxa"/>
            <w:vAlign w:val="bottom"/>
            <w:shd w:val="clear" w:color="auto" w:fill="E9E9E9"/>
          </w:tcPr>
          <w:p>
            <w:pPr>
              <w:jc w:val="right"/>
              <w:ind w:right="302"/>
              <w:spacing w:after="0"/>
              <w:rPr>
                <w:sz w:val="20"/>
                <w:szCs w:val="20"/>
                <w:color w:val="auto"/>
              </w:rPr>
            </w:pPr>
            <w:r>
              <w:rPr>
                <w:rFonts w:ascii="Arial" w:cs="Arial" w:eastAsia="Arial" w:hAnsi="Arial"/>
                <w:sz w:val="17"/>
                <w:szCs w:val="17"/>
                <w:color w:val="auto"/>
              </w:rPr>
              <w:t>$56,057</w:t>
            </w:r>
          </w:p>
        </w:tc>
        <w:tc>
          <w:tcPr>
            <w:tcW w:w="1700" w:type="dxa"/>
            <w:vAlign w:val="bottom"/>
            <w:gridSpan w:val="2"/>
            <w:shd w:val="clear" w:color="auto" w:fill="E9E9E9"/>
          </w:tcPr>
          <w:p>
            <w:pPr>
              <w:ind w:left="440"/>
              <w:spacing w:after="0"/>
              <w:rPr>
                <w:sz w:val="20"/>
                <w:szCs w:val="20"/>
                <w:color w:val="auto"/>
              </w:rPr>
            </w:pPr>
            <w:r>
              <w:rPr>
                <w:rFonts w:ascii="Arial" w:cs="Arial" w:eastAsia="Arial" w:hAnsi="Arial"/>
                <w:sz w:val="17"/>
                <w:szCs w:val="17"/>
                <w:color w:val="auto"/>
              </w:rPr>
              <w:t>$915,316 (3)</w:t>
            </w:r>
          </w:p>
        </w:tc>
        <w:tc>
          <w:tcPr>
            <w:tcW w:w="1300" w:type="dxa"/>
            <w:vAlign w:val="bottom"/>
            <w:shd w:val="clear" w:color="auto" w:fill="E9E9E9"/>
          </w:tcPr>
          <w:p>
            <w:pPr>
              <w:jc w:val="right"/>
              <w:ind w:right="82"/>
              <w:spacing w:after="0"/>
              <w:rPr>
                <w:sz w:val="20"/>
                <w:szCs w:val="20"/>
                <w:color w:val="auto"/>
              </w:rPr>
            </w:pPr>
            <w:r>
              <w:rPr>
                <w:rFonts w:ascii="Arial" w:cs="Arial" w:eastAsia="Arial" w:hAnsi="Arial"/>
                <w:sz w:val="17"/>
                <w:szCs w:val="17"/>
                <w:color w:val="auto"/>
              </w:rPr>
              <w:t>$58,800 (4)</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5,253,365</w:t>
            </w:r>
          </w:p>
        </w:tc>
        <w:tc>
          <w:tcPr>
            <w:tcW w:w="2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6"/>
              </w:rPr>
              <w:t>(5)</w:t>
            </w:r>
          </w:p>
        </w:tc>
      </w:tr>
      <w:tr>
        <w:trPr>
          <w:trHeight w:val="228"/>
        </w:trPr>
        <w:tc>
          <w:tcPr>
            <w:tcW w:w="3020" w:type="dxa"/>
            <w:vAlign w:val="bottom"/>
          </w:tcPr>
          <w:p>
            <w:pPr>
              <w:spacing w:after="0"/>
              <w:rPr>
                <w:sz w:val="20"/>
                <w:szCs w:val="20"/>
                <w:color w:val="auto"/>
              </w:rPr>
            </w:pPr>
            <w:r>
              <w:rPr>
                <w:rFonts w:ascii="Arial" w:cs="Arial" w:eastAsia="Arial" w:hAnsi="Arial"/>
                <w:sz w:val="17"/>
                <w:szCs w:val="17"/>
                <w:color w:val="auto"/>
              </w:rPr>
              <w:t>K. P. March</w:t>
            </w:r>
          </w:p>
        </w:tc>
        <w:tc>
          <w:tcPr>
            <w:tcW w:w="282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02"/>
              <w:spacing w:after="0"/>
              <w:rPr>
                <w:sz w:val="20"/>
                <w:szCs w:val="20"/>
                <w:color w:val="auto"/>
              </w:rPr>
            </w:pPr>
            <w:r>
              <w:rPr>
                <w:rFonts w:ascii="Arial" w:cs="Arial" w:eastAsia="Arial" w:hAnsi="Arial"/>
                <w:sz w:val="17"/>
                <w:szCs w:val="17"/>
                <w:color w:val="auto"/>
              </w:rPr>
              <w:t>—</w:t>
            </w:r>
          </w:p>
        </w:tc>
        <w:tc>
          <w:tcPr>
            <w:tcW w:w="580" w:type="dxa"/>
            <w:vAlign w:val="bottom"/>
          </w:tcPr>
          <w:p>
            <w:pPr>
              <w:ind w:left="4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55"/>
              <w:spacing w:after="0"/>
              <w:rPr>
                <w:sz w:val="20"/>
                <w:szCs w:val="20"/>
                <w:color w:val="auto"/>
              </w:rPr>
            </w:pPr>
            <w:r>
              <w:rPr>
                <w:rFonts w:ascii="Arial" w:cs="Arial" w:eastAsia="Arial" w:hAnsi="Arial"/>
                <w:sz w:val="17"/>
                <w:szCs w:val="17"/>
                <w:color w:val="auto"/>
              </w:rPr>
              <w:t>132</w:t>
            </w:r>
          </w:p>
        </w:tc>
        <w:tc>
          <w:tcPr>
            <w:tcW w:w="130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92,612</w:t>
            </w:r>
          </w:p>
        </w:tc>
        <w:tc>
          <w:tcPr>
            <w:tcW w:w="220" w:type="dxa"/>
            <w:vAlign w:val="bottom"/>
          </w:tcPr>
          <w:p>
            <w:pPr>
              <w:spacing w:after="0"/>
              <w:rPr>
                <w:sz w:val="19"/>
                <w:szCs w:val="19"/>
                <w:color w:val="auto"/>
              </w:rPr>
            </w:pPr>
          </w:p>
        </w:tc>
      </w:tr>
      <w:tr>
        <w:trPr>
          <w:trHeight w:val="244"/>
        </w:trPr>
        <w:tc>
          <w:tcPr>
            <w:tcW w:w="302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282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300" w:type="dxa"/>
            <w:vAlign w:val="bottom"/>
            <w:shd w:val="clear" w:color="auto" w:fill="E9E9E9"/>
          </w:tcPr>
          <w:p>
            <w:pPr>
              <w:jc w:val="right"/>
              <w:ind w:right="302"/>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E9E9E9"/>
          </w:tcPr>
          <w:p>
            <w:pPr>
              <w:ind w:left="440"/>
              <w:spacing w:after="0"/>
              <w:rPr>
                <w:sz w:val="20"/>
                <w:szCs w:val="20"/>
                <w:color w:val="auto"/>
              </w:rPr>
            </w:pPr>
            <w:r>
              <w:rPr>
                <w:rFonts w:ascii="Arial" w:cs="Arial" w:eastAsia="Arial" w:hAnsi="Arial"/>
                <w:sz w:val="17"/>
                <w:szCs w:val="17"/>
                <w:color w:val="auto"/>
              </w:rPr>
              <w:t>$ 84,725</w:t>
            </w:r>
          </w:p>
        </w:tc>
        <w:tc>
          <w:tcPr>
            <w:tcW w:w="130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818,987</w:t>
            </w:r>
          </w:p>
        </w:tc>
        <w:tc>
          <w:tcPr>
            <w:tcW w:w="220" w:type="dxa"/>
            <w:vAlign w:val="bottom"/>
            <w:shd w:val="clear" w:color="auto" w:fill="E9E9E9"/>
          </w:tcPr>
          <w:p>
            <w:pPr>
              <w:spacing w:after="0"/>
              <w:rPr>
                <w:sz w:val="21"/>
                <w:szCs w:val="21"/>
                <w:color w:val="auto"/>
              </w:rPr>
            </w:pPr>
          </w:p>
        </w:tc>
      </w:tr>
      <w:tr>
        <w:trPr>
          <w:trHeight w:val="228"/>
        </w:trPr>
        <w:tc>
          <w:tcPr>
            <w:tcW w:w="3020" w:type="dxa"/>
            <w:vAlign w:val="bottom"/>
          </w:tcPr>
          <w:p>
            <w:pPr>
              <w:spacing w:after="0"/>
              <w:rPr>
                <w:sz w:val="20"/>
                <w:szCs w:val="20"/>
                <w:color w:val="auto"/>
              </w:rPr>
            </w:pPr>
            <w:r>
              <w:rPr>
                <w:rFonts w:ascii="Arial" w:cs="Arial" w:eastAsia="Arial" w:hAnsi="Arial"/>
                <w:sz w:val="17"/>
                <w:szCs w:val="17"/>
                <w:color w:val="auto"/>
              </w:rPr>
              <w:t>B. T. Crutcher</w:t>
            </w:r>
          </w:p>
        </w:tc>
        <w:tc>
          <w:tcPr>
            <w:tcW w:w="2820" w:type="dxa"/>
            <w:vAlign w:val="bottom"/>
          </w:tcPr>
          <w:p>
            <w:pPr>
              <w:jc w:val="right"/>
              <w:ind w:right="82"/>
              <w:spacing w:after="0"/>
              <w:rPr>
                <w:sz w:val="20"/>
                <w:szCs w:val="20"/>
                <w:color w:val="auto"/>
              </w:rPr>
            </w:pPr>
            <w:r>
              <w:rPr>
                <w:rFonts w:ascii="Arial" w:cs="Arial" w:eastAsia="Arial" w:hAnsi="Arial"/>
                <w:sz w:val="17"/>
                <w:szCs w:val="17"/>
                <w:color w:val="auto"/>
              </w:rPr>
              <w:t>$9,597 (1)</w:t>
            </w:r>
          </w:p>
        </w:tc>
        <w:tc>
          <w:tcPr>
            <w:tcW w:w="1300" w:type="dxa"/>
            <w:vAlign w:val="bottom"/>
          </w:tcPr>
          <w:p>
            <w:pPr>
              <w:jc w:val="right"/>
              <w:ind w:right="302"/>
              <w:spacing w:after="0"/>
              <w:rPr>
                <w:sz w:val="20"/>
                <w:szCs w:val="20"/>
                <w:color w:val="auto"/>
              </w:rPr>
            </w:pPr>
            <w:r>
              <w:rPr>
                <w:rFonts w:ascii="Arial" w:cs="Arial" w:eastAsia="Arial" w:hAnsi="Arial"/>
                <w:sz w:val="17"/>
                <w:szCs w:val="17"/>
                <w:color w:val="auto"/>
              </w:rPr>
              <w:t>$15,518</w:t>
            </w:r>
          </w:p>
        </w:tc>
        <w:tc>
          <w:tcPr>
            <w:tcW w:w="580" w:type="dxa"/>
            <w:vAlign w:val="bottom"/>
          </w:tcPr>
          <w:p>
            <w:pPr>
              <w:ind w:left="4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55"/>
              <w:spacing w:after="0"/>
              <w:rPr>
                <w:sz w:val="20"/>
                <w:szCs w:val="20"/>
                <w:color w:val="auto"/>
              </w:rPr>
            </w:pPr>
            <w:r>
              <w:rPr>
                <w:rFonts w:ascii="Arial" w:cs="Arial" w:eastAsia="Arial" w:hAnsi="Arial"/>
                <w:sz w:val="17"/>
                <w:szCs w:val="17"/>
                <w:color w:val="auto"/>
              </w:rPr>
              <w:t>18,364</w:t>
            </w:r>
          </w:p>
        </w:tc>
        <w:tc>
          <w:tcPr>
            <w:tcW w:w="1300" w:type="dxa"/>
            <w:vAlign w:val="bottom"/>
          </w:tcPr>
          <w:p>
            <w:pPr>
              <w:jc w:val="right"/>
              <w:ind w:right="342"/>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158,727</w:t>
            </w:r>
          </w:p>
        </w:tc>
        <w:tc>
          <w:tcPr>
            <w:tcW w:w="220" w:type="dxa"/>
            <w:vAlign w:val="bottom"/>
          </w:tcPr>
          <w:p>
            <w:pPr>
              <w:spacing w:after="0"/>
              <w:rPr>
                <w:sz w:val="19"/>
                <w:szCs w:val="19"/>
                <w:color w:val="auto"/>
              </w:rPr>
            </w:pPr>
          </w:p>
        </w:tc>
      </w:tr>
      <w:tr>
        <w:trPr>
          <w:trHeight w:val="244"/>
        </w:trPr>
        <w:tc>
          <w:tcPr>
            <w:tcW w:w="302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282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1300" w:type="dxa"/>
            <w:vAlign w:val="bottom"/>
            <w:shd w:val="clear" w:color="auto" w:fill="E9E9E9"/>
          </w:tcPr>
          <w:p>
            <w:pPr>
              <w:jc w:val="right"/>
              <w:ind w:right="302"/>
              <w:spacing w:after="0"/>
              <w:rPr>
                <w:sz w:val="20"/>
                <w:szCs w:val="20"/>
                <w:color w:val="auto"/>
              </w:rPr>
            </w:pPr>
            <w:r>
              <w:rPr>
                <w:rFonts w:ascii="Arial" w:cs="Arial" w:eastAsia="Arial" w:hAnsi="Arial"/>
                <w:sz w:val="17"/>
                <w:szCs w:val="17"/>
                <w:color w:val="auto"/>
              </w:rPr>
              <w:t>—</w:t>
            </w:r>
          </w:p>
        </w:tc>
        <w:tc>
          <w:tcPr>
            <w:tcW w:w="580" w:type="dxa"/>
            <w:vAlign w:val="bottom"/>
            <w:shd w:val="clear" w:color="auto" w:fill="E9E9E9"/>
          </w:tcPr>
          <w:p>
            <w:pPr>
              <w:ind w:left="4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E9E9E9"/>
          </w:tcPr>
          <w:p>
            <w:pPr>
              <w:jc w:val="right"/>
              <w:ind w:right="455"/>
              <w:spacing w:after="0"/>
              <w:rPr>
                <w:sz w:val="20"/>
                <w:szCs w:val="20"/>
                <w:color w:val="auto"/>
              </w:rPr>
            </w:pPr>
            <w:r>
              <w:rPr>
                <w:rFonts w:ascii="Arial" w:cs="Arial" w:eastAsia="Arial" w:hAnsi="Arial"/>
                <w:sz w:val="17"/>
                <w:szCs w:val="17"/>
                <w:color w:val="auto"/>
              </w:rPr>
              <w:t>7,956</w:t>
            </w:r>
          </w:p>
        </w:tc>
        <w:tc>
          <w:tcPr>
            <w:tcW w:w="1300" w:type="dxa"/>
            <w:vAlign w:val="bottom"/>
            <w:shd w:val="clear" w:color="auto" w:fill="E9E9E9"/>
          </w:tcPr>
          <w:p>
            <w:pPr>
              <w:jc w:val="right"/>
              <w:ind w:right="342"/>
              <w:spacing w:after="0"/>
              <w:rPr>
                <w:sz w:val="20"/>
                <w:szCs w:val="20"/>
                <w:color w:val="auto"/>
              </w:rPr>
            </w:pPr>
            <w:r>
              <w:rPr>
                <w:rFonts w:ascii="Arial" w:cs="Arial" w:eastAsia="Arial" w:hAnsi="Arial"/>
                <w:sz w:val="17"/>
                <w:szCs w:val="17"/>
                <w:color w:val="auto"/>
              </w:rPr>
              <w:t>—</w:t>
            </w:r>
          </w:p>
        </w:tc>
        <w:tc>
          <w:tcPr>
            <w:tcW w:w="2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80,996</w:t>
            </w:r>
          </w:p>
        </w:tc>
        <w:tc>
          <w:tcPr>
            <w:tcW w:w="220" w:type="dxa"/>
            <w:vAlign w:val="bottom"/>
            <w:shd w:val="clear" w:color="auto" w:fill="E9E9E9"/>
          </w:tcPr>
          <w:p>
            <w:pPr>
              <w:spacing w:after="0"/>
              <w:rPr>
                <w:sz w:val="21"/>
                <w:szCs w:val="21"/>
                <w:color w:val="auto"/>
              </w:rPr>
            </w:pPr>
          </w:p>
        </w:tc>
      </w:tr>
    </w:tbl>
    <w:p>
      <w:pPr>
        <w:spacing w:after="0" w:line="252" w:lineRule="exact"/>
        <w:rPr>
          <w:sz w:val="20"/>
          <w:szCs w:val="20"/>
          <w:color w:val="auto"/>
        </w:rPr>
      </w:pPr>
    </w:p>
    <w:p>
      <w:pPr>
        <w:ind w:left="480" w:hanging="475"/>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Amount shown is a portion of Mr. Crutcher’s profit sharing for 2009, which was paid in 2010.</w:t>
      </w:r>
    </w:p>
    <w:p>
      <w:pPr>
        <w:spacing w:after="0" w:line="263" w:lineRule="exact"/>
        <w:rPr>
          <w:rFonts w:ascii="Arial" w:cs="Arial" w:eastAsia="Arial" w:hAnsi="Arial"/>
          <w:sz w:val="17"/>
          <w:szCs w:val="17"/>
          <w:color w:val="auto"/>
        </w:rPr>
      </w:pPr>
    </w:p>
    <w:p>
      <w:pPr>
        <w:ind w:left="480" w:right="20" w:hanging="475"/>
        <w:spacing w:after="0" w:line="252"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Company matching contributions pursuant to the defined contribution plan. These amounts are included in the All Other Compensation column of the 2010 summary compensation table on page 73.</w:t>
      </w:r>
    </w:p>
    <w:p>
      <w:pPr>
        <w:spacing w:after="0" w:line="218" w:lineRule="exact"/>
        <w:rPr>
          <w:rFonts w:ascii="Arial" w:cs="Arial" w:eastAsia="Arial" w:hAnsi="Arial"/>
          <w:sz w:val="17"/>
          <w:szCs w:val="17"/>
          <w:color w:val="auto"/>
        </w:rPr>
      </w:pPr>
    </w:p>
    <w:p>
      <w:pPr>
        <w:ind w:left="480" w:right="160" w:hanging="475"/>
        <w:spacing w:after="0" w:line="244"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Consists of: (a) $58,800 in dividend equivalents paid under the 120,000-share 1995 RSU award discussed on page 79, settlement of which has been deferred until after termination of employment; (b) a $772,800 increase in the value of the RSU award (calculated by subtracting $3,127,200 (the value of the award at year-end 2009) from $3,900,000 (the value of the award at year-end 2010) (in both cases, the number of RSUs is multiplied by the closing price of TI common stock on the last trading date of the year)); and (c) a $83,716 gain in Mr. Templeton’s deferred compensation account in 2010. Dividend equivalents are paid at the same rate as dividends on the company’s common stock.</w:t>
      </w:r>
    </w:p>
    <w:p>
      <w:pPr>
        <w:spacing w:after="0" w:line="238" w:lineRule="exact"/>
        <w:rPr>
          <w:rFonts w:ascii="Arial" w:cs="Arial" w:eastAsia="Arial" w:hAnsi="Arial"/>
          <w:sz w:val="17"/>
          <w:szCs w:val="17"/>
          <w:color w:val="auto"/>
        </w:rPr>
      </w:pPr>
    </w:p>
    <w:p>
      <w:pPr>
        <w:ind w:left="480" w:hanging="475"/>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Dividend equivalents paid on the RSUs discussed in note 3.</w:t>
      </w:r>
    </w:p>
    <w:p>
      <w:pPr>
        <w:spacing w:after="0" w:line="263" w:lineRule="exact"/>
        <w:rPr>
          <w:rFonts w:ascii="Arial" w:cs="Arial" w:eastAsia="Arial" w:hAnsi="Arial"/>
          <w:sz w:val="17"/>
          <w:szCs w:val="17"/>
          <w:color w:val="auto"/>
        </w:rPr>
      </w:pPr>
    </w:p>
    <w:p>
      <w:pPr>
        <w:ind w:left="480" w:right="180" w:hanging="475"/>
        <w:spacing w:after="0" w:line="252"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this amount, $3,900,000 is attributable to Mr. Templeton’s 1995 RSU award, calculated as described in note 3. The remainder is the balance of his deferred compensation account.</w:t>
      </w:r>
    </w:p>
    <w:p>
      <w:pPr>
        <w:spacing w:after="0" w:line="21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Please see page 71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5" w:lineRule="exact"/>
        <w:rPr>
          <w:sz w:val="20"/>
          <w:szCs w:val="20"/>
          <w:color w:val="auto"/>
        </w:rPr>
      </w:pPr>
    </w:p>
    <w:p>
      <w:pPr>
        <w:ind w:right="380" w:firstLine="262"/>
        <w:spacing w:after="0" w:line="254" w:lineRule="auto"/>
        <w:rPr>
          <w:sz w:val="20"/>
          <w:szCs w:val="20"/>
          <w:color w:val="auto"/>
        </w:rPr>
      </w:pPr>
      <w:r>
        <w:rPr>
          <w:rFonts w:ascii="Arial" w:cs="Arial" w:eastAsia="Arial" w:hAnsi="Arial"/>
          <w:sz w:val="17"/>
          <w:szCs w:val="17"/>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4" w:name="page35"/>
    <w:bookmarkEnd w:id="34"/>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82</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83" w:lineRule="exact"/>
        <w:rPr>
          <w:sz w:val="20"/>
          <w:szCs w:val="20"/>
          <w:color w:val="auto"/>
        </w:rPr>
      </w:pPr>
    </w:p>
    <w:p>
      <w:pPr>
        <w:ind w:right="80" w:firstLine="262"/>
        <w:spacing w:after="0" w:line="265" w:lineRule="auto"/>
        <w:rPr>
          <w:sz w:val="20"/>
          <w:szCs w:val="20"/>
          <w:color w:val="auto"/>
        </w:rPr>
      </w:pPr>
      <w:r>
        <w:rPr>
          <w:rFonts w:ascii="Arial" w:cs="Arial" w:eastAsia="Arial" w:hAnsi="Arial"/>
          <w:sz w:val="17"/>
          <w:szCs w:val="17"/>
          <w:color w:val="auto"/>
        </w:rPr>
        <w:t>The company has determined that the investment alternatives for deferred compensation balances should generally be the same as the investment alternatives available under the company’s defined contribution plan. These investment alternatives may be changed at any time.</w:t>
      </w:r>
    </w:p>
    <w:p>
      <w:pPr>
        <w:spacing w:after="0" w:line="1" w:lineRule="exact"/>
        <w:rPr>
          <w:sz w:val="20"/>
          <w:szCs w:val="20"/>
          <w:color w:val="auto"/>
        </w:rPr>
      </w:pPr>
    </w:p>
    <w:p>
      <w:pPr>
        <w:ind w:firstLine="262"/>
        <w:spacing w:after="0" w:line="244" w:lineRule="auto"/>
        <w:rPr>
          <w:sz w:val="20"/>
          <w:szCs w:val="20"/>
          <w:color w:val="auto"/>
        </w:rPr>
      </w:pPr>
      <w:r>
        <w:rPr>
          <w:rFonts w:ascii="Arial" w:cs="Arial" w:eastAsia="Arial" w:hAnsi="Arial"/>
          <w:sz w:val="17"/>
          <w:szCs w:val="17"/>
          <w:color w:val="auto"/>
        </w:rPr>
        <w:t>During 2010, participants could choose to have their deferred compensation mirror the performance of one or more of the following mutual funds, each of which is managed by a third party (these alternatives are a subset of those offered to participants in the defined contribution plans): Northern Trust Short Term Investment Fund, Northern Trust Daily Aggregate Bond Fund Index, Northern Trust Russell 1000 Value Equity Index, Northern Trust Russell 1000 Growth Equity Index, Northern Trust Russell 2000 Equity Index, BlackRock Equity Index Fund, BlackRock (EAFE) (Europe, Australia, Far East) Equity Index Fund, BlackRock Lifepath Index 2020 Fund, BlackRock Lifepath Index 2030 Fund, BlackRock Lifepath Index 2040 Fund, BlackRock Lifepath Index 2050 Fund and the BlackRock Lifepath Index Retirement Fund. Prior to April 2005, participants could also choose to have their deferred compensation mirror the performance of TI’s common stock. Effective January 1, 2010, the TI stock fund was removed as an investment option and prior to its removal any amounts invested in the TI stock fund were automatically reinvested in the appropriate Lifepath fund based on each participant’s assumed retirement age.</w:t>
      </w:r>
    </w:p>
    <w:p>
      <w:pPr>
        <w:spacing w:after="0" w:line="21" w:lineRule="exact"/>
        <w:rPr>
          <w:sz w:val="20"/>
          <w:szCs w:val="20"/>
          <w:color w:val="auto"/>
        </w:rPr>
      </w:pPr>
    </w:p>
    <w:p>
      <w:pPr>
        <w:ind w:right="40" w:firstLine="262"/>
        <w:spacing w:after="0" w:line="254" w:lineRule="auto"/>
        <w:rPr>
          <w:sz w:val="20"/>
          <w:szCs w:val="20"/>
          <w:color w:val="auto"/>
        </w:rPr>
      </w:pPr>
      <w:r>
        <w:rPr>
          <w:rFonts w:ascii="Arial" w:cs="Arial" w:eastAsia="Arial" w:hAnsi="Arial"/>
          <w:sz w:val="17"/>
          <w:szCs w:val="17"/>
          <w:color w:val="auto"/>
        </w:rPr>
        <w:t>From among the available investment alternatives, participants may change their instructions relating to their deferred compensation daily.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9" w:lineRule="exact"/>
        <w:rPr>
          <w:sz w:val="20"/>
          <w:szCs w:val="20"/>
          <w:color w:val="auto"/>
        </w:rPr>
      </w:pPr>
    </w:p>
    <w:p>
      <w:pPr>
        <w:jc w:val="both"/>
        <w:ind w:right="60" w:firstLine="262"/>
        <w:spacing w:after="0" w:line="254" w:lineRule="auto"/>
        <w:rPr>
          <w:sz w:val="20"/>
          <w:szCs w:val="20"/>
          <w:color w:val="auto"/>
        </w:rPr>
      </w:pPr>
      <w:r>
        <w:rPr>
          <w:rFonts w:ascii="Arial" w:cs="Arial" w:eastAsia="Arial" w:hAnsi="Arial"/>
          <w:sz w:val="17"/>
          <w:szCs w:val="17"/>
          <w:color w:val="auto"/>
        </w:rPr>
        <w:t>A participant may request distribution from the plan in the case of an unforeseeable emergency. To obtain an unforeseeable emergency withdrawal, a participant must meet the requirements of Section 409A of the IRC. Otherwise, a participant’s balance is paid pursuant to his distribution election and is subject to applicable IRC limitations.</w:t>
      </w:r>
    </w:p>
    <w:p>
      <w:pPr>
        <w:spacing w:after="0" w:line="9" w:lineRule="exact"/>
        <w:rPr>
          <w:sz w:val="20"/>
          <w:szCs w:val="20"/>
          <w:color w:val="auto"/>
        </w:rPr>
      </w:pPr>
    </w:p>
    <w:p>
      <w:pPr>
        <w:ind w:right="120" w:firstLine="262"/>
        <w:spacing w:after="0" w:line="248" w:lineRule="auto"/>
        <w:rPr>
          <w:sz w:val="20"/>
          <w:szCs w:val="20"/>
          <w:color w:val="auto"/>
        </w:rPr>
      </w:pPr>
      <w:r>
        <w:rPr>
          <w:rFonts w:ascii="Arial" w:cs="Arial" w:eastAsia="Arial" w:hAnsi="Arial"/>
          <w:sz w:val="17"/>
          <w:szCs w:val="17"/>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13" w:lineRule="exact"/>
        <w:rPr>
          <w:sz w:val="20"/>
          <w:szCs w:val="20"/>
          <w:color w:val="auto"/>
        </w:rPr>
      </w:pPr>
    </w:p>
    <w:p>
      <w:pPr>
        <w:ind w:left="260" w:right="540"/>
        <w:spacing w:after="0" w:line="273" w:lineRule="auto"/>
        <w:rPr>
          <w:sz w:val="20"/>
          <w:szCs w:val="20"/>
          <w:color w:val="auto"/>
        </w:rPr>
      </w:pPr>
      <w:r>
        <w:rPr>
          <w:rFonts w:ascii="Arial" w:cs="Arial" w:eastAsia="Arial" w:hAnsi="Arial"/>
          <w:sz w:val="17"/>
          <w:szCs w:val="17"/>
          <w:color w:val="auto"/>
        </w:rPr>
        <w:t>In the event of the participant’s death, the earliest date of payment is the first day of the second calendar month following the month of death. Like the balances under the non-qualified defined benefit pension plans, deferred compensation balances are unsecured obligations of the</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57"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Termination</w:t>
      </w:r>
    </w:p>
    <w:p>
      <w:pPr>
        <w:spacing w:after="0" w:line="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The following programs may result in payments to a named executive officer whose employment terminates. Most of these programs have been discussed above in the proxy statement. For a discussion of the impact of these programs on the compensation decisions for 2010, please see the Compensation Discussion and Analysis on page 72.</w:t>
      </w:r>
    </w:p>
    <w:p>
      <w:pPr>
        <w:spacing w:after="0" w:line="207"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Our policies concerning bonus and the timing of payments are described on page 64. Whether a bonus would be awarded, and in what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to an executive officer whose employment has terminated would depend on the circumstances of termination. It may be presumed that no bonus would be awarded in the event of a termination for cause. If awarded, bonuses are paid by the company.</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 xml:space="preserve">Qualified and non-qualified defined benefit pension plans. </w:t>
      </w:r>
      <w:r>
        <w:rPr>
          <w:rFonts w:ascii="Arial" w:cs="Arial" w:eastAsia="Arial" w:hAnsi="Arial"/>
          <w:sz w:val="17"/>
          <w:szCs w:val="17"/>
          <w:color w:val="auto"/>
        </w:rPr>
        <w:t>The purposes of these plans are described on page 71. The formula for determining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the forms of benefit and the timing of payments are described on pages 80-81. The amounts disbursed under the qualified and non-qualified plans are paid, respectively, by the TI Employees Pension Trust and the company.</w:t>
      </w:r>
    </w:p>
    <w:p>
      <w:pPr>
        <w:spacing w:after="0" w:line="198"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i w:val="1"/>
          <w:iCs w:val="1"/>
          <w:color w:val="auto"/>
        </w:rPr>
        <w:t xml:space="preserve">Deferred compensation plan. </w:t>
      </w:r>
      <w:r>
        <w:rPr>
          <w:rFonts w:ascii="Arial" w:cs="Arial" w:eastAsia="Arial" w:hAnsi="Arial"/>
          <w:sz w:val="17"/>
          <w:szCs w:val="17"/>
          <w:color w:val="auto"/>
        </w:rPr>
        <w:t>The purpose of this plan is described on page 71. The amounts payable under this program depend solely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investments that the participant has chosen for his plan balance. The timing of payments is discussed above on page 82. Amounts distributed are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199390</wp:posOffset>
            </wp:positionV>
            <wp:extent cx="727138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5" w:name="page36"/>
    <w:bookmarkEnd w:id="35"/>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83</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9"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i w:val="1"/>
          <w:iCs w:val="1"/>
          <w:color w:val="auto"/>
        </w:rPr>
        <w:t xml:space="preserve">Equity compensation. </w:t>
      </w:r>
      <w:r>
        <w:rPr>
          <w:rFonts w:ascii="Arial" w:cs="Arial" w:eastAsia="Arial" w:hAnsi="Arial"/>
          <w:sz w:val="17"/>
          <w:szCs w:val="17"/>
          <w:color w:val="auto"/>
        </w:rPr>
        <w:t>Depending on the circumstances of termination, grantees whose employment terminates may retain the right to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granted stock options and receive shares under outstanding restricted stock unit (RSU) awards. Please see pages 78-79. RSU awards include a right to receive dividend equivalents. The dividend equivalents are paid annually by the company in a single cash payment after the last dividend payment of the year.</w:t>
      </w:r>
    </w:p>
    <w:p>
      <w:pPr>
        <w:spacing w:after="0" w:line="20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i w:val="1"/>
          <w:iCs w:val="1"/>
          <w:color w:val="auto"/>
        </w:rPr>
        <w:t>Profit sharing</w:t>
      </w:r>
      <w:r>
        <w:rPr>
          <w:rFonts w:ascii="Arial" w:cs="Arial" w:eastAsia="Arial" w:hAnsi="Arial"/>
          <w:sz w:val="17"/>
          <w:szCs w:val="17"/>
          <w:color w:val="auto"/>
        </w:rPr>
        <w:t>. For a description of the purpose of this program, the formula for determining payments and the timing of payments, please see page 63.</w:t>
      </w:r>
      <w:r>
        <w:rPr>
          <w:rFonts w:ascii="Arial" w:cs="Arial" w:eastAsia="Arial" w:hAnsi="Arial"/>
          <w:sz w:val="17"/>
          <w:szCs w:val="17"/>
          <w:i w:val="1"/>
          <w:iCs w:val="1"/>
          <w:color w:val="auto"/>
        </w:rPr>
        <w:t xml:space="preserve"> </w:t>
      </w:r>
      <w:r>
        <w:rPr>
          <w:rFonts w:ascii="Arial" w:cs="Arial" w:eastAsia="Arial" w:hAnsi="Arial"/>
          <w:sz w:val="17"/>
          <w:szCs w:val="17"/>
          <w:color w:val="auto"/>
        </w:rPr>
        <w:t>Like other U.S. employees, if a named executive officer remains employed through the end of the year, he will receive any profit sharing paid for that year. In the event of retirement or commencement of a bridge to retirement, any profit sharing will be paid for the portion of the year worked before retirement or the beginning of the bridge. In the event of termination due to disability or death, the officer or his beneficiaries would receive any profit sharing paid for the year. Profit sharing payments are made by the company.</w:t>
      </w:r>
    </w:p>
    <w:p>
      <w:pPr>
        <w:spacing w:after="0" w:line="20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Time bank</w:t>
      </w:r>
      <w:r>
        <w:rPr>
          <w:rFonts w:ascii="Arial" w:cs="Arial" w:eastAsia="Arial" w:hAnsi="Arial"/>
          <w:sz w:val="17"/>
          <w:szCs w:val="17"/>
          <w:color w:val="auto"/>
        </w:rPr>
        <w:t>. Based on years of employment with the company, employees accrue hours in a time bank. Time bank hours may be used for paid</w:t>
      </w:r>
      <w:r>
        <w:rPr>
          <w:rFonts w:ascii="Arial" w:cs="Arial" w:eastAsia="Arial" w:hAnsi="Arial"/>
          <w:sz w:val="17"/>
          <w:szCs w:val="17"/>
          <w:i w:val="1"/>
          <w:iCs w:val="1"/>
          <w:color w:val="auto"/>
        </w:rPr>
        <w:t xml:space="preserve"> </w:t>
      </w:r>
      <w:r>
        <w:rPr>
          <w:rFonts w:ascii="Arial" w:cs="Arial" w:eastAsia="Arial" w:hAnsi="Arial"/>
          <w:sz w:val="17"/>
          <w:szCs w:val="17"/>
          <w:color w:val="auto"/>
        </w:rPr>
        <w:t>absences from the office such as vacation and sick days. Employees receive a cash payment for any time bank hours still outstanding on termination of employment. The amount paid is calculated by applying the employee’s base salary rate in effect at the time of termination to the number of hours remaining in the time bank. Time bank payments are made in a lump sum by the company. They are ordinarily paid no later than what would have been the employee’s next regular pay cycle.</w:t>
      </w:r>
    </w:p>
    <w:p>
      <w:pPr>
        <w:spacing w:after="0" w:line="205"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i w:val="1"/>
          <w:iCs w:val="1"/>
          <w:color w:val="auto"/>
        </w:rPr>
        <w:t>Perquisites</w:t>
      </w:r>
      <w:r>
        <w:rPr>
          <w:rFonts w:ascii="Arial" w:cs="Arial" w:eastAsia="Arial" w:hAnsi="Arial"/>
          <w:sz w:val="17"/>
          <w:szCs w:val="17"/>
          <w:color w:val="auto"/>
        </w:rPr>
        <w:t>. Financial counseling is available to executive officers in the year after retirement. Otherwise, no perquisites continue after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w:t>
      </w:r>
    </w:p>
    <w:p>
      <w:pPr>
        <w:spacing w:after="0" w:line="20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The following tables indicate the amounts for which each named executive officer would have been eligible if his employment had terminated on December 31, 2010, as a result of disability, death, involuntary termination for cause, resignation, or involuntary termination not for cause (excluding change in control). Because none of the executive officers was eligible to retire as of December 31, 2010, no potential payments are stated assuming retirement.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due to disability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5"/>
                <w:szCs w:val="15"/>
                <w:color w:val="auto"/>
              </w:rPr>
            </w:pPr>
          </w:p>
        </w:tc>
        <w:tc>
          <w:tcPr>
            <w:tcW w:w="820" w:type="dxa"/>
            <w:vAlign w:val="bottom"/>
          </w:tcPr>
          <w:p>
            <w:pPr>
              <w:jc w:val="center"/>
              <w:ind w:right="126"/>
              <w:spacing w:after="0"/>
              <w:rPr>
                <w:sz w:val="20"/>
                <w:szCs w:val="20"/>
                <w:color w:val="auto"/>
              </w:rPr>
            </w:pPr>
            <w:r>
              <w:rPr>
                <w:rFonts w:ascii="Arial" w:cs="Arial" w:eastAsia="Arial" w:hAnsi="Arial"/>
                <w:sz w:val="13"/>
                <w:szCs w:val="13"/>
                <w:b w:val="1"/>
                <w:bCs w:val="1"/>
                <w:color w:val="auto"/>
              </w:rPr>
              <w:t>Non-</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6"/>
        </w:trPr>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86"/>
              <w:spacing w:after="0"/>
              <w:rPr>
                <w:sz w:val="20"/>
                <w:szCs w:val="20"/>
                <w:color w:val="auto"/>
              </w:rPr>
            </w:pPr>
            <w:r>
              <w:rPr>
                <w:rFonts w:ascii="Arial" w:cs="Arial" w:eastAsia="Arial" w:hAnsi="Arial"/>
                <w:sz w:val="13"/>
                <w:szCs w:val="13"/>
                <w:b w:val="1"/>
                <w:bCs w:val="1"/>
                <w:color w:val="auto"/>
              </w:rPr>
              <w:t>Qualified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60" w:type="dxa"/>
            <w:vAlign w:val="bottom"/>
          </w:tcPr>
          <w:p>
            <w:pPr>
              <w:spacing w:after="0"/>
              <w:rPr>
                <w:sz w:val="20"/>
                <w:szCs w:val="20"/>
                <w:color w:val="auto"/>
              </w:rPr>
            </w:pPr>
          </w:p>
        </w:tc>
        <w:tc>
          <w:tcPr>
            <w:tcW w:w="820" w:type="dxa"/>
            <w:vAlign w:val="bottom"/>
          </w:tcPr>
          <w:p>
            <w:pPr>
              <w:jc w:val="center"/>
              <w:ind w:right="106"/>
              <w:spacing w:after="0"/>
              <w:rPr>
                <w:sz w:val="20"/>
                <w:szCs w:val="20"/>
                <w:color w:val="auto"/>
              </w:rPr>
            </w:pPr>
            <w:r>
              <w:rPr>
                <w:rFonts w:ascii="Arial" w:cs="Arial" w:eastAsia="Arial" w:hAnsi="Arial"/>
                <w:sz w:val="13"/>
                <w:szCs w:val="13"/>
                <w:b w:val="1"/>
                <w:bCs w:val="1"/>
                <w:color w:val="auto"/>
              </w:rPr>
              <w:t>Qualified</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86"/>
              <w:spacing w:after="0"/>
              <w:rPr>
                <w:sz w:val="20"/>
                <w:szCs w:val="20"/>
                <w:color w:val="auto"/>
              </w:rPr>
            </w:pPr>
            <w:r>
              <w:rPr>
                <w:rFonts w:ascii="Arial" w:cs="Arial" w:eastAsia="Arial" w:hAnsi="Arial"/>
                <w:sz w:val="13"/>
                <w:szCs w:val="13"/>
                <w:b w:val="1"/>
                <w:bCs w:val="1"/>
                <w:color w:val="auto"/>
              </w:rPr>
              <w:t>Defined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60" w:type="dxa"/>
            <w:vAlign w:val="bottom"/>
          </w:tcPr>
          <w:p>
            <w:pPr>
              <w:spacing w:after="0"/>
              <w:rPr>
                <w:sz w:val="20"/>
                <w:szCs w:val="20"/>
                <w:color w:val="auto"/>
              </w:rPr>
            </w:pPr>
          </w:p>
        </w:tc>
        <w:tc>
          <w:tcPr>
            <w:tcW w:w="820" w:type="dxa"/>
            <w:vAlign w:val="bottom"/>
          </w:tcPr>
          <w:p>
            <w:pPr>
              <w:jc w:val="center"/>
              <w:ind w:right="106"/>
              <w:spacing w:after="0"/>
              <w:rPr>
                <w:sz w:val="20"/>
                <w:szCs w:val="20"/>
                <w:color w:val="auto"/>
              </w:rPr>
            </w:pPr>
            <w:r>
              <w:rPr>
                <w:rFonts w:ascii="Arial" w:cs="Arial" w:eastAsia="Arial" w:hAnsi="Arial"/>
                <w:sz w:val="13"/>
                <w:szCs w:val="13"/>
                <w:b w:val="1"/>
                <w:bCs w:val="1"/>
                <w:color w:val="auto"/>
              </w:rPr>
              <w:t>Defined</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86"/>
              <w:spacing w:after="0"/>
              <w:rPr>
                <w:sz w:val="20"/>
                <w:szCs w:val="20"/>
                <w:color w:val="auto"/>
              </w:rPr>
            </w:pPr>
            <w:r>
              <w:rPr>
                <w:rFonts w:ascii="Arial" w:cs="Arial" w:eastAsia="Arial" w:hAnsi="Arial"/>
                <w:sz w:val="13"/>
                <w:szCs w:val="13"/>
                <w:b w:val="1"/>
                <w:bCs w:val="1"/>
                <w:color w:val="auto"/>
                <w:w w:val="99"/>
              </w:rPr>
              <w:t>Benefit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60" w:type="dxa"/>
            <w:vAlign w:val="bottom"/>
          </w:tcPr>
          <w:p>
            <w:pPr>
              <w:spacing w:after="0"/>
              <w:rPr>
                <w:sz w:val="20"/>
                <w:szCs w:val="20"/>
                <w:color w:val="auto"/>
              </w:rPr>
            </w:pPr>
          </w:p>
        </w:tc>
        <w:tc>
          <w:tcPr>
            <w:tcW w:w="820" w:type="dxa"/>
            <w:vAlign w:val="bottom"/>
          </w:tcPr>
          <w:p>
            <w:pPr>
              <w:jc w:val="center"/>
              <w:ind w:right="106"/>
              <w:spacing w:after="0"/>
              <w:rPr>
                <w:sz w:val="20"/>
                <w:szCs w:val="20"/>
                <w:color w:val="auto"/>
              </w:rPr>
            </w:pPr>
            <w:r>
              <w:rPr>
                <w:rFonts w:ascii="Arial" w:cs="Arial" w:eastAsia="Arial" w:hAnsi="Arial"/>
                <w:sz w:val="13"/>
                <w:szCs w:val="13"/>
                <w:b w:val="1"/>
                <w:bCs w:val="1"/>
                <w:color w:val="auto"/>
                <w:w w:val="99"/>
              </w:rPr>
              <w:t>Benefit</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6"/>
        </w:trPr>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86"/>
              <w:spacing w:after="0"/>
              <w:rPr>
                <w:sz w:val="20"/>
                <w:szCs w:val="20"/>
                <w:color w:val="auto"/>
              </w:rPr>
            </w:pPr>
            <w:r>
              <w:rPr>
                <w:rFonts w:ascii="Arial" w:cs="Arial" w:eastAsia="Arial" w:hAnsi="Arial"/>
                <w:sz w:val="13"/>
                <w:szCs w:val="13"/>
                <w:b w:val="1"/>
                <w:bCs w:val="1"/>
                <w:color w:val="auto"/>
              </w:rPr>
              <w:t>Pension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160" w:type="dxa"/>
            <w:vAlign w:val="bottom"/>
          </w:tcPr>
          <w:p>
            <w:pPr>
              <w:spacing w:after="0"/>
              <w:rPr>
                <w:sz w:val="20"/>
                <w:szCs w:val="20"/>
                <w:color w:val="auto"/>
              </w:rPr>
            </w:pPr>
          </w:p>
        </w:tc>
        <w:tc>
          <w:tcPr>
            <w:tcW w:w="820" w:type="dxa"/>
            <w:vAlign w:val="bottom"/>
          </w:tcPr>
          <w:p>
            <w:pPr>
              <w:jc w:val="center"/>
              <w:ind w:right="126"/>
              <w:spacing w:after="0"/>
              <w:rPr>
                <w:sz w:val="20"/>
                <w:szCs w:val="20"/>
                <w:color w:val="auto"/>
              </w:rPr>
            </w:pPr>
            <w:r>
              <w:rPr>
                <w:rFonts w:ascii="Arial" w:cs="Arial" w:eastAsia="Arial" w:hAnsi="Arial"/>
                <w:sz w:val="13"/>
                <w:szCs w:val="13"/>
                <w:b w:val="1"/>
                <w:bCs w:val="1"/>
                <w:color w:val="auto"/>
                <w:w w:val="98"/>
              </w:rPr>
              <w:t>Pension</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82"/>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20"/>
                <w:szCs w:val="20"/>
                <w:color w:val="auto"/>
              </w:rPr>
            </w:pPr>
          </w:p>
        </w:tc>
        <w:tc>
          <w:tcPr>
            <w:tcW w:w="700" w:type="dxa"/>
            <w:vAlign w:val="bottom"/>
          </w:tcPr>
          <w:p>
            <w:pPr>
              <w:jc w:val="center"/>
              <w:ind w:right="82"/>
              <w:spacing w:after="0"/>
              <w:rPr>
                <w:sz w:val="20"/>
                <w:szCs w:val="20"/>
                <w:color w:val="auto"/>
              </w:rPr>
            </w:pPr>
            <w:r>
              <w:rPr>
                <w:rFonts w:ascii="Arial" w:cs="Arial" w:eastAsia="Arial" w:hAnsi="Arial"/>
                <w:sz w:val="13"/>
                <w:szCs w:val="13"/>
                <w:b w:val="1"/>
                <w:bCs w:val="1"/>
                <w:color w:val="auto"/>
              </w:rPr>
              <w:t>Profit</w:t>
            </w:r>
          </w:p>
        </w:tc>
        <w:tc>
          <w:tcPr>
            <w:tcW w:w="180" w:type="dxa"/>
            <w:vAlign w:val="bottom"/>
          </w:tcPr>
          <w:p>
            <w:pPr>
              <w:spacing w:after="0"/>
              <w:rPr>
                <w:sz w:val="20"/>
                <w:szCs w:val="20"/>
                <w:color w:val="auto"/>
              </w:rPr>
            </w:pPr>
          </w:p>
        </w:tc>
        <w:tc>
          <w:tcPr>
            <w:tcW w:w="660" w:type="dxa"/>
            <w:vAlign w:val="bottom"/>
          </w:tcPr>
          <w:p>
            <w:pPr>
              <w:jc w:val="center"/>
              <w:ind w:right="122"/>
              <w:spacing w:after="0"/>
              <w:rPr>
                <w:sz w:val="20"/>
                <w:szCs w:val="20"/>
                <w:color w:val="auto"/>
              </w:rPr>
            </w:pPr>
            <w:r>
              <w:rPr>
                <w:rFonts w:ascii="Arial" w:cs="Arial" w:eastAsia="Arial" w:hAnsi="Arial"/>
                <w:sz w:val="13"/>
                <w:szCs w:val="13"/>
                <w:b w:val="1"/>
                <w:bCs w:val="1"/>
                <w:color w:val="auto"/>
                <w:w w:val="98"/>
              </w:rPr>
              <w:t>Time</w:t>
            </w:r>
          </w:p>
        </w:tc>
        <w:tc>
          <w:tcPr>
            <w:tcW w:w="1020" w:type="dxa"/>
            <w:vAlign w:val="bottom"/>
          </w:tcPr>
          <w:p>
            <w:pPr>
              <w:spacing w:after="0"/>
              <w:rPr>
                <w:sz w:val="20"/>
                <w:szCs w:val="20"/>
                <w:color w:val="auto"/>
              </w:rPr>
            </w:pPr>
          </w:p>
        </w:tc>
      </w:tr>
      <w:tr>
        <w:trPr>
          <w:trHeight w:val="236"/>
        </w:trPr>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center"/>
              <w:ind w:right="86"/>
              <w:spacing w:after="0"/>
              <w:rPr>
                <w:sz w:val="20"/>
                <w:szCs w:val="20"/>
                <w:color w:val="auto"/>
              </w:rPr>
            </w:pPr>
            <w:r>
              <w:rPr>
                <w:rFonts w:ascii="Arial" w:cs="Arial" w:eastAsia="Arial" w:hAnsi="Arial"/>
                <w:sz w:val="13"/>
                <w:szCs w:val="13"/>
                <w:b w:val="1"/>
                <w:bCs w:val="1"/>
                <w:color w:val="auto"/>
              </w:rPr>
              <w:t>Plan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160" w:type="dxa"/>
            <w:vAlign w:val="bottom"/>
          </w:tcPr>
          <w:p>
            <w:pPr>
              <w:spacing w:after="0"/>
              <w:rPr>
                <w:sz w:val="20"/>
                <w:szCs w:val="20"/>
                <w:color w:val="auto"/>
              </w:rPr>
            </w:pPr>
          </w:p>
        </w:tc>
        <w:tc>
          <w:tcPr>
            <w:tcW w:w="820" w:type="dxa"/>
            <w:vAlign w:val="bottom"/>
          </w:tcPr>
          <w:p>
            <w:pPr>
              <w:jc w:val="center"/>
              <w:ind w:right="126"/>
              <w:spacing w:after="0"/>
              <w:rPr>
                <w:sz w:val="20"/>
                <w:szCs w:val="20"/>
                <w:color w:val="auto"/>
              </w:rPr>
            </w:pPr>
            <w:r>
              <w:rPr>
                <w:rFonts w:ascii="Arial" w:cs="Arial" w:eastAsia="Arial" w:hAnsi="Arial"/>
                <w:sz w:val="13"/>
                <w:szCs w:val="13"/>
                <w:b w:val="1"/>
                <w:bCs w:val="1"/>
                <w:color w:val="auto"/>
                <w:w w:val="99"/>
              </w:rPr>
              <w:t>Plan II</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Deferred</w:t>
            </w:r>
          </w:p>
        </w:tc>
        <w:tc>
          <w:tcPr>
            <w:tcW w:w="180" w:type="dxa"/>
            <w:vAlign w:val="bottom"/>
          </w:tcPr>
          <w:p>
            <w:pPr>
              <w:spacing w:after="0"/>
              <w:rPr>
                <w:sz w:val="20"/>
                <w:szCs w:val="20"/>
                <w:color w:val="auto"/>
              </w:rPr>
            </w:pPr>
          </w:p>
        </w:tc>
        <w:tc>
          <w:tcPr>
            <w:tcW w:w="920" w:type="dxa"/>
            <w:vAlign w:val="bottom"/>
          </w:tcPr>
          <w:p>
            <w:pPr>
              <w:jc w:val="right"/>
              <w:ind w:right="280"/>
              <w:spacing w:after="0"/>
              <w:rPr>
                <w:sz w:val="20"/>
                <w:szCs w:val="20"/>
                <w:color w:val="auto"/>
              </w:rPr>
            </w:pPr>
            <w:r>
              <w:rPr>
                <w:rFonts w:ascii="Arial" w:cs="Arial" w:eastAsia="Arial" w:hAnsi="Arial"/>
                <w:sz w:val="13"/>
                <w:szCs w:val="13"/>
                <w:b w:val="1"/>
                <w:bCs w:val="1"/>
                <w:color w:val="auto"/>
              </w:rPr>
              <w:t>RSUs</w:t>
            </w:r>
          </w:p>
        </w:tc>
        <w:tc>
          <w:tcPr>
            <w:tcW w:w="160" w:type="dxa"/>
            <w:vAlign w:val="bottom"/>
          </w:tcPr>
          <w:p>
            <w:pPr>
              <w:spacing w:after="0"/>
              <w:rPr>
                <w:sz w:val="20"/>
                <w:szCs w:val="20"/>
                <w:color w:val="auto"/>
              </w:rPr>
            </w:pPr>
          </w:p>
        </w:tc>
        <w:tc>
          <w:tcPr>
            <w:tcW w:w="920" w:type="dxa"/>
            <w:vAlign w:val="bottom"/>
          </w:tcPr>
          <w:p>
            <w:pPr>
              <w:jc w:val="center"/>
              <w:ind w:right="102"/>
              <w:spacing w:after="0"/>
              <w:rPr>
                <w:sz w:val="20"/>
                <w:szCs w:val="20"/>
                <w:color w:val="auto"/>
              </w:rPr>
            </w:pPr>
            <w:r>
              <w:rPr>
                <w:rFonts w:ascii="Arial" w:cs="Arial" w:eastAsia="Arial" w:hAnsi="Arial"/>
                <w:sz w:val="13"/>
                <w:szCs w:val="13"/>
                <w:b w:val="1"/>
                <w:bCs w:val="1"/>
                <w:color w:val="auto"/>
              </w:rPr>
              <w:t>Options</w:t>
            </w:r>
          </w:p>
        </w:tc>
        <w:tc>
          <w:tcPr>
            <w:tcW w:w="14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w w:val="99"/>
              </w:rPr>
              <w:t>Sharing</w:t>
            </w:r>
          </w:p>
        </w:tc>
        <w:tc>
          <w:tcPr>
            <w:tcW w:w="180" w:type="dxa"/>
            <w:vAlign w:val="bottom"/>
          </w:tcPr>
          <w:p>
            <w:pPr>
              <w:spacing w:after="0"/>
              <w:rPr>
                <w:sz w:val="20"/>
                <w:szCs w:val="20"/>
                <w:color w:val="auto"/>
              </w:rPr>
            </w:pPr>
          </w:p>
        </w:tc>
        <w:tc>
          <w:tcPr>
            <w:tcW w:w="660" w:type="dxa"/>
            <w:vAlign w:val="bottom"/>
          </w:tcPr>
          <w:p>
            <w:pPr>
              <w:jc w:val="center"/>
              <w:ind w:right="142"/>
              <w:spacing w:after="0"/>
              <w:rPr>
                <w:sz w:val="20"/>
                <w:szCs w:val="20"/>
                <w:color w:val="auto"/>
              </w:rPr>
            </w:pPr>
            <w:r>
              <w:rPr>
                <w:rFonts w:ascii="Arial" w:cs="Arial" w:eastAsia="Arial" w:hAnsi="Arial"/>
                <w:sz w:val="13"/>
                <w:szCs w:val="13"/>
                <w:b w:val="1"/>
                <w:bCs w:val="1"/>
                <w:color w:val="auto"/>
              </w:rPr>
              <w:t>Bank</w:t>
            </w:r>
          </w:p>
        </w:tc>
        <w:tc>
          <w:tcPr>
            <w:tcW w:w="1020" w:type="dxa"/>
            <w:vAlign w:val="bottom"/>
          </w:tcPr>
          <w:p>
            <w:pPr>
              <w:spacing w:after="0"/>
              <w:rPr>
                <w:sz w:val="20"/>
                <w:szCs w:val="20"/>
                <w:color w:val="auto"/>
              </w:rPr>
            </w:pPr>
          </w:p>
        </w:tc>
      </w:tr>
      <w:tr>
        <w:trPr>
          <w:trHeight w:val="236"/>
        </w:trPr>
        <w:tc>
          <w:tcPr>
            <w:tcW w:w="15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0" w:type="dxa"/>
            <w:vAlign w:val="bottom"/>
          </w:tcPr>
          <w:p>
            <w:pPr>
              <w:jc w:val="center"/>
              <w:ind w:left="578"/>
              <w:spacing w:after="0"/>
              <w:rPr>
                <w:sz w:val="20"/>
                <w:szCs w:val="20"/>
                <w:color w:val="auto"/>
              </w:rPr>
            </w:pPr>
            <w:r>
              <w:rPr>
                <w:rFonts w:ascii="Arial" w:cs="Arial" w:eastAsia="Arial" w:hAnsi="Arial"/>
                <w:sz w:val="13"/>
                <w:szCs w:val="13"/>
                <w:b w:val="1"/>
                <w:bCs w:val="1"/>
                <w:color w:val="auto"/>
              </w:rPr>
              <w:t>Bonus</w:t>
            </w:r>
          </w:p>
        </w:tc>
        <w:tc>
          <w:tcPr>
            <w:tcW w:w="160" w:type="dxa"/>
            <w:vAlign w:val="bottom"/>
          </w:tcPr>
          <w:p>
            <w:pPr>
              <w:spacing w:after="0"/>
              <w:rPr>
                <w:sz w:val="20"/>
                <w:szCs w:val="20"/>
                <w:color w:val="auto"/>
              </w:rPr>
            </w:pPr>
          </w:p>
        </w:tc>
        <w:tc>
          <w:tcPr>
            <w:tcW w:w="800" w:type="dxa"/>
            <w:vAlign w:val="bottom"/>
          </w:tcPr>
          <w:p>
            <w:pPr>
              <w:jc w:val="center"/>
              <w:ind w:right="86"/>
              <w:spacing w:after="0"/>
              <w:rPr>
                <w:sz w:val="20"/>
                <w:szCs w:val="20"/>
                <w:color w:val="auto"/>
              </w:rPr>
            </w:pPr>
            <w:r>
              <w:rPr>
                <w:rFonts w:ascii="Arial" w:cs="Arial" w:eastAsia="Arial" w:hAnsi="Arial"/>
                <w:sz w:val="13"/>
                <w:szCs w:val="13"/>
                <w:b w:val="1"/>
                <w:bCs w:val="1"/>
                <w:color w:val="auto"/>
              </w:rPr>
              <w:t>(2)</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(3)</w:t>
            </w:r>
          </w:p>
        </w:tc>
        <w:tc>
          <w:tcPr>
            <w:tcW w:w="160" w:type="dxa"/>
            <w:vAlign w:val="bottom"/>
          </w:tcPr>
          <w:p>
            <w:pPr>
              <w:spacing w:after="0"/>
              <w:rPr>
                <w:sz w:val="20"/>
                <w:szCs w:val="20"/>
                <w:color w:val="auto"/>
              </w:rPr>
            </w:pPr>
          </w:p>
        </w:tc>
        <w:tc>
          <w:tcPr>
            <w:tcW w:w="820" w:type="dxa"/>
            <w:vAlign w:val="bottom"/>
          </w:tcPr>
          <w:p>
            <w:pPr>
              <w:jc w:val="center"/>
              <w:ind w:right="106"/>
              <w:spacing w:after="0"/>
              <w:rPr>
                <w:sz w:val="20"/>
                <w:szCs w:val="20"/>
                <w:color w:val="auto"/>
              </w:rPr>
            </w:pPr>
            <w:r>
              <w:rPr>
                <w:rFonts w:ascii="Arial" w:cs="Arial" w:eastAsia="Arial" w:hAnsi="Arial"/>
                <w:sz w:val="13"/>
                <w:szCs w:val="13"/>
                <w:b w:val="1"/>
                <w:bCs w:val="1"/>
                <w:color w:val="auto"/>
              </w:rPr>
              <w:t>(4)</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80" w:type="dxa"/>
            <w:vAlign w:val="bottom"/>
          </w:tcPr>
          <w:p>
            <w:pPr>
              <w:spacing w:after="0"/>
              <w:rPr>
                <w:sz w:val="20"/>
                <w:szCs w:val="20"/>
                <w:color w:val="auto"/>
              </w:rPr>
            </w:pPr>
          </w:p>
        </w:tc>
        <w:tc>
          <w:tcPr>
            <w:tcW w:w="920" w:type="dxa"/>
            <w:vAlign w:val="bottom"/>
          </w:tcPr>
          <w:p>
            <w:pPr>
              <w:jc w:val="right"/>
              <w:ind w:right="380"/>
              <w:spacing w:after="0"/>
              <w:rPr>
                <w:sz w:val="20"/>
                <w:szCs w:val="20"/>
                <w:color w:val="auto"/>
              </w:rPr>
            </w:pPr>
            <w:r>
              <w:rPr>
                <w:rFonts w:ascii="Arial" w:cs="Arial" w:eastAsia="Arial" w:hAnsi="Arial"/>
                <w:sz w:val="13"/>
                <w:szCs w:val="13"/>
                <w:b w:val="1"/>
                <w:bCs w:val="1"/>
                <w:color w:val="auto"/>
              </w:rPr>
              <w:t>(5)</w:t>
            </w:r>
          </w:p>
        </w:tc>
        <w:tc>
          <w:tcPr>
            <w:tcW w:w="160" w:type="dxa"/>
            <w:vAlign w:val="bottom"/>
          </w:tcPr>
          <w:p>
            <w:pPr>
              <w:spacing w:after="0"/>
              <w:rPr>
                <w:sz w:val="20"/>
                <w:szCs w:val="20"/>
                <w:color w:val="auto"/>
              </w:rPr>
            </w:pPr>
          </w:p>
        </w:tc>
        <w:tc>
          <w:tcPr>
            <w:tcW w:w="920" w:type="dxa"/>
            <w:vAlign w:val="bottom"/>
          </w:tcPr>
          <w:p>
            <w:pPr>
              <w:jc w:val="center"/>
              <w:ind w:right="82"/>
              <w:spacing w:after="0"/>
              <w:rPr>
                <w:sz w:val="20"/>
                <w:szCs w:val="20"/>
                <w:color w:val="auto"/>
              </w:rPr>
            </w:pPr>
            <w:r>
              <w:rPr>
                <w:rFonts w:ascii="Arial" w:cs="Arial" w:eastAsia="Arial" w:hAnsi="Arial"/>
                <w:sz w:val="13"/>
                <w:szCs w:val="13"/>
                <w:b w:val="1"/>
                <w:bCs w:val="1"/>
                <w:color w:val="auto"/>
              </w:rPr>
              <w:t>(6)</w:t>
            </w:r>
          </w:p>
        </w:tc>
        <w:tc>
          <w:tcPr>
            <w:tcW w:w="14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(7)</w:t>
            </w:r>
          </w:p>
        </w:tc>
        <w:tc>
          <w:tcPr>
            <w:tcW w:w="180" w:type="dxa"/>
            <w:vAlign w:val="bottom"/>
          </w:tcPr>
          <w:p>
            <w:pPr>
              <w:spacing w:after="0"/>
              <w:rPr>
                <w:sz w:val="20"/>
                <w:szCs w:val="20"/>
                <w:color w:val="auto"/>
              </w:rPr>
            </w:pPr>
          </w:p>
        </w:tc>
        <w:tc>
          <w:tcPr>
            <w:tcW w:w="660" w:type="dxa"/>
            <w:vAlign w:val="bottom"/>
          </w:tcPr>
          <w:p>
            <w:pPr>
              <w:jc w:val="center"/>
              <w:ind w:right="142"/>
              <w:spacing w:after="0"/>
              <w:rPr>
                <w:sz w:val="20"/>
                <w:szCs w:val="20"/>
                <w:color w:val="auto"/>
              </w:rPr>
            </w:pPr>
            <w:r>
              <w:rPr>
                <w:rFonts w:ascii="Arial" w:cs="Arial" w:eastAsia="Arial" w:hAnsi="Arial"/>
                <w:sz w:val="13"/>
                <w:szCs w:val="13"/>
                <w:b w:val="1"/>
                <w:bCs w:val="1"/>
                <w:color w:val="auto"/>
              </w:rPr>
              <w:t>(8)</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41"/>
        </w:trPr>
        <w:tc>
          <w:tcPr>
            <w:tcW w:w="1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66"/>
        </w:trPr>
        <w:tc>
          <w:tcPr>
            <w:tcW w:w="1500" w:type="dxa"/>
            <w:vAlign w:val="bottom"/>
            <w:shd w:val="clear" w:color="auto" w:fill="808285"/>
          </w:tcPr>
          <w:p>
            <w:pPr>
              <w:spacing w:after="0"/>
              <w:rPr>
                <w:sz w:val="5"/>
                <w:szCs w:val="5"/>
                <w:color w:val="auto"/>
              </w:rPr>
            </w:pPr>
          </w:p>
        </w:tc>
        <w:tc>
          <w:tcPr>
            <w:tcW w:w="1200" w:type="dxa"/>
            <w:vAlign w:val="bottom"/>
            <w:shd w:val="clear" w:color="auto" w:fill="808285"/>
          </w:tcPr>
          <w:p>
            <w:pPr>
              <w:spacing w:after="0"/>
              <w:rPr>
                <w:sz w:val="5"/>
                <w:szCs w:val="5"/>
                <w:color w:val="auto"/>
              </w:rPr>
            </w:pPr>
          </w:p>
        </w:tc>
        <w:tc>
          <w:tcPr>
            <w:tcW w:w="160" w:type="dxa"/>
            <w:vAlign w:val="bottom"/>
            <w:shd w:val="clear" w:color="auto" w:fill="808285"/>
          </w:tcPr>
          <w:p>
            <w:pPr>
              <w:spacing w:after="0"/>
              <w:rPr>
                <w:sz w:val="5"/>
                <w:szCs w:val="5"/>
                <w:color w:val="auto"/>
              </w:rPr>
            </w:pPr>
          </w:p>
        </w:tc>
        <w:tc>
          <w:tcPr>
            <w:tcW w:w="80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c>
          <w:tcPr>
            <w:tcW w:w="160" w:type="dxa"/>
            <w:vAlign w:val="bottom"/>
            <w:shd w:val="clear" w:color="auto" w:fill="808285"/>
          </w:tcPr>
          <w:p>
            <w:pPr>
              <w:spacing w:after="0"/>
              <w:rPr>
                <w:sz w:val="5"/>
                <w:szCs w:val="5"/>
                <w:color w:val="auto"/>
              </w:rPr>
            </w:pPr>
          </w:p>
        </w:tc>
        <w:tc>
          <w:tcPr>
            <w:tcW w:w="820" w:type="dxa"/>
            <w:vAlign w:val="bottom"/>
            <w:shd w:val="clear" w:color="auto" w:fill="808285"/>
          </w:tcPr>
          <w:p>
            <w:pPr>
              <w:spacing w:after="0"/>
              <w:rPr>
                <w:sz w:val="5"/>
                <w:szCs w:val="5"/>
                <w:color w:val="auto"/>
              </w:rPr>
            </w:pPr>
          </w:p>
        </w:tc>
        <w:tc>
          <w:tcPr>
            <w:tcW w:w="104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920" w:type="dxa"/>
            <w:vAlign w:val="bottom"/>
            <w:shd w:val="clear" w:color="auto" w:fill="808285"/>
          </w:tcPr>
          <w:p>
            <w:pPr>
              <w:spacing w:after="0"/>
              <w:rPr>
                <w:sz w:val="5"/>
                <w:szCs w:val="5"/>
                <w:color w:val="auto"/>
              </w:rPr>
            </w:pPr>
          </w:p>
        </w:tc>
        <w:tc>
          <w:tcPr>
            <w:tcW w:w="160" w:type="dxa"/>
            <w:vAlign w:val="bottom"/>
            <w:shd w:val="clear" w:color="auto" w:fill="808285"/>
          </w:tcPr>
          <w:p>
            <w:pPr>
              <w:spacing w:after="0"/>
              <w:rPr>
                <w:sz w:val="5"/>
                <w:szCs w:val="5"/>
                <w:color w:val="auto"/>
              </w:rPr>
            </w:pPr>
          </w:p>
        </w:tc>
        <w:tc>
          <w:tcPr>
            <w:tcW w:w="920" w:type="dxa"/>
            <w:vAlign w:val="bottom"/>
            <w:shd w:val="clear" w:color="auto" w:fill="808285"/>
          </w:tcPr>
          <w:p>
            <w:pPr>
              <w:spacing w:after="0"/>
              <w:rPr>
                <w:sz w:val="5"/>
                <w:szCs w:val="5"/>
                <w:color w:val="auto"/>
              </w:rPr>
            </w:pPr>
          </w:p>
        </w:tc>
        <w:tc>
          <w:tcPr>
            <w:tcW w:w="14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660" w:type="dxa"/>
            <w:vAlign w:val="bottom"/>
            <w:shd w:val="clear" w:color="auto" w:fill="808285"/>
          </w:tcPr>
          <w:p>
            <w:pPr>
              <w:spacing w:after="0"/>
              <w:rPr>
                <w:sz w:val="5"/>
                <w:szCs w:val="5"/>
                <w:color w:val="auto"/>
              </w:rPr>
            </w:pPr>
          </w:p>
        </w:tc>
        <w:tc>
          <w:tcPr>
            <w:tcW w:w="1020" w:type="dxa"/>
            <w:vAlign w:val="bottom"/>
            <w:shd w:val="clear" w:color="auto" w:fill="808285"/>
          </w:tcPr>
          <w:p>
            <w:pPr>
              <w:spacing w:after="0"/>
              <w:rPr>
                <w:sz w:val="5"/>
                <w:szCs w:val="5"/>
                <w:color w:val="auto"/>
              </w:rPr>
            </w:pPr>
          </w:p>
        </w:tc>
      </w:tr>
      <w:tr>
        <w:trPr>
          <w:trHeight w:val="236"/>
        </w:trPr>
        <w:tc>
          <w:tcPr>
            <w:tcW w:w="150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200" w:type="dxa"/>
            <w:vAlign w:val="bottom"/>
            <w:shd w:val="clear" w:color="auto" w:fill="E9E9E9"/>
          </w:tcPr>
          <w:p>
            <w:pPr>
              <w:jc w:val="center"/>
              <w:ind w:left="578"/>
              <w:spacing w:after="0"/>
              <w:rPr>
                <w:sz w:val="20"/>
                <w:szCs w:val="20"/>
                <w:color w:val="auto"/>
              </w:rPr>
            </w:pPr>
            <w:r>
              <w:rPr>
                <w:rFonts w:ascii="Arial" w:cs="Arial" w:eastAsia="Arial" w:hAnsi="Arial"/>
                <w:sz w:val="17"/>
                <w:szCs w:val="17"/>
                <w:color w:val="auto"/>
              </w:rPr>
              <w:t>(1)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835,851</w:t>
            </w:r>
          </w:p>
        </w:tc>
        <w:tc>
          <w:tcPr>
            <w:tcW w:w="86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$609,677</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158,259</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26,698,328</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44,516,091</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w w:val="97"/>
              </w:rPr>
              <w:t>171,094</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196,112</w:t>
            </w:r>
          </w:p>
        </w:tc>
        <w:tc>
          <w:tcPr>
            <w:tcW w:w="10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$73,185,412</w:t>
            </w:r>
          </w:p>
        </w:tc>
      </w:tr>
      <w:tr>
        <w:trPr>
          <w:trHeight w:val="228"/>
        </w:trPr>
        <w:tc>
          <w:tcPr>
            <w:tcW w:w="1500" w:type="dxa"/>
            <w:vAlign w:val="bottom"/>
          </w:tcPr>
          <w:p>
            <w:pPr>
              <w:spacing w:after="0"/>
              <w:rPr>
                <w:sz w:val="20"/>
                <w:szCs w:val="20"/>
                <w:color w:val="auto"/>
              </w:rPr>
            </w:pPr>
            <w:r>
              <w:rPr>
                <w:rFonts w:ascii="Arial" w:cs="Arial" w:eastAsia="Arial" w:hAnsi="Arial"/>
                <w:sz w:val="17"/>
                <w:szCs w:val="17"/>
                <w:color w:val="auto"/>
              </w:rPr>
              <w:t>March</w:t>
            </w:r>
          </w:p>
        </w:tc>
        <w:tc>
          <w:tcPr>
            <w:tcW w:w="1200" w:type="dxa"/>
            <w:vAlign w:val="bottom"/>
          </w:tcPr>
          <w:p>
            <w:pPr>
              <w:jc w:val="center"/>
              <w:ind w:left="578"/>
              <w:spacing w:after="0"/>
              <w:rPr>
                <w:sz w:val="20"/>
                <w:szCs w:val="20"/>
                <w:color w:val="auto"/>
              </w:rPr>
            </w:pPr>
            <w:r>
              <w:rPr>
                <w:rFonts w:ascii="Arial" w:cs="Arial" w:eastAsia="Arial" w:hAnsi="Arial"/>
                <w:sz w:val="17"/>
                <w:szCs w:val="17"/>
                <w:color w:val="auto"/>
              </w:rPr>
              <w:t>(1)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5"/>
              </w:rPr>
              <w:t>1,361,323</w:t>
            </w:r>
          </w:p>
        </w:tc>
        <w:tc>
          <w:tcPr>
            <w:tcW w:w="860" w:type="dxa"/>
            <w:vAlign w:val="bottom"/>
          </w:tcPr>
          <w:p>
            <w:pPr>
              <w:jc w:val="right"/>
              <w:ind w:right="6"/>
              <w:spacing w:after="0"/>
              <w:rPr>
                <w:sz w:val="20"/>
                <w:szCs w:val="20"/>
                <w:color w:val="auto"/>
              </w:rPr>
            </w:pPr>
            <w:r>
              <w:rPr>
                <w:rFonts w:ascii="Arial" w:cs="Arial" w:eastAsia="Arial" w:hAnsi="Arial"/>
                <w:sz w:val="17"/>
                <w:szCs w:val="17"/>
                <w:color w:val="auto"/>
              </w:rPr>
              <w:t>$349,792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7"/>
              </w:rPr>
              <w:t>3,066,287</w:t>
            </w: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6,080,263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7,799,863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90,858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114,155</w:t>
            </w:r>
          </w:p>
        </w:tc>
        <w:tc>
          <w:tcPr>
            <w:tcW w:w="1020" w:type="dxa"/>
            <w:vAlign w:val="bottom"/>
          </w:tcPr>
          <w:p>
            <w:pPr>
              <w:jc w:val="center"/>
              <w:spacing w:after="0"/>
              <w:rPr>
                <w:sz w:val="20"/>
                <w:szCs w:val="20"/>
                <w:color w:val="auto"/>
              </w:rPr>
            </w:pPr>
            <w:r>
              <w:rPr>
                <w:rFonts w:ascii="Arial" w:cs="Arial" w:eastAsia="Arial" w:hAnsi="Arial"/>
                <w:sz w:val="17"/>
                <w:szCs w:val="17"/>
                <w:color w:val="auto"/>
              </w:rPr>
              <w:t>$18,862,541</w:t>
            </w:r>
          </w:p>
        </w:tc>
      </w:tr>
      <w:tr>
        <w:trPr>
          <w:trHeight w:val="244"/>
        </w:trPr>
        <w:tc>
          <w:tcPr>
            <w:tcW w:w="150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200" w:type="dxa"/>
            <w:vAlign w:val="bottom"/>
            <w:shd w:val="clear" w:color="auto" w:fill="E9E9E9"/>
          </w:tcPr>
          <w:p>
            <w:pPr>
              <w:jc w:val="center"/>
              <w:ind w:left="578"/>
              <w:spacing w:after="0"/>
              <w:rPr>
                <w:sz w:val="20"/>
                <w:szCs w:val="20"/>
                <w:color w:val="auto"/>
              </w:rPr>
            </w:pPr>
            <w:r>
              <w:rPr>
                <w:rFonts w:ascii="Arial" w:cs="Arial" w:eastAsia="Arial" w:hAnsi="Arial"/>
                <w:sz w:val="17"/>
                <w:szCs w:val="17"/>
                <w:color w:val="auto"/>
              </w:rPr>
              <w:t>(1)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1,733,857</w:t>
            </w:r>
          </w:p>
        </w:tc>
        <w:tc>
          <w:tcPr>
            <w:tcW w:w="86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$654,107</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2,781,705</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9,939,638</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8,192,375</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99,014</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93,105</w:t>
            </w:r>
          </w:p>
        </w:tc>
        <w:tc>
          <w:tcPr>
            <w:tcW w:w="10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$23,493,801</w:t>
            </w:r>
          </w:p>
        </w:tc>
      </w:tr>
      <w:tr>
        <w:trPr>
          <w:trHeight w:val="228"/>
        </w:trPr>
        <w:tc>
          <w:tcPr>
            <w:tcW w:w="1500" w:type="dxa"/>
            <w:vAlign w:val="bottom"/>
          </w:tcPr>
          <w:p>
            <w:pPr>
              <w:spacing w:after="0"/>
              <w:rPr>
                <w:sz w:val="20"/>
                <w:szCs w:val="20"/>
                <w:color w:val="auto"/>
              </w:rPr>
            </w:pPr>
            <w:r>
              <w:rPr>
                <w:rFonts w:ascii="Arial" w:cs="Arial" w:eastAsia="Arial" w:hAnsi="Arial"/>
                <w:sz w:val="17"/>
                <w:szCs w:val="17"/>
                <w:color w:val="auto"/>
              </w:rPr>
              <w:t>Crutcher</w:t>
            </w:r>
          </w:p>
        </w:tc>
        <w:tc>
          <w:tcPr>
            <w:tcW w:w="1200" w:type="dxa"/>
            <w:vAlign w:val="bottom"/>
          </w:tcPr>
          <w:p>
            <w:pPr>
              <w:jc w:val="center"/>
              <w:ind w:left="578"/>
              <w:spacing w:after="0"/>
              <w:rPr>
                <w:sz w:val="20"/>
                <w:szCs w:val="20"/>
                <w:color w:val="auto"/>
              </w:rPr>
            </w:pPr>
            <w:r>
              <w:rPr>
                <w:rFonts w:ascii="Arial" w:cs="Arial" w:eastAsia="Arial" w:hAnsi="Arial"/>
                <w:sz w:val="17"/>
                <w:szCs w:val="17"/>
                <w:color w:val="auto"/>
              </w:rPr>
              <w:t>(1)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9,496</w:t>
            </w:r>
          </w:p>
        </w:tc>
        <w:tc>
          <w:tcPr>
            <w:tcW w:w="86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6,933,355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3,611,266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62,508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35,802</w:t>
            </w:r>
          </w:p>
        </w:tc>
        <w:tc>
          <w:tcPr>
            <w:tcW w:w="1020" w:type="dxa"/>
            <w:vAlign w:val="bottom"/>
          </w:tcPr>
          <w:p>
            <w:pPr>
              <w:jc w:val="center"/>
              <w:spacing w:after="0"/>
              <w:rPr>
                <w:sz w:val="20"/>
                <w:szCs w:val="20"/>
                <w:color w:val="auto"/>
              </w:rPr>
            </w:pPr>
            <w:r>
              <w:rPr>
                <w:rFonts w:ascii="Arial" w:cs="Arial" w:eastAsia="Arial" w:hAnsi="Arial"/>
                <w:sz w:val="17"/>
                <w:szCs w:val="17"/>
                <w:color w:val="auto"/>
              </w:rPr>
              <w:t>$10,652,427</w:t>
            </w:r>
          </w:p>
        </w:tc>
      </w:tr>
      <w:tr>
        <w:trPr>
          <w:trHeight w:val="244"/>
        </w:trPr>
        <w:tc>
          <w:tcPr>
            <w:tcW w:w="1500" w:type="dxa"/>
            <w:vAlign w:val="bottom"/>
            <w:shd w:val="clear" w:color="auto" w:fill="E9E9E9"/>
          </w:tcPr>
          <w:p>
            <w:pPr>
              <w:spacing w:after="0"/>
              <w:rPr>
                <w:sz w:val="20"/>
                <w:szCs w:val="20"/>
                <w:color w:val="auto"/>
              </w:rPr>
            </w:pPr>
            <w:r>
              <w:rPr>
                <w:rFonts w:ascii="Arial" w:cs="Arial" w:eastAsia="Arial" w:hAnsi="Arial"/>
                <w:sz w:val="17"/>
                <w:szCs w:val="17"/>
                <w:color w:val="auto"/>
              </w:rPr>
              <w:t>Ritchie</w:t>
            </w:r>
          </w:p>
        </w:tc>
        <w:tc>
          <w:tcPr>
            <w:tcW w:w="1200" w:type="dxa"/>
            <w:vAlign w:val="bottom"/>
            <w:shd w:val="clear" w:color="auto" w:fill="E9E9E9"/>
          </w:tcPr>
          <w:p>
            <w:pPr>
              <w:jc w:val="center"/>
              <w:ind w:left="578"/>
              <w:spacing w:after="0"/>
              <w:rPr>
                <w:sz w:val="20"/>
                <w:szCs w:val="20"/>
                <w:color w:val="auto"/>
              </w:rPr>
            </w:pPr>
            <w:r>
              <w:rPr>
                <w:rFonts w:ascii="Arial" w:cs="Arial" w:eastAsia="Arial" w:hAnsi="Arial"/>
                <w:sz w:val="17"/>
                <w:szCs w:val="17"/>
                <w:color w:val="auto"/>
              </w:rPr>
              <w:t>(1)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5"/>
              </w:rPr>
              <w:t>1,777,270</w:t>
            </w:r>
          </w:p>
        </w:tc>
        <w:tc>
          <w:tcPr>
            <w:tcW w:w="86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$926,549</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3,872,417</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7,989,638</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8,758,206</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81,151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85,937</w:t>
            </w:r>
          </w:p>
        </w:tc>
        <w:tc>
          <w:tcPr>
            <w:tcW w:w="10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$23,491,168</w:t>
            </w:r>
          </w:p>
        </w:tc>
      </w:tr>
    </w:tbl>
    <w:p>
      <w:pPr>
        <w:spacing w:after="0" w:line="239" w:lineRule="exact"/>
        <w:rPr>
          <w:sz w:val="20"/>
          <w:szCs w:val="20"/>
          <w:color w:val="auto"/>
        </w:rPr>
      </w:pPr>
    </w:p>
    <w:p>
      <w:pPr>
        <w:ind w:left="480" w:right="840" w:hanging="475"/>
        <w:spacing w:after="0" w:line="252"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18" w:lineRule="exact"/>
        <w:rPr>
          <w:rFonts w:ascii="Arial" w:cs="Arial" w:eastAsia="Arial" w:hAnsi="Arial"/>
          <w:sz w:val="17"/>
          <w:szCs w:val="17"/>
          <w:color w:val="auto"/>
        </w:rPr>
      </w:pPr>
    </w:p>
    <w:p>
      <w:pPr>
        <w:ind w:left="480" w:right="260" w:hanging="475"/>
        <w:spacing w:after="0" w:line="245"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shown is the lump sum benefit payable at age 65 to the named executive officer in the event of termination as of December 31, 2010,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2010 and are described in note 5 to the 2010 pension benefits table on page 80.</w:t>
      </w:r>
    </w:p>
    <w:p>
      <w:pPr>
        <w:spacing w:after="0" w:line="224" w:lineRule="exact"/>
        <w:rPr>
          <w:rFonts w:ascii="Arial" w:cs="Arial" w:eastAsia="Arial" w:hAnsi="Arial"/>
          <w:sz w:val="17"/>
          <w:szCs w:val="17"/>
          <w:color w:val="auto"/>
        </w:rPr>
      </w:pPr>
    </w:p>
    <w:p>
      <w:pPr>
        <w:ind w:left="480" w:right="280" w:hanging="475"/>
        <w:spacing w:after="0" w:line="252"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shown is the lump sum benefit payable at age 65 to the named executive officers in the event of termination due to disability. The assumptions used are the same as those described in note 2 above.</w:t>
      </w:r>
    </w:p>
    <w:p>
      <w:pPr>
        <w:spacing w:after="0" w:line="218" w:lineRule="exact"/>
        <w:rPr>
          <w:rFonts w:ascii="Arial" w:cs="Arial" w:eastAsia="Arial" w:hAnsi="Arial"/>
          <w:sz w:val="17"/>
          <w:szCs w:val="17"/>
          <w:color w:val="auto"/>
        </w:rPr>
      </w:pPr>
    </w:p>
    <w:p>
      <w:pPr>
        <w:ind w:left="480" w:right="740" w:hanging="475"/>
        <w:spacing w:after="0" w:line="252"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shown is the lump sum benefit payable in the event of separation from service (as defined in the plan) due to disability. The assumptions used are the same as those described in note 2 above.</w:t>
      </w:r>
    </w:p>
    <w:p>
      <w:pPr>
        <w:spacing w:after="0" w:line="218" w:lineRule="exact"/>
        <w:rPr>
          <w:rFonts w:ascii="Arial" w:cs="Arial" w:eastAsia="Arial" w:hAnsi="Arial"/>
          <w:sz w:val="17"/>
          <w:szCs w:val="17"/>
          <w:color w:val="auto"/>
        </w:rPr>
      </w:pPr>
    </w:p>
    <w:p>
      <w:pPr>
        <w:ind w:left="480" w:right="20" w:hanging="475"/>
        <w:spacing w:after="0" w:line="244"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31, 2010 ($32.50). Because the executive officer will retain his RSU awards in the event of termination and they will continue to vest according to their terms, all outstanding RSUs are assumed to be vested for purposes of this table. Please see the outstanding equity awards at fiscal year-end 2010 table on pages 76-77 for the number of unvested RSUs as of December 31, 2010, and page 79 for a discussion of an additional outstanding RSU award held by Mr.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205740</wp:posOffset>
            </wp:positionV>
            <wp:extent cx="727138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6" w:name="page37"/>
    <w:bookmarkEnd w:id="36"/>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84</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left="480" w:right="460" w:hanging="475"/>
        <w:spacing w:after="0" w:line="252"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31, 2010 ($32.50), multiplied by the number of shares under such options as of December 31, 2010.</w:t>
      </w:r>
    </w:p>
    <w:p>
      <w:pPr>
        <w:spacing w:after="0" w:line="231" w:lineRule="exact"/>
        <w:rPr>
          <w:rFonts w:ascii="Arial" w:cs="Arial" w:eastAsia="Arial" w:hAnsi="Arial"/>
          <w:sz w:val="17"/>
          <w:szCs w:val="17"/>
          <w:color w:val="auto"/>
        </w:rPr>
      </w:pPr>
    </w:p>
    <w:p>
      <w:pPr>
        <w:ind w:left="480" w:hanging="475"/>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Amounts earned in 2010.</w:t>
      </w:r>
    </w:p>
    <w:p>
      <w:pPr>
        <w:spacing w:after="0" w:line="263" w:lineRule="exact"/>
        <w:rPr>
          <w:rFonts w:ascii="Arial" w:cs="Arial" w:eastAsia="Arial" w:hAnsi="Arial"/>
          <w:sz w:val="17"/>
          <w:szCs w:val="17"/>
          <w:color w:val="auto"/>
        </w:rPr>
      </w:pPr>
    </w:p>
    <w:p>
      <w:pPr>
        <w:ind w:left="480" w:right="460" w:hanging="475"/>
        <w:spacing w:after="0" w:line="252"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by multiplying the number of hours remaining in the named executive officer’s time bank by the applicable base salary rate as of December 31, 2010.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due to death</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5"/>
                <w:szCs w:val="15"/>
                <w:color w:val="auto"/>
              </w:rPr>
            </w:pPr>
          </w:p>
        </w:tc>
        <w:tc>
          <w:tcPr>
            <w:tcW w:w="860" w:type="dxa"/>
            <w:vAlign w:val="bottom"/>
          </w:tcPr>
          <w:p>
            <w:pPr>
              <w:jc w:val="center"/>
              <w:ind w:right="126"/>
              <w:spacing w:after="0"/>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6"/>
        </w:trPr>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rPr>
              <w:t>Qualified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80" w:type="dxa"/>
            <w:vAlign w:val="bottom"/>
          </w:tcPr>
          <w:p>
            <w:pPr>
              <w:spacing w:after="0"/>
              <w:rPr>
                <w:sz w:val="20"/>
                <w:szCs w:val="20"/>
                <w:color w:val="auto"/>
              </w:rPr>
            </w:pPr>
          </w:p>
        </w:tc>
        <w:tc>
          <w:tcPr>
            <w:tcW w:w="860" w:type="dxa"/>
            <w:vAlign w:val="bottom"/>
          </w:tcPr>
          <w:p>
            <w:pPr>
              <w:jc w:val="center"/>
              <w:ind w:right="146"/>
              <w:spacing w:after="0"/>
              <w:rPr>
                <w:sz w:val="20"/>
                <w:szCs w:val="20"/>
                <w:color w:val="auto"/>
              </w:rPr>
            </w:pPr>
            <w:r>
              <w:rPr>
                <w:rFonts w:ascii="Arial" w:cs="Arial" w:eastAsia="Arial" w:hAnsi="Arial"/>
                <w:sz w:val="13"/>
                <w:szCs w:val="13"/>
                <w:b w:val="1"/>
                <w:bCs w:val="1"/>
                <w:color w:val="auto"/>
              </w:rPr>
              <w:t>Qualified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6"/>
        </w:trPr>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105"/>
              <w:spacing w:after="0"/>
              <w:rPr>
                <w:sz w:val="20"/>
                <w:szCs w:val="20"/>
                <w:color w:val="auto"/>
              </w:rPr>
            </w:pPr>
            <w:r>
              <w:rPr>
                <w:rFonts w:ascii="Arial" w:cs="Arial" w:eastAsia="Arial" w:hAnsi="Arial"/>
                <w:sz w:val="13"/>
                <w:szCs w:val="13"/>
                <w:b w:val="1"/>
                <w:bCs w:val="1"/>
                <w:color w:val="auto"/>
              </w:rPr>
              <w:t>Defined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80" w:type="dxa"/>
            <w:vAlign w:val="bottom"/>
          </w:tcPr>
          <w:p>
            <w:pPr>
              <w:spacing w:after="0"/>
              <w:rPr>
                <w:sz w:val="20"/>
                <w:szCs w:val="20"/>
                <w:color w:val="auto"/>
              </w:rPr>
            </w:pPr>
          </w:p>
        </w:tc>
        <w:tc>
          <w:tcPr>
            <w:tcW w:w="860" w:type="dxa"/>
            <w:vAlign w:val="bottom"/>
          </w:tcPr>
          <w:p>
            <w:pPr>
              <w:jc w:val="center"/>
              <w:ind w:right="146"/>
              <w:spacing w:after="0"/>
              <w:rPr>
                <w:sz w:val="20"/>
                <w:szCs w:val="20"/>
                <w:color w:val="auto"/>
              </w:rPr>
            </w:pPr>
            <w:r>
              <w:rPr>
                <w:rFonts w:ascii="Arial" w:cs="Arial" w:eastAsia="Arial" w:hAnsi="Arial"/>
                <w:sz w:val="13"/>
                <w:szCs w:val="13"/>
                <w:b w:val="1"/>
                <w:bCs w:val="1"/>
                <w:color w:val="auto"/>
              </w:rPr>
              <w:t>Defined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6"/>
        </w:trPr>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105"/>
              <w:spacing w:after="0"/>
              <w:rPr>
                <w:sz w:val="20"/>
                <w:szCs w:val="20"/>
                <w:color w:val="auto"/>
              </w:rPr>
            </w:pPr>
            <w:r>
              <w:rPr>
                <w:rFonts w:ascii="Arial" w:cs="Arial" w:eastAsia="Arial" w:hAnsi="Arial"/>
                <w:sz w:val="13"/>
                <w:szCs w:val="13"/>
                <w:b w:val="1"/>
                <w:bCs w:val="1"/>
                <w:color w:val="auto"/>
                <w:w w:val="99"/>
              </w:rPr>
              <w:t>Benefit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80" w:type="dxa"/>
            <w:vAlign w:val="bottom"/>
          </w:tcPr>
          <w:p>
            <w:pPr>
              <w:spacing w:after="0"/>
              <w:rPr>
                <w:sz w:val="20"/>
                <w:szCs w:val="20"/>
                <w:color w:val="auto"/>
              </w:rPr>
            </w:pPr>
          </w:p>
        </w:tc>
        <w:tc>
          <w:tcPr>
            <w:tcW w:w="860" w:type="dxa"/>
            <w:vAlign w:val="bottom"/>
          </w:tcPr>
          <w:p>
            <w:pPr>
              <w:jc w:val="center"/>
              <w:ind w:right="146"/>
              <w:spacing w:after="0"/>
              <w:rPr>
                <w:sz w:val="20"/>
                <w:szCs w:val="20"/>
                <w:color w:val="auto"/>
              </w:rPr>
            </w:pPr>
            <w:r>
              <w:rPr>
                <w:rFonts w:ascii="Arial" w:cs="Arial" w:eastAsia="Arial" w:hAnsi="Arial"/>
                <w:sz w:val="13"/>
                <w:szCs w:val="13"/>
                <w:b w:val="1"/>
                <w:bCs w:val="1"/>
                <w:color w:val="auto"/>
                <w:w w:val="99"/>
              </w:rPr>
              <w:t>Benefit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6"/>
        </w:trPr>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105"/>
              <w:spacing w:after="0"/>
              <w:rPr>
                <w:sz w:val="20"/>
                <w:szCs w:val="20"/>
                <w:color w:val="auto"/>
              </w:rPr>
            </w:pPr>
            <w:r>
              <w:rPr>
                <w:rFonts w:ascii="Arial" w:cs="Arial" w:eastAsia="Arial" w:hAnsi="Arial"/>
                <w:sz w:val="13"/>
                <w:szCs w:val="13"/>
                <w:b w:val="1"/>
                <w:bCs w:val="1"/>
                <w:color w:val="auto"/>
              </w:rPr>
              <w:t>Pension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180" w:type="dxa"/>
            <w:vAlign w:val="bottom"/>
          </w:tcPr>
          <w:p>
            <w:pPr>
              <w:spacing w:after="0"/>
              <w:rPr>
                <w:sz w:val="20"/>
                <w:szCs w:val="20"/>
                <w:color w:val="auto"/>
              </w:rPr>
            </w:pPr>
          </w:p>
        </w:tc>
        <w:tc>
          <w:tcPr>
            <w:tcW w:w="860" w:type="dxa"/>
            <w:vAlign w:val="bottom"/>
          </w:tcPr>
          <w:p>
            <w:pPr>
              <w:jc w:val="center"/>
              <w:ind w:right="146"/>
              <w:spacing w:after="0"/>
              <w:rPr>
                <w:sz w:val="20"/>
                <w:szCs w:val="20"/>
                <w:color w:val="auto"/>
              </w:rPr>
            </w:pPr>
            <w:r>
              <w:rPr>
                <w:rFonts w:ascii="Arial" w:cs="Arial" w:eastAsia="Arial" w:hAnsi="Arial"/>
                <w:sz w:val="13"/>
                <w:szCs w:val="13"/>
                <w:b w:val="1"/>
                <w:bCs w:val="1"/>
                <w:color w:val="auto"/>
              </w:rPr>
              <w:t>Pension</w:t>
            </w:r>
          </w:p>
        </w:tc>
        <w:tc>
          <w:tcPr>
            <w:tcW w:w="200" w:type="dxa"/>
            <w:vAlign w:val="bottom"/>
          </w:tcPr>
          <w:p>
            <w:pPr>
              <w:spacing w:after="0"/>
              <w:rPr>
                <w:sz w:val="20"/>
                <w:szCs w:val="20"/>
                <w:color w:val="auto"/>
              </w:rPr>
            </w:pPr>
          </w:p>
        </w:tc>
        <w:tc>
          <w:tcPr>
            <w:tcW w:w="900" w:type="dxa"/>
            <w:vAlign w:val="bottom"/>
          </w:tcPr>
          <w:p>
            <w:pPr>
              <w:jc w:val="right"/>
              <w:ind w:right="220"/>
              <w:spacing w:after="0"/>
              <w:rPr>
                <w:sz w:val="20"/>
                <w:szCs w:val="20"/>
                <w:color w:val="auto"/>
              </w:rPr>
            </w:pPr>
            <w:r>
              <w:rPr>
                <w:rFonts w:ascii="Arial" w:cs="Arial" w:eastAsia="Arial" w:hAnsi="Arial"/>
                <w:sz w:val="13"/>
                <w:szCs w:val="13"/>
                <w:b w:val="1"/>
                <w:bCs w:val="1"/>
                <w:color w:val="auto"/>
              </w:rPr>
              <w:t>Deferred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02"/>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20"/>
                <w:szCs w:val="20"/>
                <w:color w:val="auto"/>
              </w:rPr>
            </w:pPr>
          </w:p>
        </w:tc>
        <w:tc>
          <w:tcPr>
            <w:tcW w:w="700" w:type="dxa"/>
            <w:vAlign w:val="bottom"/>
          </w:tcPr>
          <w:p>
            <w:pPr>
              <w:jc w:val="center"/>
              <w:ind w:right="122"/>
              <w:spacing w:after="0"/>
              <w:rPr>
                <w:sz w:val="20"/>
                <w:szCs w:val="20"/>
                <w:color w:val="auto"/>
              </w:rPr>
            </w:pPr>
            <w:r>
              <w:rPr>
                <w:rFonts w:ascii="Arial" w:cs="Arial" w:eastAsia="Arial" w:hAnsi="Arial"/>
                <w:sz w:val="13"/>
                <w:szCs w:val="13"/>
                <w:b w:val="1"/>
                <w:bCs w:val="1"/>
                <w:color w:val="auto"/>
              </w:rPr>
              <w:t>Profit</w:t>
            </w:r>
          </w:p>
        </w:tc>
        <w:tc>
          <w:tcPr>
            <w:tcW w:w="180" w:type="dxa"/>
            <w:vAlign w:val="bottom"/>
          </w:tcPr>
          <w:p>
            <w:pPr>
              <w:spacing w:after="0"/>
              <w:rPr>
                <w:sz w:val="20"/>
                <w:szCs w:val="20"/>
                <w:color w:val="auto"/>
              </w:rPr>
            </w:pPr>
          </w:p>
        </w:tc>
        <w:tc>
          <w:tcPr>
            <w:tcW w:w="700" w:type="dxa"/>
            <w:vAlign w:val="bottom"/>
          </w:tcPr>
          <w:p>
            <w:pPr>
              <w:jc w:val="center"/>
              <w:ind w:right="122"/>
              <w:spacing w:after="0"/>
              <w:rPr>
                <w:sz w:val="20"/>
                <w:szCs w:val="20"/>
                <w:color w:val="auto"/>
              </w:rPr>
            </w:pPr>
            <w:r>
              <w:rPr>
                <w:rFonts w:ascii="Arial" w:cs="Arial" w:eastAsia="Arial" w:hAnsi="Arial"/>
                <w:sz w:val="13"/>
                <w:szCs w:val="13"/>
                <w:b w:val="1"/>
                <w:bCs w:val="1"/>
                <w:color w:val="auto"/>
                <w:w w:val="98"/>
              </w:rPr>
              <w:t>Time</w:t>
            </w:r>
          </w:p>
        </w:tc>
        <w:tc>
          <w:tcPr>
            <w:tcW w:w="1040" w:type="dxa"/>
            <w:vAlign w:val="bottom"/>
          </w:tcPr>
          <w:p>
            <w:pPr>
              <w:spacing w:after="0"/>
              <w:rPr>
                <w:sz w:val="20"/>
                <w:szCs w:val="20"/>
                <w:color w:val="auto"/>
              </w:rPr>
            </w:pPr>
          </w:p>
        </w:tc>
      </w:tr>
      <w:tr>
        <w:trPr>
          <w:trHeight w:val="236"/>
        </w:trPr>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105"/>
              <w:spacing w:after="0"/>
              <w:rPr>
                <w:sz w:val="20"/>
                <w:szCs w:val="20"/>
                <w:color w:val="auto"/>
              </w:rPr>
            </w:pPr>
            <w:r>
              <w:rPr>
                <w:rFonts w:ascii="Arial" w:cs="Arial" w:eastAsia="Arial" w:hAnsi="Arial"/>
                <w:sz w:val="13"/>
                <w:szCs w:val="13"/>
                <w:b w:val="1"/>
                <w:bCs w:val="1"/>
                <w:color w:val="auto"/>
              </w:rPr>
              <w:t>Plan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180" w:type="dxa"/>
            <w:vAlign w:val="bottom"/>
          </w:tcPr>
          <w:p>
            <w:pPr>
              <w:spacing w:after="0"/>
              <w:rPr>
                <w:sz w:val="20"/>
                <w:szCs w:val="20"/>
                <w:color w:val="auto"/>
              </w:rPr>
            </w:pPr>
          </w:p>
        </w:tc>
        <w:tc>
          <w:tcPr>
            <w:tcW w:w="860" w:type="dxa"/>
            <w:vAlign w:val="bottom"/>
          </w:tcPr>
          <w:p>
            <w:pPr>
              <w:jc w:val="center"/>
              <w:ind w:right="126"/>
              <w:spacing w:after="0"/>
              <w:rPr>
                <w:sz w:val="20"/>
                <w:szCs w:val="20"/>
                <w:color w:val="auto"/>
              </w:rPr>
            </w:pPr>
            <w:r>
              <w:rPr>
                <w:rFonts w:ascii="Arial" w:cs="Arial" w:eastAsia="Arial" w:hAnsi="Arial"/>
                <w:sz w:val="13"/>
                <w:szCs w:val="13"/>
                <w:b w:val="1"/>
                <w:bCs w:val="1"/>
                <w:color w:val="auto"/>
                <w:w w:val="99"/>
              </w:rPr>
              <w:t>Plan II</w:t>
            </w:r>
          </w:p>
        </w:tc>
        <w:tc>
          <w:tcPr>
            <w:tcW w:w="110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Compensation</w:t>
            </w:r>
          </w:p>
        </w:tc>
        <w:tc>
          <w:tcPr>
            <w:tcW w:w="200" w:type="dxa"/>
            <w:vAlign w:val="bottom"/>
          </w:tcPr>
          <w:p>
            <w:pPr>
              <w:spacing w:after="0"/>
              <w:rPr>
                <w:sz w:val="20"/>
                <w:szCs w:val="20"/>
                <w:color w:val="auto"/>
              </w:rPr>
            </w:pPr>
          </w:p>
        </w:tc>
        <w:tc>
          <w:tcPr>
            <w:tcW w:w="940" w:type="dxa"/>
            <w:vAlign w:val="bottom"/>
          </w:tcPr>
          <w:p>
            <w:pPr>
              <w:jc w:val="right"/>
              <w:ind w:right="320"/>
              <w:spacing w:after="0"/>
              <w:rPr>
                <w:sz w:val="20"/>
                <w:szCs w:val="20"/>
                <w:color w:val="auto"/>
              </w:rPr>
            </w:pPr>
            <w:r>
              <w:rPr>
                <w:rFonts w:ascii="Arial" w:cs="Arial" w:eastAsia="Arial" w:hAnsi="Arial"/>
                <w:sz w:val="13"/>
                <w:szCs w:val="13"/>
                <w:b w:val="1"/>
                <w:bCs w:val="1"/>
                <w:color w:val="auto"/>
              </w:rPr>
              <w:t>RSUs</w:t>
            </w:r>
          </w:p>
        </w:tc>
        <w:tc>
          <w:tcPr>
            <w:tcW w:w="180" w:type="dxa"/>
            <w:vAlign w:val="bottom"/>
          </w:tcPr>
          <w:p>
            <w:pPr>
              <w:spacing w:after="0"/>
              <w:rPr>
                <w:sz w:val="20"/>
                <w:szCs w:val="20"/>
                <w:color w:val="auto"/>
              </w:rPr>
            </w:pPr>
          </w:p>
        </w:tc>
        <w:tc>
          <w:tcPr>
            <w:tcW w:w="940" w:type="dxa"/>
            <w:vAlign w:val="bottom"/>
          </w:tcPr>
          <w:p>
            <w:pPr>
              <w:jc w:val="center"/>
              <w:ind w:right="122"/>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w w:val="99"/>
              </w:rPr>
              <w:t>Sharing</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Bank</w:t>
            </w:r>
          </w:p>
        </w:tc>
        <w:tc>
          <w:tcPr>
            <w:tcW w:w="1040" w:type="dxa"/>
            <w:vAlign w:val="bottom"/>
          </w:tcPr>
          <w:p>
            <w:pPr>
              <w:spacing w:after="0"/>
              <w:rPr>
                <w:sz w:val="20"/>
                <w:szCs w:val="20"/>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80" w:type="dxa"/>
            <w:vAlign w:val="bottom"/>
          </w:tcPr>
          <w:p>
            <w:pPr>
              <w:jc w:val="center"/>
              <w:ind w:left="418"/>
              <w:spacing w:after="0"/>
              <w:rPr>
                <w:sz w:val="20"/>
                <w:szCs w:val="20"/>
                <w:color w:val="auto"/>
              </w:rPr>
            </w:pPr>
            <w:r>
              <w:rPr>
                <w:rFonts w:ascii="Arial" w:cs="Arial" w:eastAsia="Arial" w:hAnsi="Arial"/>
                <w:sz w:val="13"/>
                <w:szCs w:val="13"/>
                <w:b w:val="1"/>
                <w:bCs w:val="1"/>
                <w:color w:val="auto"/>
              </w:rPr>
              <w:t>Bonus</w:t>
            </w:r>
          </w:p>
        </w:tc>
        <w:tc>
          <w:tcPr>
            <w:tcW w:w="180" w:type="dxa"/>
            <w:vAlign w:val="bottom"/>
          </w:tcPr>
          <w:p>
            <w:pPr>
              <w:spacing w:after="0"/>
              <w:rPr>
                <w:sz w:val="20"/>
                <w:szCs w:val="20"/>
                <w:color w:val="auto"/>
              </w:rPr>
            </w:pPr>
          </w:p>
        </w:tc>
        <w:tc>
          <w:tcPr>
            <w:tcW w:w="700" w:type="dxa"/>
            <w:vAlign w:val="bottom"/>
          </w:tcPr>
          <w:p>
            <w:pPr>
              <w:jc w:val="center"/>
              <w:ind w:right="105"/>
              <w:spacing w:after="0"/>
              <w:rPr>
                <w:sz w:val="20"/>
                <w:szCs w:val="20"/>
                <w:color w:val="auto"/>
              </w:rPr>
            </w:pPr>
            <w:r>
              <w:rPr>
                <w:rFonts w:ascii="Arial" w:cs="Arial" w:eastAsia="Arial" w:hAnsi="Arial"/>
                <w:sz w:val="13"/>
                <w:szCs w:val="13"/>
                <w:b w:val="1"/>
                <w:bCs w:val="1"/>
                <w:color w:val="auto"/>
              </w:rPr>
              <w:t>(2)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80" w:type="dxa"/>
            <w:vAlign w:val="bottom"/>
          </w:tcPr>
          <w:p>
            <w:pPr>
              <w:spacing w:after="0"/>
              <w:rPr>
                <w:sz w:val="20"/>
                <w:szCs w:val="20"/>
                <w:color w:val="auto"/>
              </w:rPr>
            </w:pPr>
          </w:p>
        </w:tc>
        <w:tc>
          <w:tcPr>
            <w:tcW w:w="860" w:type="dxa"/>
            <w:vAlign w:val="bottom"/>
          </w:tcPr>
          <w:p>
            <w:pPr>
              <w:jc w:val="center"/>
              <w:ind w:right="146"/>
              <w:spacing w:after="0"/>
              <w:rPr>
                <w:sz w:val="20"/>
                <w:szCs w:val="20"/>
                <w:color w:val="auto"/>
              </w:rPr>
            </w:pPr>
            <w:r>
              <w:rPr>
                <w:rFonts w:ascii="Arial" w:cs="Arial" w:eastAsia="Arial" w:hAnsi="Arial"/>
                <w:sz w:val="13"/>
                <w:szCs w:val="13"/>
                <w:b w:val="1"/>
                <w:bCs w:val="1"/>
                <w:color w:val="auto"/>
              </w:rPr>
              <w:t>(2)</w:t>
            </w:r>
          </w:p>
        </w:tc>
        <w:tc>
          <w:tcPr>
            <w:tcW w:w="200" w:type="dxa"/>
            <w:vAlign w:val="bottom"/>
          </w:tcPr>
          <w:p>
            <w:pPr>
              <w:spacing w:after="0"/>
              <w:rPr>
                <w:sz w:val="20"/>
                <w:szCs w:val="20"/>
                <w:color w:val="auto"/>
              </w:rPr>
            </w:pPr>
          </w:p>
        </w:tc>
        <w:tc>
          <w:tcPr>
            <w:tcW w:w="900" w:type="dxa"/>
            <w:vAlign w:val="bottom"/>
          </w:tcPr>
          <w:p>
            <w:pPr>
              <w:jc w:val="right"/>
              <w:ind w:right="400"/>
              <w:spacing w:after="0"/>
              <w:rPr>
                <w:sz w:val="20"/>
                <w:szCs w:val="20"/>
                <w:color w:val="auto"/>
              </w:rPr>
            </w:pPr>
            <w:r>
              <w:rPr>
                <w:rFonts w:ascii="Arial" w:cs="Arial" w:eastAsia="Arial" w:hAnsi="Arial"/>
                <w:sz w:val="13"/>
                <w:szCs w:val="13"/>
                <w:b w:val="1"/>
                <w:bCs w:val="1"/>
                <w:color w:val="auto"/>
              </w:rPr>
              <w:t>(3)</w:t>
            </w:r>
          </w:p>
        </w:tc>
        <w:tc>
          <w:tcPr>
            <w:tcW w:w="200" w:type="dxa"/>
            <w:vAlign w:val="bottom"/>
          </w:tcPr>
          <w:p>
            <w:pPr>
              <w:spacing w:after="0"/>
              <w:rPr>
                <w:sz w:val="20"/>
                <w:szCs w:val="20"/>
                <w:color w:val="auto"/>
              </w:rPr>
            </w:pPr>
          </w:p>
        </w:tc>
        <w:tc>
          <w:tcPr>
            <w:tcW w:w="940" w:type="dxa"/>
            <w:vAlign w:val="bottom"/>
          </w:tcPr>
          <w:p>
            <w:pPr>
              <w:jc w:val="right"/>
              <w:ind w:right="420"/>
              <w:spacing w:after="0"/>
              <w:rPr>
                <w:sz w:val="20"/>
                <w:szCs w:val="20"/>
                <w:color w:val="auto"/>
              </w:rPr>
            </w:pPr>
            <w:r>
              <w:rPr>
                <w:rFonts w:ascii="Arial" w:cs="Arial" w:eastAsia="Arial" w:hAnsi="Arial"/>
                <w:sz w:val="13"/>
                <w:szCs w:val="13"/>
                <w:b w:val="1"/>
                <w:bCs w:val="1"/>
                <w:color w:val="auto"/>
              </w:rPr>
              <w:t>(4)</w:t>
            </w:r>
          </w:p>
        </w:tc>
        <w:tc>
          <w:tcPr>
            <w:tcW w:w="180" w:type="dxa"/>
            <w:vAlign w:val="bottom"/>
          </w:tcPr>
          <w:p>
            <w:pPr>
              <w:spacing w:after="0"/>
              <w:rPr>
                <w:sz w:val="20"/>
                <w:szCs w:val="20"/>
                <w:color w:val="auto"/>
              </w:rPr>
            </w:pPr>
          </w:p>
        </w:tc>
        <w:tc>
          <w:tcPr>
            <w:tcW w:w="940" w:type="dxa"/>
            <w:vAlign w:val="bottom"/>
          </w:tcPr>
          <w:p>
            <w:pPr>
              <w:jc w:val="center"/>
              <w:ind w:right="102"/>
              <w:spacing w:after="0"/>
              <w:rPr>
                <w:sz w:val="20"/>
                <w:szCs w:val="20"/>
                <w:color w:val="auto"/>
              </w:rPr>
            </w:pPr>
            <w:r>
              <w:rPr>
                <w:rFonts w:ascii="Arial" w:cs="Arial" w:eastAsia="Arial" w:hAnsi="Arial"/>
                <w:sz w:val="13"/>
                <w:szCs w:val="13"/>
                <w:b w:val="1"/>
                <w:bCs w:val="1"/>
                <w:color w:val="auto"/>
              </w:rPr>
              <w:t>(5)</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(6)</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(7)</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41"/>
        </w:trPr>
        <w:tc>
          <w:tcPr>
            <w:tcW w:w="1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66"/>
        </w:trPr>
        <w:tc>
          <w:tcPr>
            <w:tcW w:w="1380" w:type="dxa"/>
            <w:vAlign w:val="bottom"/>
            <w:shd w:val="clear" w:color="auto" w:fill="808285"/>
          </w:tcPr>
          <w:p>
            <w:pPr>
              <w:spacing w:after="0"/>
              <w:rPr>
                <w:sz w:val="5"/>
                <w:szCs w:val="5"/>
                <w:color w:val="auto"/>
              </w:rPr>
            </w:pPr>
          </w:p>
        </w:tc>
        <w:tc>
          <w:tcPr>
            <w:tcW w:w="108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88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c>
          <w:tcPr>
            <w:tcW w:w="200" w:type="dxa"/>
            <w:vAlign w:val="bottom"/>
            <w:shd w:val="clear" w:color="auto" w:fill="808285"/>
          </w:tcPr>
          <w:p>
            <w:pPr>
              <w:spacing w:after="0"/>
              <w:rPr>
                <w:sz w:val="5"/>
                <w:szCs w:val="5"/>
                <w:color w:val="auto"/>
              </w:rPr>
            </w:pPr>
          </w:p>
        </w:tc>
        <w:tc>
          <w:tcPr>
            <w:tcW w:w="900" w:type="dxa"/>
            <w:vAlign w:val="bottom"/>
            <w:shd w:val="clear" w:color="auto" w:fill="808285"/>
          </w:tcPr>
          <w:p>
            <w:pPr>
              <w:spacing w:after="0"/>
              <w:rPr>
                <w:sz w:val="5"/>
                <w:szCs w:val="5"/>
                <w:color w:val="auto"/>
              </w:rPr>
            </w:pPr>
          </w:p>
        </w:tc>
        <w:tc>
          <w:tcPr>
            <w:tcW w:w="200" w:type="dxa"/>
            <w:vAlign w:val="bottom"/>
            <w:shd w:val="clear" w:color="auto" w:fill="808285"/>
          </w:tcPr>
          <w:p>
            <w:pPr>
              <w:spacing w:after="0"/>
              <w:rPr>
                <w:sz w:val="5"/>
                <w:szCs w:val="5"/>
                <w:color w:val="auto"/>
              </w:rPr>
            </w:pPr>
          </w:p>
        </w:tc>
        <w:tc>
          <w:tcPr>
            <w:tcW w:w="94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94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1040" w:type="dxa"/>
            <w:vAlign w:val="bottom"/>
            <w:shd w:val="clear" w:color="auto" w:fill="808285"/>
          </w:tcPr>
          <w:p>
            <w:pPr>
              <w:spacing w:after="0"/>
              <w:rPr>
                <w:sz w:val="5"/>
                <w:szCs w:val="5"/>
                <w:color w:val="auto"/>
              </w:rPr>
            </w:pPr>
          </w:p>
        </w:tc>
      </w:tr>
      <w:tr>
        <w:trPr>
          <w:trHeight w:val="236"/>
        </w:trPr>
        <w:tc>
          <w:tcPr>
            <w:tcW w:w="138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080" w:type="dxa"/>
            <w:vAlign w:val="bottom"/>
            <w:shd w:val="clear" w:color="auto" w:fill="E9E9E9"/>
          </w:tcPr>
          <w:p>
            <w:pPr>
              <w:jc w:val="center"/>
              <w:ind w:left="418"/>
              <w:spacing w:after="0"/>
              <w:rPr>
                <w:sz w:val="20"/>
                <w:szCs w:val="20"/>
                <w:color w:val="auto"/>
              </w:rPr>
            </w:pPr>
            <w:r>
              <w:rPr>
                <w:rFonts w:ascii="Arial" w:cs="Arial" w:eastAsia="Arial" w:hAnsi="Arial"/>
                <w:sz w:val="17"/>
                <w:szCs w:val="17"/>
                <w:color w:val="auto"/>
              </w:rPr>
              <w:t>(1)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5"/>
              <w:spacing w:after="0"/>
              <w:rPr>
                <w:sz w:val="20"/>
                <w:szCs w:val="20"/>
                <w:color w:val="auto"/>
              </w:rPr>
            </w:pPr>
            <w:r>
              <w:rPr>
                <w:rFonts w:ascii="Arial" w:cs="Arial" w:eastAsia="Arial" w:hAnsi="Arial"/>
                <w:sz w:val="17"/>
                <w:szCs w:val="17"/>
                <w:color w:val="auto"/>
                <w:w w:val="97"/>
              </w:rPr>
              <w:t>237,269</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$160,599</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6"/>
              <w:spacing w:after="0"/>
              <w:rPr>
                <w:sz w:val="20"/>
                <w:szCs w:val="20"/>
                <w:color w:val="auto"/>
              </w:rPr>
            </w:pPr>
            <w:r>
              <w:rPr>
                <w:rFonts w:ascii="Arial" w:cs="Arial" w:eastAsia="Arial" w:hAnsi="Arial"/>
                <w:sz w:val="17"/>
                <w:szCs w:val="17"/>
                <w:color w:val="auto"/>
              </w:rPr>
              <w:t>14,727</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w w:val="97"/>
              </w:rPr>
              <w:t>1,353,365</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26,698,328</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w w:val="98"/>
              </w:rPr>
              <w:t>44,516,091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w w:val="97"/>
              </w:rPr>
              <w:t>171,094</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w w:val="97"/>
              </w:rPr>
              <w:t>196,112</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$73,347,585</w:t>
            </w:r>
          </w:p>
        </w:tc>
      </w:tr>
      <w:tr>
        <w:trPr>
          <w:trHeight w:val="228"/>
        </w:trPr>
        <w:tc>
          <w:tcPr>
            <w:tcW w:w="1380" w:type="dxa"/>
            <w:vAlign w:val="bottom"/>
          </w:tcPr>
          <w:p>
            <w:pPr>
              <w:spacing w:after="0"/>
              <w:rPr>
                <w:sz w:val="20"/>
                <w:szCs w:val="20"/>
                <w:color w:val="auto"/>
              </w:rPr>
            </w:pPr>
            <w:r>
              <w:rPr>
                <w:rFonts w:ascii="Arial" w:cs="Arial" w:eastAsia="Arial" w:hAnsi="Arial"/>
                <w:sz w:val="17"/>
                <w:szCs w:val="17"/>
                <w:color w:val="auto"/>
              </w:rPr>
              <w:t>March</w:t>
            </w:r>
          </w:p>
        </w:tc>
        <w:tc>
          <w:tcPr>
            <w:tcW w:w="1080" w:type="dxa"/>
            <w:vAlign w:val="bottom"/>
          </w:tcPr>
          <w:p>
            <w:pPr>
              <w:jc w:val="center"/>
              <w:ind w:left="418"/>
              <w:spacing w:after="0"/>
              <w:rPr>
                <w:sz w:val="20"/>
                <w:szCs w:val="20"/>
                <w:color w:val="auto"/>
              </w:rPr>
            </w:pPr>
            <w:r>
              <w:rPr>
                <w:rFonts w:ascii="Arial" w:cs="Arial" w:eastAsia="Arial" w:hAnsi="Arial"/>
                <w:sz w:val="17"/>
                <w:szCs w:val="17"/>
                <w:color w:val="auto"/>
              </w:rPr>
              <w:t>(1)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5"/>
              <w:spacing w:after="0"/>
              <w:rPr>
                <w:sz w:val="20"/>
                <w:szCs w:val="20"/>
                <w:color w:val="auto"/>
              </w:rPr>
            </w:pPr>
            <w:r>
              <w:rPr>
                <w:rFonts w:ascii="Arial" w:cs="Arial" w:eastAsia="Arial" w:hAnsi="Arial"/>
                <w:sz w:val="17"/>
                <w:szCs w:val="17"/>
                <w:color w:val="auto"/>
                <w:w w:val="97"/>
              </w:rPr>
              <w:t>267,841</w:t>
            </w: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$100,516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6"/>
              <w:spacing w:after="0"/>
              <w:rPr>
                <w:sz w:val="20"/>
                <w:szCs w:val="20"/>
                <w:color w:val="auto"/>
              </w:rPr>
            </w:pPr>
            <w:r>
              <w:rPr>
                <w:rFonts w:ascii="Arial" w:cs="Arial" w:eastAsia="Arial" w:hAnsi="Arial"/>
                <w:sz w:val="17"/>
                <w:szCs w:val="17"/>
                <w:color w:val="auto"/>
              </w:rPr>
              <w:t>992,049</w:t>
            </w:r>
          </w:p>
        </w:tc>
        <w:tc>
          <w:tcPr>
            <w:tcW w:w="200" w:type="dxa"/>
            <w:vAlign w:val="bottom"/>
          </w:tcPr>
          <w:p>
            <w:pPr>
              <w:ind w:left="10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60"/>
              <w:spacing w:after="0"/>
              <w:rPr>
                <w:sz w:val="20"/>
                <w:szCs w:val="20"/>
                <w:color w:val="auto"/>
              </w:rPr>
            </w:pPr>
            <w:r>
              <w:rPr>
                <w:rFonts w:ascii="Arial" w:cs="Arial" w:eastAsia="Arial" w:hAnsi="Arial"/>
                <w:sz w:val="17"/>
                <w:szCs w:val="17"/>
                <w:color w:val="auto"/>
              </w:rPr>
              <w:t>92,612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6,080,263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
              <w:spacing w:after="0"/>
              <w:rPr>
                <w:sz w:val="20"/>
                <w:szCs w:val="20"/>
                <w:color w:val="auto"/>
              </w:rPr>
            </w:pPr>
            <w:r>
              <w:rPr>
                <w:rFonts w:ascii="Arial" w:cs="Arial" w:eastAsia="Arial" w:hAnsi="Arial"/>
                <w:sz w:val="17"/>
                <w:szCs w:val="17"/>
                <w:color w:val="auto"/>
              </w:rPr>
              <w:t>7,799,863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90,858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w w:val="97"/>
              </w:rPr>
              <w:t>114,155</w:t>
            </w:r>
          </w:p>
        </w:tc>
        <w:tc>
          <w:tcPr>
            <w:tcW w:w="1040" w:type="dxa"/>
            <w:vAlign w:val="bottom"/>
          </w:tcPr>
          <w:p>
            <w:pPr>
              <w:jc w:val="center"/>
              <w:spacing w:after="0"/>
              <w:rPr>
                <w:sz w:val="20"/>
                <w:szCs w:val="20"/>
                <w:color w:val="auto"/>
              </w:rPr>
            </w:pPr>
            <w:r>
              <w:rPr>
                <w:rFonts w:ascii="Arial" w:cs="Arial" w:eastAsia="Arial" w:hAnsi="Arial"/>
                <w:sz w:val="17"/>
                <w:szCs w:val="17"/>
                <w:color w:val="auto"/>
              </w:rPr>
              <w:t>$15,538,157</w:t>
            </w:r>
          </w:p>
        </w:tc>
      </w:tr>
      <w:tr>
        <w:trPr>
          <w:trHeight w:val="244"/>
        </w:trPr>
        <w:tc>
          <w:tcPr>
            <w:tcW w:w="138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080" w:type="dxa"/>
            <w:vAlign w:val="bottom"/>
            <w:shd w:val="clear" w:color="auto" w:fill="E9E9E9"/>
          </w:tcPr>
          <w:p>
            <w:pPr>
              <w:jc w:val="center"/>
              <w:ind w:left="418"/>
              <w:spacing w:after="0"/>
              <w:rPr>
                <w:sz w:val="20"/>
                <w:szCs w:val="20"/>
                <w:color w:val="auto"/>
              </w:rPr>
            </w:pPr>
            <w:r>
              <w:rPr>
                <w:rFonts w:ascii="Arial" w:cs="Arial" w:eastAsia="Arial" w:hAnsi="Arial"/>
                <w:sz w:val="17"/>
                <w:szCs w:val="17"/>
                <w:color w:val="auto"/>
              </w:rPr>
              <w:t>(1)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5"/>
              <w:spacing w:after="0"/>
              <w:rPr>
                <w:sz w:val="20"/>
                <w:szCs w:val="20"/>
                <w:color w:val="auto"/>
              </w:rPr>
            </w:pPr>
            <w:r>
              <w:rPr>
                <w:rFonts w:ascii="Arial" w:cs="Arial" w:eastAsia="Arial" w:hAnsi="Arial"/>
                <w:sz w:val="17"/>
                <w:szCs w:val="17"/>
                <w:color w:val="auto"/>
                <w:w w:val="97"/>
              </w:rPr>
              <w:t>277,238</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$152,206</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6"/>
              <w:spacing w:after="0"/>
              <w:rPr>
                <w:sz w:val="20"/>
                <w:szCs w:val="20"/>
                <w:color w:val="auto"/>
              </w:rPr>
            </w:pPr>
            <w:r>
              <w:rPr>
                <w:rFonts w:ascii="Arial" w:cs="Arial" w:eastAsia="Arial" w:hAnsi="Arial"/>
                <w:sz w:val="17"/>
                <w:szCs w:val="17"/>
                <w:color w:val="auto"/>
                <w:w w:val="97"/>
              </w:rPr>
              <w:t>1,116,181</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818,987</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9,939,638</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8,192,375</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99,014</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93,105</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$20,688,744</w:t>
            </w:r>
          </w:p>
        </w:tc>
      </w:tr>
      <w:tr>
        <w:trPr>
          <w:trHeight w:val="228"/>
        </w:trPr>
        <w:tc>
          <w:tcPr>
            <w:tcW w:w="1380" w:type="dxa"/>
            <w:vAlign w:val="bottom"/>
          </w:tcPr>
          <w:p>
            <w:pPr>
              <w:spacing w:after="0"/>
              <w:rPr>
                <w:sz w:val="20"/>
                <w:szCs w:val="20"/>
                <w:color w:val="auto"/>
              </w:rPr>
            </w:pPr>
            <w:r>
              <w:rPr>
                <w:rFonts w:ascii="Arial" w:cs="Arial" w:eastAsia="Arial" w:hAnsi="Arial"/>
                <w:sz w:val="17"/>
                <w:szCs w:val="17"/>
                <w:color w:val="auto"/>
              </w:rPr>
              <w:t>Crutcher</w:t>
            </w:r>
          </w:p>
        </w:tc>
        <w:tc>
          <w:tcPr>
            <w:tcW w:w="1080" w:type="dxa"/>
            <w:vAlign w:val="bottom"/>
          </w:tcPr>
          <w:p>
            <w:pPr>
              <w:jc w:val="center"/>
              <w:ind w:left="418"/>
              <w:spacing w:after="0"/>
              <w:rPr>
                <w:sz w:val="20"/>
                <w:szCs w:val="20"/>
                <w:color w:val="auto"/>
              </w:rPr>
            </w:pPr>
            <w:r>
              <w:rPr>
                <w:rFonts w:ascii="Arial" w:cs="Arial" w:eastAsia="Arial" w:hAnsi="Arial"/>
                <w:sz w:val="17"/>
                <w:szCs w:val="17"/>
                <w:color w:val="auto"/>
              </w:rPr>
              <w:t>(1)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5"/>
              <w:spacing w:after="0"/>
              <w:rPr>
                <w:sz w:val="20"/>
                <w:szCs w:val="20"/>
                <w:color w:val="auto"/>
              </w:rPr>
            </w:pPr>
            <w:r>
              <w:rPr>
                <w:rFonts w:ascii="Arial" w:cs="Arial" w:eastAsia="Arial" w:hAnsi="Arial"/>
                <w:sz w:val="17"/>
                <w:szCs w:val="17"/>
                <w:color w:val="auto"/>
              </w:rPr>
              <w:t>1,457</w:t>
            </w: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ind w:right="26"/>
              <w:spacing w:after="0"/>
              <w:rPr>
                <w:sz w:val="20"/>
                <w:szCs w:val="20"/>
                <w:color w:val="auto"/>
              </w:rPr>
            </w:pPr>
            <w:r>
              <w:rPr>
                <w:rFonts w:ascii="Arial" w:cs="Arial" w:eastAsia="Arial" w:hAnsi="Arial"/>
                <w:sz w:val="17"/>
                <w:szCs w:val="17"/>
                <w:color w:val="auto"/>
              </w:rPr>
              <w:t>—</w:t>
            </w:r>
          </w:p>
        </w:tc>
        <w:tc>
          <w:tcPr>
            <w:tcW w:w="200" w:type="dxa"/>
            <w:vAlign w:val="bottom"/>
          </w:tcPr>
          <w:p>
            <w:pPr>
              <w:ind w:left="10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60"/>
              <w:spacing w:after="0"/>
              <w:rPr>
                <w:sz w:val="20"/>
                <w:szCs w:val="20"/>
                <w:color w:val="auto"/>
              </w:rPr>
            </w:pPr>
            <w:r>
              <w:rPr>
                <w:rFonts w:ascii="Arial" w:cs="Arial" w:eastAsia="Arial" w:hAnsi="Arial"/>
                <w:sz w:val="17"/>
                <w:szCs w:val="17"/>
                <w:color w:val="auto"/>
              </w:rPr>
              <w:t>158,727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6,933,355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
              <w:spacing w:after="0"/>
              <w:rPr>
                <w:sz w:val="20"/>
                <w:szCs w:val="20"/>
                <w:color w:val="auto"/>
              </w:rPr>
            </w:pPr>
            <w:r>
              <w:rPr>
                <w:rFonts w:ascii="Arial" w:cs="Arial" w:eastAsia="Arial" w:hAnsi="Arial"/>
                <w:sz w:val="17"/>
                <w:szCs w:val="17"/>
                <w:color w:val="auto"/>
              </w:rPr>
              <w:t>3,611,266</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62,508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35,802</w:t>
            </w:r>
          </w:p>
        </w:tc>
        <w:tc>
          <w:tcPr>
            <w:tcW w:w="1040" w:type="dxa"/>
            <w:vAlign w:val="bottom"/>
          </w:tcPr>
          <w:p>
            <w:pPr>
              <w:jc w:val="center"/>
              <w:spacing w:after="0"/>
              <w:rPr>
                <w:sz w:val="20"/>
                <w:szCs w:val="20"/>
                <w:color w:val="auto"/>
              </w:rPr>
            </w:pPr>
            <w:r>
              <w:rPr>
                <w:rFonts w:ascii="Arial" w:cs="Arial" w:eastAsia="Arial" w:hAnsi="Arial"/>
                <w:sz w:val="17"/>
                <w:szCs w:val="17"/>
                <w:color w:val="auto"/>
              </w:rPr>
              <w:t>$10,803,115</w:t>
            </w:r>
          </w:p>
        </w:tc>
      </w:tr>
      <w:tr>
        <w:trPr>
          <w:trHeight w:val="244"/>
        </w:trPr>
        <w:tc>
          <w:tcPr>
            <w:tcW w:w="1380" w:type="dxa"/>
            <w:vAlign w:val="bottom"/>
            <w:shd w:val="clear" w:color="auto" w:fill="E9E9E9"/>
          </w:tcPr>
          <w:p>
            <w:pPr>
              <w:spacing w:after="0"/>
              <w:rPr>
                <w:sz w:val="20"/>
                <w:szCs w:val="20"/>
                <w:color w:val="auto"/>
              </w:rPr>
            </w:pPr>
            <w:r>
              <w:rPr>
                <w:rFonts w:ascii="Arial" w:cs="Arial" w:eastAsia="Arial" w:hAnsi="Arial"/>
                <w:sz w:val="17"/>
                <w:szCs w:val="17"/>
                <w:color w:val="auto"/>
              </w:rPr>
              <w:t>Ritchie</w:t>
            </w:r>
          </w:p>
        </w:tc>
        <w:tc>
          <w:tcPr>
            <w:tcW w:w="1080" w:type="dxa"/>
            <w:vAlign w:val="bottom"/>
            <w:shd w:val="clear" w:color="auto" w:fill="E9E9E9"/>
          </w:tcPr>
          <w:p>
            <w:pPr>
              <w:jc w:val="center"/>
              <w:ind w:left="418"/>
              <w:spacing w:after="0"/>
              <w:rPr>
                <w:sz w:val="20"/>
                <w:szCs w:val="20"/>
                <w:color w:val="auto"/>
              </w:rPr>
            </w:pPr>
            <w:r>
              <w:rPr>
                <w:rFonts w:ascii="Arial" w:cs="Arial" w:eastAsia="Arial" w:hAnsi="Arial"/>
                <w:sz w:val="17"/>
                <w:szCs w:val="17"/>
                <w:color w:val="auto"/>
              </w:rPr>
              <w:t>(1)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5"/>
              <w:spacing w:after="0"/>
              <w:rPr>
                <w:sz w:val="20"/>
                <w:szCs w:val="20"/>
                <w:color w:val="auto"/>
              </w:rPr>
            </w:pPr>
            <w:r>
              <w:rPr>
                <w:rFonts w:ascii="Arial" w:cs="Arial" w:eastAsia="Arial" w:hAnsi="Arial"/>
                <w:sz w:val="17"/>
                <w:szCs w:val="17"/>
                <w:color w:val="auto"/>
                <w:w w:val="97"/>
              </w:rPr>
              <w:t>425,168</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$269,113</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ind w:right="26"/>
              <w:spacing w:after="0"/>
              <w:rPr>
                <w:sz w:val="20"/>
                <w:szCs w:val="20"/>
                <w:color w:val="auto"/>
              </w:rPr>
            </w:pPr>
            <w:r>
              <w:rPr>
                <w:rFonts w:ascii="Arial" w:cs="Arial" w:eastAsia="Arial" w:hAnsi="Arial"/>
                <w:sz w:val="17"/>
                <w:szCs w:val="17"/>
                <w:color w:val="auto"/>
                <w:w w:val="97"/>
              </w:rPr>
              <w:t>1,201,448</w:t>
            </w:r>
          </w:p>
        </w:tc>
        <w:tc>
          <w:tcPr>
            <w:tcW w:w="200" w:type="dxa"/>
            <w:vAlign w:val="bottom"/>
            <w:shd w:val="clear" w:color="auto" w:fill="E9E9E9"/>
          </w:tcPr>
          <w:p>
            <w:pPr>
              <w:ind w:left="10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E9E9E9"/>
          </w:tcPr>
          <w:p>
            <w:pPr>
              <w:jc w:val="right"/>
              <w:ind w:right="60"/>
              <w:spacing w:after="0"/>
              <w:rPr>
                <w:sz w:val="20"/>
                <w:szCs w:val="20"/>
                <w:color w:val="auto"/>
              </w:rPr>
            </w:pPr>
            <w:r>
              <w:rPr>
                <w:rFonts w:ascii="Arial" w:cs="Arial" w:eastAsia="Arial" w:hAnsi="Arial"/>
                <w:sz w:val="17"/>
                <w:szCs w:val="17"/>
                <w:color w:val="auto"/>
              </w:rPr>
              <w:t>80,996</w:t>
            </w:r>
          </w:p>
        </w:tc>
        <w:tc>
          <w:tcPr>
            <w:tcW w:w="2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7,989,638</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8,758,206</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81,151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85,937</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$18,891,657</w:t>
            </w:r>
          </w:p>
        </w:tc>
      </w:tr>
    </w:tbl>
    <w:p>
      <w:pPr>
        <w:spacing w:after="0" w:line="252" w:lineRule="exact"/>
        <w:rPr>
          <w:sz w:val="20"/>
          <w:szCs w:val="20"/>
          <w:color w:val="auto"/>
        </w:rPr>
      </w:pPr>
    </w:p>
    <w:p>
      <w:pPr>
        <w:ind w:left="480" w:hanging="475"/>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63" w:lineRule="exact"/>
        <w:rPr>
          <w:rFonts w:ascii="Arial" w:cs="Arial" w:eastAsia="Arial" w:hAnsi="Arial"/>
          <w:sz w:val="17"/>
          <w:szCs w:val="17"/>
          <w:color w:val="auto"/>
        </w:rPr>
      </w:pPr>
    </w:p>
    <w:p>
      <w:pPr>
        <w:ind w:left="480" w:right="380" w:hanging="475"/>
        <w:spacing w:after="0" w:line="246"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237" w:lineRule="exact"/>
        <w:rPr>
          <w:rFonts w:ascii="Arial" w:cs="Arial" w:eastAsia="Arial" w:hAnsi="Arial"/>
          <w:sz w:val="17"/>
          <w:szCs w:val="17"/>
          <w:color w:val="auto"/>
        </w:rPr>
      </w:pPr>
    </w:p>
    <w:p>
      <w:pPr>
        <w:ind w:left="480" w:hanging="475"/>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Balance as of December 31, 2010, under the non-qualified deferred compensation plan.</w:t>
      </w:r>
    </w:p>
    <w:p>
      <w:pPr>
        <w:spacing w:after="0" w:line="263" w:lineRule="exact"/>
        <w:rPr>
          <w:rFonts w:ascii="Arial" w:cs="Arial" w:eastAsia="Arial" w:hAnsi="Arial"/>
          <w:sz w:val="17"/>
          <w:szCs w:val="17"/>
          <w:color w:val="auto"/>
        </w:rPr>
      </w:pPr>
    </w:p>
    <w:p>
      <w:pPr>
        <w:ind w:left="480" w:right="40" w:hanging="475"/>
        <w:spacing w:after="0" w:line="245"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31, 2010 ($32.50). All outstanding RSUs are assumed to be vested for purposes of this table. Please see the Outstanding Equity Awards at Fiscal Year-End 2010 table on pages 76-77 for the number of unvested RSUs as of December 31, 2010, and see page 79 for a discussion of an additional outstanding RSU award held by Mr. Templeton.</w:t>
      </w:r>
    </w:p>
    <w:p>
      <w:pPr>
        <w:spacing w:after="0" w:line="237" w:lineRule="exact"/>
        <w:rPr>
          <w:rFonts w:ascii="Arial" w:cs="Arial" w:eastAsia="Arial" w:hAnsi="Arial"/>
          <w:sz w:val="17"/>
          <w:szCs w:val="17"/>
          <w:color w:val="auto"/>
        </w:rPr>
      </w:pPr>
    </w:p>
    <w:p>
      <w:pPr>
        <w:ind w:left="480" w:hanging="475"/>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See note 6 to the Termination Due to Disability table.</w:t>
      </w:r>
    </w:p>
    <w:p>
      <w:pPr>
        <w:spacing w:after="0" w:line="276" w:lineRule="exact"/>
        <w:rPr>
          <w:rFonts w:ascii="Arial" w:cs="Arial" w:eastAsia="Arial" w:hAnsi="Arial"/>
          <w:sz w:val="17"/>
          <w:szCs w:val="17"/>
          <w:color w:val="auto"/>
        </w:rPr>
      </w:pPr>
    </w:p>
    <w:p>
      <w:pPr>
        <w:ind w:left="480" w:hanging="475"/>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earned in 2010.</w:t>
      </w:r>
    </w:p>
    <w:p>
      <w:pPr>
        <w:spacing w:after="0" w:line="276" w:lineRule="exact"/>
        <w:rPr>
          <w:rFonts w:ascii="Arial" w:cs="Arial" w:eastAsia="Arial" w:hAnsi="Arial"/>
          <w:sz w:val="17"/>
          <w:szCs w:val="17"/>
          <w:color w:val="auto"/>
        </w:rPr>
      </w:pPr>
    </w:p>
    <w:p>
      <w:pPr>
        <w:ind w:left="480" w:hanging="475"/>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See note 8 to the Termination Due to Disability table.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Involuntary termination for cause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5"/>
                <w:szCs w:val="15"/>
                <w:color w:val="auto"/>
              </w:rPr>
            </w:pPr>
          </w:p>
        </w:tc>
        <w:tc>
          <w:tcPr>
            <w:tcW w:w="840" w:type="dxa"/>
            <w:vAlign w:val="bottom"/>
          </w:tcPr>
          <w:p>
            <w:pPr>
              <w:jc w:val="center"/>
              <w:ind w:right="106"/>
              <w:spacing w:after="0"/>
              <w:rPr>
                <w:sz w:val="20"/>
                <w:szCs w:val="20"/>
                <w:color w:val="auto"/>
              </w:rPr>
            </w:pPr>
            <w:r>
              <w:rPr>
                <w:rFonts w:ascii="Arial" w:cs="Arial" w:eastAsia="Arial" w:hAnsi="Arial"/>
                <w:sz w:val="13"/>
                <w:szCs w:val="13"/>
                <w:b w:val="1"/>
                <w:bCs w:val="1"/>
                <w:color w:val="auto"/>
              </w:rPr>
              <w:t>Non-</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6"/>
        </w:trPr>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rPr>
              <w:t>Qualified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6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Arial" w:cs="Arial" w:eastAsia="Arial" w:hAnsi="Arial"/>
                <w:sz w:val="13"/>
                <w:szCs w:val="13"/>
                <w:b w:val="1"/>
                <w:bCs w:val="1"/>
                <w:color w:val="auto"/>
              </w:rPr>
              <w:t>Qualified</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145"/>
              <w:spacing w:after="0"/>
              <w:rPr>
                <w:sz w:val="20"/>
                <w:szCs w:val="20"/>
                <w:color w:val="auto"/>
              </w:rPr>
            </w:pPr>
            <w:r>
              <w:rPr>
                <w:rFonts w:ascii="Arial" w:cs="Arial" w:eastAsia="Arial" w:hAnsi="Arial"/>
                <w:sz w:val="13"/>
                <w:szCs w:val="13"/>
                <w:b w:val="1"/>
                <w:bCs w:val="1"/>
                <w:color w:val="auto"/>
              </w:rPr>
              <w:t>Defined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6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Arial" w:cs="Arial" w:eastAsia="Arial" w:hAnsi="Arial"/>
                <w:sz w:val="13"/>
                <w:szCs w:val="13"/>
                <w:b w:val="1"/>
                <w:bCs w:val="1"/>
                <w:color w:val="auto"/>
              </w:rPr>
              <w:t>Defined</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145"/>
              <w:spacing w:after="0"/>
              <w:rPr>
                <w:sz w:val="20"/>
                <w:szCs w:val="20"/>
                <w:color w:val="auto"/>
              </w:rPr>
            </w:pPr>
            <w:r>
              <w:rPr>
                <w:rFonts w:ascii="Arial" w:cs="Arial" w:eastAsia="Arial" w:hAnsi="Arial"/>
                <w:sz w:val="13"/>
                <w:szCs w:val="13"/>
                <w:b w:val="1"/>
                <w:bCs w:val="1"/>
                <w:color w:val="auto"/>
                <w:w w:val="99"/>
              </w:rPr>
              <w:t>Benefit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6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Arial" w:cs="Arial" w:eastAsia="Arial" w:hAnsi="Arial"/>
                <w:sz w:val="13"/>
                <w:szCs w:val="13"/>
                <w:b w:val="1"/>
                <w:bCs w:val="1"/>
                <w:color w:val="auto"/>
                <w:w w:val="99"/>
              </w:rPr>
              <w:t>Benefit</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125"/>
              <w:spacing w:after="0"/>
              <w:rPr>
                <w:sz w:val="20"/>
                <w:szCs w:val="20"/>
                <w:color w:val="auto"/>
              </w:rPr>
            </w:pPr>
            <w:r>
              <w:rPr>
                <w:rFonts w:ascii="Arial" w:cs="Arial" w:eastAsia="Arial" w:hAnsi="Arial"/>
                <w:sz w:val="13"/>
                <w:szCs w:val="13"/>
                <w:b w:val="1"/>
                <w:bCs w:val="1"/>
                <w:color w:val="auto"/>
                <w:w w:val="98"/>
              </w:rPr>
              <w:t>Pension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Arial" w:cs="Arial" w:eastAsia="Arial" w:hAnsi="Arial"/>
                <w:sz w:val="13"/>
                <w:szCs w:val="13"/>
                <w:b w:val="1"/>
                <w:bCs w:val="1"/>
                <w:color w:val="auto"/>
              </w:rPr>
              <w:t>Pension</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center"/>
              <w:ind w:right="82"/>
              <w:spacing w:after="0"/>
              <w:rPr>
                <w:sz w:val="20"/>
                <w:szCs w:val="20"/>
                <w:color w:val="auto"/>
              </w:rPr>
            </w:pPr>
            <w:r>
              <w:rPr>
                <w:rFonts w:ascii="Arial" w:cs="Arial" w:eastAsia="Arial" w:hAnsi="Arial"/>
                <w:sz w:val="13"/>
                <w:szCs w:val="13"/>
                <w:b w:val="1"/>
                <w:bCs w:val="1"/>
                <w:color w:val="auto"/>
              </w:rPr>
              <w:t>Profit</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Time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620" w:type="dxa"/>
            <w:vAlign w:val="bottom"/>
          </w:tcPr>
          <w:p>
            <w:pPr>
              <w:spacing w:after="0"/>
              <w:rPr>
                <w:sz w:val="20"/>
                <w:szCs w:val="20"/>
                <w:color w:val="auto"/>
              </w:rPr>
            </w:pPr>
          </w:p>
        </w:tc>
        <w:tc>
          <w:tcPr>
            <w:tcW w:w="1320" w:type="dxa"/>
            <w:vAlign w:val="bottom"/>
          </w:tcPr>
          <w:p>
            <w:pPr>
              <w:jc w:val="center"/>
              <w:ind w:left="640"/>
              <w:spacing w:after="0"/>
              <w:rPr>
                <w:sz w:val="20"/>
                <w:szCs w:val="20"/>
                <w:color w:val="auto"/>
              </w:rPr>
            </w:pPr>
            <w:r>
              <w:rPr>
                <w:rFonts w:ascii="Arial" w:cs="Arial" w:eastAsia="Arial" w:hAnsi="Arial"/>
                <w:sz w:val="13"/>
                <w:szCs w:val="13"/>
                <w:b w:val="1"/>
                <w:bCs w:val="1"/>
                <w:color w:val="auto"/>
                <w:w w:val="98"/>
              </w:rPr>
              <w:t>Bonus</w:t>
            </w:r>
          </w:p>
        </w:tc>
        <w:tc>
          <w:tcPr>
            <w:tcW w:w="180" w:type="dxa"/>
            <w:vAlign w:val="bottom"/>
          </w:tcPr>
          <w:p>
            <w:pPr>
              <w:spacing w:after="0"/>
              <w:rPr>
                <w:sz w:val="20"/>
                <w:szCs w:val="20"/>
                <w:color w:val="auto"/>
              </w:rPr>
            </w:pPr>
          </w:p>
        </w:tc>
        <w:tc>
          <w:tcPr>
            <w:tcW w:w="700" w:type="dxa"/>
            <w:vAlign w:val="bottom"/>
          </w:tcPr>
          <w:p>
            <w:pPr>
              <w:jc w:val="center"/>
              <w:ind w:right="145"/>
              <w:spacing w:after="0"/>
              <w:rPr>
                <w:sz w:val="20"/>
                <w:szCs w:val="20"/>
                <w:color w:val="auto"/>
              </w:rPr>
            </w:pPr>
            <w:r>
              <w:rPr>
                <w:rFonts w:ascii="Arial" w:cs="Arial" w:eastAsia="Arial" w:hAnsi="Arial"/>
                <w:sz w:val="13"/>
                <w:szCs w:val="13"/>
                <w:b w:val="1"/>
                <w:bCs w:val="1"/>
                <w:color w:val="auto"/>
              </w:rPr>
              <w:t>Plan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160" w:type="dxa"/>
            <w:vAlign w:val="bottom"/>
          </w:tcPr>
          <w:p>
            <w:pPr>
              <w:spacing w:after="0"/>
              <w:rPr>
                <w:sz w:val="20"/>
                <w:szCs w:val="20"/>
                <w:color w:val="auto"/>
              </w:rPr>
            </w:pPr>
          </w:p>
        </w:tc>
        <w:tc>
          <w:tcPr>
            <w:tcW w:w="840" w:type="dxa"/>
            <w:vAlign w:val="bottom"/>
          </w:tcPr>
          <w:p>
            <w:pPr>
              <w:jc w:val="center"/>
              <w:ind w:right="106"/>
              <w:spacing w:after="0"/>
              <w:rPr>
                <w:sz w:val="20"/>
                <w:szCs w:val="20"/>
                <w:color w:val="auto"/>
              </w:rPr>
            </w:pPr>
            <w:r>
              <w:rPr>
                <w:rFonts w:ascii="Arial" w:cs="Arial" w:eastAsia="Arial" w:hAnsi="Arial"/>
                <w:sz w:val="13"/>
                <w:szCs w:val="13"/>
                <w:b w:val="1"/>
                <w:bCs w:val="1"/>
                <w:color w:val="auto"/>
                <w:w w:val="99"/>
              </w:rPr>
              <w:t>Plan II</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Deferred</w:t>
            </w:r>
          </w:p>
        </w:tc>
        <w:tc>
          <w:tcPr>
            <w:tcW w:w="12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w w:val="99"/>
              </w:rPr>
              <w:t>Sharing</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Bank</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16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320" w:type="dxa"/>
            <w:vAlign w:val="bottom"/>
          </w:tcPr>
          <w:p>
            <w:pPr>
              <w:jc w:val="center"/>
              <w:ind w:left="640"/>
              <w:spacing w:after="0"/>
              <w:rPr>
                <w:sz w:val="20"/>
                <w:szCs w:val="20"/>
                <w:color w:val="auto"/>
              </w:rPr>
            </w:pPr>
            <w:r>
              <w:rPr>
                <w:rFonts w:ascii="Arial" w:cs="Arial" w:eastAsia="Arial" w:hAnsi="Arial"/>
                <w:sz w:val="13"/>
                <w:szCs w:val="13"/>
                <w:b w:val="1"/>
                <w:bCs w:val="1"/>
                <w:color w:val="auto"/>
              </w:rPr>
              <w:t>(1)</w:t>
            </w:r>
          </w:p>
        </w:tc>
        <w:tc>
          <w:tcPr>
            <w:tcW w:w="180" w:type="dxa"/>
            <w:vAlign w:val="bottom"/>
          </w:tcPr>
          <w:p>
            <w:pPr>
              <w:spacing w:after="0"/>
              <w:rPr>
                <w:sz w:val="20"/>
                <w:szCs w:val="20"/>
                <w:color w:val="auto"/>
              </w:rPr>
            </w:pPr>
          </w:p>
        </w:tc>
        <w:tc>
          <w:tcPr>
            <w:tcW w:w="700" w:type="dxa"/>
            <w:vAlign w:val="bottom"/>
          </w:tcPr>
          <w:p>
            <w:pPr>
              <w:jc w:val="center"/>
              <w:ind w:right="145"/>
              <w:spacing w:after="0"/>
              <w:rPr>
                <w:sz w:val="20"/>
                <w:szCs w:val="20"/>
                <w:color w:val="auto"/>
              </w:rPr>
            </w:pPr>
            <w:r>
              <w:rPr>
                <w:rFonts w:ascii="Arial" w:cs="Arial" w:eastAsia="Arial" w:hAnsi="Arial"/>
                <w:sz w:val="13"/>
                <w:szCs w:val="13"/>
                <w:b w:val="1"/>
                <w:bCs w:val="1"/>
                <w:color w:val="auto"/>
              </w:rPr>
              <w:t>(2)</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Arial" w:cs="Arial" w:eastAsia="Arial" w:hAnsi="Arial"/>
                <w:sz w:val="13"/>
                <w:szCs w:val="13"/>
                <w:b w:val="1"/>
                <w:bCs w:val="1"/>
                <w:color w:val="auto"/>
              </w:rPr>
              <w:t>(3)</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280" w:type="dxa"/>
            <w:vAlign w:val="bottom"/>
          </w:tcPr>
          <w:p>
            <w:pPr>
              <w:jc w:val="right"/>
              <w:ind w:right="378"/>
              <w:spacing w:after="0"/>
              <w:rPr>
                <w:sz w:val="20"/>
                <w:szCs w:val="20"/>
                <w:color w:val="auto"/>
              </w:rPr>
            </w:pPr>
            <w:r>
              <w:rPr>
                <w:rFonts w:ascii="Arial" w:cs="Arial" w:eastAsia="Arial" w:hAnsi="Arial"/>
                <w:sz w:val="13"/>
                <w:szCs w:val="13"/>
                <w:b w:val="1"/>
                <w:bCs w:val="1"/>
                <w:color w:val="auto"/>
              </w:rPr>
              <w:t>RSUs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(5)</w:t>
            </w:r>
          </w:p>
        </w:tc>
        <w:tc>
          <w:tcPr>
            <w:tcW w:w="180" w:type="dxa"/>
            <w:vAlign w:val="bottom"/>
          </w:tcPr>
          <w:p>
            <w:pPr>
              <w:spacing w:after="0"/>
              <w:rPr>
                <w:sz w:val="20"/>
                <w:szCs w:val="20"/>
                <w:color w:val="auto"/>
              </w:rPr>
            </w:pPr>
          </w:p>
        </w:tc>
        <w:tc>
          <w:tcPr>
            <w:tcW w:w="700" w:type="dxa"/>
            <w:vAlign w:val="bottom"/>
          </w:tcPr>
          <w:p>
            <w:pPr>
              <w:jc w:val="center"/>
              <w:ind w:right="102"/>
              <w:spacing w:after="0"/>
              <w:rPr>
                <w:sz w:val="20"/>
                <w:szCs w:val="20"/>
                <w:color w:val="auto"/>
              </w:rPr>
            </w:pPr>
            <w:r>
              <w:rPr>
                <w:rFonts w:ascii="Arial" w:cs="Arial" w:eastAsia="Arial" w:hAnsi="Arial"/>
                <w:sz w:val="13"/>
                <w:szCs w:val="13"/>
                <w:b w:val="1"/>
                <w:bCs w:val="1"/>
                <w:color w:val="auto"/>
              </w:rPr>
              <w:t>(6)</w:t>
            </w:r>
          </w:p>
        </w:tc>
        <w:tc>
          <w:tcPr>
            <w:tcW w:w="180" w:type="dxa"/>
            <w:vAlign w:val="bottom"/>
          </w:tcPr>
          <w:p>
            <w:pPr>
              <w:spacing w:after="0"/>
              <w:rPr>
                <w:sz w:val="20"/>
                <w:szCs w:val="20"/>
                <w:color w:val="auto"/>
              </w:rPr>
            </w:pPr>
          </w:p>
        </w:tc>
        <w:tc>
          <w:tcPr>
            <w:tcW w:w="760" w:type="dxa"/>
            <w:vAlign w:val="bottom"/>
          </w:tcPr>
          <w:p>
            <w:pPr>
              <w:jc w:val="right"/>
              <w:ind w:right="198"/>
              <w:spacing w:after="0"/>
              <w:rPr>
                <w:sz w:val="20"/>
                <w:szCs w:val="20"/>
                <w:color w:val="auto"/>
              </w:rPr>
            </w:pPr>
            <w:r>
              <w:rPr>
                <w:rFonts w:ascii="Arial" w:cs="Arial" w:eastAsia="Arial" w:hAnsi="Arial"/>
                <w:sz w:val="13"/>
                <w:szCs w:val="13"/>
                <w:b w:val="1"/>
                <w:bCs w:val="1"/>
                <w:color w:val="auto"/>
              </w:rPr>
              <w:t>Total</w:t>
            </w:r>
          </w:p>
        </w:tc>
      </w:tr>
      <w:tr>
        <w:trPr>
          <w:trHeight w:val="41"/>
        </w:trPr>
        <w:tc>
          <w:tcPr>
            <w:tcW w:w="16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66"/>
        </w:trPr>
        <w:tc>
          <w:tcPr>
            <w:tcW w:w="1620" w:type="dxa"/>
            <w:vAlign w:val="bottom"/>
            <w:shd w:val="clear" w:color="auto" w:fill="808285"/>
          </w:tcPr>
          <w:p>
            <w:pPr>
              <w:spacing w:after="0"/>
              <w:rPr>
                <w:sz w:val="5"/>
                <w:szCs w:val="5"/>
                <w:color w:val="auto"/>
              </w:rPr>
            </w:pPr>
          </w:p>
        </w:tc>
        <w:tc>
          <w:tcPr>
            <w:tcW w:w="132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880" w:type="dxa"/>
            <w:vAlign w:val="bottom"/>
            <w:shd w:val="clear" w:color="auto" w:fill="808285"/>
          </w:tcPr>
          <w:p>
            <w:pPr>
              <w:spacing w:after="0"/>
              <w:rPr>
                <w:sz w:val="5"/>
                <w:szCs w:val="5"/>
                <w:color w:val="auto"/>
              </w:rPr>
            </w:pPr>
          </w:p>
        </w:tc>
        <w:tc>
          <w:tcPr>
            <w:tcW w:w="160" w:type="dxa"/>
            <w:vAlign w:val="bottom"/>
            <w:shd w:val="clear" w:color="auto" w:fill="808285"/>
          </w:tcPr>
          <w:p>
            <w:pPr>
              <w:spacing w:after="0"/>
              <w:rPr>
                <w:sz w:val="5"/>
                <w:szCs w:val="5"/>
                <w:color w:val="auto"/>
              </w:rPr>
            </w:pPr>
          </w:p>
        </w:tc>
        <w:tc>
          <w:tcPr>
            <w:tcW w:w="840" w:type="dxa"/>
            <w:vAlign w:val="bottom"/>
            <w:shd w:val="clear" w:color="auto" w:fill="808285"/>
          </w:tcPr>
          <w:p>
            <w:pPr>
              <w:spacing w:after="0"/>
              <w:rPr>
                <w:sz w:val="5"/>
                <w:szCs w:val="5"/>
                <w:color w:val="auto"/>
              </w:rPr>
            </w:pPr>
          </w:p>
        </w:tc>
        <w:tc>
          <w:tcPr>
            <w:tcW w:w="1080" w:type="dxa"/>
            <w:vAlign w:val="bottom"/>
            <w:shd w:val="clear" w:color="auto" w:fill="808285"/>
          </w:tcPr>
          <w:p>
            <w:pPr>
              <w:spacing w:after="0"/>
              <w:rPr>
                <w:sz w:val="5"/>
                <w:szCs w:val="5"/>
                <w:color w:val="auto"/>
              </w:rPr>
            </w:pPr>
          </w:p>
        </w:tc>
        <w:tc>
          <w:tcPr>
            <w:tcW w:w="1280" w:type="dxa"/>
            <w:vAlign w:val="bottom"/>
            <w:shd w:val="clear" w:color="auto" w:fill="808285"/>
          </w:tcPr>
          <w:p>
            <w:pPr>
              <w:spacing w:after="0"/>
              <w:rPr>
                <w:sz w:val="5"/>
                <w:szCs w:val="5"/>
                <w:color w:val="auto"/>
              </w:rPr>
            </w:pPr>
          </w:p>
        </w:tc>
        <w:tc>
          <w:tcPr>
            <w:tcW w:w="66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760" w:type="dxa"/>
            <w:vAlign w:val="bottom"/>
            <w:shd w:val="clear" w:color="auto" w:fill="808285"/>
          </w:tcPr>
          <w:p>
            <w:pPr>
              <w:spacing w:after="0"/>
              <w:rPr>
                <w:sz w:val="5"/>
                <w:szCs w:val="5"/>
                <w:color w:val="auto"/>
              </w:rPr>
            </w:pPr>
          </w:p>
        </w:tc>
      </w:tr>
      <w:tr>
        <w:trPr>
          <w:trHeight w:val="236"/>
        </w:trPr>
        <w:tc>
          <w:tcPr>
            <w:tcW w:w="162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320" w:type="dxa"/>
            <w:vAlign w:val="bottom"/>
            <w:shd w:val="clear" w:color="auto" w:fill="E9E9E9"/>
          </w:tcPr>
          <w:p>
            <w:pPr>
              <w:jc w:val="center"/>
              <w:ind w:left="640"/>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5"/>
              <w:spacing w:after="0"/>
              <w:rPr>
                <w:sz w:val="20"/>
                <w:szCs w:val="20"/>
                <w:color w:val="auto"/>
              </w:rPr>
            </w:pPr>
            <w:r>
              <w:rPr>
                <w:rFonts w:ascii="Arial" w:cs="Arial" w:eastAsia="Arial" w:hAnsi="Arial"/>
                <w:sz w:val="17"/>
                <w:szCs w:val="17"/>
                <w:color w:val="auto"/>
                <w:w w:val="94"/>
              </w:rPr>
              <w:t>457,922</w:t>
            </w:r>
          </w:p>
        </w:tc>
        <w:tc>
          <w:tcPr>
            <w:tcW w:w="880" w:type="dxa"/>
            <w:vAlign w:val="bottom"/>
            <w:shd w:val="clear" w:color="auto" w:fill="E9E9E9"/>
          </w:tcPr>
          <w:p>
            <w:pPr>
              <w:jc w:val="right"/>
              <w:ind w:right="26"/>
              <w:spacing w:after="0"/>
              <w:rPr>
                <w:sz w:val="20"/>
                <w:szCs w:val="20"/>
                <w:color w:val="auto"/>
              </w:rPr>
            </w:pPr>
            <w:r>
              <w:rPr>
                <w:rFonts w:ascii="Arial" w:cs="Arial" w:eastAsia="Arial" w:hAnsi="Arial"/>
                <w:sz w:val="17"/>
                <w:szCs w:val="17"/>
                <w:color w:val="auto"/>
              </w:rPr>
              <w:t>$309,833</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28,539</w:t>
            </w:r>
          </w:p>
        </w:tc>
        <w:tc>
          <w:tcPr>
            <w:tcW w:w="10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2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$3,900,000 (4)</w:t>
            </w:r>
          </w:p>
        </w:tc>
        <w:tc>
          <w:tcPr>
            <w:tcW w:w="6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w w:val="97"/>
              </w:rPr>
              <w:t>171,094</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w w:val="97"/>
              </w:rPr>
              <w:t>196,112</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5,063,500</w:t>
            </w:r>
          </w:p>
        </w:tc>
      </w:tr>
      <w:tr>
        <w:trPr>
          <w:trHeight w:val="228"/>
        </w:trPr>
        <w:tc>
          <w:tcPr>
            <w:tcW w:w="1620" w:type="dxa"/>
            <w:vAlign w:val="bottom"/>
          </w:tcPr>
          <w:p>
            <w:pPr>
              <w:spacing w:after="0"/>
              <w:rPr>
                <w:sz w:val="20"/>
                <w:szCs w:val="20"/>
                <w:color w:val="auto"/>
              </w:rPr>
            </w:pPr>
            <w:r>
              <w:rPr>
                <w:rFonts w:ascii="Arial" w:cs="Arial" w:eastAsia="Arial" w:hAnsi="Arial"/>
                <w:sz w:val="17"/>
                <w:szCs w:val="17"/>
                <w:color w:val="auto"/>
              </w:rPr>
              <w:t>March</w:t>
            </w:r>
          </w:p>
        </w:tc>
        <w:tc>
          <w:tcPr>
            <w:tcW w:w="1320" w:type="dxa"/>
            <w:vAlign w:val="bottom"/>
          </w:tcPr>
          <w:p>
            <w:pPr>
              <w:jc w:val="center"/>
              <w:ind w:left="640"/>
              <w:spacing w:after="0"/>
              <w:rPr>
                <w:sz w:val="20"/>
                <w:szCs w:val="20"/>
                <w:color w:val="auto"/>
              </w:rPr>
            </w:pPr>
            <w:r>
              <w:rPr>
                <w:rFonts w:ascii="Arial" w:cs="Arial" w:eastAsia="Arial" w:hAnsi="Arial"/>
                <w:sz w:val="17"/>
                <w:szCs w:val="17"/>
                <w:color w:val="auto"/>
                <w:w w:val="93"/>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5"/>
              <w:spacing w:after="0"/>
              <w:rPr>
                <w:sz w:val="20"/>
                <w:szCs w:val="20"/>
                <w:color w:val="auto"/>
              </w:rPr>
            </w:pPr>
            <w:r>
              <w:rPr>
                <w:rFonts w:ascii="Arial" w:cs="Arial" w:eastAsia="Arial" w:hAnsi="Arial"/>
                <w:sz w:val="17"/>
                <w:szCs w:val="17"/>
                <w:color w:val="auto"/>
                <w:w w:val="94"/>
              </w:rPr>
              <w:t>494,196</w:t>
            </w:r>
          </w:p>
        </w:tc>
        <w:tc>
          <w:tcPr>
            <w:tcW w:w="880" w:type="dxa"/>
            <w:vAlign w:val="bottom"/>
          </w:tcPr>
          <w:p>
            <w:pPr>
              <w:jc w:val="right"/>
              <w:ind w:right="26"/>
              <w:spacing w:after="0"/>
              <w:rPr>
                <w:sz w:val="20"/>
                <w:szCs w:val="20"/>
                <w:color w:val="auto"/>
              </w:rPr>
            </w:pPr>
            <w:r>
              <w:rPr>
                <w:rFonts w:ascii="Arial" w:cs="Arial" w:eastAsia="Arial" w:hAnsi="Arial"/>
                <w:sz w:val="17"/>
                <w:szCs w:val="17"/>
                <w:color w:val="auto"/>
              </w:rPr>
              <w:t>$185,421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6"/>
              <w:spacing w:after="0"/>
              <w:rPr>
                <w:sz w:val="20"/>
                <w:szCs w:val="20"/>
                <w:color w:val="auto"/>
              </w:rPr>
            </w:pPr>
            <w:r>
              <w:rPr>
                <w:rFonts w:ascii="Arial" w:cs="Arial" w:eastAsia="Arial" w:hAnsi="Arial"/>
                <w:sz w:val="17"/>
                <w:szCs w:val="17"/>
                <w:color w:val="auto"/>
                <w:w w:val="97"/>
              </w:rPr>
              <w:t>1,830,480</w:t>
            </w:r>
          </w:p>
        </w:tc>
        <w:tc>
          <w:tcPr>
            <w:tcW w:w="1080" w:type="dxa"/>
            <w:vAlign w:val="bottom"/>
          </w:tcPr>
          <w:p>
            <w:pPr>
              <w:jc w:val="center"/>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58"/>
              <w:spacing w:after="0"/>
              <w:rPr>
                <w:sz w:val="20"/>
                <w:szCs w:val="20"/>
                <w:color w:val="auto"/>
              </w:rPr>
            </w:pPr>
            <w:r>
              <w:rPr>
                <w:rFonts w:ascii="Arial" w:cs="Arial" w:eastAsia="Arial" w:hAnsi="Arial"/>
                <w:sz w:val="17"/>
                <w:szCs w:val="17"/>
                <w:color w:val="auto"/>
              </w:rPr>
              <w:t>—</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90,858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w w:val="97"/>
              </w:rPr>
              <w:t>114,155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2,715,110</w:t>
            </w:r>
          </w:p>
        </w:tc>
      </w:tr>
      <w:tr>
        <w:trPr>
          <w:trHeight w:val="244"/>
        </w:trPr>
        <w:tc>
          <w:tcPr>
            <w:tcW w:w="162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320" w:type="dxa"/>
            <w:vAlign w:val="bottom"/>
            <w:shd w:val="clear" w:color="auto" w:fill="E9E9E9"/>
          </w:tcPr>
          <w:p>
            <w:pPr>
              <w:jc w:val="center"/>
              <w:ind w:left="640"/>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5"/>
              <w:spacing w:after="0"/>
              <w:rPr>
                <w:sz w:val="20"/>
                <w:szCs w:val="20"/>
                <w:color w:val="auto"/>
              </w:rPr>
            </w:pPr>
            <w:r>
              <w:rPr>
                <w:rFonts w:ascii="Arial" w:cs="Arial" w:eastAsia="Arial" w:hAnsi="Arial"/>
                <w:sz w:val="17"/>
                <w:szCs w:val="17"/>
                <w:color w:val="auto"/>
                <w:w w:val="94"/>
              </w:rPr>
              <w:t>516,953</w:t>
            </w:r>
          </w:p>
        </w:tc>
        <w:tc>
          <w:tcPr>
            <w:tcW w:w="880" w:type="dxa"/>
            <w:vAlign w:val="bottom"/>
            <w:shd w:val="clear" w:color="auto" w:fill="E9E9E9"/>
          </w:tcPr>
          <w:p>
            <w:pPr>
              <w:jc w:val="right"/>
              <w:ind w:right="26"/>
              <w:spacing w:after="0"/>
              <w:rPr>
                <w:sz w:val="20"/>
                <w:szCs w:val="20"/>
                <w:color w:val="auto"/>
              </w:rPr>
            </w:pPr>
            <w:r>
              <w:rPr>
                <w:rFonts w:ascii="Arial" w:cs="Arial" w:eastAsia="Arial" w:hAnsi="Arial"/>
                <w:sz w:val="17"/>
                <w:szCs w:val="17"/>
                <w:color w:val="auto"/>
              </w:rPr>
              <w:t>$284,145</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w w:val="97"/>
              </w:rPr>
              <w:t>2,080,961</w:t>
            </w:r>
          </w:p>
        </w:tc>
        <w:tc>
          <w:tcPr>
            <w:tcW w:w="10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280" w:type="dxa"/>
            <w:vAlign w:val="bottom"/>
            <w:shd w:val="clear" w:color="auto" w:fill="E9E9E9"/>
          </w:tcPr>
          <w:p>
            <w:pPr>
              <w:jc w:val="right"/>
              <w:ind w:right="258"/>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99,014</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93,105</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3,074,178</w:t>
            </w:r>
          </w:p>
        </w:tc>
      </w:tr>
      <w:tr>
        <w:trPr>
          <w:trHeight w:val="228"/>
        </w:trPr>
        <w:tc>
          <w:tcPr>
            <w:tcW w:w="1620" w:type="dxa"/>
            <w:vAlign w:val="bottom"/>
          </w:tcPr>
          <w:p>
            <w:pPr>
              <w:spacing w:after="0"/>
              <w:rPr>
                <w:sz w:val="20"/>
                <w:szCs w:val="20"/>
                <w:color w:val="auto"/>
              </w:rPr>
            </w:pPr>
            <w:r>
              <w:rPr>
                <w:rFonts w:ascii="Arial" w:cs="Arial" w:eastAsia="Arial" w:hAnsi="Arial"/>
                <w:sz w:val="17"/>
                <w:szCs w:val="17"/>
                <w:color w:val="auto"/>
              </w:rPr>
              <w:t>Crutcher</w:t>
            </w:r>
          </w:p>
        </w:tc>
        <w:tc>
          <w:tcPr>
            <w:tcW w:w="1320" w:type="dxa"/>
            <w:vAlign w:val="bottom"/>
          </w:tcPr>
          <w:p>
            <w:pPr>
              <w:jc w:val="center"/>
              <w:ind w:left="640"/>
              <w:spacing w:after="0"/>
              <w:rPr>
                <w:sz w:val="20"/>
                <w:szCs w:val="20"/>
                <w:color w:val="auto"/>
              </w:rPr>
            </w:pPr>
            <w:r>
              <w:rPr>
                <w:rFonts w:ascii="Arial" w:cs="Arial" w:eastAsia="Arial" w:hAnsi="Arial"/>
                <w:sz w:val="17"/>
                <w:szCs w:val="17"/>
                <w:color w:val="auto"/>
                <w:w w:val="93"/>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5"/>
              <w:spacing w:after="0"/>
              <w:rPr>
                <w:sz w:val="20"/>
                <w:szCs w:val="20"/>
                <w:color w:val="auto"/>
              </w:rPr>
            </w:pPr>
            <w:r>
              <w:rPr>
                <w:rFonts w:ascii="Arial" w:cs="Arial" w:eastAsia="Arial" w:hAnsi="Arial"/>
                <w:sz w:val="17"/>
                <w:szCs w:val="17"/>
                <w:color w:val="auto"/>
              </w:rPr>
              <w:t>2,890</w:t>
            </w:r>
          </w:p>
        </w:tc>
        <w:tc>
          <w:tcPr>
            <w:tcW w:w="880" w:type="dxa"/>
            <w:vAlign w:val="bottom"/>
          </w:tcPr>
          <w:p>
            <w:pPr>
              <w:jc w:val="right"/>
              <w:ind w:right="2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1080" w:type="dxa"/>
            <w:vAlign w:val="bottom"/>
          </w:tcPr>
          <w:p>
            <w:pPr>
              <w:jc w:val="center"/>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58"/>
              <w:spacing w:after="0"/>
              <w:rPr>
                <w:sz w:val="20"/>
                <w:szCs w:val="20"/>
                <w:color w:val="auto"/>
              </w:rPr>
            </w:pPr>
            <w:r>
              <w:rPr>
                <w:rFonts w:ascii="Arial" w:cs="Arial" w:eastAsia="Arial" w:hAnsi="Arial"/>
                <w:sz w:val="17"/>
                <w:szCs w:val="17"/>
                <w:color w:val="auto"/>
              </w:rPr>
              <w:t>—</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62,508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
              <w:spacing w:after="0"/>
              <w:rPr>
                <w:sz w:val="20"/>
                <w:szCs w:val="20"/>
                <w:color w:val="auto"/>
              </w:rPr>
            </w:pPr>
            <w:r>
              <w:rPr>
                <w:rFonts w:ascii="Arial" w:cs="Arial" w:eastAsia="Arial" w:hAnsi="Arial"/>
                <w:sz w:val="17"/>
                <w:szCs w:val="17"/>
                <w:color w:val="auto"/>
              </w:rPr>
              <w:t>35,802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101,200</w:t>
            </w:r>
          </w:p>
        </w:tc>
      </w:tr>
      <w:tr>
        <w:trPr>
          <w:trHeight w:val="244"/>
        </w:trPr>
        <w:tc>
          <w:tcPr>
            <w:tcW w:w="1620" w:type="dxa"/>
            <w:vAlign w:val="bottom"/>
            <w:shd w:val="clear" w:color="auto" w:fill="E9E9E9"/>
          </w:tcPr>
          <w:p>
            <w:pPr>
              <w:spacing w:after="0"/>
              <w:rPr>
                <w:sz w:val="20"/>
                <w:szCs w:val="20"/>
                <w:color w:val="auto"/>
              </w:rPr>
            </w:pPr>
            <w:r>
              <w:rPr>
                <w:rFonts w:ascii="Arial" w:cs="Arial" w:eastAsia="Arial" w:hAnsi="Arial"/>
                <w:sz w:val="17"/>
                <w:szCs w:val="17"/>
                <w:color w:val="auto"/>
              </w:rPr>
              <w:t>Ritchie</w:t>
            </w:r>
          </w:p>
        </w:tc>
        <w:tc>
          <w:tcPr>
            <w:tcW w:w="1320" w:type="dxa"/>
            <w:vAlign w:val="bottom"/>
            <w:shd w:val="clear" w:color="auto" w:fill="E9E9E9"/>
          </w:tcPr>
          <w:p>
            <w:pPr>
              <w:jc w:val="center"/>
              <w:ind w:left="640"/>
              <w:spacing w:after="0"/>
              <w:rPr>
                <w:sz w:val="20"/>
                <w:szCs w:val="20"/>
                <w:color w:val="auto"/>
              </w:rPr>
            </w:pPr>
            <w:r>
              <w:rPr>
                <w:rFonts w:ascii="Arial" w:cs="Arial" w:eastAsia="Arial" w:hAnsi="Arial"/>
                <w:sz w:val="17"/>
                <w:szCs w:val="17"/>
                <w:color w:val="auto"/>
                <w:w w:val="93"/>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5"/>
              <w:spacing w:after="0"/>
              <w:rPr>
                <w:sz w:val="20"/>
                <w:szCs w:val="20"/>
                <w:color w:val="auto"/>
              </w:rPr>
            </w:pPr>
            <w:r>
              <w:rPr>
                <w:rFonts w:ascii="Arial" w:cs="Arial" w:eastAsia="Arial" w:hAnsi="Arial"/>
                <w:sz w:val="17"/>
                <w:szCs w:val="17"/>
                <w:color w:val="auto"/>
                <w:w w:val="94"/>
              </w:rPr>
              <w:t>828,990</w:t>
            </w:r>
          </w:p>
        </w:tc>
        <w:tc>
          <w:tcPr>
            <w:tcW w:w="880" w:type="dxa"/>
            <w:vAlign w:val="bottom"/>
            <w:shd w:val="clear" w:color="auto" w:fill="E9E9E9"/>
          </w:tcPr>
          <w:p>
            <w:pPr>
              <w:jc w:val="right"/>
              <w:ind w:right="26"/>
              <w:spacing w:after="0"/>
              <w:rPr>
                <w:sz w:val="20"/>
                <w:szCs w:val="20"/>
                <w:color w:val="auto"/>
              </w:rPr>
            </w:pPr>
            <w:r>
              <w:rPr>
                <w:rFonts w:ascii="Arial" w:cs="Arial" w:eastAsia="Arial" w:hAnsi="Arial"/>
                <w:sz w:val="17"/>
                <w:szCs w:val="17"/>
                <w:color w:val="auto"/>
              </w:rPr>
              <w:t>$525,153</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w w:val="97"/>
              </w:rPr>
              <w:t>2,342,136</w:t>
            </w:r>
          </w:p>
        </w:tc>
        <w:tc>
          <w:tcPr>
            <w:tcW w:w="10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280" w:type="dxa"/>
            <w:vAlign w:val="bottom"/>
            <w:shd w:val="clear" w:color="auto" w:fill="E9E9E9"/>
          </w:tcPr>
          <w:p>
            <w:pPr>
              <w:jc w:val="right"/>
              <w:ind w:right="258"/>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81,151</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2"/>
              <w:spacing w:after="0"/>
              <w:rPr>
                <w:sz w:val="20"/>
                <w:szCs w:val="20"/>
                <w:color w:val="auto"/>
              </w:rPr>
            </w:pPr>
            <w:r>
              <w:rPr>
                <w:rFonts w:ascii="Arial" w:cs="Arial" w:eastAsia="Arial" w:hAnsi="Arial"/>
                <w:sz w:val="17"/>
                <w:szCs w:val="17"/>
                <w:color w:val="auto"/>
              </w:rPr>
              <w:t>85,937</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3,863,367</w:t>
            </w:r>
          </w:p>
        </w:tc>
      </w:tr>
    </w:tbl>
    <w:p>
      <w:pPr>
        <w:spacing w:after="0" w:line="252" w:lineRule="exact"/>
        <w:rPr>
          <w:sz w:val="20"/>
          <w:szCs w:val="20"/>
          <w:color w:val="auto"/>
        </w:rPr>
      </w:pPr>
    </w:p>
    <w:p>
      <w:pPr>
        <w:ind w:left="480" w:hanging="475"/>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presumed that in the event of termination for cause no bonus would be awarded.</w:t>
      </w:r>
    </w:p>
    <w:p>
      <w:pPr>
        <w:spacing w:after="0" w:line="263" w:lineRule="exact"/>
        <w:rPr>
          <w:rFonts w:ascii="Arial" w:cs="Arial" w:eastAsia="Arial" w:hAnsi="Arial"/>
          <w:sz w:val="17"/>
          <w:szCs w:val="17"/>
          <w:color w:val="auto"/>
        </w:rPr>
      </w:pPr>
    </w:p>
    <w:p>
      <w:pPr>
        <w:ind w:left="480" w:right="540" w:hanging="475"/>
        <w:spacing w:after="0" w:line="252" w:lineRule="auto"/>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Lump sum value of the December 31, 2010, accrued benefit calculated as required by the terms of the plan assuming the earliest possible payment date.</w:t>
      </w:r>
    </w:p>
    <w:p>
      <w:pPr>
        <w:spacing w:after="0" w:line="231" w:lineRule="exact"/>
        <w:rPr>
          <w:rFonts w:ascii="Arial" w:cs="Arial" w:eastAsia="Arial" w:hAnsi="Arial"/>
          <w:sz w:val="17"/>
          <w:szCs w:val="17"/>
          <w:color w:val="auto"/>
        </w:rPr>
      </w:pPr>
    </w:p>
    <w:p>
      <w:pPr>
        <w:ind w:left="480" w:hanging="475"/>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Lump sum benefit payable at separation of service (as defined by the plan) assuming the earliest possible payment date.</w:t>
      </w:r>
    </w:p>
    <w:p>
      <w:pPr>
        <w:spacing w:after="0" w:line="276" w:lineRule="exact"/>
        <w:rPr>
          <w:rFonts w:ascii="Arial" w:cs="Arial" w:eastAsia="Arial" w:hAnsi="Arial"/>
          <w:sz w:val="17"/>
          <w:szCs w:val="17"/>
          <w:color w:val="auto"/>
        </w:rPr>
      </w:pPr>
    </w:p>
    <w:p>
      <w:pPr>
        <w:ind w:left="480" w:hanging="475"/>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Calculated by multiplying 120,000 vested RSUs by the closing price of the company’s common stock as of December 31, 2010 ($32.50).</w:t>
      </w:r>
    </w:p>
    <w:p>
      <w:pPr>
        <w:spacing w:after="0" w:line="276" w:lineRule="exact"/>
        <w:rPr>
          <w:rFonts w:ascii="Arial" w:cs="Arial" w:eastAsia="Arial" w:hAnsi="Arial"/>
          <w:sz w:val="17"/>
          <w:szCs w:val="17"/>
          <w:color w:val="auto"/>
        </w:rPr>
      </w:pPr>
    </w:p>
    <w:p>
      <w:pPr>
        <w:ind w:left="480" w:hanging="475"/>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Amounts earned in 2010.</w:t>
      </w:r>
    </w:p>
    <w:p>
      <w:pPr>
        <w:sectPr>
          <w:pgSz w:w="11900" w:h="16838" w:orient="portrait"/>
          <w:cols w:equalWidth="0" w:num="1">
            <w:col w:w="11420"/>
          </w:cols>
          <w:pgMar w:left="240" w:top="595" w:right="239" w:bottom="0" w:gutter="0" w:footer="0" w:header="0"/>
        </w:sectPr>
      </w:pPr>
    </w:p>
    <w:bookmarkStart w:id="37" w:name="page38"/>
    <w:bookmarkEnd w:id="37"/>
    <w:p>
      <w:pPr>
        <w:ind w:left="475" w:hanging="475"/>
        <w:spacing w:after="0"/>
        <w:tabs>
          <w:tab w:leader="none" w:pos="4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See note 8 to the Termination Due to Disability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245110</wp:posOffset>
            </wp:positionV>
            <wp:extent cx="727138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0214"/>
          </w:cols>
          <w:pgMar w:left="245" w:top="143"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4"/>
        </w:trPr>
        <w:tc>
          <w:tcPr>
            <w:tcW w:w="1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gridSpan w:val="3"/>
          </w:tcPr>
          <w:p>
            <w:pPr>
              <w:jc w:val="right"/>
              <w:ind w:right="126"/>
              <w:spacing w:after="0"/>
              <w:rPr>
                <w:sz w:val="20"/>
                <w:szCs w:val="20"/>
                <w:color w:val="auto"/>
              </w:rPr>
            </w:pPr>
            <w:r>
              <w:rPr>
                <w:rFonts w:ascii="Arial" w:cs="Arial" w:eastAsia="Arial" w:hAnsi="Arial"/>
                <w:sz w:val="13"/>
                <w:szCs w:val="13"/>
                <w:b w:val="1"/>
                <w:bCs w:val="1"/>
                <w:color w:val="808285"/>
              </w:rPr>
              <w:t>TEXAS INSTRUMENTS</w:t>
            </w:r>
          </w:p>
        </w:tc>
        <w:tc>
          <w:tcPr>
            <w:tcW w:w="2280" w:type="dxa"/>
            <w:vAlign w:val="bottom"/>
            <w:gridSpan w:val="2"/>
          </w:tcPr>
          <w:p>
            <w:pPr>
              <w:jc w:val="right"/>
              <w:spacing w:after="0"/>
              <w:rPr>
                <w:sz w:val="20"/>
                <w:szCs w:val="20"/>
                <w:color w:val="auto"/>
              </w:rPr>
            </w:pP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85</w:t>
            </w:r>
            <w:r>
              <w:rPr>
                <w:rFonts w:ascii="Arial" w:cs="Arial" w:eastAsia="Arial" w:hAnsi="Arial"/>
                <w:sz w:val="17"/>
                <w:szCs w:val="17"/>
                <w:b w:val="1"/>
                <w:bCs w:val="1"/>
                <w:color w:val="808285"/>
              </w:rPr>
              <w:t xml:space="preserve"> |   </w:t>
            </w:r>
            <w:r>
              <w:rPr>
                <w:rFonts w:ascii="Arial" w:cs="Arial" w:eastAsia="Arial" w:hAnsi="Arial"/>
                <w:sz w:val="13"/>
                <w:szCs w:val="13"/>
                <w:b w:val="1"/>
                <w:bCs w:val="1"/>
                <w:color w:val="808285"/>
              </w:rPr>
              <w:t>2011 PROXY STATEMENT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3"/>
        </w:trPr>
        <w:tc>
          <w:tcPr>
            <w:tcW w:w="7680" w:type="dxa"/>
            <w:vAlign w:val="bottom"/>
            <w:gridSpan w:val="9"/>
          </w:tcPr>
          <w:p>
            <w:pPr>
              <w:spacing w:after="0"/>
              <w:rPr>
                <w:sz w:val="20"/>
                <w:szCs w:val="20"/>
                <w:color w:val="auto"/>
              </w:rPr>
            </w:pPr>
            <w:r>
              <w:rPr>
                <w:rFonts w:ascii="Arial" w:cs="Arial" w:eastAsia="Arial" w:hAnsi="Arial"/>
                <w:sz w:val="17"/>
                <w:szCs w:val="17"/>
                <w:b w:val="1"/>
                <w:bCs w:val="1"/>
                <w:color w:val="auto"/>
              </w:rPr>
              <w:t>Resignation; involuntary termination (not for cause) excluding change in control</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21"/>
        </w:trPr>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24"/>
                <w:szCs w:val="24"/>
                <w:color w:val="auto"/>
              </w:rPr>
            </w:pPr>
          </w:p>
        </w:tc>
        <w:tc>
          <w:tcPr>
            <w:tcW w:w="800" w:type="dxa"/>
            <w:vAlign w:val="bottom"/>
          </w:tcPr>
          <w:p>
            <w:pPr>
              <w:jc w:val="center"/>
              <w:ind w:right="66"/>
              <w:spacing w:after="0"/>
              <w:rPr>
                <w:sz w:val="20"/>
                <w:szCs w:val="20"/>
                <w:color w:val="auto"/>
              </w:rPr>
            </w:pPr>
            <w:r>
              <w:rPr>
                <w:rFonts w:ascii="Arial" w:cs="Arial" w:eastAsia="Arial" w:hAnsi="Arial"/>
                <w:sz w:val="13"/>
                <w:szCs w:val="13"/>
                <w:b w:val="1"/>
                <w:bCs w:val="1"/>
                <w:color w:val="auto"/>
              </w:rPr>
              <w:t>Non-</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6"/>
        </w:trPr>
        <w:tc>
          <w:tcPr>
            <w:tcW w:w="1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Qualified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40" w:type="dxa"/>
            <w:vAlign w:val="bottom"/>
          </w:tcPr>
          <w:p>
            <w:pPr>
              <w:spacing w:after="0"/>
              <w:rPr>
                <w:sz w:val="20"/>
                <w:szCs w:val="20"/>
                <w:color w:val="auto"/>
              </w:rPr>
            </w:pPr>
          </w:p>
        </w:tc>
        <w:tc>
          <w:tcPr>
            <w:tcW w:w="800" w:type="dxa"/>
            <w:vAlign w:val="bottom"/>
          </w:tcPr>
          <w:p>
            <w:pPr>
              <w:jc w:val="center"/>
              <w:ind w:right="46"/>
              <w:spacing w:after="0"/>
              <w:rPr>
                <w:sz w:val="20"/>
                <w:szCs w:val="20"/>
                <w:color w:val="auto"/>
              </w:rPr>
            </w:pPr>
            <w:r>
              <w:rPr>
                <w:rFonts w:ascii="Arial" w:cs="Arial" w:eastAsia="Arial" w:hAnsi="Arial"/>
                <w:sz w:val="13"/>
                <w:szCs w:val="13"/>
                <w:b w:val="1"/>
                <w:bCs w:val="1"/>
                <w:color w:val="auto"/>
              </w:rPr>
              <w:t>Qualified</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ind w:right="85"/>
              <w:spacing w:after="0"/>
              <w:rPr>
                <w:sz w:val="20"/>
                <w:szCs w:val="20"/>
                <w:color w:val="auto"/>
              </w:rPr>
            </w:pPr>
            <w:r>
              <w:rPr>
                <w:rFonts w:ascii="Arial" w:cs="Arial" w:eastAsia="Arial" w:hAnsi="Arial"/>
                <w:sz w:val="13"/>
                <w:szCs w:val="13"/>
                <w:b w:val="1"/>
                <w:bCs w:val="1"/>
                <w:color w:val="auto"/>
              </w:rPr>
              <w:t>Defined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40" w:type="dxa"/>
            <w:vAlign w:val="bottom"/>
          </w:tcPr>
          <w:p>
            <w:pPr>
              <w:spacing w:after="0"/>
              <w:rPr>
                <w:sz w:val="20"/>
                <w:szCs w:val="20"/>
                <w:color w:val="auto"/>
              </w:rPr>
            </w:pPr>
          </w:p>
        </w:tc>
        <w:tc>
          <w:tcPr>
            <w:tcW w:w="800" w:type="dxa"/>
            <w:vAlign w:val="bottom"/>
          </w:tcPr>
          <w:p>
            <w:pPr>
              <w:jc w:val="center"/>
              <w:ind w:right="46"/>
              <w:spacing w:after="0"/>
              <w:rPr>
                <w:sz w:val="20"/>
                <w:szCs w:val="20"/>
                <w:color w:val="auto"/>
              </w:rPr>
            </w:pPr>
            <w:r>
              <w:rPr>
                <w:rFonts w:ascii="Arial" w:cs="Arial" w:eastAsia="Arial" w:hAnsi="Arial"/>
                <w:sz w:val="13"/>
                <w:szCs w:val="13"/>
                <w:b w:val="1"/>
                <w:bCs w:val="1"/>
                <w:color w:val="auto"/>
              </w:rPr>
              <w:t>Defined</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ind w:right="85"/>
              <w:spacing w:after="0"/>
              <w:rPr>
                <w:sz w:val="20"/>
                <w:szCs w:val="20"/>
                <w:color w:val="auto"/>
              </w:rPr>
            </w:pPr>
            <w:r>
              <w:rPr>
                <w:rFonts w:ascii="Arial" w:cs="Arial" w:eastAsia="Arial" w:hAnsi="Arial"/>
                <w:sz w:val="13"/>
                <w:szCs w:val="13"/>
                <w:b w:val="1"/>
                <w:bCs w:val="1"/>
                <w:color w:val="auto"/>
              </w:rPr>
              <w:t>Benefit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20"/>
                <w:szCs w:val="20"/>
                <w:color w:val="auto"/>
              </w:rPr>
            </w:pPr>
          </w:p>
        </w:tc>
        <w:tc>
          <w:tcPr>
            <w:tcW w:w="800" w:type="dxa"/>
            <w:vAlign w:val="bottom"/>
          </w:tcPr>
          <w:p>
            <w:pPr>
              <w:jc w:val="center"/>
              <w:ind w:right="46"/>
              <w:spacing w:after="0"/>
              <w:rPr>
                <w:sz w:val="20"/>
                <w:szCs w:val="20"/>
                <w:color w:val="auto"/>
              </w:rPr>
            </w:pPr>
            <w:r>
              <w:rPr>
                <w:rFonts w:ascii="Arial" w:cs="Arial" w:eastAsia="Arial" w:hAnsi="Arial"/>
                <w:sz w:val="13"/>
                <w:szCs w:val="13"/>
                <w:b w:val="1"/>
                <w:bCs w:val="1"/>
                <w:color w:val="auto"/>
                <w:w w:val="99"/>
              </w:rPr>
              <w:t>Benefit</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ind w:right="85"/>
              <w:spacing w:after="0"/>
              <w:rPr>
                <w:sz w:val="20"/>
                <w:szCs w:val="20"/>
                <w:color w:val="auto"/>
              </w:rPr>
            </w:pPr>
            <w:r>
              <w:rPr>
                <w:rFonts w:ascii="Arial" w:cs="Arial" w:eastAsia="Arial" w:hAnsi="Arial"/>
                <w:sz w:val="13"/>
                <w:szCs w:val="13"/>
                <w:b w:val="1"/>
                <w:bCs w:val="1"/>
                <w:color w:val="auto"/>
                <w:w w:val="98"/>
              </w:rPr>
              <w:t>Pension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140" w:type="dxa"/>
            <w:vAlign w:val="bottom"/>
          </w:tcPr>
          <w:p>
            <w:pPr>
              <w:spacing w:after="0"/>
              <w:rPr>
                <w:sz w:val="20"/>
                <w:szCs w:val="20"/>
                <w:color w:val="auto"/>
              </w:rPr>
            </w:pPr>
          </w:p>
        </w:tc>
        <w:tc>
          <w:tcPr>
            <w:tcW w:w="800" w:type="dxa"/>
            <w:vAlign w:val="bottom"/>
          </w:tcPr>
          <w:p>
            <w:pPr>
              <w:jc w:val="center"/>
              <w:ind w:right="66"/>
              <w:spacing w:after="0"/>
              <w:rPr>
                <w:sz w:val="20"/>
                <w:szCs w:val="20"/>
                <w:color w:val="auto"/>
              </w:rPr>
            </w:pPr>
            <w:r>
              <w:rPr>
                <w:rFonts w:ascii="Arial" w:cs="Arial" w:eastAsia="Arial" w:hAnsi="Arial"/>
                <w:sz w:val="13"/>
                <w:szCs w:val="13"/>
                <w:b w:val="1"/>
                <w:bCs w:val="1"/>
                <w:color w:val="auto"/>
                <w:w w:val="98"/>
              </w:rPr>
              <w:t>Pension</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102"/>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20"/>
                <w:szCs w:val="20"/>
                <w:color w:val="auto"/>
              </w:rPr>
            </w:pPr>
          </w:p>
        </w:tc>
        <w:tc>
          <w:tcPr>
            <w:tcW w:w="680" w:type="dxa"/>
            <w:vAlign w:val="bottom"/>
          </w:tcPr>
          <w:p>
            <w:pPr>
              <w:jc w:val="center"/>
              <w:ind w:right="62"/>
              <w:spacing w:after="0"/>
              <w:rPr>
                <w:sz w:val="20"/>
                <w:szCs w:val="20"/>
                <w:color w:val="auto"/>
              </w:rPr>
            </w:pPr>
            <w:r>
              <w:rPr>
                <w:rFonts w:ascii="Arial" w:cs="Arial" w:eastAsia="Arial" w:hAnsi="Arial"/>
                <w:sz w:val="13"/>
                <w:szCs w:val="13"/>
                <w:b w:val="1"/>
                <w:bCs w:val="1"/>
                <w:color w:val="auto"/>
              </w:rPr>
              <w:t>Profit</w:t>
            </w:r>
          </w:p>
        </w:tc>
        <w:tc>
          <w:tcPr>
            <w:tcW w:w="160" w:type="dxa"/>
            <w:vAlign w:val="bottom"/>
          </w:tcPr>
          <w:p>
            <w:pPr>
              <w:spacing w:after="0"/>
              <w:rPr>
                <w:sz w:val="20"/>
                <w:szCs w:val="20"/>
                <w:color w:val="auto"/>
              </w:rPr>
            </w:pPr>
          </w:p>
        </w:tc>
        <w:tc>
          <w:tcPr>
            <w:tcW w:w="660" w:type="dxa"/>
            <w:vAlign w:val="bottom"/>
          </w:tcPr>
          <w:p>
            <w:pPr>
              <w:jc w:val="center"/>
              <w:ind w:right="82"/>
              <w:spacing w:after="0"/>
              <w:rPr>
                <w:sz w:val="20"/>
                <w:szCs w:val="20"/>
                <w:color w:val="auto"/>
              </w:rPr>
            </w:pPr>
            <w:r>
              <w:rPr>
                <w:rFonts w:ascii="Arial" w:cs="Arial" w:eastAsia="Arial" w:hAnsi="Arial"/>
                <w:sz w:val="13"/>
                <w:szCs w:val="13"/>
                <w:b w:val="1"/>
                <w:bCs w:val="1"/>
                <w:color w:val="auto"/>
                <w:w w:val="98"/>
              </w:rPr>
              <w:t>Time</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center"/>
              <w:ind w:right="85"/>
              <w:spacing w:after="0"/>
              <w:rPr>
                <w:sz w:val="20"/>
                <w:szCs w:val="20"/>
                <w:color w:val="auto"/>
              </w:rPr>
            </w:pPr>
            <w:r>
              <w:rPr>
                <w:rFonts w:ascii="Arial" w:cs="Arial" w:eastAsia="Arial" w:hAnsi="Arial"/>
                <w:sz w:val="13"/>
                <w:szCs w:val="13"/>
                <w:b w:val="1"/>
                <w:bCs w:val="1"/>
                <w:color w:val="auto"/>
                <w:w w:val="94"/>
              </w:rPr>
              <w:t>Plan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140" w:type="dxa"/>
            <w:vAlign w:val="bottom"/>
          </w:tcPr>
          <w:p>
            <w:pPr>
              <w:spacing w:after="0"/>
              <w:rPr>
                <w:sz w:val="20"/>
                <w:szCs w:val="20"/>
                <w:color w:val="auto"/>
              </w:rPr>
            </w:pPr>
          </w:p>
        </w:tc>
        <w:tc>
          <w:tcPr>
            <w:tcW w:w="800" w:type="dxa"/>
            <w:vAlign w:val="bottom"/>
          </w:tcPr>
          <w:p>
            <w:pPr>
              <w:jc w:val="center"/>
              <w:ind w:right="66"/>
              <w:spacing w:after="0"/>
              <w:rPr>
                <w:sz w:val="20"/>
                <w:szCs w:val="20"/>
                <w:color w:val="auto"/>
              </w:rPr>
            </w:pPr>
            <w:r>
              <w:rPr>
                <w:rFonts w:ascii="Arial" w:cs="Arial" w:eastAsia="Arial" w:hAnsi="Arial"/>
                <w:sz w:val="13"/>
                <w:szCs w:val="13"/>
                <w:b w:val="1"/>
                <w:bCs w:val="1"/>
                <w:color w:val="auto"/>
                <w:w w:val="99"/>
              </w:rPr>
              <w:t>Plan II</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Deferred</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102"/>
              <w:spacing w:after="0"/>
              <w:rPr>
                <w:sz w:val="20"/>
                <w:szCs w:val="20"/>
                <w:color w:val="auto"/>
              </w:rPr>
            </w:pPr>
            <w:r>
              <w:rPr>
                <w:rFonts w:ascii="Arial" w:cs="Arial" w:eastAsia="Arial" w:hAnsi="Arial"/>
                <w:sz w:val="13"/>
                <w:szCs w:val="13"/>
                <w:b w:val="1"/>
                <w:bCs w:val="1"/>
                <w:color w:val="auto"/>
              </w:rPr>
              <w:t>Options</w:t>
            </w:r>
          </w:p>
        </w:tc>
        <w:tc>
          <w:tcPr>
            <w:tcW w:w="140" w:type="dxa"/>
            <w:vAlign w:val="bottom"/>
          </w:tcPr>
          <w:p>
            <w:pPr>
              <w:spacing w:after="0"/>
              <w:rPr>
                <w:sz w:val="20"/>
                <w:szCs w:val="20"/>
                <w:color w:val="auto"/>
              </w:rPr>
            </w:pPr>
          </w:p>
        </w:tc>
        <w:tc>
          <w:tcPr>
            <w:tcW w:w="680" w:type="dxa"/>
            <w:vAlign w:val="bottom"/>
          </w:tcPr>
          <w:p>
            <w:pPr>
              <w:jc w:val="center"/>
              <w:ind w:right="82"/>
              <w:spacing w:after="0"/>
              <w:rPr>
                <w:sz w:val="20"/>
                <w:szCs w:val="20"/>
                <w:color w:val="auto"/>
              </w:rPr>
            </w:pPr>
            <w:r>
              <w:rPr>
                <w:rFonts w:ascii="Arial" w:cs="Arial" w:eastAsia="Arial" w:hAnsi="Arial"/>
                <w:sz w:val="13"/>
                <w:szCs w:val="13"/>
                <w:b w:val="1"/>
                <w:bCs w:val="1"/>
                <w:color w:val="auto"/>
                <w:w w:val="99"/>
              </w:rPr>
              <w:t>Sharing</w:t>
            </w:r>
          </w:p>
        </w:tc>
        <w:tc>
          <w:tcPr>
            <w:tcW w:w="160" w:type="dxa"/>
            <w:vAlign w:val="bottom"/>
          </w:tcPr>
          <w:p>
            <w:pPr>
              <w:spacing w:after="0"/>
              <w:rPr>
                <w:sz w:val="20"/>
                <w:szCs w:val="20"/>
                <w:color w:val="auto"/>
              </w:rPr>
            </w:pPr>
          </w:p>
        </w:tc>
        <w:tc>
          <w:tcPr>
            <w:tcW w:w="660" w:type="dxa"/>
            <w:vAlign w:val="bottom"/>
          </w:tcPr>
          <w:p>
            <w:pPr>
              <w:jc w:val="center"/>
              <w:ind w:right="102"/>
              <w:spacing w:after="0"/>
              <w:rPr>
                <w:sz w:val="20"/>
                <w:szCs w:val="20"/>
                <w:color w:val="auto"/>
              </w:rPr>
            </w:pPr>
            <w:r>
              <w:rPr>
                <w:rFonts w:ascii="Arial" w:cs="Arial" w:eastAsia="Arial" w:hAnsi="Arial"/>
                <w:sz w:val="13"/>
                <w:szCs w:val="13"/>
                <w:b w:val="1"/>
                <w:bCs w:val="1"/>
                <w:color w:val="auto"/>
              </w:rPr>
              <w:t>Bank</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5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40" w:type="dxa"/>
            <w:vAlign w:val="bottom"/>
          </w:tcPr>
          <w:p>
            <w:pPr>
              <w:jc w:val="center"/>
              <w:ind w:left="638"/>
              <w:spacing w:after="0"/>
              <w:rPr>
                <w:sz w:val="20"/>
                <w:szCs w:val="20"/>
                <w:color w:val="auto"/>
              </w:rPr>
            </w:pPr>
            <w:r>
              <w:rPr>
                <w:rFonts w:ascii="Arial" w:cs="Arial" w:eastAsia="Arial" w:hAnsi="Arial"/>
                <w:sz w:val="13"/>
                <w:szCs w:val="13"/>
                <w:b w:val="1"/>
                <w:bCs w:val="1"/>
                <w:color w:val="auto"/>
                <w:w w:val="98"/>
              </w:rPr>
              <w:t>Bonus</w:t>
            </w:r>
          </w:p>
        </w:tc>
        <w:tc>
          <w:tcPr>
            <w:tcW w:w="160" w:type="dxa"/>
            <w:vAlign w:val="bottom"/>
          </w:tcPr>
          <w:p>
            <w:pPr>
              <w:spacing w:after="0"/>
              <w:rPr>
                <w:sz w:val="20"/>
                <w:szCs w:val="20"/>
                <w:color w:val="auto"/>
              </w:rPr>
            </w:pPr>
          </w:p>
        </w:tc>
        <w:tc>
          <w:tcPr>
            <w:tcW w:w="660" w:type="dxa"/>
            <w:vAlign w:val="bottom"/>
          </w:tcPr>
          <w:p>
            <w:pPr>
              <w:jc w:val="center"/>
              <w:ind w:right="65"/>
              <w:spacing w:after="0"/>
              <w:rPr>
                <w:sz w:val="20"/>
                <w:szCs w:val="20"/>
                <w:color w:val="auto"/>
              </w:rPr>
            </w:pPr>
            <w:r>
              <w:rPr>
                <w:rFonts w:ascii="Arial" w:cs="Arial" w:eastAsia="Arial" w:hAnsi="Arial"/>
                <w:sz w:val="13"/>
                <w:szCs w:val="13"/>
                <w:b w:val="1"/>
                <w:bCs w:val="1"/>
                <w:color w:val="auto"/>
              </w:rPr>
              <w:t>(2)</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20"/>
                <w:szCs w:val="20"/>
                <w:color w:val="auto"/>
              </w:rPr>
            </w:pPr>
          </w:p>
        </w:tc>
        <w:tc>
          <w:tcPr>
            <w:tcW w:w="800" w:type="dxa"/>
            <w:vAlign w:val="bottom"/>
          </w:tcPr>
          <w:p>
            <w:pPr>
              <w:jc w:val="center"/>
              <w:ind w:right="46"/>
              <w:spacing w:after="0"/>
              <w:rPr>
                <w:sz w:val="20"/>
                <w:szCs w:val="20"/>
                <w:color w:val="auto"/>
              </w:rPr>
            </w:pPr>
            <w:r>
              <w:rPr>
                <w:rFonts w:ascii="Arial" w:cs="Arial" w:eastAsia="Arial" w:hAnsi="Arial"/>
                <w:sz w:val="13"/>
                <w:szCs w:val="13"/>
                <w:b w:val="1"/>
                <w:bCs w:val="1"/>
                <w:color w:val="auto"/>
              </w:rPr>
              <w:t>(3)</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240" w:type="dxa"/>
            <w:vAlign w:val="bottom"/>
          </w:tcPr>
          <w:p>
            <w:pPr>
              <w:jc w:val="right"/>
              <w:ind w:right="358"/>
              <w:spacing w:after="0"/>
              <w:rPr>
                <w:sz w:val="20"/>
                <w:szCs w:val="20"/>
                <w:color w:val="auto"/>
              </w:rPr>
            </w:pPr>
            <w:r>
              <w:rPr>
                <w:rFonts w:ascii="Arial" w:cs="Arial" w:eastAsia="Arial" w:hAnsi="Arial"/>
                <w:sz w:val="13"/>
                <w:szCs w:val="13"/>
                <w:b w:val="1"/>
                <w:bCs w:val="1"/>
                <w:color w:val="auto"/>
              </w:rPr>
              <w:t>RSUs</w:t>
            </w:r>
          </w:p>
        </w:tc>
        <w:tc>
          <w:tcPr>
            <w:tcW w:w="160" w:type="dxa"/>
            <w:vAlign w:val="bottom"/>
          </w:tcPr>
          <w:p>
            <w:pPr>
              <w:spacing w:after="0"/>
              <w:rPr>
                <w:sz w:val="20"/>
                <w:szCs w:val="20"/>
                <w:color w:val="auto"/>
              </w:rPr>
            </w:pPr>
          </w:p>
        </w:tc>
        <w:tc>
          <w:tcPr>
            <w:tcW w:w="920" w:type="dxa"/>
            <w:vAlign w:val="bottom"/>
          </w:tcPr>
          <w:p>
            <w:pPr>
              <w:jc w:val="center"/>
              <w:ind w:right="82"/>
              <w:spacing w:after="0"/>
              <w:rPr>
                <w:sz w:val="20"/>
                <w:szCs w:val="20"/>
                <w:color w:val="auto"/>
              </w:rPr>
            </w:pPr>
            <w:r>
              <w:rPr>
                <w:rFonts w:ascii="Arial" w:cs="Arial" w:eastAsia="Arial" w:hAnsi="Arial"/>
                <w:sz w:val="13"/>
                <w:szCs w:val="13"/>
                <w:b w:val="1"/>
                <w:bCs w:val="1"/>
                <w:color w:val="auto"/>
              </w:rPr>
              <w:t>(5)</w:t>
            </w:r>
          </w:p>
        </w:tc>
        <w:tc>
          <w:tcPr>
            <w:tcW w:w="140" w:type="dxa"/>
            <w:vAlign w:val="bottom"/>
          </w:tcPr>
          <w:p>
            <w:pPr>
              <w:spacing w:after="0"/>
              <w:rPr>
                <w:sz w:val="20"/>
                <w:szCs w:val="20"/>
                <w:color w:val="auto"/>
              </w:rPr>
            </w:pPr>
          </w:p>
        </w:tc>
        <w:tc>
          <w:tcPr>
            <w:tcW w:w="680" w:type="dxa"/>
            <w:vAlign w:val="bottom"/>
          </w:tcPr>
          <w:p>
            <w:pPr>
              <w:jc w:val="center"/>
              <w:ind w:right="82"/>
              <w:spacing w:after="0"/>
              <w:rPr>
                <w:sz w:val="20"/>
                <w:szCs w:val="20"/>
                <w:color w:val="auto"/>
              </w:rPr>
            </w:pPr>
            <w:r>
              <w:rPr>
                <w:rFonts w:ascii="Arial" w:cs="Arial" w:eastAsia="Arial" w:hAnsi="Arial"/>
                <w:sz w:val="13"/>
                <w:szCs w:val="13"/>
                <w:b w:val="1"/>
                <w:bCs w:val="1"/>
                <w:color w:val="auto"/>
              </w:rPr>
              <w:t>(6)</w:t>
            </w:r>
          </w:p>
        </w:tc>
        <w:tc>
          <w:tcPr>
            <w:tcW w:w="160" w:type="dxa"/>
            <w:vAlign w:val="bottom"/>
          </w:tcPr>
          <w:p>
            <w:pPr>
              <w:spacing w:after="0"/>
              <w:rPr>
                <w:sz w:val="20"/>
                <w:szCs w:val="20"/>
                <w:color w:val="auto"/>
              </w:rPr>
            </w:pPr>
          </w:p>
        </w:tc>
        <w:tc>
          <w:tcPr>
            <w:tcW w:w="660" w:type="dxa"/>
            <w:vAlign w:val="bottom"/>
          </w:tcPr>
          <w:p>
            <w:pPr>
              <w:jc w:val="center"/>
              <w:ind w:right="102"/>
              <w:spacing w:after="0"/>
              <w:rPr>
                <w:sz w:val="20"/>
                <w:szCs w:val="20"/>
                <w:color w:val="auto"/>
              </w:rPr>
            </w:pPr>
            <w:r>
              <w:rPr>
                <w:rFonts w:ascii="Arial" w:cs="Arial" w:eastAsia="Arial" w:hAnsi="Arial"/>
                <w:sz w:val="13"/>
                <w:szCs w:val="13"/>
                <w:b w:val="1"/>
                <w:bCs w:val="1"/>
                <w:color w:val="auto"/>
              </w:rPr>
              <w:t>(7)</w:t>
            </w:r>
          </w:p>
        </w:tc>
        <w:tc>
          <w:tcPr>
            <w:tcW w:w="160" w:type="dxa"/>
            <w:vAlign w:val="bottom"/>
          </w:tcPr>
          <w:p>
            <w:pPr>
              <w:spacing w:after="0"/>
              <w:rPr>
                <w:sz w:val="20"/>
                <w:szCs w:val="20"/>
                <w:color w:val="auto"/>
              </w:rPr>
            </w:pPr>
          </w:p>
        </w:tc>
        <w:tc>
          <w:tcPr>
            <w:tcW w:w="860" w:type="dxa"/>
            <w:vAlign w:val="bottom"/>
          </w:tcPr>
          <w:p>
            <w:pPr>
              <w:jc w:val="right"/>
              <w:ind w:right="258"/>
              <w:spacing w:after="0"/>
              <w:rPr>
                <w:sz w:val="20"/>
                <w:szCs w:val="20"/>
                <w:color w:val="auto"/>
              </w:rPr>
            </w:pPr>
            <w:r>
              <w:rPr>
                <w:rFonts w:ascii="Arial" w:cs="Arial" w:eastAsia="Arial" w:hAnsi="Arial"/>
                <w:sz w:val="13"/>
                <w:szCs w:val="13"/>
                <w:b w:val="1"/>
                <w:bCs w:val="1"/>
                <w:color w:val="auto"/>
              </w:rPr>
              <w:t>Total</w:t>
            </w:r>
          </w:p>
        </w:tc>
      </w:tr>
      <w:tr>
        <w:trPr>
          <w:trHeight w:val="41"/>
        </w:trPr>
        <w:tc>
          <w:tcPr>
            <w:tcW w:w="1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66"/>
        </w:trPr>
        <w:tc>
          <w:tcPr>
            <w:tcW w:w="1560" w:type="dxa"/>
            <w:vAlign w:val="bottom"/>
            <w:shd w:val="clear" w:color="auto" w:fill="808285"/>
          </w:tcPr>
          <w:p>
            <w:pPr>
              <w:spacing w:after="0"/>
              <w:rPr>
                <w:sz w:val="5"/>
                <w:szCs w:val="5"/>
                <w:color w:val="auto"/>
              </w:rPr>
            </w:pPr>
          </w:p>
        </w:tc>
        <w:tc>
          <w:tcPr>
            <w:tcW w:w="1240" w:type="dxa"/>
            <w:vAlign w:val="bottom"/>
            <w:shd w:val="clear" w:color="auto" w:fill="808285"/>
          </w:tcPr>
          <w:p>
            <w:pPr>
              <w:spacing w:after="0"/>
              <w:rPr>
                <w:sz w:val="5"/>
                <w:szCs w:val="5"/>
                <w:color w:val="auto"/>
              </w:rPr>
            </w:pPr>
          </w:p>
        </w:tc>
        <w:tc>
          <w:tcPr>
            <w:tcW w:w="160" w:type="dxa"/>
            <w:vAlign w:val="bottom"/>
            <w:shd w:val="clear" w:color="auto" w:fill="808285"/>
          </w:tcPr>
          <w:p>
            <w:pPr>
              <w:spacing w:after="0"/>
              <w:rPr>
                <w:sz w:val="5"/>
                <w:szCs w:val="5"/>
                <w:color w:val="auto"/>
              </w:rPr>
            </w:pPr>
          </w:p>
        </w:tc>
        <w:tc>
          <w:tcPr>
            <w:tcW w:w="660" w:type="dxa"/>
            <w:vAlign w:val="bottom"/>
            <w:shd w:val="clear" w:color="auto" w:fill="808285"/>
          </w:tcPr>
          <w:p>
            <w:pPr>
              <w:spacing w:after="0"/>
              <w:rPr>
                <w:sz w:val="5"/>
                <w:szCs w:val="5"/>
                <w:color w:val="auto"/>
              </w:rPr>
            </w:pPr>
          </w:p>
        </w:tc>
        <w:tc>
          <w:tcPr>
            <w:tcW w:w="840" w:type="dxa"/>
            <w:vAlign w:val="bottom"/>
            <w:shd w:val="clear" w:color="auto" w:fill="808285"/>
          </w:tcPr>
          <w:p>
            <w:pPr>
              <w:spacing w:after="0"/>
              <w:rPr>
                <w:sz w:val="5"/>
                <w:szCs w:val="5"/>
                <w:color w:val="auto"/>
              </w:rPr>
            </w:pPr>
          </w:p>
        </w:tc>
        <w:tc>
          <w:tcPr>
            <w:tcW w:w="140" w:type="dxa"/>
            <w:vAlign w:val="bottom"/>
            <w:shd w:val="clear" w:color="auto" w:fill="808285"/>
          </w:tcPr>
          <w:p>
            <w:pPr>
              <w:spacing w:after="0"/>
              <w:rPr>
                <w:sz w:val="5"/>
                <w:szCs w:val="5"/>
                <w:color w:val="auto"/>
              </w:rPr>
            </w:pPr>
          </w:p>
        </w:tc>
        <w:tc>
          <w:tcPr>
            <w:tcW w:w="800" w:type="dxa"/>
            <w:vAlign w:val="bottom"/>
            <w:shd w:val="clear" w:color="auto" w:fill="808285"/>
          </w:tcPr>
          <w:p>
            <w:pPr>
              <w:spacing w:after="0"/>
              <w:rPr>
                <w:sz w:val="5"/>
                <w:szCs w:val="5"/>
                <w:color w:val="auto"/>
              </w:rPr>
            </w:pPr>
          </w:p>
        </w:tc>
        <w:tc>
          <w:tcPr>
            <w:tcW w:w="1040" w:type="dxa"/>
            <w:vAlign w:val="bottom"/>
            <w:shd w:val="clear" w:color="auto" w:fill="808285"/>
          </w:tcPr>
          <w:p>
            <w:pPr>
              <w:spacing w:after="0"/>
              <w:rPr>
                <w:sz w:val="5"/>
                <w:szCs w:val="5"/>
                <w:color w:val="auto"/>
              </w:rPr>
            </w:pPr>
          </w:p>
        </w:tc>
        <w:tc>
          <w:tcPr>
            <w:tcW w:w="1240" w:type="dxa"/>
            <w:vAlign w:val="bottom"/>
            <w:shd w:val="clear" w:color="auto" w:fill="808285"/>
          </w:tcPr>
          <w:p>
            <w:pPr>
              <w:spacing w:after="0"/>
              <w:rPr>
                <w:sz w:val="5"/>
                <w:szCs w:val="5"/>
                <w:color w:val="auto"/>
              </w:rPr>
            </w:pPr>
          </w:p>
        </w:tc>
        <w:tc>
          <w:tcPr>
            <w:tcW w:w="160" w:type="dxa"/>
            <w:vAlign w:val="bottom"/>
            <w:shd w:val="clear" w:color="auto" w:fill="808285"/>
          </w:tcPr>
          <w:p>
            <w:pPr>
              <w:spacing w:after="0"/>
              <w:rPr>
                <w:sz w:val="5"/>
                <w:szCs w:val="5"/>
                <w:color w:val="auto"/>
              </w:rPr>
            </w:pPr>
          </w:p>
        </w:tc>
        <w:tc>
          <w:tcPr>
            <w:tcW w:w="920" w:type="dxa"/>
            <w:vAlign w:val="bottom"/>
            <w:shd w:val="clear" w:color="auto" w:fill="808285"/>
          </w:tcPr>
          <w:p>
            <w:pPr>
              <w:spacing w:after="0"/>
              <w:rPr>
                <w:sz w:val="5"/>
                <w:szCs w:val="5"/>
                <w:color w:val="auto"/>
              </w:rPr>
            </w:pPr>
          </w:p>
        </w:tc>
        <w:tc>
          <w:tcPr>
            <w:tcW w:w="140" w:type="dxa"/>
            <w:vAlign w:val="bottom"/>
            <w:shd w:val="clear" w:color="auto" w:fill="808285"/>
          </w:tcPr>
          <w:p>
            <w:pPr>
              <w:spacing w:after="0"/>
              <w:rPr>
                <w:sz w:val="5"/>
                <w:szCs w:val="5"/>
                <w:color w:val="auto"/>
              </w:rPr>
            </w:pPr>
          </w:p>
        </w:tc>
        <w:tc>
          <w:tcPr>
            <w:tcW w:w="680" w:type="dxa"/>
            <w:vAlign w:val="bottom"/>
            <w:shd w:val="clear" w:color="auto" w:fill="808285"/>
          </w:tcPr>
          <w:p>
            <w:pPr>
              <w:spacing w:after="0"/>
              <w:rPr>
                <w:sz w:val="5"/>
                <w:szCs w:val="5"/>
                <w:color w:val="auto"/>
              </w:rPr>
            </w:pPr>
          </w:p>
        </w:tc>
        <w:tc>
          <w:tcPr>
            <w:tcW w:w="160" w:type="dxa"/>
            <w:vAlign w:val="bottom"/>
            <w:shd w:val="clear" w:color="auto" w:fill="808285"/>
          </w:tcPr>
          <w:p>
            <w:pPr>
              <w:spacing w:after="0"/>
              <w:rPr>
                <w:sz w:val="5"/>
                <w:szCs w:val="5"/>
                <w:color w:val="auto"/>
              </w:rPr>
            </w:pPr>
          </w:p>
        </w:tc>
        <w:tc>
          <w:tcPr>
            <w:tcW w:w="660" w:type="dxa"/>
            <w:vAlign w:val="bottom"/>
            <w:shd w:val="clear" w:color="auto" w:fill="808285"/>
          </w:tcPr>
          <w:p>
            <w:pPr>
              <w:spacing w:after="0"/>
              <w:rPr>
                <w:sz w:val="5"/>
                <w:szCs w:val="5"/>
                <w:color w:val="auto"/>
              </w:rPr>
            </w:pPr>
          </w:p>
        </w:tc>
        <w:tc>
          <w:tcPr>
            <w:tcW w:w="16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r>
      <w:tr>
        <w:trPr>
          <w:trHeight w:val="236"/>
        </w:trPr>
        <w:tc>
          <w:tcPr>
            <w:tcW w:w="156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240" w:type="dxa"/>
            <w:vAlign w:val="bottom"/>
            <w:shd w:val="clear" w:color="auto" w:fill="E9E9E9"/>
          </w:tcPr>
          <w:p>
            <w:pPr>
              <w:jc w:val="center"/>
              <w:ind w:left="638"/>
              <w:spacing w:after="0"/>
              <w:rPr>
                <w:sz w:val="20"/>
                <w:szCs w:val="20"/>
                <w:color w:val="auto"/>
              </w:rPr>
            </w:pPr>
            <w:r>
              <w:rPr>
                <w:rFonts w:ascii="Arial" w:cs="Arial" w:eastAsia="Arial" w:hAnsi="Arial"/>
                <w:sz w:val="17"/>
                <w:szCs w:val="17"/>
                <w:color w:val="auto"/>
                <w:w w:val="96"/>
              </w:rPr>
              <w:t>(1)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457,922</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$309,833</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28,539</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2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$3,900,000 (4)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30,019,118</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171,094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4"/>
              </w:rPr>
              <w:t>196,112</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35,082,618</w:t>
            </w:r>
          </w:p>
        </w:tc>
      </w:tr>
      <w:tr>
        <w:trPr>
          <w:trHeight w:val="228"/>
        </w:trPr>
        <w:tc>
          <w:tcPr>
            <w:tcW w:w="1560" w:type="dxa"/>
            <w:vAlign w:val="bottom"/>
          </w:tcPr>
          <w:p>
            <w:pPr>
              <w:spacing w:after="0"/>
              <w:rPr>
                <w:sz w:val="20"/>
                <w:szCs w:val="20"/>
                <w:color w:val="auto"/>
              </w:rPr>
            </w:pPr>
            <w:r>
              <w:rPr>
                <w:rFonts w:ascii="Arial" w:cs="Arial" w:eastAsia="Arial" w:hAnsi="Arial"/>
                <w:sz w:val="17"/>
                <w:szCs w:val="17"/>
                <w:color w:val="auto"/>
              </w:rPr>
              <w:t>March</w:t>
            </w:r>
          </w:p>
        </w:tc>
        <w:tc>
          <w:tcPr>
            <w:tcW w:w="1240" w:type="dxa"/>
            <w:vAlign w:val="bottom"/>
          </w:tcPr>
          <w:p>
            <w:pPr>
              <w:jc w:val="center"/>
              <w:ind w:left="638"/>
              <w:spacing w:after="0"/>
              <w:rPr>
                <w:sz w:val="20"/>
                <w:szCs w:val="20"/>
                <w:color w:val="auto"/>
              </w:rPr>
            </w:pPr>
            <w:r>
              <w:rPr>
                <w:rFonts w:ascii="Arial" w:cs="Arial" w:eastAsia="Arial" w:hAnsi="Arial"/>
                <w:sz w:val="17"/>
                <w:szCs w:val="17"/>
                <w:color w:val="auto"/>
                <w:w w:val="96"/>
              </w:rPr>
              <w:t>(1)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7"/>
              </w:rPr>
              <w:t>494,196</w:t>
            </w:r>
          </w:p>
        </w:tc>
        <w:tc>
          <w:tcPr>
            <w:tcW w:w="840" w:type="dxa"/>
            <w:vAlign w:val="bottom"/>
          </w:tcPr>
          <w:p>
            <w:pPr>
              <w:jc w:val="right"/>
              <w:spacing w:after="0"/>
              <w:rPr>
                <w:sz w:val="20"/>
                <w:szCs w:val="20"/>
                <w:color w:val="auto"/>
              </w:rPr>
            </w:pPr>
            <w:r>
              <w:rPr>
                <w:rFonts w:ascii="Arial" w:cs="Arial" w:eastAsia="Arial" w:hAnsi="Arial"/>
                <w:sz w:val="17"/>
                <w:szCs w:val="17"/>
                <w:color w:val="auto"/>
              </w:rPr>
              <w:t>$185,421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7"/>
              </w:rPr>
              <w:t>1,830,480</w:t>
            </w: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38"/>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3,571,175</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90,858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114,155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6,286,285</w:t>
            </w:r>
          </w:p>
        </w:tc>
      </w:tr>
      <w:tr>
        <w:trPr>
          <w:trHeight w:val="244"/>
        </w:trPr>
        <w:tc>
          <w:tcPr>
            <w:tcW w:w="156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240" w:type="dxa"/>
            <w:vAlign w:val="bottom"/>
            <w:shd w:val="clear" w:color="auto" w:fill="E9E9E9"/>
          </w:tcPr>
          <w:p>
            <w:pPr>
              <w:jc w:val="center"/>
              <w:ind w:left="638"/>
              <w:spacing w:after="0"/>
              <w:rPr>
                <w:sz w:val="20"/>
                <w:szCs w:val="20"/>
                <w:color w:val="auto"/>
              </w:rPr>
            </w:pPr>
            <w:r>
              <w:rPr>
                <w:rFonts w:ascii="Arial" w:cs="Arial" w:eastAsia="Arial" w:hAnsi="Arial"/>
                <w:sz w:val="17"/>
                <w:szCs w:val="17"/>
                <w:color w:val="auto"/>
                <w:w w:val="96"/>
              </w:rPr>
              <w:t>(1)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516,953</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$284,145</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2,080,961</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240" w:type="dxa"/>
            <w:vAlign w:val="bottom"/>
            <w:shd w:val="clear" w:color="auto" w:fill="E9E9E9"/>
          </w:tcPr>
          <w:p>
            <w:pPr>
              <w:jc w:val="right"/>
              <w:ind w:right="238"/>
              <w:spacing w:after="0"/>
              <w:rPr>
                <w:sz w:val="20"/>
                <w:szCs w:val="20"/>
                <w:color w:val="auto"/>
              </w:rPr>
            </w:pPr>
            <w:r>
              <w:rPr>
                <w:rFonts w:ascii="Arial" w:cs="Arial" w:eastAsia="Arial" w:hAnsi="Arial"/>
                <w:sz w:val="17"/>
                <w:szCs w:val="17"/>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1,644,500</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99,014</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93,105</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4,718,678</w:t>
            </w:r>
          </w:p>
        </w:tc>
      </w:tr>
      <w:tr>
        <w:trPr>
          <w:trHeight w:val="228"/>
        </w:trPr>
        <w:tc>
          <w:tcPr>
            <w:tcW w:w="1560" w:type="dxa"/>
            <w:vAlign w:val="bottom"/>
          </w:tcPr>
          <w:p>
            <w:pPr>
              <w:spacing w:after="0"/>
              <w:rPr>
                <w:sz w:val="20"/>
                <w:szCs w:val="20"/>
                <w:color w:val="auto"/>
              </w:rPr>
            </w:pPr>
            <w:r>
              <w:rPr>
                <w:rFonts w:ascii="Arial" w:cs="Arial" w:eastAsia="Arial" w:hAnsi="Arial"/>
                <w:sz w:val="17"/>
                <w:szCs w:val="17"/>
                <w:color w:val="auto"/>
              </w:rPr>
              <w:t>Crutcher</w:t>
            </w:r>
          </w:p>
        </w:tc>
        <w:tc>
          <w:tcPr>
            <w:tcW w:w="1240" w:type="dxa"/>
            <w:vAlign w:val="bottom"/>
          </w:tcPr>
          <w:p>
            <w:pPr>
              <w:jc w:val="center"/>
              <w:ind w:left="638"/>
              <w:spacing w:after="0"/>
              <w:rPr>
                <w:sz w:val="20"/>
                <w:szCs w:val="20"/>
                <w:color w:val="auto"/>
              </w:rPr>
            </w:pPr>
            <w:r>
              <w:rPr>
                <w:rFonts w:ascii="Arial" w:cs="Arial" w:eastAsia="Arial" w:hAnsi="Arial"/>
                <w:sz w:val="17"/>
                <w:szCs w:val="17"/>
                <w:color w:val="auto"/>
                <w:w w:val="96"/>
              </w:rPr>
              <w:t>(1)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2,890</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38"/>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805,516</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62,508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35,802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906,716</w:t>
            </w:r>
          </w:p>
        </w:tc>
      </w:tr>
      <w:tr>
        <w:trPr>
          <w:trHeight w:val="244"/>
        </w:trPr>
        <w:tc>
          <w:tcPr>
            <w:tcW w:w="1560" w:type="dxa"/>
            <w:vAlign w:val="bottom"/>
            <w:shd w:val="clear" w:color="auto" w:fill="E9E9E9"/>
          </w:tcPr>
          <w:p>
            <w:pPr>
              <w:spacing w:after="0"/>
              <w:rPr>
                <w:sz w:val="20"/>
                <w:szCs w:val="20"/>
                <w:color w:val="auto"/>
              </w:rPr>
            </w:pPr>
            <w:r>
              <w:rPr>
                <w:rFonts w:ascii="Arial" w:cs="Arial" w:eastAsia="Arial" w:hAnsi="Arial"/>
                <w:sz w:val="17"/>
                <w:szCs w:val="17"/>
                <w:color w:val="auto"/>
              </w:rPr>
              <w:t>Ritchie</w:t>
            </w:r>
          </w:p>
        </w:tc>
        <w:tc>
          <w:tcPr>
            <w:tcW w:w="1240" w:type="dxa"/>
            <w:vAlign w:val="bottom"/>
            <w:shd w:val="clear" w:color="auto" w:fill="E9E9E9"/>
          </w:tcPr>
          <w:p>
            <w:pPr>
              <w:jc w:val="center"/>
              <w:ind w:left="638"/>
              <w:spacing w:after="0"/>
              <w:rPr>
                <w:sz w:val="20"/>
                <w:szCs w:val="20"/>
                <w:color w:val="auto"/>
              </w:rPr>
            </w:pPr>
            <w:r>
              <w:rPr>
                <w:rFonts w:ascii="Arial" w:cs="Arial" w:eastAsia="Arial" w:hAnsi="Arial"/>
                <w:sz w:val="17"/>
                <w:szCs w:val="17"/>
                <w:color w:val="auto"/>
                <w:w w:val="96"/>
              </w:rPr>
              <w:t>(1)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828,990</w:t>
            </w:r>
          </w:p>
        </w:tc>
        <w:tc>
          <w:tcPr>
            <w:tcW w:w="8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$525,153</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2,342,136</w:t>
            </w:r>
          </w:p>
        </w:tc>
        <w:tc>
          <w:tcPr>
            <w:tcW w:w="104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240" w:type="dxa"/>
            <w:vAlign w:val="bottom"/>
            <w:shd w:val="clear" w:color="auto" w:fill="E9E9E9"/>
          </w:tcPr>
          <w:p>
            <w:pPr>
              <w:jc w:val="right"/>
              <w:ind w:right="238"/>
              <w:spacing w:after="0"/>
              <w:rPr>
                <w:sz w:val="20"/>
                <w:szCs w:val="20"/>
                <w:color w:val="auto"/>
              </w:rPr>
            </w:pPr>
            <w:r>
              <w:rPr>
                <w:rFonts w:ascii="Arial" w:cs="Arial" w:eastAsia="Arial" w:hAnsi="Arial"/>
                <w:sz w:val="17"/>
                <w:szCs w:val="17"/>
                <w:color w:val="auto"/>
              </w:rPr>
              <w:t>—</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9E9E9"/>
          </w:tcPr>
          <w:p>
            <w:pPr>
              <w:jc w:val="right"/>
              <w:spacing w:after="0"/>
              <w:rPr>
                <w:sz w:val="20"/>
                <w:szCs w:val="20"/>
                <w:color w:val="auto"/>
              </w:rPr>
            </w:pPr>
            <w:r>
              <w:rPr>
                <w:rFonts w:ascii="Arial" w:cs="Arial" w:eastAsia="Arial" w:hAnsi="Arial"/>
                <w:sz w:val="17"/>
                <w:szCs w:val="17"/>
                <w:color w:val="auto"/>
              </w:rPr>
              <w:t>3,455,706</w:t>
            </w:r>
          </w:p>
        </w:tc>
        <w:tc>
          <w:tcPr>
            <w:tcW w:w="1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81,151</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85,937</w:t>
            </w:r>
          </w:p>
        </w:tc>
        <w:tc>
          <w:tcPr>
            <w:tcW w:w="1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rPr>
              <w:t>7,319,073</w:t>
            </w:r>
          </w:p>
        </w:tc>
      </w:tr>
    </w:tbl>
    <w:p>
      <w:pPr>
        <w:spacing w:after="0" w:line="239" w:lineRule="exact"/>
        <w:rPr>
          <w:sz w:val="20"/>
          <w:szCs w:val="20"/>
          <w:color w:val="auto"/>
        </w:rPr>
      </w:pPr>
    </w:p>
    <w:p>
      <w:pPr>
        <w:ind w:left="480" w:hanging="475"/>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76" w:lineRule="exact"/>
        <w:rPr>
          <w:rFonts w:ascii="Arial" w:cs="Arial" w:eastAsia="Arial" w:hAnsi="Arial"/>
          <w:sz w:val="17"/>
          <w:szCs w:val="17"/>
          <w:color w:val="auto"/>
        </w:rPr>
      </w:pPr>
    </w:p>
    <w:p>
      <w:pPr>
        <w:ind w:left="480" w:hanging="475"/>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 2 to the Involuntary Termination for Cause table.</w:t>
      </w:r>
    </w:p>
    <w:p>
      <w:pPr>
        <w:spacing w:after="0" w:line="276" w:lineRule="exact"/>
        <w:rPr>
          <w:rFonts w:ascii="Arial" w:cs="Arial" w:eastAsia="Arial" w:hAnsi="Arial"/>
          <w:sz w:val="17"/>
          <w:szCs w:val="17"/>
          <w:color w:val="auto"/>
        </w:rPr>
      </w:pPr>
    </w:p>
    <w:p>
      <w:pPr>
        <w:ind w:left="480" w:hanging="475"/>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 3 to the Involuntary Termination for Cause table.</w:t>
      </w:r>
    </w:p>
    <w:p>
      <w:pPr>
        <w:spacing w:after="0" w:line="276" w:lineRule="exact"/>
        <w:rPr>
          <w:rFonts w:ascii="Arial" w:cs="Arial" w:eastAsia="Arial" w:hAnsi="Arial"/>
          <w:sz w:val="17"/>
          <w:szCs w:val="17"/>
          <w:color w:val="auto"/>
        </w:rPr>
      </w:pPr>
    </w:p>
    <w:p>
      <w:pPr>
        <w:ind w:left="480" w:hanging="475"/>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 4 to the Involuntary Termination for Cause table.</w:t>
      </w:r>
    </w:p>
    <w:p>
      <w:pPr>
        <w:spacing w:after="0" w:line="276" w:lineRule="exact"/>
        <w:rPr>
          <w:rFonts w:ascii="Arial" w:cs="Arial" w:eastAsia="Arial" w:hAnsi="Arial"/>
          <w:sz w:val="17"/>
          <w:szCs w:val="17"/>
          <w:color w:val="auto"/>
        </w:rPr>
      </w:pPr>
    </w:p>
    <w:p>
      <w:pPr>
        <w:ind w:left="480" w:right="480" w:hanging="475"/>
        <w:spacing w:after="0" w:line="252" w:lineRule="auto"/>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exercisable in-the-money options and the closing price of TI common stock as of December 31, 2010 ($32.50), multiplied by the number of shares under such options as of December 31, 2010.</w:t>
      </w:r>
    </w:p>
    <w:p>
      <w:pPr>
        <w:spacing w:after="0" w:line="218" w:lineRule="exact"/>
        <w:rPr>
          <w:rFonts w:ascii="Arial" w:cs="Arial" w:eastAsia="Arial" w:hAnsi="Arial"/>
          <w:sz w:val="17"/>
          <w:szCs w:val="17"/>
          <w:color w:val="auto"/>
        </w:rPr>
      </w:pPr>
    </w:p>
    <w:p>
      <w:pPr>
        <w:ind w:left="480" w:hanging="475"/>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Amounts earned in 2010.</w:t>
      </w:r>
    </w:p>
    <w:p>
      <w:pPr>
        <w:spacing w:after="0" w:line="276" w:lineRule="exact"/>
        <w:rPr>
          <w:rFonts w:ascii="Arial" w:cs="Arial" w:eastAsia="Arial" w:hAnsi="Arial"/>
          <w:sz w:val="17"/>
          <w:szCs w:val="17"/>
          <w:color w:val="auto"/>
        </w:rPr>
      </w:pPr>
    </w:p>
    <w:p>
      <w:pPr>
        <w:ind w:left="480" w:hanging="475"/>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 note 8 to the Termination Due to Disability table.</w:t>
      </w:r>
    </w:p>
    <w:p>
      <w:pPr>
        <w:spacing w:after="0" w:line="23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profit sharing and benefits under the qualified and non-qualified pension plans. During a paid leave of absence an individual does not continue to accrue time bank hours. He retains medical and insurance benefits at essentially the same rates as active company employees during the paid leave of absence period.</w:t>
      </w:r>
    </w:p>
    <w:p>
      <w:pPr>
        <w:spacing w:after="0" w:line="17" w:lineRule="exact"/>
        <w:rPr>
          <w:sz w:val="20"/>
          <w:szCs w:val="20"/>
          <w:color w:val="auto"/>
        </w:rPr>
      </w:pPr>
    </w:p>
    <w:p>
      <w:pPr>
        <w:ind w:right="20" w:firstLine="262"/>
        <w:spacing w:after="0" w:line="245" w:lineRule="auto"/>
        <w:rPr>
          <w:sz w:val="20"/>
          <w:szCs w:val="20"/>
          <w:color w:val="auto"/>
        </w:rPr>
      </w:pPr>
      <w:r>
        <w:rPr>
          <w:rFonts w:ascii="Arial" w:cs="Arial" w:eastAsia="Arial" w:hAnsi="Arial"/>
          <w:sz w:val="17"/>
          <w:szCs w:val="17"/>
          <w:color w:val="auto"/>
        </w:rPr>
        <w:t>In the case of a separation arrangement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the earlier of age 55 with at least 20 years of employment or age 60 (bridge to retirement). The bridge to retirement will be credited to years of service under the qualified and non-qualified defined benefit plans described above. The executive officer will not receive profit sharing or accrue time bank hours for the period he is on a bridge to retirement, but he will retain medical and insurance benefits at essentially the same rates as active company employees. For the effect of a bridge to retirement on equity compensation, please see the discussion on page 78.</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Involuntary termination (not for cause) after a change in control of TI is discussed on page 86.</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 in control</w:t>
      </w:r>
    </w:p>
    <w:p>
      <w:pPr>
        <w:spacing w:after="0" w:line="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We have no program, plan or arrangement providing benefits triggered by a change in control except as described below. In fact, the only consequences of a change in control are the acceleration of payment of existing balances and the full vesting of certain outstanding equity awards.</w:t>
      </w:r>
    </w:p>
    <w:p>
      <w:pPr>
        <w:spacing w:after="0" w:line="9" w:lineRule="exact"/>
        <w:rPr>
          <w:sz w:val="20"/>
          <w:szCs w:val="20"/>
          <w:color w:val="auto"/>
        </w:rPr>
      </w:pPr>
    </w:p>
    <w:p>
      <w:pPr>
        <w:ind w:right="200" w:firstLine="262"/>
        <w:spacing w:after="0" w:line="254" w:lineRule="auto"/>
        <w:rPr>
          <w:sz w:val="20"/>
          <w:szCs w:val="20"/>
          <w:color w:val="auto"/>
        </w:rPr>
      </w:pPr>
      <w:r>
        <w:rPr>
          <w:rFonts w:ascii="Arial" w:cs="Arial" w:eastAsia="Arial" w:hAnsi="Arial"/>
          <w:sz w:val="17"/>
          <w:szCs w:val="17"/>
          <w:color w:val="auto"/>
        </w:rPr>
        <w:t>A change in control at December 31, 2010, would have triggered payment of the balance under the TI Employees Non-Qualified Pension Plan. Please see pages 81 and 82 for a discussion of the purpose of change in control provisions relating to the non-qualified defined benefit plans and the deferred compensation plan as well as the circumstances and the timing of payment.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Please see pages 78-79 for further information concerning change in control provisions relating to stock options and RSU awards.</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a discussion of the impact of these programs on the compensation decisions for 2010, please see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221615</wp:posOffset>
            </wp:positionV>
            <wp:extent cx="727138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9" w:name="page40"/>
    <w:bookmarkEnd w:id="39"/>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86</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5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following table indicates the amounts that would have been triggered for each executive officer had there been a change in control as of December 31, 2010. The actual amounts that would be paid out can only be determined at the time the change in control occurs.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6"/>
        </w:trPr>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Non-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Deferred</w:t>
            </w:r>
          </w:p>
        </w:tc>
        <w:tc>
          <w:tcPr>
            <w:tcW w:w="180" w:type="dxa"/>
            <w:vAlign w:val="bottom"/>
          </w:tcPr>
          <w:p>
            <w:pPr>
              <w:spacing w:after="0"/>
              <w:rPr>
                <w:sz w:val="20"/>
                <w:szCs w:val="20"/>
                <w:color w:val="auto"/>
              </w:rPr>
            </w:pPr>
          </w:p>
        </w:tc>
        <w:tc>
          <w:tcPr>
            <w:tcW w:w="940" w:type="dxa"/>
            <w:vAlign w:val="bottom"/>
          </w:tcPr>
          <w:p>
            <w:pPr>
              <w:jc w:val="right"/>
              <w:ind w:right="320"/>
              <w:spacing w:after="0"/>
              <w:rPr>
                <w:sz w:val="20"/>
                <w:szCs w:val="20"/>
                <w:color w:val="auto"/>
              </w:rPr>
            </w:pPr>
            <w:r>
              <w:rPr>
                <w:rFonts w:ascii="Arial" w:cs="Arial" w:eastAsia="Arial" w:hAnsi="Arial"/>
                <w:sz w:val="13"/>
                <w:szCs w:val="13"/>
                <w:b w:val="1"/>
                <w:bCs w:val="1"/>
                <w:color w:val="auto"/>
              </w:rPr>
              <w:t>RSUs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Profit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8"/>
              </w:rPr>
              <w:t>Time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19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700" w:type="dxa"/>
            <w:vAlign w:val="bottom"/>
          </w:tcPr>
          <w:p>
            <w:pPr>
              <w:jc w:val="center"/>
              <w:ind w:left="1038"/>
              <w:spacing w:after="0"/>
              <w:rPr>
                <w:sz w:val="20"/>
                <w:szCs w:val="20"/>
                <w:color w:val="auto"/>
              </w:rPr>
            </w:pPr>
            <w:r>
              <w:rPr>
                <w:rFonts w:ascii="Arial" w:cs="Arial" w:eastAsia="Arial" w:hAnsi="Arial"/>
                <w:sz w:val="13"/>
                <w:szCs w:val="13"/>
                <w:b w:val="1"/>
                <w:bCs w:val="1"/>
                <w:color w:val="auto"/>
              </w:rPr>
              <w:t>Bonus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9"/>
              </w:rPr>
              <w:t>Plan II</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180" w:type="dxa"/>
            <w:vAlign w:val="bottom"/>
          </w:tcPr>
          <w:p>
            <w:pPr>
              <w:spacing w:after="0"/>
              <w:rPr>
                <w:sz w:val="20"/>
                <w:szCs w:val="20"/>
                <w:color w:val="auto"/>
              </w:rPr>
            </w:pPr>
          </w:p>
        </w:tc>
        <w:tc>
          <w:tcPr>
            <w:tcW w:w="940" w:type="dxa"/>
            <w:vAlign w:val="bottom"/>
          </w:tcPr>
          <w:p>
            <w:pPr>
              <w:jc w:val="right"/>
              <w:ind w:right="400"/>
              <w:spacing w:after="0"/>
              <w:rPr>
                <w:sz w:val="20"/>
                <w:szCs w:val="20"/>
                <w:color w:val="auto"/>
              </w:rPr>
            </w:pPr>
            <w:r>
              <w:rPr>
                <w:rFonts w:ascii="Arial" w:cs="Arial" w:eastAsia="Arial" w:hAnsi="Arial"/>
                <w:sz w:val="13"/>
                <w:szCs w:val="13"/>
                <w:b w:val="1"/>
                <w:bCs w:val="1"/>
                <w:color w:val="auto"/>
              </w:rPr>
              <w:t>(3)</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Sharing</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rPr>
              <w:t>Bank</w:t>
            </w:r>
          </w:p>
        </w:tc>
        <w:tc>
          <w:tcPr>
            <w:tcW w:w="180" w:type="dxa"/>
            <w:vAlign w:val="bottom"/>
          </w:tcPr>
          <w:p>
            <w:pPr>
              <w:spacing w:after="0"/>
              <w:rPr>
                <w:sz w:val="20"/>
                <w:szCs w:val="20"/>
                <w:color w:val="auto"/>
              </w:rPr>
            </w:pPr>
          </w:p>
        </w:tc>
        <w:tc>
          <w:tcPr>
            <w:tcW w:w="860" w:type="dxa"/>
            <w:vAlign w:val="bottom"/>
          </w:tcPr>
          <w:p>
            <w:pPr>
              <w:jc w:val="right"/>
              <w:ind w:right="258"/>
              <w:spacing w:after="0"/>
              <w:rPr>
                <w:sz w:val="20"/>
                <w:szCs w:val="20"/>
                <w:color w:val="auto"/>
              </w:rPr>
            </w:pPr>
            <w:r>
              <w:rPr>
                <w:rFonts w:ascii="Arial" w:cs="Arial" w:eastAsia="Arial" w:hAnsi="Arial"/>
                <w:sz w:val="13"/>
                <w:szCs w:val="13"/>
                <w:b w:val="1"/>
                <w:bCs w:val="1"/>
                <w:color w:val="auto"/>
              </w:rPr>
              <w:t>Total</w:t>
            </w:r>
          </w:p>
        </w:tc>
      </w:tr>
      <w:tr>
        <w:trPr>
          <w:trHeight w:val="41"/>
        </w:trPr>
        <w:tc>
          <w:tcPr>
            <w:tcW w:w="19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66"/>
        </w:trPr>
        <w:tc>
          <w:tcPr>
            <w:tcW w:w="1980" w:type="dxa"/>
            <w:vAlign w:val="bottom"/>
            <w:shd w:val="clear" w:color="auto" w:fill="808285"/>
          </w:tcPr>
          <w:p>
            <w:pPr>
              <w:spacing w:after="0"/>
              <w:rPr>
                <w:sz w:val="5"/>
                <w:szCs w:val="5"/>
                <w:color w:val="auto"/>
              </w:rPr>
            </w:pPr>
          </w:p>
        </w:tc>
        <w:tc>
          <w:tcPr>
            <w:tcW w:w="1700" w:type="dxa"/>
            <w:vAlign w:val="bottom"/>
            <w:shd w:val="clear" w:color="auto" w:fill="808285"/>
          </w:tcPr>
          <w:p>
            <w:pPr>
              <w:spacing w:after="0"/>
              <w:rPr>
                <w:sz w:val="5"/>
                <w:szCs w:val="5"/>
                <w:color w:val="auto"/>
              </w:rPr>
            </w:pPr>
          </w:p>
        </w:tc>
        <w:tc>
          <w:tcPr>
            <w:tcW w:w="720" w:type="dxa"/>
            <w:vAlign w:val="bottom"/>
            <w:shd w:val="clear" w:color="auto" w:fill="808285"/>
          </w:tcPr>
          <w:p>
            <w:pPr>
              <w:spacing w:after="0"/>
              <w:rPr>
                <w:sz w:val="5"/>
                <w:szCs w:val="5"/>
                <w:color w:val="auto"/>
              </w:rPr>
            </w:pPr>
          </w:p>
        </w:tc>
        <w:tc>
          <w:tcPr>
            <w:tcW w:w="880" w:type="dxa"/>
            <w:vAlign w:val="bottom"/>
            <w:shd w:val="clear" w:color="auto" w:fill="808285"/>
          </w:tcPr>
          <w:p>
            <w:pPr>
              <w:spacing w:after="0"/>
              <w:rPr>
                <w:sz w:val="5"/>
                <w:szCs w:val="5"/>
                <w:color w:val="auto"/>
              </w:rPr>
            </w:pPr>
          </w:p>
        </w:tc>
        <w:tc>
          <w:tcPr>
            <w:tcW w:w="720" w:type="dxa"/>
            <w:vAlign w:val="bottom"/>
            <w:shd w:val="clear" w:color="auto" w:fill="808285"/>
          </w:tcPr>
          <w:p>
            <w:pPr>
              <w:spacing w:after="0"/>
              <w:rPr>
                <w:sz w:val="5"/>
                <w:szCs w:val="5"/>
                <w:color w:val="auto"/>
              </w:rPr>
            </w:pPr>
          </w:p>
        </w:tc>
        <w:tc>
          <w:tcPr>
            <w:tcW w:w="108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940" w:type="dxa"/>
            <w:vAlign w:val="bottom"/>
            <w:shd w:val="clear" w:color="auto" w:fill="808285"/>
          </w:tcPr>
          <w:p>
            <w:pPr>
              <w:spacing w:after="0"/>
              <w:rPr>
                <w:sz w:val="5"/>
                <w:szCs w:val="5"/>
                <w:color w:val="auto"/>
              </w:rPr>
            </w:pPr>
          </w:p>
        </w:tc>
        <w:tc>
          <w:tcPr>
            <w:tcW w:w="1020" w:type="dxa"/>
            <w:vAlign w:val="bottom"/>
            <w:shd w:val="clear" w:color="auto" w:fill="808285"/>
          </w:tcPr>
          <w:p>
            <w:pPr>
              <w:spacing w:after="0"/>
              <w:rPr>
                <w:sz w:val="5"/>
                <w:szCs w:val="5"/>
                <w:color w:val="auto"/>
              </w:rPr>
            </w:pPr>
          </w:p>
        </w:tc>
        <w:tc>
          <w:tcPr>
            <w:tcW w:w="660" w:type="dxa"/>
            <w:vAlign w:val="bottom"/>
            <w:shd w:val="clear" w:color="auto" w:fill="808285"/>
          </w:tcPr>
          <w:p>
            <w:pPr>
              <w:spacing w:after="0"/>
              <w:rPr>
                <w:sz w:val="5"/>
                <w:szCs w:val="5"/>
                <w:color w:val="auto"/>
              </w:rPr>
            </w:pPr>
          </w:p>
        </w:tc>
        <w:tc>
          <w:tcPr>
            <w:tcW w:w="500" w:type="dxa"/>
            <w:vAlign w:val="bottom"/>
            <w:shd w:val="clear" w:color="auto" w:fill="808285"/>
          </w:tcPr>
          <w:p>
            <w:pPr>
              <w:spacing w:after="0"/>
              <w:rPr>
                <w:sz w:val="5"/>
                <w:szCs w:val="5"/>
                <w:color w:val="auto"/>
              </w:rPr>
            </w:pPr>
          </w:p>
        </w:tc>
        <w:tc>
          <w:tcPr>
            <w:tcW w:w="180" w:type="dxa"/>
            <w:vAlign w:val="bottom"/>
            <w:shd w:val="clear" w:color="auto" w:fill="808285"/>
          </w:tcPr>
          <w:p>
            <w:pPr>
              <w:spacing w:after="0"/>
              <w:rPr>
                <w:sz w:val="5"/>
                <w:szCs w:val="5"/>
                <w:color w:val="auto"/>
              </w:rPr>
            </w:pPr>
          </w:p>
        </w:tc>
        <w:tc>
          <w:tcPr>
            <w:tcW w:w="860" w:type="dxa"/>
            <w:vAlign w:val="bottom"/>
            <w:shd w:val="clear" w:color="auto" w:fill="808285"/>
          </w:tcPr>
          <w:p>
            <w:pPr>
              <w:spacing w:after="0"/>
              <w:rPr>
                <w:sz w:val="5"/>
                <w:szCs w:val="5"/>
                <w:color w:val="auto"/>
              </w:rPr>
            </w:pPr>
          </w:p>
        </w:tc>
      </w:tr>
      <w:tr>
        <w:trPr>
          <w:trHeight w:val="236"/>
        </w:trPr>
        <w:tc>
          <w:tcPr>
            <w:tcW w:w="1980" w:type="dxa"/>
            <w:vAlign w:val="bottom"/>
            <w:shd w:val="clear" w:color="auto" w:fill="E9E9E9"/>
          </w:tcPr>
          <w:p>
            <w:pPr>
              <w:spacing w:after="0"/>
              <w:rPr>
                <w:sz w:val="20"/>
                <w:szCs w:val="20"/>
                <w:color w:val="auto"/>
              </w:rPr>
            </w:pPr>
            <w:r>
              <w:rPr>
                <w:rFonts w:ascii="Arial" w:cs="Arial" w:eastAsia="Arial" w:hAnsi="Arial"/>
                <w:sz w:val="17"/>
                <w:szCs w:val="17"/>
                <w:color w:val="auto"/>
              </w:rPr>
              <w:t>Templeton</w:t>
            </w:r>
          </w:p>
        </w:tc>
        <w:tc>
          <w:tcPr>
            <w:tcW w:w="1700" w:type="dxa"/>
            <w:vAlign w:val="bottom"/>
            <w:shd w:val="clear" w:color="auto" w:fill="E9E9E9"/>
          </w:tcPr>
          <w:p>
            <w:pPr>
              <w:jc w:val="center"/>
              <w:ind w:left="1038"/>
              <w:spacing w:after="0"/>
              <w:rPr>
                <w:sz w:val="20"/>
                <w:szCs w:val="20"/>
                <w:color w:val="auto"/>
              </w:rPr>
            </w:pPr>
            <w:r>
              <w:rPr>
                <w:rFonts w:ascii="Arial" w:cs="Arial" w:eastAsia="Arial" w:hAnsi="Arial"/>
                <w:sz w:val="17"/>
                <w:szCs w:val="17"/>
                <w:color w:val="auto"/>
              </w:rPr>
              <w:t>(1)</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$309,833</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20,848,328</w:t>
            </w:r>
          </w:p>
        </w:tc>
        <w:tc>
          <w:tcPr>
            <w:tcW w:w="10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$9,393,972</w:t>
            </w:r>
          </w:p>
        </w:tc>
        <w:tc>
          <w:tcPr>
            <w:tcW w:w="6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30,552,133</w:t>
            </w:r>
          </w:p>
        </w:tc>
      </w:tr>
      <w:tr>
        <w:trPr>
          <w:trHeight w:val="228"/>
        </w:trPr>
        <w:tc>
          <w:tcPr>
            <w:tcW w:w="1980" w:type="dxa"/>
            <w:vAlign w:val="bottom"/>
          </w:tcPr>
          <w:p>
            <w:pPr>
              <w:spacing w:after="0"/>
              <w:rPr>
                <w:sz w:val="20"/>
                <w:szCs w:val="20"/>
                <w:color w:val="auto"/>
              </w:rPr>
            </w:pPr>
            <w:r>
              <w:rPr>
                <w:rFonts w:ascii="Arial" w:cs="Arial" w:eastAsia="Arial" w:hAnsi="Arial"/>
                <w:sz w:val="17"/>
                <w:szCs w:val="17"/>
                <w:color w:val="auto"/>
              </w:rPr>
              <w:t>March</w:t>
            </w:r>
          </w:p>
        </w:tc>
        <w:tc>
          <w:tcPr>
            <w:tcW w:w="1700" w:type="dxa"/>
            <w:vAlign w:val="bottom"/>
          </w:tcPr>
          <w:p>
            <w:pPr>
              <w:jc w:val="center"/>
              <w:ind w:left="1038"/>
              <w:spacing w:after="0"/>
              <w:rPr>
                <w:sz w:val="20"/>
                <w:szCs w:val="20"/>
                <w:color w:val="auto"/>
              </w:rPr>
            </w:pPr>
            <w:r>
              <w:rPr>
                <w:rFonts w:ascii="Arial" w:cs="Arial" w:eastAsia="Arial" w:hAnsi="Arial"/>
                <w:sz w:val="17"/>
                <w:szCs w:val="17"/>
                <w:color w:val="auto"/>
              </w:rPr>
              <w:t>(1)</w:t>
            </w: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$185,421</w:t>
            </w: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8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4,333,355</w:t>
            </w:r>
          </w:p>
        </w:tc>
        <w:tc>
          <w:tcPr>
            <w:tcW w:w="1020" w:type="dxa"/>
            <w:vAlign w:val="bottom"/>
          </w:tcPr>
          <w:p>
            <w:pPr>
              <w:jc w:val="center"/>
              <w:spacing w:after="0"/>
              <w:rPr>
                <w:sz w:val="20"/>
                <w:szCs w:val="20"/>
                <w:color w:val="auto"/>
              </w:rPr>
            </w:pPr>
            <w:r>
              <w:rPr>
                <w:rFonts w:ascii="Arial" w:cs="Arial" w:eastAsia="Arial" w:hAnsi="Arial"/>
                <w:sz w:val="17"/>
                <w:szCs w:val="17"/>
                <w:color w:val="auto"/>
              </w:rPr>
              <w:t>$2,704,875</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7,223,651</w:t>
            </w:r>
          </w:p>
        </w:tc>
      </w:tr>
      <w:tr>
        <w:trPr>
          <w:trHeight w:val="244"/>
        </w:trPr>
        <w:tc>
          <w:tcPr>
            <w:tcW w:w="1980" w:type="dxa"/>
            <w:vAlign w:val="bottom"/>
            <w:shd w:val="clear" w:color="auto" w:fill="E9E9E9"/>
          </w:tcPr>
          <w:p>
            <w:pPr>
              <w:spacing w:after="0"/>
              <w:rPr>
                <w:sz w:val="20"/>
                <w:szCs w:val="20"/>
                <w:color w:val="auto"/>
              </w:rPr>
            </w:pPr>
            <w:r>
              <w:rPr>
                <w:rFonts w:ascii="Arial" w:cs="Arial" w:eastAsia="Arial" w:hAnsi="Arial"/>
                <w:sz w:val="17"/>
                <w:szCs w:val="17"/>
                <w:color w:val="auto"/>
              </w:rPr>
              <w:t>Lowe</w:t>
            </w:r>
          </w:p>
        </w:tc>
        <w:tc>
          <w:tcPr>
            <w:tcW w:w="1700" w:type="dxa"/>
            <w:vAlign w:val="bottom"/>
            <w:shd w:val="clear" w:color="auto" w:fill="E9E9E9"/>
          </w:tcPr>
          <w:p>
            <w:pPr>
              <w:jc w:val="center"/>
              <w:ind w:left="1038"/>
              <w:spacing w:after="0"/>
              <w:rPr>
                <w:sz w:val="20"/>
                <w:szCs w:val="20"/>
                <w:color w:val="auto"/>
              </w:rPr>
            </w:pPr>
            <w:r>
              <w:rPr>
                <w:rFonts w:ascii="Arial" w:cs="Arial" w:eastAsia="Arial" w:hAnsi="Arial"/>
                <w:sz w:val="17"/>
                <w:szCs w:val="17"/>
                <w:color w:val="auto"/>
              </w:rPr>
              <w:t>(1)</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$284,145</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6,933,355</w:t>
            </w:r>
          </w:p>
        </w:tc>
        <w:tc>
          <w:tcPr>
            <w:tcW w:w="10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$3,925,500</w:t>
            </w:r>
          </w:p>
        </w:tc>
        <w:tc>
          <w:tcPr>
            <w:tcW w:w="6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11,143,000</w:t>
            </w:r>
          </w:p>
        </w:tc>
      </w:tr>
      <w:tr>
        <w:trPr>
          <w:trHeight w:val="228"/>
        </w:trPr>
        <w:tc>
          <w:tcPr>
            <w:tcW w:w="1980" w:type="dxa"/>
            <w:vAlign w:val="bottom"/>
          </w:tcPr>
          <w:p>
            <w:pPr>
              <w:spacing w:after="0"/>
              <w:rPr>
                <w:sz w:val="20"/>
                <w:szCs w:val="20"/>
                <w:color w:val="auto"/>
              </w:rPr>
            </w:pPr>
            <w:r>
              <w:rPr>
                <w:rFonts w:ascii="Arial" w:cs="Arial" w:eastAsia="Arial" w:hAnsi="Arial"/>
                <w:sz w:val="17"/>
                <w:szCs w:val="17"/>
                <w:color w:val="auto"/>
              </w:rPr>
              <w:t>Crutcher</w:t>
            </w:r>
          </w:p>
        </w:tc>
        <w:tc>
          <w:tcPr>
            <w:tcW w:w="1700" w:type="dxa"/>
            <w:vAlign w:val="bottom"/>
          </w:tcPr>
          <w:p>
            <w:pPr>
              <w:jc w:val="center"/>
              <w:ind w:left="1038"/>
              <w:spacing w:after="0"/>
              <w:rPr>
                <w:sz w:val="20"/>
                <w:szCs w:val="20"/>
                <w:color w:val="auto"/>
              </w:rPr>
            </w:pPr>
            <w:r>
              <w:rPr>
                <w:rFonts w:ascii="Arial" w:cs="Arial" w:eastAsia="Arial" w:hAnsi="Arial"/>
                <w:sz w:val="17"/>
                <w:szCs w:val="17"/>
                <w:color w:val="auto"/>
              </w:rPr>
              <w:t>(1)</w:t>
            </w: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108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2,058,355</w:t>
            </w:r>
          </w:p>
        </w:tc>
        <w:tc>
          <w:tcPr>
            <w:tcW w:w="1020" w:type="dxa"/>
            <w:vAlign w:val="bottom"/>
          </w:tcPr>
          <w:p>
            <w:pPr>
              <w:jc w:val="center"/>
              <w:spacing w:after="0"/>
              <w:rPr>
                <w:sz w:val="20"/>
                <w:szCs w:val="20"/>
                <w:color w:val="auto"/>
              </w:rPr>
            </w:pPr>
            <w:r>
              <w:rPr>
                <w:rFonts w:ascii="Arial" w:cs="Arial" w:eastAsia="Arial" w:hAnsi="Arial"/>
                <w:sz w:val="17"/>
                <w:szCs w:val="17"/>
                <w:color w:val="auto"/>
              </w:rPr>
              <w:t>$1,388,250</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p>
        </w:tc>
        <w:tc>
          <w:tcPr>
            <w:tcW w:w="50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3,446,605</w:t>
            </w:r>
          </w:p>
        </w:tc>
      </w:tr>
      <w:tr>
        <w:trPr>
          <w:trHeight w:val="244"/>
        </w:trPr>
        <w:tc>
          <w:tcPr>
            <w:tcW w:w="1980" w:type="dxa"/>
            <w:vAlign w:val="bottom"/>
            <w:shd w:val="clear" w:color="auto" w:fill="E9E9E9"/>
          </w:tcPr>
          <w:p>
            <w:pPr>
              <w:spacing w:after="0"/>
              <w:rPr>
                <w:sz w:val="20"/>
                <w:szCs w:val="20"/>
                <w:color w:val="auto"/>
              </w:rPr>
            </w:pPr>
            <w:r>
              <w:rPr>
                <w:rFonts w:ascii="Arial" w:cs="Arial" w:eastAsia="Arial" w:hAnsi="Arial"/>
                <w:sz w:val="17"/>
                <w:szCs w:val="17"/>
                <w:color w:val="auto"/>
              </w:rPr>
              <w:t>Ritchie</w:t>
            </w:r>
          </w:p>
        </w:tc>
        <w:tc>
          <w:tcPr>
            <w:tcW w:w="1700" w:type="dxa"/>
            <w:vAlign w:val="bottom"/>
            <w:shd w:val="clear" w:color="auto" w:fill="E9E9E9"/>
          </w:tcPr>
          <w:p>
            <w:pPr>
              <w:jc w:val="center"/>
              <w:ind w:left="1038"/>
              <w:spacing w:after="0"/>
              <w:rPr>
                <w:sz w:val="20"/>
                <w:szCs w:val="20"/>
                <w:color w:val="auto"/>
              </w:rPr>
            </w:pPr>
            <w:r>
              <w:rPr>
                <w:rFonts w:ascii="Arial" w:cs="Arial" w:eastAsia="Arial" w:hAnsi="Arial"/>
                <w:sz w:val="17"/>
                <w:szCs w:val="17"/>
                <w:color w:val="auto"/>
              </w:rPr>
              <w:t>(1)</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880" w:type="dxa"/>
            <w:vAlign w:val="bottom"/>
            <w:shd w:val="clear" w:color="auto" w:fill="E9E9E9"/>
          </w:tcPr>
          <w:p>
            <w:pPr>
              <w:jc w:val="right"/>
              <w:ind w:right="6"/>
              <w:spacing w:after="0"/>
              <w:rPr>
                <w:sz w:val="20"/>
                <w:szCs w:val="20"/>
                <w:color w:val="auto"/>
              </w:rPr>
            </w:pPr>
            <w:r>
              <w:rPr>
                <w:rFonts w:ascii="Arial" w:cs="Arial" w:eastAsia="Arial" w:hAnsi="Arial"/>
                <w:sz w:val="17"/>
                <w:szCs w:val="17"/>
                <w:color w:val="auto"/>
              </w:rPr>
              <w:t>$525,153</w:t>
            </w:r>
          </w:p>
        </w:tc>
        <w:tc>
          <w:tcPr>
            <w:tcW w:w="720" w:type="dxa"/>
            <w:vAlign w:val="bottom"/>
            <w:shd w:val="clear" w:color="auto" w:fill="E9E9E9"/>
          </w:tcPr>
          <w:p>
            <w:pPr>
              <w:jc w:val="center"/>
              <w:spacing w:after="0"/>
              <w:rPr>
                <w:sz w:val="20"/>
                <w:szCs w:val="20"/>
                <w:color w:val="auto"/>
              </w:rPr>
            </w:pPr>
            <w:r>
              <w:rPr>
                <w:rFonts w:ascii="Arial" w:cs="Arial" w:eastAsia="Arial" w:hAnsi="Arial"/>
                <w:sz w:val="17"/>
                <w:szCs w:val="17"/>
                <w:color w:val="auto"/>
                <w:w w:val="93"/>
              </w:rPr>
              <w:t>—</w:t>
            </w:r>
          </w:p>
        </w:tc>
        <w:tc>
          <w:tcPr>
            <w:tcW w:w="108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5,958,355</w:t>
            </w:r>
          </w:p>
        </w:tc>
        <w:tc>
          <w:tcPr>
            <w:tcW w:w="102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$3,530,625</w:t>
            </w:r>
          </w:p>
        </w:tc>
        <w:tc>
          <w:tcPr>
            <w:tcW w:w="66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500" w:type="dxa"/>
            <w:vAlign w:val="bottom"/>
            <w:shd w:val="clear" w:color="auto" w:fill="E9E9E9"/>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E9E9E9"/>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8"/>
              </w:rPr>
              <w:t>10,014,133</w:t>
            </w:r>
          </w:p>
        </w:tc>
      </w:tr>
    </w:tbl>
    <w:p>
      <w:pPr>
        <w:spacing w:after="0" w:line="239" w:lineRule="exact"/>
        <w:rPr>
          <w:sz w:val="20"/>
          <w:szCs w:val="20"/>
          <w:color w:val="auto"/>
        </w:rPr>
      </w:pPr>
    </w:p>
    <w:p>
      <w:pPr>
        <w:ind w:left="480" w:hanging="475"/>
        <w:spacing w:after="0"/>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See note 1 to the Termination Due to Disability table.</w:t>
      </w:r>
    </w:p>
    <w:p>
      <w:pPr>
        <w:spacing w:after="0" w:line="276" w:lineRule="exact"/>
        <w:rPr>
          <w:rFonts w:ascii="Arial" w:cs="Arial" w:eastAsia="Arial" w:hAnsi="Arial"/>
          <w:sz w:val="17"/>
          <w:szCs w:val="17"/>
          <w:color w:val="auto"/>
        </w:rPr>
      </w:pPr>
    </w:p>
    <w:p>
      <w:pPr>
        <w:ind w:left="480" w:right="540" w:hanging="475"/>
        <w:spacing w:after="0" w:line="25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Lump sum value of the December 31, 2010, accrued benefit calculated as required by the terms of the plan assuming the earliest possible payment date.</w:t>
      </w:r>
    </w:p>
    <w:p>
      <w:pPr>
        <w:spacing w:after="0" w:line="218" w:lineRule="exact"/>
        <w:rPr>
          <w:rFonts w:ascii="Arial" w:cs="Arial" w:eastAsia="Arial" w:hAnsi="Arial"/>
          <w:sz w:val="17"/>
          <w:szCs w:val="17"/>
          <w:color w:val="auto"/>
        </w:rPr>
      </w:pPr>
    </w:p>
    <w:p>
      <w:pPr>
        <w:ind w:left="480" w:right="320" w:hanging="475"/>
        <w:spacing w:after="0" w:line="252"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Calculated by multiplying the number of RSUs granted prior to 2010 by the closing price of the company’s common stock as of December 31, 2010 ($32.50).</w:t>
      </w:r>
    </w:p>
    <w:p>
      <w:pPr>
        <w:spacing w:after="0" w:line="218" w:lineRule="exact"/>
        <w:rPr>
          <w:rFonts w:ascii="Arial" w:cs="Arial" w:eastAsia="Arial" w:hAnsi="Arial"/>
          <w:sz w:val="17"/>
          <w:szCs w:val="17"/>
          <w:color w:val="auto"/>
        </w:rPr>
      </w:pPr>
    </w:p>
    <w:p>
      <w:pPr>
        <w:ind w:left="480" w:right="240" w:hanging="475"/>
        <w:spacing w:after="0" w:line="246" w:lineRule="auto"/>
        <w:tabs>
          <w:tab w:leader="none" w:pos="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a change in control meeting the pre-2010 definition (please see page 78), all outstanding options granted prior to 2010 become immediately exercisable. Calculated as the difference between the grant price of in-the-money options not already exercisable and the closing price of the company’s common stock as of December 31, 2010 ($32.50), multiplied by the number of those options as of December 31, 2010.</w:t>
      </w:r>
    </w:p>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An involuntary termination (not for cause) within 24 months after a change in control of TI will accelerate, to the extent permitted by Section 409A of the IRC, the vesting of options and RSUs granted in 2010.</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Committee report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 furnished the following report:</w:t>
      </w:r>
    </w:p>
    <w:p>
      <w:pPr>
        <w:spacing w:after="0" w:line="27" w:lineRule="exact"/>
        <w:rPr>
          <w:sz w:val="20"/>
          <w:szCs w:val="20"/>
          <w:color w:val="auto"/>
        </w:rPr>
      </w:pPr>
    </w:p>
    <w:p>
      <w:pPr>
        <w:ind w:right="180" w:firstLine="262"/>
        <w:spacing w:after="0" w:line="250" w:lineRule="auto"/>
        <w:rPr>
          <w:sz w:val="20"/>
          <w:szCs w:val="20"/>
          <w:color w:val="auto"/>
        </w:rPr>
      </w:pPr>
      <w:r>
        <w:rPr>
          <w:rFonts w:ascii="Arial" w:cs="Arial" w:eastAsia="Arial" w:hAnsi="Arial"/>
          <w:sz w:val="17"/>
          <w:szCs w:val="17"/>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1" w:lineRule="exact"/>
        <w:rPr>
          <w:sz w:val="20"/>
          <w:szCs w:val="20"/>
          <w:color w:val="auto"/>
        </w:rPr>
      </w:pPr>
    </w:p>
    <w:p>
      <w:pPr>
        <w:ind w:right="600" w:firstLine="262"/>
        <w:spacing w:after="0" w:line="265" w:lineRule="auto"/>
        <w:rPr>
          <w:sz w:val="20"/>
          <w:szCs w:val="20"/>
          <w:color w:val="auto"/>
        </w:rPr>
      </w:pPr>
      <w:r>
        <w:rPr>
          <w:rFonts w:ascii="Arial" w:cs="Arial" w:eastAsia="Arial" w:hAnsi="Arial"/>
          <w:sz w:val="17"/>
          <w:szCs w:val="17"/>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 w:lineRule="exact"/>
        <w:rPr>
          <w:sz w:val="20"/>
          <w:szCs w:val="20"/>
          <w:color w:val="auto"/>
        </w:rPr>
      </w:pPr>
    </w:p>
    <w:p>
      <w:pPr>
        <w:ind w:right="360" w:firstLine="262"/>
        <w:spacing w:after="0" w:line="265" w:lineRule="auto"/>
        <w:rPr>
          <w:sz w:val="20"/>
          <w:szCs w:val="20"/>
          <w:color w:val="auto"/>
        </w:rPr>
      </w:pPr>
      <w:r>
        <w:rPr>
          <w:rFonts w:ascii="Arial" w:cs="Arial" w:eastAsia="Arial" w:hAnsi="Arial"/>
          <w:sz w:val="17"/>
          <w:szCs w:val="17"/>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 w:lineRule="exact"/>
        <w:rPr>
          <w:sz w:val="20"/>
          <w:szCs w:val="20"/>
          <w:color w:val="auto"/>
        </w:rPr>
      </w:pPr>
    </w:p>
    <w:p>
      <w:pPr>
        <w:jc w:val="both"/>
        <w:ind w:right="80" w:firstLine="262"/>
        <w:spacing w:after="0" w:line="254"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9" w:lineRule="exact"/>
        <w:rPr>
          <w:sz w:val="20"/>
          <w:szCs w:val="20"/>
          <w:color w:val="auto"/>
        </w:rPr>
      </w:pPr>
    </w:p>
    <w:p>
      <w:pPr>
        <w:jc w:val="both"/>
        <w:ind w:right="80" w:firstLine="262"/>
        <w:spacing w:after="0" w:line="268" w:lineRule="auto"/>
        <w:rPr>
          <w:sz w:val="20"/>
          <w:szCs w:val="20"/>
          <w:color w:val="auto"/>
        </w:rPr>
      </w:pPr>
      <w:r>
        <w:rPr>
          <w:rFonts w:ascii="Arial" w:cs="Arial" w:eastAsia="Arial" w:hAnsi="Arial"/>
          <w:sz w:val="17"/>
          <w:szCs w:val="17"/>
          <w:color w:val="auto"/>
        </w:rPr>
        <w:t>Based on the review and discussions referred to above, the committee recommended to the board of directors that the audited financial statements be included in the company’s Annual Report on Form 10-K for 2010 for filing with the SEC.</w:t>
      </w:r>
    </w:p>
    <w:p>
      <w:pPr>
        <w:spacing w:after="0" w:line="219" w:lineRule="exact"/>
        <w:rPr>
          <w:sz w:val="20"/>
          <w:szCs w:val="20"/>
          <w:color w:val="auto"/>
        </w:rPr>
      </w:pPr>
    </w:p>
    <w:p>
      <w:pPr>
        <w:ind w:left="1540"/>
        <w:spacing w:after="0"/>
        <w:tabs>
          <w:tab w:leader="none" w:pos="4380" w:val="left"/>
          <w:tab w:leader="none" w:pos="6860" w:val="left"/>
          <w:tab w:leader="none" w:pos="8820" w:val="left"/>
        </w:tabs>
        <w:rPr>
          <w:sz w:val="20"/>
          <w:szCs w:val="20"/>
          <w:color w:val="auto"/>
        </w:rPr>
      </w:pPr>
      <w:r>
        <w:rPr>
          <w:rFonts w:ascii="Arial" w:cs="Arial" w:eastAsia="Arial" w:hAnsi="Arial"/>
          <w:sz w:val="17"/>
          <w:szCs w:val="17"/>
          <w:color w:val="auto"/>
        </w:rPr>
        <w:t>Pamela H. Patsley, Chair</w:t>
      </w:r>
      <w:r>
        <w:rPr>
          <w:sz w:val="20"/>
          <w:szCs w:val="20"/>
          <w:color w:val="auto"/>
        </w:rPr>
        <w:tab/>
      </w:r>
      <w:r>
        <w:rPr>
          <w:rFonts w:ascii="Arial" w:cs="Arial" w:eastAsia="Arial" w:hAnsi="Arial"/>
          <w:sz w:val="17"/>
          <w:szCs w:val="17"/>
          <w:color w:val="auto"/>
        </w:rPr>
        <w:t>Ralph W. Babb, Jr.</w:t>
      </w:r>
      <w:r>
        <w:rPr>
          <w:sz w:val="20"/>
          <w:szCs w:val="20"/>
          <w:color w:val="auto"/>
        </w:rPr>
        <w:tab/>
      </w:r>
      <w:r>
        <w:rPr>
          <w:rFonts w:ascii="Arial" w:cs="Arial" w:eastAsia="Arial" w:hAnsi="Arial"/>
          <w:sz w:val="17"/>
          <w:szCs w:val="17"/>
          <w:color w:val="auto"/>
        </w:rPr>
        <w:t>David L. Boren</w:t>
      </w:r>
      <w:r>
        <w:rPr>
          <w:sz w:val="20"/>
          <w:szCs w:val="20"/>
          <w:color w:val="auto"/>
        </w:rPr>
        <w:tab/>
      </w:r>
      <w:r>
        <w:rPr>
          <w:rFonts w:ascii="Arial" w:cs="Arial" w:eastAsia="Arial" w:hAnsi="Arial"/>
          <w:sz w:val="16"/>
          <w:szCs w:val="16"/>
          <w:color w:val="auto"/>
        </w:rPr>
        <w:t>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229870</wp:posOffset>
            </wp:positionV>
            <wp:extent cx="727138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40" w:name="page41"/>
    <w:bookmarkEnd w:id="40"/>
    <w:p>
      <w:pPr>
        <w:jc w:val="center"/>
        <w:ind w:right="-19"/>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87</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Proposal to ratify appointment of independent registered public accounting firm</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has appointed Ernst &amp; Young LLP to be TI’s independent registered public accounting firm for 2011.</w:t>
      </w:r>
    </w:p>
    <w:p>
      <w:pPr>
        <w:spacing w:after="0" w:line="27" w:lineRule="exact"/>
        <w:rPr>
          <w:sz w:val="20"/>
          <w:szCs w:val="20"/>
          <w:color w:val="auto"/>
        </w:rPr>
      </w:pPr>
    </w:p>
    <w:p>
      <w:pPr>
        <w:ind w:right="160" w:firstLine="262"/>
        <w:spacing w:after="0" w:line="265" w:lineRule="auto"/>
        <w:rPr>
          <w:sz w:val="20"/>
          <w:szCs w:val="20"/>
          <w:color w:val="auto"/>
        </w:rPr>
      </w:pPr>
      <w:r>
        <w:rPr>
          <w:rFonts w:ascii="Arial" w:cs="Arial" w:eastAsia="Arial" w:hAnsi="Arial"/>
          <w:sz w:val="17"/>
          <w:szCs w:val="17"/>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 w:lineRule="exact"/>
        <w:rPr>
          <w:sz w:val="20"/>
          <w:szCs w:val="20"/>
          <w:color w:val="auto"/>
        </w:rPr>
      </w:pPr>
    </w:p>
    <w:p>
      <w:pPr>
        <w:ind w:right="40" w:firstLine="262"/>
        <w:spacing w:after="0" w:line="265" w:lineRule="auto"/>
        <w:rPr>
          <w:sz w:val="20"/>
          <w:szCs w:val="20"/>
          <w:color w:val="auto"/>
        </w:rPr>
      </w:pPr>
      <w:r>
        <w:rPr>
          <w:rFonts w:ascii="Arial" w:cs="Arial" w:eastAsia="Arial" w:hAnsi="Arial"/>
          <w:sz w:val="17"/>
          <w:szCs w:val="17"/>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has paid fees to Ernst &amp; Young for the services described below:</w:t>
      </w:r>
    </w:p>
    <w:p>
      <w:pPr>
        <w:spacing w:after="0" w:line="250"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u w:val="single" w:color="auto"/>
          <w:color w:val="auto"/>
        </w:rPr>
        <w:t>Audit fees</w:t>
      </w:r>
      <w:r>
        <w:rPr>
          <w:rFonts w:ascii="Arial" w:cs="Arial" w:eastAsia="Arial" w:hAnsi="Arial"/>
          <w:sz w:val="17"/>
          <w:szCs w:val="17"/>
          <w:color w:val="auto"/>
        </w:rPr>
        <w:t>. Ernst &amp; Young’s Audit Fees were $6,881,000 in 2010 and $6,794,000 in 2009. The services provided in exchange for these fees were our annual audit, including the audit of internal control over financial reporting, reports on Form 10-Q, and statutory audits required internationally.</w:t>
      </w:r>
    </w:p>
    <w:p>
      <w:pPr>
        <w:spacing w:after="0" w:line="219"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u w:val="single" w:color="auto"/>
          <w:color w:val="auto"/>
        </w:rPr>
        <w:t>Audit-related fees</w:t>
      </w:r>
      <w:r>
        <w:rPr>
          <w:rFonts w:ascii="Arial" w:cs="Arial" w:eastAsia="Arial" w:hAnsi="Arial"/>
          <w:sz w:val="17"/>
          <w:szCs w:val="17"/>
          <w:color w:val="auto"/>
        </w:rPr>
        <w:t>. In addition to the Audit Fees, the company paid Ernst &amp; Young $706,000 in 2010 and $568,000 in 2009. The services provided in exchange for these fees included acquisition due diligence, employee benefit plan audits, financial reporting system access testing, access to Ernst &amp; Young’s online research tool and, for various non-U.S. subsidiaries, audits relating to compliance with local-government standards.</w:t>
      </w:r>
    </w:p>
    <w:p>
      <w:pPr>
        <w:spacing w:after="0" w:line="225"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u w:val="single" w:color="auto"/>
          <w:color w:val="auto"/>
        </w:rPr>
        <w:t>Tax fees</w:t>
      </w:r>
      <w:r>
        <w:rPr>
          <w:rFonts w:ascii="Arial" w:cs="Arial" w:eastAsia="Arial" w:hAnsi="Arial"/>
          <w:sz w:val="17"/>
          <w:szCs w:val="17"/>
          <w:color w:val="auto"/>
        </w:rPr>
        <w:t>. Ernst &amp; Young’s fees for professional services rendered for tax compliance (preparation and review of income tax returns and other tax-related filings), tax advice on U.S. and foreign tax matters, and transaction tax assistance related to acquisitions were $856,000 in 2010 and $407,000 in 2009.</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u w:val="single" w:color="auto"/>
          <w:color w:val="auto"/>
        </w:rPr>
        <w:t>All other fees</w:t>
      </w:r>
      <w:r>
        <w:rPr>
          <w:rFonts w:ascii="Arial" w:cs="Arial" w:eastAsia="Arial" w:hAnsi="Arial"/>
          <w:sz w:val="17"/>
          <w:szCs w:val="17"/>
          <w:color w:val="auto"/>
        </w:rPr>
        <w:t>. Ernst &amp; Young’s fees for all other professional services rendered were $35,000 in 2010 and $23,000 in 2009 for the TI Foundation audit and training assistance.</w:t>
      </w:r>
    </w:p>
    <w:p>
      <w:pPr>
        <w:spacing w:after="0" w:line="219"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u w:val="single" w:color="auto"/>
          <w:color w:val="auto"/>
        </w:rPr>
        <w:t>Pre-approval policy</w:t>
      </w:r>
      <w:r>
        <w:rPr>
          <w:rFonts w:ascii="Arial" w:cs="Arial" w:eastAsia="Arial" w:hAnsi="Arial"/>
          <w:sz w:val="17"/>
          <w:szCs w:val="17"/>
          <w:color w:val="auto"/>
        </w:rPr>
        <w:t>. The Audit Committee is required to pre-approve the audit and non-audit services to be performed by the independent registered public accounting firm in order to assure that the provision of such services does not impair the firm’s independence.</w:t>
      </w:r>
    </w:p>
    <w:p>
      <w:pPr>
        <w:spacing w:after="0" w:line="245" w:lineRule="exact"/>
        <w:rPr>
          <w:sz w:val="20"/>
          <w:szCs w:val="20"/>
          <w:color w:val="auto"/>
        </w:rPr>
      </w:pPr>
    </w:p>
    <w:p>
      <w:pPr>
        <w:ind w:firstLine="262"/>
        <w:spacing w:after="0" w:line="245" w:lineRule="auto"/>
        <w:rPr>
          <w:sz w:val="20"/>
          <w:szCs w:val="20"/>
          <w:color w:val="auto"/>
        </w:rPr>
      </w:pPr>
      <w:r>
        <w:rPr>
          <w:rFonts w:ascii="Arial" w:cs="Arial" w:eastAsia="Arial" w:hAnsi="Arial"/>
          <w:sz w:val="17"/>
          <w:szCs w:val="17"/>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of 1934).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6" w:lineRule="exact"/>
        <w:rPr>
          <w:sz w:val="20"/>
          <w:szCs w:val="20"/>
          <w:color w:val="auto"/>
        </w:rPr>
      </w:pPr>
    </w:p>
    <w:p>
      <w:pPr>
        <w:ind w:right="60" w:firstLine="262"/>
        <w:spacing w:after="0" w:line="250" w:lineRule="auto"/>
        <w:rPr>
          <w:sz w:val="20"/>
          <w:szCs w:val="20"/>
          <w:color w:val="auto"/>
        </w:rPr>
      </w:pPr>
      <w:r>
        <w:rPr>
          <w:rFonts w:ascii="Arial" w:cs="Arial" w:eastAsia="Arial" w:hAnsi="Arial"/>
          <w:sz w:val="17"/>
          <w:szCs w:val="17"/>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Audit Committee or its Chair pre-approved all services provided by Ernst &amp; Young during 2010.</w:t>
      </w:r>
    </w:p>
    <w:p>
      <w:pPr>
        <w:spacing w:after="0" w:line="256" w:lineRule="exact"/>
        <w:rPr>
          <w:sz w:val="20"/>
          <w:szCs w:val="20"/>
          <w:color w:val="auto"/>
        </w:rPr>
      </w:pPr>
    </w:p>
    <w:p>
      <w:pPr>
        <w:ind w:right="440" w:firstLine="262"/>
        <w:spacing w:after="0" w:line="292"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Ernst &amp; Young LLP as the company’s independent registered public accounting firm for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727138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00"/>
          </w:cols>
          <w:pgMar w:left="240" w:top="595" w:right="259" w:bottom="1440" w:gutter="0" w:footer="0" w:header="0"/>
        </w:sectPr>
      </w:pPr>
    </w:p>
    <w:bookmarkStart w:id="41" w:name="page42"/>
    <w:bookmarkEnd w:id="41"/>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88</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securities</w:t>
      </w:r>
    </w:p>
    <w:p>
      <w:pPr>
        <w:spacing w:after="0" w:line="25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of February 22, 2011, 1,169,002,132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22, 2011, may vote at the meeting or any adjournment of the meeting.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57" w:lineRule="exact"/>
        <w:rPr>
          <w:sz w:val="20"/>
          <w:szCs w:val="20"/>
          <w:color w:val="auto"/>
        </w:rPr>
      </w:pPr>
    </w:p>
    <w:p>
      <w:pPr>
        <w:ind w:right="480"/>
        <w:spacing w:after="0" w:line="246" w:lineRule="auto"/>
        <w:rPr>
          <w:sz w:val="20"/>
          <w:szCs w:val="20"/>
          <w:color w:val="auto"/>
        </w:rPr>
      </w:pPr>
      <w:r>
        <w:rPr>
          <w:rFonts w:ascii="Arial" w:cs="Arial" w:eastAsia="Arial" w:hAnsi="Arial"/>
          <w:sz w:val="17"/>
          <w:szCs w:val="17"/>
          <w:color w:val="auto"/>
        </w:rPr>
        <w:t>The following table shows the only persons who have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60" w:type="dxa"/>
            <w:vAlign w:val="bottom"/>
          </w:tcPr>
          <w:p>
            <w:pPr>
              <w:spacing w:after="0"/>
              <w:rPr>
                <w:sz w:val="15"/>
                <w:szCs w:val="15"/>
                <w:color w:val="auto"/>
              </w:rPr>
            </w:pPr>
          </w:p>
        </w:tc>
        <w:tc>
          <w:tcPr>
            <w:tcW w:w="1360" w:type="dxa"/>
            <w:vAlign w:val="bottom"/>
            <w:gridSpan w:val="2"/>
          </w:tcPr>
          <w:p>
            <w:pPr>
              <w:jc w:val="right"/>
              <w:ind w:right="135"/>
              <w:spacing w:after="0"/>
              <w:rPr>
                <w:sz w:val="20"/>
                <w:szCs w:val="20"/>
                <w:color w:val="auto"/>
              </w:rPr>
            </w:pPr>
            <w:r>
              <w:rPr>
                <w:rFonts w:ascii="Arial" w:cs="Arial" w:eastAsia="Arial" w:hAnsi="Arial"/>
                <w:sz w:val="13"/>
                <w:szCs w:val="13"/>
                <w:b w:val="1"/>
                <w:bCs w:val="1"/>
                <w:color w:val="auto"/>
              </w:rPr>
              <w:t>Shares Owned at</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Percent</w:t>
            </w:r>
          </w:p>
        </w:tc>
      </w:tr>
      <w:tr>
        <w:trPr>
          <w:trHeight w:val="236"/>
        </w:trPr>
        <w:tc>
          <w:tcPr>
            <w:tcW w:w="9360" w:type="dxa"/>
            <w:vAlign w:val="bottom"/>
          </w:tcPr>
          <w:p>
            <w:pPr>
              <w:spacing w:after="0"/>
              <w:rPr>
                <w:sz w:val="20"/>
                <w:szCs w:val="20"/>
                <w:color w:val="auto"/>
              </w:rPr>
            </w:pPr>
            <w:r>
              <w:rPr>
                <w:rFonts w:ascii="Arial" w:cs="Arial" w:eastAsia="Arial" w:hAnsi="Arial"/>
                <w:sz w:val="13"/>
                <w:szCs w:val="13"/>
                <w:b w:val="1"/>
                <w:bCs w:val="1"/>
                <w:color w:val="auto"/>
              </w:rPr>
              <w:t>Name and Address</w:t>
            </w:r>
          </w:p>
        </w:tc>
        <w:tc>
          <w:tcPr>
            <w:tcW w:w="1360" w:type="dxa"/>
            <w:vAlign w:val="bottom"/>
            <w:gridSpan w:val="2"/>
          </w:tcPr>
          <w:p>
            <w:pPr>
              <w:jc w:val="right"/>
              <w:ind w:right="75"/>
              <w:spacing w:after="0"/>
              <w:rPr>
                <w:sz w:val="20"/>
                <w:szCs w:val="20"/>
                <w:color w:val="auto"/>
              </w:rPr>
            </w:pPr>
            <w:r>
              <w:rPr>
                <w:rFonts w:ascii="Arial" w:cs="Arial" w:eastAsia="Arial" w:hAnsi="Arial"/>
                <w:sz w:val="13"/>
                <w:szCs w:val="13"/>
                <w:b w:val="1"/>
                <w:bCs w:val="1"/>
                <w:color w:val="auto"/>
              </w:rPr>
              <w:t>December 31, 2010</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of Class</w:t>
            </w:r>
          </w:p>
        </w:tc>
      </w:tr>
      <w:tr>
        <w:trPr>
          <w:trHeight w:val="41"/>
        </w:trPr>
        <w:tc>
          <w:tcPr>
            <w:tcW w:w="9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66"/>
        </w:trPr>
        <w:tc>
          <w:tcPr>
            <w:tcW w:w="9360" w:type="dxa"/>
            <w:vAlign w:val="bottom"/>
            <w:shd w:val="clear" w:color="auto" w:fill="808285"/>
          </w:tcPr>
          <w:p>
            <w:pPr>
              <w:spacing w:after="0"/>
              <w:rPr>
                <w:sz w:val="5"/>
                <w:szCs w:val="5"/>
                <w:color w:val="auto"/>
              </w:rPr>
            </w:pPr>
          </w:p>
        </w:tc>
        <w:tc>
          <w:tcPr>
            <w:tcW w:w="940" w:type="dxa"/>
            <w:vAlign w:val="bottom"/>
            <w:shd w:val="clear" w:color="auto" w:fill="808285"/>
          </w:tcPr>
          <w:p>
            <w:pPr>
              <w:spacing w:after="0"/>
              <w:rPr>
                <w:sz w:val="5"/>
                <w:szCs w:val="5"/>
                <w:color w:val="auto"/>
              </w:rPr>
            </w:pPr>
          </w:p>
        </w:tc>
        <w:tc>
          <w:tcPr>
            <w:tcW w:w="42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r>
      <w:tr>
        <w:trPr>
          <w:trHeight w:val="220"/>
        </w:trPr>
        <w:tc>
          <w:tcPr>
            <w:tcW w:w="9360" w:type="dxa"/>
            <w:vAlign w:val="bottom"/>
            <w:shd w:val="clear" w:color="auto" w:fill="E9E9E9"/>
          </w:tcPr>
          <w:p>
            <w:pPr>
              <w:spacing w:after="0"/>
              <w:rPr>
                <w:sz w:val="20"/>
                <w:szCs w:val="20"/>
                <w:color w:val="auto"/>
              </w:rPr>
            </w:pPr>
            <w:r>
              <w:rPr>
                <w:rFonts w:ascii="Arial" w:cs="Arial" w:eastAsia="Arial" w:hAnsi="Arial"/>
                <w:sz w:val="17"/>
                <w:szCs w:val="17"/>
                <w:color w:val="auto"/>
              </w:rPr>
              <w:t>Capital World Investors (1)</w:t>
            </w:r>
          </w:p>
        </w:tc>
        <w:tc>
          <w:tcPr>
            <w:tcW w:w="940" w:type="dxa"/>
            <w:vAlign w:val="bottom"/>
            <w:shd w:val="clear" w:color="auto" w:fill="E9E9E9"/>
          </w:tcPr>
          <w:p>
            <w:pPr>
              <w:spacing w:after="0"/>
              <w:rPr>
                <w:sz w:val="19"/>
                <w:szCs w:val="19"/>
                <w:color w:val="auto"/>
              </w:rPr>
            </w:pPr>
          </w:p>
        </w:tc>
        <w:tc>
          <w:tcPr>
            <w:tcW w:w="420" w:type="dxa"/>
            <w:vAlign w:val="bottom"/>
            <w:shd w:val="clear" w:color="auto" w:fill="E9E9E9"/>
          </w:tcPr>
          <w:p>
            <w:pPr>
              <w:spacing w:after="0"/>
              <w:rPr>
                <w:sz w:val="19"/>
                <w:szCs w:val="19"/>
                <w:color w:val="auto"/>
              </w:rPr>
            </w:pPr>
          </w:p>
        </w:tc>
        <w:tc>
          <w:tcPr>
            <w:tcW w:w="700" w:type="dxa"/>
            <w:vAlign w:val="bottom"/>
            <w:shd w:val="clear" w:color="auto" w:fill="E9E9E9"/>
          </w:tcPr>
          <w:p>
            <w:pPr>
              <w:spacing w:after="0"/>
              <w:rPr>
                <w:sz w:val="19"/>
                <w:szCs w:val="19"/>
                <w:color w:val="auto"/>
              </w:rPr>
            </w:pPr>
          </w:p>
        </w:tc>
      </w:tr>
      <w:tr>
        <w:trPr>
          <w:trHeight w:val="236"/>
        </w:trPr>
        <w:tc>
          <w:tcPr>
            <w:tcW w:w="9360" w:type="dxa"/>
            <w:vAlign w:val="bottom"/>
            <w:shd w:val="clear" w:color="auto" w:fill="E9E9E9"/>
          </w:tcPr>
          <w:p>
            <w:pPr>
              <w:spacing w:after="0"/>
              <w:rPr>
                <w:sz w:val="20"/>
                <w:szCs w:val="20"/>
                <w:color w:val="auto"/>
              </w:rPr>
            </w:pPr>
            <w:r>
              <w:rPr>
                <w:rFonts w:ascii="Arial" w:cs="Arial" w:eastAsia="Arial" w:hAnsi="Arial"/>
                <w:sz w:val="17"/>
                <w:szCs w:val="17"/>
                <w:color w:val="auto"/>
              </w:rPr>
              <w:t>333 South Hope St.</w:t>
            </w:r>
          </w:p>
        </w:tc>
        <w:tc>
          <w:tcPr>
            <w:tcW w:w="940" w:type="dxa"/>
            <w:vAlign w:val="bottom"/>
            <w:shd w:val="clear" w:color="auto" w:fill="E9E9E9"/>
          </w:tcPr>
          <w:p>
            <w:pPr>
              <w:spacing w:after="0"/>
              <w:rPr>
                <w:sz w:val="20"/>
                <w:szCs w:val="20"/>
                <w:color w:val="auto"/>
              </w:rPr>
            </w:pPr>
          </w:p>
        </w:tc>
        <w:tc>
          <w:tcPr>
            <w:tcW w:w="42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r>
      <w:tr>
        <w:trPr>
          <w:trHeight w:val="252"/>
        </w:trPr>
        <w:tc>
          <w:tcPr>
            <w:tcW w:w="9360" w:type="dxa"/>
            <w:vAlign w:val="bottom"/>
            <w:shd w:val="clear" w:color="auto" w:fill="E9E9E9"/>
          </w:tcPr>
          <w:p>
            <w:pPr>
              <w:spacing w:after="0"/>
              <w:rPr>
                <w:sz w:val="20"/>
                <w:szCs w:val="20"/>
                <w:color w:val="auto"/>
              </w:rPr>
            </w:pPr>
            <w:r>
              <w:rPr>
                <w:rFonts w:ascii="Arial" w:cs="Arial" w:eastAsia="Arial" w:hAnsi="Arial"/>
                <w:sz w:val="17"/>
                <w:szCs w:val="17"/>
                <w:color w:val="auto"/>
              </w:rPr>
              <w:t>Los Angeles, CA 90071</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w w:val="97"/>
              </w:rPr>
              <w:t>111,758,600</w:t>
            </w:r>
          </w:p>
        </w:tc>
        <w:tc>
          <w:tcPr>
            <w:tcW w:w="420" w:type="dxa"/>
            <w:vAlign w:val="bottom"/>
            <w:shd w:val="clear" w:color="auto" w:fill="E9E9E9"/>
          </w:tcPr>
          <w:p>
            <w:pPr>
              <w:jc w:val="right"/>
              <w:ind w:right="75"/>
              <w:spacing w:after="0"/>
              <w:rPr>
                <w:sz w:val="20"/>
                <w:szCs w:val="20"/>
                <w:color w:val="auto"/>
              </w:rPr>
            </w:pPr>
            <w:r>
              <w:rPr>
                <w:rFonts w:ascii="Arial" w:cs="Arial" w:eastAsia="Arial" w:hAnsi="Arial"/>
                <w:sz w:val="17"/>
                <w:szCs w:val="17"/>
                <w:color w:val="auto"/>
              </w:rPr>
              <w:t>(2)</w:t>
            </w:r>
          </w:p>
        </w:tc>
        <w:tc>
          <w:tcPr>
            <w:tcW w:w="700" w:type="dxa"/>
            <w:vAlign w:val="bottom"/>
            <w:shd w:val="clear" w:color="auto" w:fill="E9E9E9"/>
          </w:tcPr>
          <w:p>
            <w:pPr>
              <w:ind w:left="160"/>
              <w:spacing w:after="0"/>
              <w:rPr>
                <w:sz w:val="20"/>
                <w:szCs w:val="20"/>
                <w:color w:val="auto"/>
              </w:rPr>
            </w:pPr>
            <w:r>
              <w:rPr>
                <w:rFonts w:ascii="Arial" w:cs="Arial" w:eastAsia="Arial" w:hAnsi="Arial"/>
                <w:sz w:val="17"/>
                <w:szCs w:val="17"/>
                <w:color w:val="auto"/>
              </w:rPr>
              <w:t>9.50%</w:t>
            </w:r>
          </w:p>
        </w:tc>
      </w:tr>
      <w:tr>
        <w:trPr>
          <w:trHeight w:val="236"/>
        </w:trPr>
        <w:tc>
          <w:tcPr>
            <w:tcW w:w="9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0"/>
        </w:trPr>
        <w:tc>
          <w:tcPr>
            <w:tcW w:w="9360" w:type="dxa"/>
            <w:vAlign w:val="bottom"/>
            <w:shd w:val="clear" w:color="auto" w:fill="E9E9E9"/>
          </w:tcPr>
          <w:p>
            <w:pPr>
              <w:spacing w:after="0"/>
              <w:rPr>
                <w:sz w:val="20"/>
                <w:szCs w:val="20"/>
                <w:color w:val="auto"/>
              </w:rPr>
            </w:pPr>
            <w:r>
              <w:rPr>
                <w:rFonts w:ascii="Arial" w:cs="Arial" w:eastAsia="Arial" w:hAnsi="Arial"/>
                <w:sz w:val="17"/>
                <w:szCs w:val="17"/>
                <w:color w:val="auto"/>
              </w:rPr>
              <w:t>BlackRock, Inc.</w:t>
            </w:r>
          </w:p>
        </w:tc>
        <w:tc>
          <w:tcPr>
            <w:tcW w:w="940" w:type="dxa"/>
            <w:vAlign w:val="bottom"/>
            <w:shd w:val="clear" w:color="auto" w:fill="E9E9E9"/>
          </w:tcPr>
          <w:p>
            <w:pPr>
              <w:spacing w:after="0"/>
              <w:rPr>
                <w:sz w:val="19"/>
                <w:szCs w:val="19"/>
                <w:color w:val="auto"/>
              </w:rPr>
            </w:pPr>
          </w:p>
        </w:tc>
        <w:tc>
          <w:tcPr>
            <w:tcW w:w="420" w:type="dxa"/>
            <w:vAlign w:val="bottom"/>
            <w:shd w:val="clear" w:color="auto" w:fill="E9E9E9"/>
          </w:tcPr>
          <w:p>
            <w:pPr>
              <w:spacing w:after="0"/>
              <w:rPr>
                <w:sz w:val="19"/>
                <w:szCs w:val="19"/>
                <w:color w:val="auto"/>
              </w:rPr>
            </w:pPr>
          </w:p>
        </w:tc>
        <w:tc>
          <w:tcPr>
            <w:tcW w:w="700" w:type="dxa"/>
            <w:vAlign w:val="bottom"/>
            <w:shd w:val="clear" w:color="auto" w:fill="E9E9E9"/>
          </w:tcPr>
          <w:p>
            <w:pPr>
              <w:spacing w:after="0"/>
              <w:rPr>
                <w:sz w:val="19"/>
                <w:szCs w:val="19"/>
                <w:color w:val="auto"/>
              </w:rPr>
            </w:pPr>
          </w:p>
        </w:tc>
      </w:tr>
      <w:tr>
        <w:trPr>
          <w:trHeight w:val="236"/>
        </w:trPr>
        <w:tc>
          <w:tcPr>
            <w:tcW w:w="9360" w:type="dxa"/>
            <w:vAlign w:val="bottom"/>
            <w:shd w:val="clear" w:color="auto" w:fill="E9E9E9"/>
          </w:tcPr>
          <w:p>
            <w:pPr>
              <w:spacing w:after="0"/>
              <w:rPr>
                <w:sz w:val="20"/>
                <w:szCs w:val="20"/>
                <w:color w:val="auto"/>
              </w:rPr>
            </w:pPr>
            <w:r>
              <w:rPr>
                <w:rFonts w:ascii="Arial" w:cs="Arial" w:eastAsia="Arial" w:hAnsi="Arial"/>
                <w:sz w:val="17"/>
                <w:szCs w:val="17"/>
                <w:color w:val="auto"/>
              </w:rPr>
              <w:t>40 E. 52</w:t>
            </w:r>
            <w:r>
              <w:rPr>
                <w:rFonts w:ascii="Arial" w:cs="Arial" w:eastAsia="Arial" w:hAnsi="Arial"/>
                <w:sz w:val="11"/>
                <w:szCs w:val="11"/>
                <w:color w:val="auto"/>
              </w:rPr>
              <w:t>nd</w:t>
            </w:r>
            <w:r>
              <w:rPr>
                <w:rFonts w:ascii="Arial" w:cs="Arial" w:eastAsia="Arial" w:hAnsi="Arial"/>
                <w:sz w:val="17"/>
                <w:szCs w:val="17"/>
                <w:color w:val="auto"/>
              </w:rPr>
              <w:t xml:space="preserve"> St.</w:t>
            </w:r>
          </w:p>
        </w:tc>
        <w:tc>
          <w:tcPr>
            <w:tcW w:w="940" w:type="dxa"/>
            <w:vAlign w:val="bottom"/>
            <w:shd w:val="clear" w:color="auto" w:fill="E9E9E9"/>
          </w:tcPr>
          <w:p>
            <w:pPr>
              <w:spacing w:after="0"/>
              <w:rPr>
                <w:sz w:val="20"/>
                <w:szCs w:val="20"/>
                <w:color w:val="auto"/>
              </w:rPr>
            </w:pPr>
          </w:p>
        </w:tc>
        <w:tc>
          <w:tcPr>
            <w:tcW w:w="42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r>
      <w:tr>
        <w:trPr>
          <w:trHeight w:val="265"/>
        </w:trPr>
        <w:tc>
          <w:tcPr>
            <w:tcW w:w="9360" w:type="dxa"/>
            <w:vAlign w:val="bottom"/>
            <w:shd w:val="clear" w:color="auto" w:fill="E9E9E9"/>
          </w:tcPr>
          <w:p>
            <w:pPr>
              <w:spacing w:after="0"/>
              <w:rPr>
                <w:sz w:val="20"/>
                <w:szCs w:val="20"/>
                <w:color w:val="auto"/>
              </w:rPr>
            </w:pPr>
            <w:r>
              <w:rPr>
                <w:rFonts w:ascii="Arial" w:cs="Arial" w:eastAsia="Arial" w:hAnsi="Arial"/>
                <w:sz w:val="17"/>
                <w:szCs w:val="17"/>
                <w:color w:val="auto"/>
              </w:rPr>
              <w:t>New York, New York 10022</w:t>
            </w:r>
          </w:p>
        </w:tc>
        <w:tc>
          <w:tcPr>
            <w:tcW w:w="940" w:type="dxa"/>
            <w:vAlign w:val="bottom"/>
            <w:shd w:val="clear" w:color="auto" w:fill="E9E9E9"/>
          </w:tcPr>
          <w:p>
            <w:pPr>
              <w:jc w:val="right"/>
              <w:spacing w:after="0"/>
              <w:rPr>
                <w:sz w:val="20"/>
                <w:szCs w:val="20"/>
                <w:color w:val="auto"/>
              </w:rPr>
            </w:pPr>
            <w:r>
              <w:rPr>
                <w:rFonts w:ascii="Arial" w:cs="Arial" w:eastAsia="Arial" w:hAnsi="Arial"/>
                <w:sz w:val="17"/>
                <w:szCs w:val="17"/>
                <w:color w:val="auto"/>
              </w:rPr>
              <w:t>58,940,545</w:t>
            </w:r>
          </w:p>
        </w:tc>
        <w:tc>
          <w:tcPr>
            <w:tcW w:w="420" w:type="dxa"/>
            <w:vAlign w:val="bottom"/>
            <w:shd w:val="clear" w:color="auto" w:fill="E9E9E9"/>
          </w:tcPr>
          <w:p>
            <w:pPr>
              <w:jc w:val="right"/>
              <w:ind w:right="75"/>
              <w:spacing w:after="0"/>
              <w:rPr>
                <w:sz w:val="20"/>
                <w:szCs w:val="20"/>
                <w:color w:val="auto"/>
              </w:rPr>
            </w:pPr>
            <w:r>
              <w:rPr>
                <w:rFonts w:ascii="Arial" w:cs="Arial" w:eastAsia="Arial" w:hAnsi="Arial"/>
                <w:sz w:val="17"/>
                <w:szCs w:val="17"/>
                <w:color w:val="auto"/>
              </w:rPr>
              <w:t>(3)</w:t>
            </w:r>
          </w:p>
        </w:tc>
        <w:tc>
          <w:tcPr>
            <w:tcW w:w="700" w:type="dxa"/>
            <w:vAlign w:val="bottom"/>
            <w:shd w:val="clear" w:color="auto" w:fill="E9E9E9"/>
          </w:tcPr>
          <w:p>
            <w:pPr>
              <w:ind w:left="160"/>
              <w:spacing w:after="0"/>
              <w:rPr>
                <w:sz w:val="20"/>
                <w:szCs w:val="20"/>
                <w:color w:val="auto"/>
              </w:rPr>
            </w:pPr>
            <w:r>
              <w:rPr>
                <w:rFonts w:ascii="Arial" w:cs="Arial" w:eastAsia="Arial" w:hAnsi="Arial"/>
                <w:sz w:val="17"/>
                <w:szCs w:val="17"/>
                <w:color w:val="auto"/>
              </w:rPr>
              <w:t>5.02%</w:t>
            </w:r>
          </w:p>
        </w:tc>
      </w:tr>
    </w:tbl>
    <w:p>
      <w:pPr>
        <w:spacing w:after="0" w:line="278" w:lineRule="exact"/>
        <w:rPr>
          <w:sz w:val="20"/>
          <w:szCs w:val="20"/>
          <w:color w:val="auto"/>
        </w:rPr>
      </w:pPr>
    </w:p>
    <w:p>
      <w:pPr>
        <w:ind w:left="480" w:hanging="475"/>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division of Capital Research and Management Company (CRMC).</w:t>
      </w:r>
    </w:p>
    <w:p>
      <w:pPr>
        <w:spacing w:after="0" w:line="1" w:lineRule="exact"/>
        <w:rPr>
          <w:rFonts w:ascii="Arial" w:cs="Arial" w:eastAsia="Arial" w:hAnsi="Arial"/>
          <w:sz w:val="17"/>
          <w:szCs w:val="17"/>
          <w:color w:val="auto"/>
        </w:rPr>
      </w:pPr>
    </w:p>
    <w:p>
      <w:pPr>
        <w:ind w:left="480" w:right="220" w:hanging="475"/>
        <w:spacing w:after="0" w:line="241" w:lineRule="auto"/>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TI understands that Capital World Investors is deemed to be the beneficial owner of these shares as a result of CRMC acting as an investment advisor to various investment companies. Capital World Investors has sole voting power for 92,891,100 shares and sole dispositive power for 111,758,600 shares.</w:t>
      </w:r>
    </w:p>
    <w:p>
      <w:pPr>
        <w:spacing w:after="0" w:line="1" w:lineRule="exact"/>
        <w:rPr>
          <w:rFonts w:ascii="Arial" w:cs="Arial" w:eastAsia="Arial" w:hAnsi="Arial"/>
          <w:sz w:val="17"/>
          <w:szCs w:val="17"/>
          <w:color w:val="auto"/>
        </w:rPr>
      </w:pPr>
    </w:p>
    <w:p>
      <w:pPr>
        <w:ind w:left="480" w:hanging="475"/>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TI understands that BlackRock, Inc. has sole dispositive power and sole voting power for these shares.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directors and management</w:t>
      </w:r>
    </w:p>
    <w:p>
      <w:pPr>
        <w:spacing w:after="0" w:line="257"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following table shows the beneficial ownership of TI common stock by directors, nominees for director, the named executive officers and all executive officers, directors and nominees as a group. Each director, nominee and named executive officer has sole voting and sole investment power with respect to the shares owned. The table excludes shares held by a family member if a director, nominee or executive officer has disclaimed beneficial ownership. No director, nominee or executive officer has pledged shares of TI common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418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 Owned at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236"/>
        </w:trPr>
        <w:tc>
          <w:tcPr>
            <w:tcW w:w="65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180" w:type="dxa"/>
            <w:vAlign w:val="bottom"/>
          </w:tcPr>
          <w:p>
            <w:pPr>
              <w:jc w:val="right"/>
              <w:ind w:right="97"/>
              <w:spacing w:after="0"/>
              <w:rPr>
                <w:sz w:val="20"/>
                <w:szCs w:val="20"/>
                <w:color w:val="auto"/>
              </w:rPr>
            </w:pPr>
            <w:r>
              <w:rPr>
                <w:rFonts w:ascii="Arial" w:cs="Arial" w:eastAsia="Arial" w:hAnsi="Arial"/>
                <w:sz w:val="13"/>
                <w:szCs w:val="13"/>
                <w:b w:val="1"/>
                <w:bCs w:val="1"/>
                <w:color w:val="auto"/>
              </w:rPr>
              <w:t>December 31, 2010</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41"/>
        </w:trPr>
        <w:tc>
          <w:tcPr>
            <w:tcW w:w="6540" w:type="dxa"/>
            <w:vAlign w:val="bottom"/>
            <w:gridSpan w:val="2"/>
          </w:tcPr>
          <w:p>
            <w:pPr>
              <w:spacing w:after="0"/>
              <w:rPr>
                <w:sz w:val="3"/>
                <w:szCs w:val="3"/>
                <w:color w:val="auto"/>
              </w:rPr>
            </w:pPr>
          </w:p>
        </w:tc>
        <w:tc>
          <w:tcPr>
            <w:tcW w:w="4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520" w:type="dxa"/>
            <w:vAlign w:val="bottom"/>
            <w:shd w:val="clear" w:color="auto" w:fill="808285"/>
          </w:tcPr>
          <w:p>
            <w:pPr>
              <w:spacing w:after="0"/>
              <w:rPr>
                <w:sz w:val="5"/>
                <w:szCs w:val="5"/>
                <w:color w:val="auto"/>
              </w:rPr>
            </w:pPr>
          </w:p>
        </w:tc>
        <w:tc>
          <w:tcPr>
            <w:tcW w:w="4180" w:type="dxa"/>
            <w:vAlign w:val="bottom"/>
            <w:shd w:val="clear" w:color="auto" w:fill="808285"/>
          </w:tcPr>
          <w:p>
            <w:pPr>
              <w:spacing w:after="0"/>
              <w:rPr>
                <w:sz w:val="5"/>
                <w:szCs w:val="5"/>
                <w:color w:val="auto"/>
              </w:rPr>
            </w:pPr>
          </w:p>
        </w:tc>
        <w:tc>
          <w:tcPr>
            <w:tcW w:w="700" w:type="dxa"/>
            <w:vAlign w:val="bottom"/>
            <w:shd w:val="clear" w:color="auto" w:fill="808285"/>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Directors and Nominees (1)</w:t>
            </w:r>
          </w:p>
        </w:tc>
        <w:tc>
          <w:tcPr>
            <w:tcW w:w="418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Arial" w:cs="Arial" w:eastAsia="Arial" w:hAnsi="Arial"/>
                <w:sz w:val="17"/>
                <w:szCs w:val="17"/>
                <w:color w:val="auto"/>
              </w:rPr>
              <w:t>R. W. Babb, Jr.</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5,272</w:t>
            </w:r>
          </w:p>
        </w:tc>
        <w:tc>
          <w:tcPr>
            <w:tcW w:w="7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D. L. Boren</w:t>
            </w:r>
          </w:p>
        </w:tc>
        <w:tc>
          <w:tcPr>
            <w:tcW w:w="418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101,675</w:t>
            </w:r>
          </w:p>
        </w:tc>
        <w:tc>
          <w:tcPr>
            <w:tcW w:w="7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Arial" w:cs="Arial" w:eastAsia="Arial" w:hAnsi="Arial"/>
                <w:sz w:val="17"/>
                <w:szCs w:val="17"/>
                <w:color w:val="auto"/>
              </w:rPr>
              <w:t>D. A. Carp</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142,944</w:t>
            </w:r>
          </w:p>
        </w:tc>
        <w:tc>
          <w:tcPr>
            <w:tcW w:w="7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C. S. Cox</w:t>
            </w:r>
          </w:p>
        </w:tc>
        <w:tc>
          <w:tcPr>
            <w:tcW w:w="418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62,639</w:t>
            </w:r>
          </w:p>
        </w:tc>
        <w:tc>
          <w:tcPr>
            <w:tcW w:w="7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Arial" w:cs="Arial" w:eastAsia="Arial" w:hAnsi="Arial"/>
                <w:sz w:val="17"/>
                <w:szCs w:val="17"/>
                <w:color w:val="auto"/>
              </w:rPr>
              <w:t>D. R. Goode</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147,749</w:t>
            </w:r>
          </w:p>
        </w:tc>
        <w:tc>
          <w:tcPr>
            <w:tcW w:w="7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S. P. MacMillan</w:t>
            </w:r>
          </w:p>
        </w:tc>
        <w:tc>
          <w:tcPr>
            <w:tcW w:w="418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17,546</w:t>
            </w:r>
          </w:p>
        </w:tc>
        <w:tc>
          <w:tcPr>
            <w:tcW w:w="7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Arial" w:cs="Arial" w:eastAsia="Arial" w:hAnsi="Arial"/>
                <w:sz w:val="17"/>
                <w:szCs w:val="17"/>
                <w:color w:val="auto"/>
              </w:rPr>
              <w:t>P. H. Patsley</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81,836</w:t>
            </w:r>
          </w:p>
        </w:tc>
        <w:tc>
          <w:tcPr>
            <w:tcW w:w="7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R. E. Sanchez</w:t>
            </w:r>
          </w:p>
        </w:tc>
        <w:tc>
          <w:tcPr>
            <w:tcW w:w="418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w:t>
            </w:r>
          </w:p>
        </w:tc>
        <w:tc>
          <w:tcPr>
            <w:tcW w:w="7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Arial" w:cs="Arial" w:eastAsia="Arial" w:hAnsi="Arial"/>
                <w:sz w:val="17"/>
                <w:szCs w:val="17"/>
                <w:color w:val="auto"/>
              </w:rPr>
              <w:t>W. R. Sanders</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119,094</w:t>
            </w:r>
          </w:p>
        </w:tc>
        <w:tc>
          <w:tcPr>
            <w:tcW w:w="7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418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125,882</w:t>
            </w:r>
          </w:p>
        </w:tc>
        <w:tc>
          <w:tcPr>
            <w:tcW w:w="7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Arial" w:cs="Arial" w:eastAsia="Arial" w:hAnsi="Arial"/>
                <w:sz w:val="17"/>
                <w:szCs w:val="17"/>
                <w:color w:val="auto"/>
              </w:rPr>
              <w:t>R. K. Templeton</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5,706,533</w:t>
            </w:r>
          </w:p>
        </w:tc>
        <w:tc>
          <w:tcPr>
            <w:tcW w:w="7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418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81,144</w:t>
            </w:r>
          </w:p>
        </w:tc>
        <w:tc>
          <w:tcPr>
            <w:tcW w:w="7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65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b w:val="1"/>
                <w:bCs w:val="1"/>
                <w:color w:val="auto"/>
              </w:rPr>
              <w:t>Management (2)</w:t>
            </w:r>
          </w:p>
        </w:tc>
        <w:tc>
          <w:tcPr>
            <w:tcW w:w="4180" w:type="dxa"/>
            <w:vAlign w:val="bottom"/>
            <w:shd w:val="clear" w:color="auto" w:fill="E9E9E9"/>
          </w:tcPr>
          <w:p>
            <w:pPr>
              <w:spacing w:after="0"/>
              <w:rPr>
                <w:sz w:val="20"/>
                <w:szCs w:val="20"/>
                <w:color w:val="auto"/>
              </w:rPr>
            </w:pPr>
          </w:p>
        </w:tc>
        <w:tc>
          <w:tcPr>
            <w:tcW w:w="7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Arial" w:cs="Arial" w:eastAsia="Arial" w:hAnsi="Arial"/>
                <w:sz w:val="17"/>
                <w:szCs w:val="17"/>
                <w:color w:val="auto"/>
              </w:rPr>
              <w:t>K. P. March</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912,844</w:t>
            </w:r>
          </w:p>
        </w:tc>
        <w:tc>
          <w:tcPr>
            <w:tcW w:w="7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G. A. Lowe</w:t>
            </w:r>
          </w:p>
        </w:tc>
        <w:tc>
          <w:tcPr>
            <w:tcW w:w="418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1,108,306</w:t>
            </w:r>
          </w:p>
        </w:tc>
        <w:tc>
          <w:tcPr>
            <w:tcW w:w="7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6540" w:type="dxa"/>
            <w:vAlign w:val="bottom"/>
            <w:gridSpan w:val="2"/>
          </w:tcPr>
          <w:p>
            <w:pPr>
              <w:spacing w:after="0"/>
              <w:rPr>
                <w:sz w:val="20"/>
                <w:szCs w:val="20"/>
                <w:color w:val="auto"/>
              </w:rPr>
            </w:pPr>
            <w:r>
              <w:rPr>
                <w:rFonts w:ascii="Arial" w:cs="Arial" w:eastAsia="Arial" w:hAnsi="Arial"/>
                <w:sz w:val="17"/>
                <w:szCs w:val="17"/>
                <w:color w:val="auto"/>
              </w:rPr>
              <w:t>B. T. Crutcher</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421,954</w:t>
            </w:r>
          </w:p>
        </w:tc>
        <w:tc>
          <w:tcPr>
            <w:tcW w:w="7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E9E9E9"/>
          </w:tcPr>
          <w:p>
            <w:pPr>
              <w:spacing w:after="0"/>
              <w:rPr>
                <w:sz w:val="20"/>
                <w:szCs w:val="20"/>
                <w:color w:val="auto"/>
              </w:rPr>
            </w:pPr>
            <w:r>
              <w:rPr>
                <w:rFonts w:ascii="Arial" w:cs="Arial" w:eastAsia="Arial" w:hAnsi="Arial"/>
                <w:sz w:val="17"/>
                <w:szCs w:val="17"/>
                <w:color w:val="auto"/>
              </w:rPr>
              <w:t>K. J. Ritchie</w:t>
            </w:r>
          </w:p>
        </w:tc>
        <w:tc>
          <w:tcPr>
            <w:tcW w:w="4180" w:type="dxa"/>
            <w:vAlign w:val="bottom"/>
            <w:shd w:val="clear" w:color="auto" w:fill="E9E9E9"/>
          </w:tcPr>
          <w:p>
            <w:pPr>
              <w:jc w:val="right"/>
              <w:ind w:right="257"/>
              <w:spacing w:after="0"/>
              <w:rPr>
                <w:sz w:val="20"/>
                <w:szCs w:val="20"/>
                <w:color w:val="auto"/>
              </w:rPr>
            </w:pPr>
            <w:r>
              <w:rPr>
                <w:rFonts w:ascii="Arial" w:cs="Arial" w:eastAsia="Arial" w:hAnsi="Arial"/>
                <w:sz w:val="17"/>
                <w:szCs w:val="17"/>
                <w:color w:val="auto"/>
              </w:rPr>
              <w:t>1,172,840</w:t>
            </w:r>
          </w:p>
        </w:tc>
        <w:tc>
          <w:tcPr>
            <w:tcW w:w="700" w:type="dxa"/>
            <w:vAlign w:val="bottom"/>
            <w:shd w:val="clear" w:color="auto" w:fill="E9E9E9"/>
          </w:tcPr>
          <w:p>
            <w:pPr>
              <w:jc w:val="right"/>
              <w:ind w:right="7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540" w:type="dxa"/>
            <w:vAlign w:val="bottom"/>
            <w:gridSpan w:val="2"/>
          </w:tcPr>
          <w:p>
            <w:pPr>
              <w:spacing w:after="0"/>
              <w:rPr>
                <w:sz w:val="20"/>
                <w:szCs w:val="20"/>
                <w:color w:val="auto"/>
              </w:rPr>
            </w:pPr>
            <w:r>
              <w:rPr>
                <w:rFonts w:ascii="Arial" w:cs="Arial" w:eastAsia="Arial" w:hAnsi="Arial"/>
                <w:sz w:val="17"/>
                <w:szCs w:val="17"/>
                <w:color w:val="auto"/>
              </w:rPr>
              <w:t>All executive officers and directors as a group (3)</w:t>
            </w:r>
          </w:p>
        </w:tc>
        <w:tc>
          <w:tcPr>
            <w:tcW w:w="4180" w:type="dxa"/>
            <w:vAlign w:val="bottom"/>
          </w:tcPr>
          <w:p>
            <w:pPr>
              <w:jc w:val="right"/>
              <w:ind w:right="257"/>
              <w:spacing w:after="0"/>
              <w:rPr>
                <w:sz w:val="20"/>
                <w:szCs w:val="20"/>
                <w:color w:val="auto"/>
              </w:rPr>
            </w:pPr>
            <w:r>
              <w:rPr>
                <w:rFonts w:ascii="Arial" w:cs="Arial" w:eastAsia="Arial" w:hAnsi="Arial"/>
                <w:sz w:val="17"/>
                <w:szCs w:val="17"/>
                <w:color w:val="auto"/>
              </w:rPr>
              <w:t>14,580,882</w:t>
            </w:r>
          </w:p>
        </w:tc>
        <w:tc>
          <w:tcPr>
            <w:tcW w:w="70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tab/>
        <w:t>less than 1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212725</wp:posOffset>
            </wp:positionV>
            <wp:extent cx="727138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4"/>
        </w:trPr>
        <w:tc>
          <w:tcPr>
            <w:tcW w:w="260" w:type="dxa"/>
            <w:vAlign w:val="bottom"/>
          </w:tcPr>
          <w:p>
            <w:pPr>
              <w:spacing w:after="0"/>
              <w:rPr>
                <w:sz w:val="19"/>
                <w:szCs w:val="19"/>
                <w:color w:val="auto"/>
              </w:rPr>
            </w:pPr>
          </w:p>
        </w:tc>
        <w:tc>
          <w:tcPr>
            <w:tcW w:w="5060" w:type="dxa"/>
            <w:vAlign w:val="bottom"/>
          </w:tcPr>
          <w:p>
            <w:pPr>
              <w:ind w:left="3520"/>
              <w:spacing w:after="0"/>
              <w:rPr>
                <w:sz w:val="20"/>
                <w:szCs w:val="20"/>
                <w:color w:val="auto"/>
              </w:rPr>
            </w:pPr>
            <w:r>
              <w:rPr>
                <w:rFonts w:ascii="Arial" w:cs="Arial" w:eastAsia="Arial" w:hAnsi="Arial"/>
                <w:sz w:val="13"/>
                <w:szCs w:val="13"/>
                <w:b w:val="1"/>
                <w:bCs w:val="1"/>
                <w:color w:val="808285"/>
              </w:rPr>
              <w:t>TEXAS INSTRUMENTS</w:t>
            </w:r>
          </w:p>
        </w:tc>
        <w:tc>
          <w:tcPr>
            <w:tcW w:w="2340" w:type="dxa"/>
            <w:vAlign w:val="bottom"/>
          </w:tcPr>
          <w:p>
            <w:pPr>
              <w:jc w:val="right"/>
              <w:spacing w:after="0"/>
              <w:rPr>
                <w:sz w:val="20"/>
                <w:szCs w:val="20"/>
                <w:color w:val="auto"/>
              </w:rPr>
            </w:pP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89</w:t>
            </w:r>
            <w:r>
              <w:rPr>
                <w:rFonts w:ascii="Arial" w:cs="Arial" w:eastAsia="Arial" w:hAnsi="Arial"/>
                <w:sz w:val="17"/>
                <w:szCs w:val="17"/>
                <w:b w:val="1"/>
                <w:bCs w:val="1"/>
                <w:color w:val="808285"/>
              </w:rPr>
              <w:t xml:space="preserve"> |   </w:t>
            </w:r>
            <w:r>
              <w:rPr>
                <w:rFonts w:ascii="Arial" w:cs="Arial" w:eastAsia="Arial" w:hAnsi="Arial"/>
                <w:sz w:val="13"/>
                <w:szCs w:val="13"/>
                <w:b w:val="1"/>
                <w:bCs w:val="1"/>
                <w:color w:val="808285"/>
              </w:rPr>
              <w:t>2011 PROXY STATEMENT</w:t>
            </w: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33"/>
        </w:trPr>
        <w:tc>
          <w:tcPr>
            <w:tcW w:w="5320" w:type="dxa"/>
            <w:vAlign w:val="bottom"/>
            <w:gridSpan w:val="2"/>
          </w:tcPr>
          <w:p>
            <w:pPr>
              <w:spacing w:after="0"/>
              <w:rPr>
                <w:sz w:val="20"/>
                <w:szCs w:val="20"/>
                <w:color w:val="auto"/>
              </w:rPr>
            </w:pPr>
            <w:r>
              <w:rPr>
                <w:rFonts w:ascii="Arial" w:cs="Arial" w:eastAsia="Arial" w:hAnsi="Arial"/>
                <w:sz w:val="17"/>
                <w:szCs w:val="17"/>
                <w:color w:val="auto"/>
              </w:rPr>
              <w:t>(1) Included in the shares owned shown above are:</w:t>
            </w:r>
          </w:p>
        </w:tc>
        <w:tc>
          <w:tcPr>
            <w:tcW w:w="2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1"/>
        </w:trPr>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40" w:type="dxa"/>
            <w:vAlign w:val="bottom"/>
          </w:tcPr>
          <w:p>
            <w:pPr>
              <w:jc w:val="center"/>
              <w:ind w:right="181"/>
              <w:spacing w:after="0"/>
              <w:rPr>
                <w:sz w:val="20"/>
                <w:szCs w:val="20"/>
                <w:color w:val="auto"/>
              </w:rPr>
            </w:pPr>
            <w:r>
              <w:rPr>
                <w:rFonts w:ascii="Arial" w:cs="Arial" w:eastAsia="Arial" w:hAnsi="Arial"/>
                <w:sz w:val="13"/>
                <w:szCs w:val="13"/>
                <w:b w:val="1"/>
                <w:bCs w:val="1"/>
                <w:color w:val="auto"/>
              </w:rPr>
              <w:t>Shares</w:t>
            </w:r>
          </w:p>
        </w:tc>
        <w:tc>
          <w:tcPr>
            <w:tcW w:w="1400" w:type="dxa"/>
            <w:vAlign w:val="bottom"/>
          </w:tcPr>
          <w:p>
            <w:pPr>
              <w:spacing w:after="0"/>
              <w:rPr>
                <w:sz w:val="24"/>
                <w:szCs w:val="24"/>
                <w:color w:val="auto"/>
              </w:rPr>
            </w:pPr>
          </w:p>
        </w:tc>
        <w:tc>
          <w:tcPr>
            <w:tcW w:w="1220" w:type="dxa"/>
            <w:vAlign w:val="bottom"/>
          </w:tcPr>
          <w:p>
            <w:pPr>
              <w:jc w:val="center"/>
              <w:ind w:left="101"/>
              <w:spacing w:after="0"/>
              <w:rPr>
                <w:sz w:val="20"/>
                <w:szCs w:val="20"/>
                <w:color w:val="auto"/>
              </w:rPr>
            </w:pPr>
            <w:r>
              <w:rPr>
                <w:rFonts w:ascii="Arial" w:cs="Arial" w:eastAsia="Arial" w:hAnsi="Arial"/>
                <w:sz w:val="13"/>
                <w:szCs w:val="13"/>
                <w:b w:val="1"/>
                <w:bCs w:val="1"/>
                <w:color w:val="auto"/>
              </w:rPr>
              <w:t>Shares</w:t>
            </w:r>
          </w:p>
        </w:tc>
      </w:tr>
      <w:tr>
        <w:trPr>
          <w:trHeight w:val="236"/>
        </w:trPr>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40" w:type="dxa"/>
            <w:vAlign w:val="bottom"/>
          </w:tcPr>
          <w:p>
            <w:pPr>
              <w:jc w:val="center"/>
              <w:ind w:right="161"/>
              <w:spacing w:after="0"/>
              <w:rPr>
                <w:sz w:val="20"/>
                <w:szCs w:val="20"/>
                <w:color w:val="auto"/>
              </w:rPr>
            </w:pPr>
            <w:r>
              <w:rPr>
                <w:rFonts w:ascii="Arial" w:cs="Arial" w:eastAsia="Arial" w:hAnsi="Arial"/>
                <w:sz w:val="13"/>
                <w:szCs w:val="13"/>
                <w:b w:val="1"/>
                <w:bCs w:val="1"/>
                <w:color w:val="auto"/>
              </w:rPr>
              <w:t>Credited</w:t>
            </w:r>
          </w:p>
        </w:tc>
        <w:tc>
          <w:tcPr>
            <w:tcW w:w="1400" w:type="dxa"/>
            <w:vAlign w:val="bottom"/>
          </w:tcPr>
          <w:p>
            <w:pPr>
              <w:spacing w:after="0"/>
              <w:rPr>
                <w:sz w:val="20"/>
                <w:szCs w:val="20"/>
                <w:color w:val="auto"/>
              </w:rPr>
            </w:pPr>
          </w:p>
        </w:tc>
        <w:tc>
          <w:tcPr>
            <w:tcW w:w="1220" w:type="dxa"/>
            <w:vAlign w:val="bottom"/>
          </w:tcPr>
          <w:p>
            <w:pPr>
              <w:jc w:val="center"/>
              <w:ind w:left="101"/>
              <w:spacing w:after="0"/>
              <w:rPr>
                <w:sz w:val="20"/>
                <w:szCs w:val="20"/>
                <w:color w:val="auto"/>
              </w:rPr>
            </w:pPr>
            <w:r>
              <w:rPr>
                <w:rFonts w:ascii="Arial" w:cs="Arial" w:eastAsia="Arial" w:hAnsi="Arial"/>
                <w:sz w:val="13"/>
                <w:szCs w:val="13"/>
                <w:b w:val="1"/>
                <w:bCs w:val="1"/>
                <w:color w:val="auto"/>
                <w:w w:val="98"/>
              </w:rPr>
              <w:t>Credited</w:t>
            </w:r>
          </w:p>
        </w:tc>
      </w:tr>
      <w:tr>
        <w:trPr>
          <w:trHeight w:val="236"/>
        </w:trPr>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340" w:type="dxa"/>
            <w:vAlign w:val="bottom"/>
          </w:tcPr>
          <w:p>
            <w:pPr>
              <w:jc w:val="center"/>
              <w:ind w:left="179"/>
              <w:spacing w:after="0"/>
              <w:rPr>
                <w:sz w:val="20"/>
                <w:szCs w:val="20"/>
                <w:color w:val="auto"/>
              </w:rPr>
            </w:pPr>
            <w:r>
              <w:rPr>
                <w:rFonts w:ascii="Arial" w:cs="Arial" w:eastAsia="Arial" w:hAnsi="Arial"/>
                <w:sz w:val="13"/>
                <w:szCs w:val="13"/>
                <w:b w:val="1"/>
                <w:bCs w:val="1"/>
                <w:color w:val="auto"/>
              </w:rPr>
              <w:t>Shares</w:t>
            </w:r>
          </w:p>
        </w:tc>
        <w:tc>
          <w:tcPr>
            <w:tcW w:w="1140" w:type="dxa"/>
            <w:vAlign w:val="bottom"/>
          </w:tcPr>
          <w:p>
            <w:pPr>
              <w:jc w:val="center"/>
              <w:ind w:right="161"/>
              <w:spacing w:after="0"/>
              <w:rPr>
                <w:sz w:val="20"/>
                <w:szCs w:val="20"/>
                <w:color w:val="auto"/>
              </w:rPr>
            </w:pPr>
            <w:r>
              <w:rPr>
                <w:rFonts w:ascii="Arial" w:cs="Arial" w:eastAsia="Arial" w:hAnsi="Arial"/>
                <w:sz w:val="13"/>
                <w:szCs w:val="13"/>
                <w:b w:val="1"/>
                <w:bCs w:val="1"/>
                <w:color w:val="auto"/>
              </w:rPr>
              <w:t>to 401(k) and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rPr>
              <w:t>Restricted</w:t>
            </w:r>
          </w:p>
        </w:tc>
        <w:tc>
          <w:tcPr>
            <w:tcW w:w="1220" w:type="dxa"/>
            <w:vAlign w:val="bottom"/>
          </w:tcPr>
          <w:p>
            <w:pPr>
              <w:jc w:val="center"/>
              <w:ind w:left="81"/>
              <w:spacing w:after="0"/>
              <w:rPr>
                <w:sz w:val="20"/>
                <w:szCs w:val="20"/>
                <w:color w:val="auto"/>
              </w:rPr>
            </w:pPr>
            <w:r>
              <w:rPr>
                <w:rFonts w:ascii="Arial" w:cs="Arial" w:eastAsia="Arial" w:hAnsi="Arial"/>
                <w:sz w:val="13"/>
                <w:szCs w:val="13"/>
                <w:b w:val="1"/>
                <w:bCs w:val="1"/>
                <w:color w:val="auto"/>
              </w:rPr>
              <w:t>to Deferred</w:t>
            </w:r>
          </w:p>
        </w:tc>
      </w:tr>
      <w:tr>
        <w:trPr>
          <w:trHeight w:val="236"/>
        </w:trPr>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340" w:type="dxa"/>
            <w:vAlign w:val="bottom"/>
          </w:tcPr>
          <w:p>
            <w:pPr>
              <w:jc w:val="center"/>
              <w:ind w:left="179"/>
              <w:spacing w:after="0"/>
              <w:rPr>
                <w:sz w:val="20"/>
                <w:szCs w:val="20"/>
                <w:color w:val="auto"/>
              </w:rPr>
            </w:pPr>
            <w:r>
              <w:rPr>
                <w:rFonts w:ascii="Arial" w:cs="Arial" w:eastAsia="Arial" w:hAnsi="Arial"/>
                <w:sz w:val="13"/>
                <w:szCs w:val="13"/>
                <w:b w:val="1"/>
                <w:bCs w:val="1"/>
                <w:color w:val="auto"/>
              </w:rPr>
              <w:t>Obtainable</w:t>
            </w:r>
          </w:p>
        </w:tc>
        <w:tc>
          <w:tcPr>
            <w:tcW w:w="1140" w:type="dxa"/>
            <w:vAlign w:val="bottom"/>
          </w:tcPr>
          <w:p>
            <w:pPr>
              <w:jc w:val="center"/>
              <w:ind w:right="161"/>
              <w:spacing w:after="0"/>
              <w:rPr>
                <w:sz w:val="20"/>
                <w:szCs w:val="20"/>
                <w:color w:val="auto"/>
              </w:rPr>
            </w:pPr>
            <w:r>
              <w:rPr>
                <w:rFonts w:ascii="Arial" w:cs="Arial" w:eastAsia="Arial" w:hAnsi="Arial"/>
                <w:sz w:val="13"/>
                <w:szCs w:val="13"/>
                <w:b w:val="1"/>
                <w:bCs w:val="1"/>
                <w:color w:val="auto"/>
                <w:w w:val="99"/>
              </w:rPr>
              <w:t>Profit Sharing</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rPr>
              <w:t>Stock Units</w:t>
            </w:r>
          </w:p>
        </w:tc>
        <w:tc>
          <w:tcPr>
            <w:tcW w:w="1220" w:type="dxa"/>
            <w:vAlign w:val="bottom"/>
          </w:tcPr>
          <w:p>
            <w:pPr>
              <w:jc w:val="center"/>
              <w:ind w:left="101"/>
              <w:spacing w:after="0"/>
              <w:rPr>
                <w:sz w:val="20"/>
                <w:szCs w:val="20"/>
                <w:color w:val="auto"/>
              </w:rPr>
            </w:pPr>
            <w:r>
              <w:rPr>
                <w:rFonts w:ascii="Arial" w:cs="Arial" w:eastAsia="Arial" w:hAnsi="Arial"/>
                <w:sz w:val="13"/>
                <w:szCs w:val="13"/>
                <w:b w:val="1"/>
                <w:bCs w:val="1"/>
                <w:color w:val="auto"/>
              </w:rPr>
              <w:t>Compensation</w:t>
            </w:r>
          </w:p>
        </w:tc>
      </w:tr>
      <w:tr>
        <w:trPr>
          <w:trHeight w:val="236"/>
        </w:trPr>
        <w:tc>
          <w:tcPr>
            <w:tcW w:w="5320" w:type="dxa"/>
            <w:vAlign w:val="bottom"/>
            <w:gridSpan w:val="2"/>
          </w:tcPr>
          <w:p>
            <w:pPr>
              <w:ind w:left="260"/>
              <w:spacing w:after="0"/>
              <w:rPr>
                <w:sz w:val="20"/>
                <w:szCs w:val="20"/>
                <w:color w:val="auto"/>
              </w:rPr>
            </w:pPr>
            <w:r>
              <w:rPr>
                <w:rFonts w:ascii="Arial" w:cs="Arial" w:eastAsia="Arial" w:hAnsi="Arial"/>
                <w:sz w:val="13"/>
                <w:szCs w:val="13"/>
                <w:b w:val="1"/>
                <w:bCs w:val="1"/>
                <w:color w:val="auto"/>
              </w:rPr>
              <w:t>Director (a)</w:t>
            </w:r>
          </w:p>
        </w:tc>
        <w:tc>
          <w:tcPr>
            <w:tcW w:w="2340" w:type="dxa"/>
            <w:vAlign w:val="bottom"/>
          </w:tcPr>
          <w:p>
            <w:pPr>
              <w:jc w:val="center"/>
              <w:ind w:left="159"/>
              <w:spacing w:after="0"/>
              <w:rPr>
                <w:sz w:val="20"/>
                <w:szCs w:val="20"/>
                <w:color w:val="auto"/>
              </w:rPr>
            </w:pPr>
            <w:r>
              <w:rPr>
                <w:rFonts w:ascii="Arial" w:cs="Arial" w:eastAsia="Arial" w:hAnsi="Arial"/>
                <w:sz w:val="13"/>
                <w:szCs w:val="13"/>
                <w:b w:val="1"/>
                <w:bCs w:val="1"/>
                <w:color w:val="auto"/>
                <w:w w:val="99"/>
              </w:rPr>
              <w:t>within 60 Days</w:t>
            </w:r>
          </w:p>
        </w:tc>
        <w:tc>
          <w:tcPr>
            <w:tcW w:w="1140" w:type="dxa"/>
            <w:vAlign w:val="bottom"/>
          </w:tcPr>
          <w:p>
            <w:pPr>
              <w:jc w:val="center"/>
              <w:ind w:right="181"/>
              <w:spacing w:after="0"/>
              <w:rPr>
                <w:sz w:val="20"/>
                <w:szCs w:val="20"/>
                <w:color w:val="auto"/>
              </w:rPr>
            </w:pPr>
            <w:r>
              <w:rPr>
                <w:rFonts w:ascii="Arial" w:cs="Arial" w:eastAsia="Arial" w:hAnsi="Arial"/>
                <w:sz w:val="13"/>
                <w:szCs w:val="13"/>
                <w:b w:val="1"/>
                <w:bCs w:val="1"/>
                <w:color w:val="auto"/>
              </w:rPr>
              <w:t>Accounts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rPr>
              <w:t>(in Shares) (b)</w:t>
            </w:r>
          </w:p>
        </w:tc>
        <w:tc>
          <w:tcPr>
            <w:tcW w:w="1220" w:type="dxa"/>
            <w:vAlign w:val="bottom"/>
          </w:tcPr>
          <w:p>
            <w:pPr>
              <w:jc w:val="center"/>
              <w:ind w:left="101"/>
              <w:spacing w:after="0"/>
              <w:rPr>
                <w:sz w:val="20"/>
                <w:szCs w:val="20"/>
                <w:color w:val="auto"/>
              </w:rPr>
            </w:pPr>
            <w:r>
              <w:rPr>
                <w:rFonts w:ascii="Arial" w:cs="Arial" w:eastAsia="Arial" w:hAnsi="Arial"/>
                <w:sz w:val="13"/>
                <w:szCs w:val="13"/>
                <w:b w:val="1"/>
                <w:bCs w:val="1"/>
                <w:color w:val="auto"/>
              </w:rPr>
              <w:t>Accounts (c)</w:t>
            </w:r>
          </w:p>
        </w:tc>
      </w:tr>
      <w:tr>
        <w:trPr>
          <w:trHeight w:val="41"/>
        </w:trPr>
        <w:tc>
          <w:tcPr>
            <w:tcW w:w="5320" w:type="dxa"/>
            <w:vAlign w:val="bottom"/>
            <w:gridSpan w:val="2"/>
          </w:tcPr>
          <w:p>
            <w:pPr>
              <w:spacing w:after="0"/>
              <w:rPr>
                <w:sz w:val="3"/>
                <w:szCs w:val="3"/>
                <w:color w:val="auto"/>
              </w:rPr>
            </w:pPr>
          </w:p>
        </w:tc>
        <w:tc>
          <w:tcPr>
            <w:tcW w:w="2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66"/>
        </w:trPr>
        <w:tc>
          <w:tcPr>
            <w:tcW w:w="260" w:type="dxa"/>
            <w:vAlign w:val="bottom"/>
          </w:tcPr>
          <w:p>
            <w:pPr>
              <w:spacing w:after="0"/>
              <w:rPr>
                <w:sz w:val="5"/>
                <w:szCs w:val="5"/>
                <w:color w:val="auto"/>
              </w:rPr>
            </w:pPr>
          </w:p>
        </w:tc>
        <w:tc>
          <w:tcPr>
            <w:tcW w:w="5060" w:type="dxa"/>
            <w:vAlign w:val="bottom"/>
            <w:shd w:val="clear" w:color="auto" w:fill="808285"/>
          </w:tcPr>
          <w:p>
            <w:pPr>
              <w:spacing w:after="0"/>
              <w:rPr>
                <w:sz w:val="5"/>
                <w:szCs w:val="5"/>
                <w:color w:val="auto"/>
              </w:rPr>
            </w:pPr>
          </w:p>
        </w:tc>
        <w:tc>
          <w:tcPr>
            <w:tcW w:w="2340" w:type="dxa"/>
            <w:vAlign w:val="bottom"/>
            <w:shd w:val="clear" w:color="auto" w:fill="808285"/>
          </w:tcPr>
          <w:p>
            <w:pPr>
              <w:spacing w:after="0"/>
              <w:rPr>
                <w:sz w:val="5"/>
                <w:szCs w:val="5"/>
                <w:color w:val="auto"/>
              </w:rPr>
            </w:pPr>
          </w:p>
        </w:tc>
        <w:tc>
          <w:tcPr>
            <w:tcW w:w="1140" w:type="dxa"/>
            <w:vAlign w:val="bottom"/>
            <w:shd w:val="clear" w:color="auto" w:fill="808285"/>
          </w:tcPr>
          <w:p>
            <w:pPr>
              <w:spacing w:after="0"/>
              <w:rPr>
                <w:sz w:val="5"/>
                <w:szCs w:val="5"/>
                <w:color w:val="auto"/>
              </w:rPr>
            </w:pPr>
          </w:p>
        </w:tc>
        <w:tc>
          <w:tcPr>
            <w:tcW w:w="1400" w:type="dxa"/>
            <w:vAlign w:val="bottom"/>
            <w:shd w:val="clear" w:color="auto" w:fill="808285"/>
          </w:tcPr>
          <w:p>
            <w:pPr>
              <w:spacing w:after="0"/>
              <w:rPr>
                <w:sz w:val="5"/>
                <w:szCs w:val="5"/>
                <w:color w:val="auto"/>
              </w:rPr>
            </w:pPr>
          </w:p>
        </w:tc>
        <w:tc>
          <w:tcPr>
            <w:tcW w:w="1220" w:type="dxa"/>
            <w:vAlign w:val="bottom"/>
            <w:shd w:val="clear" w:color="auto" w:fill="808285"/>
          </w:tcPr>
          <w:p>
            <w:pPr>
              <w:spacing w:after="0"/>
              <w:rPr>
                <w:sz w:val="5"/>
                <w:szCs w:val="5"/>
                <w:color w:val="auto"/>
              </w:rPr>
            </w:pPr>
          </w:p>
        </w:tc>
      </w:tr>
      <w:tr>
        <w:trPr>
          <w:trHeight w:val="236"/>
        </w:trPr>
        <w:tc>
          <w:tcPr>
            <w:tcW w:w="260" w:type="dxa"/>
            <w:vAlign w:val="bottom"/>
          </w:tcPr>
          <w:p>
            <w:pPr>
              <w:spacing w:after="0"/>
              <w:rPr>
                <w:sz w:val="20"/>
                <w:szCs w:val="20"/>
                <w:color w:val="auto"/>
              </w:rPr>
            </w:pPr>
          </w:p>
        </w:tc>
        <w:tc>
          <w:tcPr>
            <w:tcW w:w="5060" w:type="dxa"/>
            <w:vAlign w:val="bottom"/>
            <w:shd w:val="clear" w:color="auto" w:fill="E9E9E9"/>
          </w:tcPr>
          <w:p>
            <w:pPr>
              <w:spacing w:after="0"/>
              <w:rPr>
                <w:sz w:val="20"/>
                <w:szCs w:val="20"/>
                <w:color w:val="auto"/>
              </w:rPr>
            </w:pPr>
            <w:r>
              <w:rPr>
                <w:rFonts w:ascii="Arial" w:cs="Arial" w:eastAsia="Arial" w:hAnsi="Arial"/>
                <w:sz w:val="17"/>
                <w:szCs w:val="17"/>
                <w:color w:val="auto"/>
              </w:rPr>
              <w:t>R. W. Babb, Jr.</w:t>
            </w:r>
          </w:p>
        </w:tc>
        <w:tc>
          <w:tcPr>
            <w:tcW w:w="2340" w:type="dxa"/>
            <w:vAlign w:val="bottom"/>
            <w:shd w:val="clear" w:color="auto" w:fill="E9E9E9"/>
          </w:tcPr>
          <w:p>
            <w:pPr>
              <w:jc w:val="right"/>
              <w:ind w:right="579"/>
              <w:spacing w:after="0"/>
              <w:rPr>
                <w:sz w:val="20"/>
                <w:szCs w:val="20"/>
                <w:color w:val="auto"/>
              </w:rPr>
            </w:pPr>
            <w:r>
              <w:rPr>
                <w:rFonts w:ascii="Arial" w:cs="Arial" w:eastAsia="Arial" w:hAnsi="Arial"/>
                <w:sz w:val="17"/>
                <w:szCs w:val="17"/>
                <w:color w:val="auto"/>
              </w:rPr>
              <w:t>—</w:t>
            </w:r>
          </w:p>
        </w:tc>
        <w:tc>
          <w:tcPr>
            <w:tcW w:w="1140" w:type="dxa"/>
            <w:vAlign w:val="bottom"/>
            <w:shd w:val="clear" w:color="auto" w:fill="E9E9E9"/>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2,000</w:t>
            </w:r>
          </w:p>
        </w:tc>
        <w:tc>
          <w:tcPr>
            <w:tcW w:w="1220" w:type="dxa"/>
            <w:vAlign w:val="bottom"/>
            <w:shd w:val="clear" w:color="auto" w:fill="E9E9E9"/>
          </w:tcPr>
          <w:p>
            <w:pPr>
              <w:jc w:val="right"/>
              <w:ind w:right="181"/>
              <w:spacing w:after="0"/>
              <w:rPr>
                <w:sz w:val="20"/>
                <w:szCs w:val="20"/>
                <w:color w:val="auto"/>
              </w:rPr>
            </w:pPr>
            <w:r>
              <w:rPr>
                <w:rFonts w:ascii="Arial" w:cs="Arial" w:eastAsia="Arial" w:hAnsi="Arial"/>
                <w:sz w:val="17"/>
                <w:szCs w:val="17"/>
                <w:color w:val="auto"/>
              </w:rPr>
              <w:t>2,272</w:t>
            </w:r>
          </w:p>
        </w:tc>
      </w:tr>
      <w:tr>
        <w:trPr>
          <w:trHeight w:val="228"/>
        </w:trPr>
        <w:tc>
          <w:tcPr>
            <w:tcW w:w="5320" w:type="dxa"/>
            <w:vAlign w:val="bottom"/>
            <w:gridSpan w:val="2"/>
          </w:tcPr>
          <w:p>
            <w:pPr>
              <w:ind w:left="260"/>
              <w:spacing w:after="0"/>
              <w:rPr>
                <w:sz w:val="20"/>
                <w:szCs w:val="20"/>
                <w:color w:val="auto"/>
              </w:rPr>
            </w:pPr>
            <w:r>
              <w:rPr>
                <w:rFonts w:ascii="Arial" w:cs="Arial" w:eastAsia="Arial" w:hAnsi="Arial"/>
                <w:sz w:val="17"/>
                <w:szCs w:val="17"/>
                <w:color w:val="auto"/>
              </w:rPr>
              <w:t>D. L. Boren</w:t>
            </w:r>
          </w:p>
        </w:tc>
        <w:tc>
          <w:tcPr>
            <w:tcW w:w="2340" w:type="dxa"/>
            <w:vAlign w:val="bottom"/>
          </w:tcPr>
          <w:p>
            <w:pPr>
              <w:jc w:val="right"/>
              <w:ind w:right="579"/>
              <w:spacing w:after="0"/>
              <w:rPr>
                <w:sz w:val="20"/>
                <w:szCs w:val="20"/>
                <w:color w:val="auto"/>
              </w:rPr>
            </w:pPr>
            <w:r>
              <w:rPr>
                <w:rFonts w:ascii="Arial" w:cs="Arial" w:eastAsia="Arial" w:hAnsi="Arial"/>
                <w:sz w:val="17"/>
                <w:szCs w:val="17"/>
                <w:color w:val="auto"/>
              </w:rPr>
              <w:t>65,000</w:t>
            </w:r>
          </w:p>
        </w:tc>
        <w:tc>
          <w:tcPr>
            <w:tcW w:w="1140" w:type="dxa"/>
            <w:vAlign w:val="bottom"/>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99"/>
              <w:spacing w:after="0"/>
              <w:rPr>
                <w:sz w:val="20"/>
                <w:szCs w:val="20"/>
                <w:color w:val="auto"/>
              </w:rPr>
            </w:pPr>
            <w:r>
              <w:rPr>
                <w:rFonts w:ascii="Arial" w:cs="Arial" w:eastAsia="Arial" w:hAnsi="Arial"/>
                <w:sz w:val="17"/>
                <w:szCs w:val="17"/>
                <w:color w:val="auto"/>
              </w:rPr>
              <w:t>32,880</w:t>
            </w:r>
          </w:p>
        </w:tc>
        <w:tc>
          <w:tcPr>
            <w:tcW w:w="1220" w:type="dxa"/>
            <w:vAlign w:val="bottom"/>
          </w:tcPr>
          <w:p>
            <w:pPr>
              <w:jc w:val="right"/>
              <w:ind w:right="181"/>
              <w:spacing w:after="0"/>
              <w:rPr>
                <w:sz w:val="20"/>
                <w:szCs w:val="20"/>
                <w:color w:val="auto"/>
              </w:rPr>
            </w:pPr>
            <w:r>
              <w:rPr>
                <w:rFonts w:ascii="Arial" w:cs="Arial" w:eastAsia="Arial" w:hAnsi="Arial"/>
                <w:sz w:val="17"/>
                <w:szCs w:val="17"/>
                <w:color w:val="auto"/>
              </w:rPr>
              <w:t>3,795</w:t>
            </w:r>
          </w:p>
        </w:tc>
      </w:tr>
      <w:tr>
        <w:trPr>
          <w:trHeight w:val="244"/>
        </w:trPr>
        <w:tc>
          <w:tcPr>
            <w:tcW w:w="260" w:type="dxa"/>
            <w:vAlign w:val="bottom"/>
          </w:tcPr>
          <w:p>
            <w:pPr>
              <w:spacing w:after="0"/>
              <w:rPr>
                <w:sz w:val="21"/>
                <w:szCs w:val="21"/>
                <w:color w:val="auto"/>
              </w:rPr>
            </w:pPr>
          </w:p>
        </w:tc>
        <w:tc>
          <w:tcPr>
            <w:tcW w:w="5060" w:type="dxa"/>
            <w:vAlign w:val="bottom"/>
            <w:shd w:val="clear" w:color="auto" w:fill="E9E9E9"/>
          </w:tcPr>
          <w:p>
            <w:pPr>
              <w:spacing w:after="0"/>
              <w:rPr>
                <w:sz w:val="20"/>
                <w:szCs w:val="20"/>
                <w:color w:val="auto"/>
              </w:rPr>
            </w:pPr>
            <w:r>
              <w:rPr>
                <w:rFonts w:ascii="Arial" w:cs="Arial" w:eastAsia="Arial" w:hAnsi="Arial"/>
                <w:sz w:val="17"/>
                <w:szCs w:val="17"/>
                <w:color w:val="auto"/>
              </w:rPr>
              <w:t>D. A. Carp</w:t>
            </w:r>
          </w:p>
        </w:tc>
        <w:tc>
          <w:tcPr>
            <w:tcW w:w="2340" w:type="dxa"/>
            <w:vAlign w:val="bottom"/>
            <w:shd w:val="clear" w:color="auto" w:fill="E9E9E9"/>
          </w:tcPr>
          <w:p>
            <w:pPr>
              <w:jc w:val="right"/>
              <w:ind w:right="579"/>
              <w:spacing w:after="0"/>
              <w:rPr>
                <w:sz w:val="20"/>
                <w:szCs w:val="20"/>
                <w:color w:val="auto"/>
              </w:rPr>
            </w:pPr>
            <w:r>
              <w:rPr>
                <w:rFonts w:ascii="Arial" w:cs="Arial" w:eastAsia="Arial" w:hAnsi="Arial"/>
                <w:sz w:val="17"/>
                <w:szCs w:val="17"/>
                <w:color w:val="auto"/>
              </w:rPr>
              <w:t>92,500</w:t>
            </w:r>
          </w:p>
        </w:tc>
        <w:tc>
          <w:tcPr>
            <w:tcW w:w="1140" w:type="dxa"/>
            <w:vAlign w:val="bottom"/>
            <w:shd w:val="clear" w:color="auto" w:fill="E9E9E9"/>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18,664</w:t>
            </w:r>
          </w:p>
        </w:tc>
        <w:tc>
          <w:tcPr>
            <w:tcW w:w="1220" w:type="dxa"/>
            <w:vAlign w:val="bottom"/>
            <w:shd w:val="clear" w:color="auto" w:fill="E9E9E9"/>
          </w:tcPr>
          <w:p>
            <w:pPr>
              <w:jc w:val="right"/>
              <w:ind w:right="181"/>
              <w:spacing w:after="0"/>
              <w:rPr>
                <w:sz w:val="20"/>
                <w:szCs w:val="20"/>
                <w:color w:val="auto"/>
              </w:rPr>
            </w:pPr>
            <w:r>
              <w:rPr>
                <w:rFonts w:ascii="Arial" w:cs="Arial" w:eastAsia="Arial" w:hAnsi="Arial"/>
                <w:sz w:val="17"/>
                <w:szCs w:val="17"/>
                <w:color w:val="auto"/>
              </w:rPr>
              <w:t>31,780</w:t>
            </w:r>
          </w:p>
        </w:tc>
      </w:tr>
      <w:tr>
        <w:trPr>
          <w:trHeight w:val="228"/>
        </w:trPr>
        <w:tc>
          <w:tcPr>
            <w:tcW w:w="5320" w:type="dxa"/>
            <w:vAlign w:val="bottom"/>
            <w:gridSpan w:val="2"/>
          </w:tcPr>
          <w:p>
            <w:pPr>
              <w:ind w:left="260"/>
              <w:spacing w:after="0"/>
              <w:rPr>
                <w:sz w:val="20"/>
                <w:szCs w:val="20"/>
                <w:color w:val="auto"/>
              </w:rPr>
            </w:pPr>
            <w:r>
              <w:rPr>
                <w:rFonts w:ascii="Arial" w:cs="Arial" w:eastAsia="Arial" w:hAnsi="Arial"/>
                <w:sz w:val="17"/>
                <w:szCs w:val="17"/>
                <w:color w:val="auto"/>
              </w:rPr>
              <w:t>C. S. Cox</w:t>
            </w:r>
          </w:p>
        </w:tc>
        <w:tc>
          <w:tcPr>
            <w:tcW w:w="2340" w:type="dxa"/>
            <w:vAlign w:val="bottom"/>
          </w:tcPr>
          <w:p>
            <w:pPr>
              <w:jc w:val="right"/>
              <w:ind w:right="579"/>
              <w:spacing w:after="0"/>
              <w:rPr>
                <w:sz w:val="20"/>
                <w:szCs w:val="20"/>
                <w:color w:val="auto"/>
              </w:rPr>
            </w:pPr>
            <w:r>
              <w:rPr>
                <w:rFonts w:ascii="Arial" w:cs="Arial" w:eastAsia="Arial" w:hAnsi="Arial"/>
                <w:sz w:val="17"/>
                <w:szCs w:val="17"/>
                <w:color w:val="auto"/>
              </w:rPr>
              <w:t>47,500</w:t>
            </w:r>
          </w:p>
        </w:tc>
        <w:tc>
          <w:tcPr>
            <w:tcW w:w="1140" w:type="dxa"/>
            <w:vAlign w:val="bottom"/>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99"/>
              <w:spacing w:after="0"/>
              <w:rPr>
                <w:sz w:val="20"/>
                <w:szCs w:val="20"/>
                <w:color w:val="auto"/>
              </w:rPr>
            </w:pPr>
            <w:r>
              <w:rPr>
                <w:rFonts w:ascii="Arial" w:cs="Arial" w:eastAsia="Arial" w:hAnsi="Arial"/>
                <w:sz w:val="17"/>
                <w:szCs w:val="17"/>
                <w:color w:val="auto"/>
              </w:rPr>
              <w:t>12,000</w:t>
            </w:r>
          </w:p>
        </w:tc>
        <w:tc>
          <w:tcPr>
            <w:tcW w:w="1220" w:type="dxa"/>
            <w:vAlign w:val="bottom"/>
          </w:tcPr>
          <w:p>
            <w:pPr>
              <w:jc w:val="right"/>
              <w:ind w:right="181"/>
              <w:spacing w:after="0"/>
              <w:rPr>
                <w:sz w:val="20"/>
                <w:szCs w:val="20"/>
                <w:color w:val="auto"/>
              </w:rPr>
            </w:pPr>
            <w:r>
              <w:rPr>
                <w:rFonts w:ascii="Arial" w:cs="Arial" w:eastAsia="Arial" w:hAnsi="Arial"/>
                <w:sz w:val="17"/>
                <w:szCs w:val="17"/>
                <w:color w:val="auto"/>
              </w:rPr>
              <w:t>—</w:t>
            </w:r>
          </w:p>
        </w:tc>
      </w:tr>
      <w:tr>
        <w:trPr>
          <w:trHeight w:val="244"/>
        </w:trPr>
        <w:tc>
          <w:tcPr>
            <w:tcW w:w="260" w:type="dxa"/>
            <w:vAlign w:val="bottom"/>
          </w:tcPr>
          <w:p>
            <w:pPr>
              <w:spacing w:after="0"/>
              <w:rPr>
                <w:sz w:val="21"/>
                <w:szCs w:val="21"/>
                <w:color w:val="auto"/>
              </w:rPr>
            </w:pPr>
          </w:p>
        </w:tc>
        <w:tc>
          <w:tcPr>
            <w:tcW w:w="5060" w:type="dxa"/>
            <w:vAlign w:val="bottom"/>
            <w:shd w:val="clear" w:color="auto" w:fill="E9E9E9"/>
          </w:tcPr>
          <w:p>
            <w:pPr>
              <w:spacing w:after="0"/>
              <w:rPr>
                <w:sz w:val="20"/>
                <w:szCs w:val="20"/>
                <w:color w:val="auto"/>
              </w:rPr>
            </w:pPr>
            <w:r>
              <w:rPr>
                <w:rFonts w:ascii="Arial" w:cs="Arial" w:eastAsia="Arial" w:hAnsi="Arial"/>
                <w:sz w:val="17"/>
                <w:szCs w:val="17"/>
                <w:color w:val="auto"/>
              </w:rPr>
              <w:t>D. R. Goode</w:t>
            </w:r>
          </w:p>
        </w:tc>
        <w:tc>
          <w:tcPr>
            <w:tcW w:w="2340" w:type="dxa"/>
            <w:vAlign w:val="bottom"/>
            <w:shd w:val="clear" w:color="auto" w:fill="E9E9E9"/>
          </w:tcPr>
          <w:p>
            <w:pPr>
              <w:jc w:val="right"/>
              <w:ind w:right="579"/>
              <w:spacing w:after="0"/>
              <w:rPr>
                <w:sz w:val="20"/>
                <w:szCs w:val="20"/>
                <w:color w:val="auto"/>
              </w:rPr>
            </w:pPr>
            <w:r>
              <w:rPr>
                <w:rFonts w:ascii="Arial" w:cs="Arial" w:eastAsia="Arial" w:hAnsi="Arial"/>
                <w:sz w:val="17"/>
                <w:szCs w:val="17"/>
                <w:color w:val="auto"/>
              </w:rPr>
              <w:t>92,500</w:t>
            </w:r>
          </w:p>
        </w:tc>
        <w:tc>
          <w:tcPr>
            <w:tcW w:w="1140" w:type="dxa"/>
            <w:vAlign w:val="bottom"/>
            <w:shd w:val="clear" w:color="auto" w:fill="E9E9E9"/>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23,632</w:t>
            </w:r>
          </w:p>
        </w:tc>
        <w:tc>
          <w:tcPr>
            <w:tcW w:w="1220" w:type="dxa"/>
            <w:vAlign w:val="bottom"/>
            <w:shd w:val="clear" w:color="auto" w:fill="E9E9E9"/>
          </w:tcPr>
          <w:p>
            <w:pPr>
              <w:jc w:val="right"/>
              <w:ind w:right="181"/>
              <w:spacing w:after="0"/>
              <w:rPr>
                <w:sz w:val="20"/>
                <w:szCs w:val="20"/>
                <w:color w:val="auto"/>
              </w:rPr>
            </w:pPr>
            <w:r>
              <w:rPr>
                <w:rFonts w:ascii="Arial" w:cs="Arial" w:eastAsia="Arial" w:hAnsi="Arial"/>
                <w:sz w:val="17"/>
                <w:szCs w:val="17"/>
                <w:color w:val="auto"/>
              </w:rPr>
              <w:t>31,617</w:t>
            </w:r>
          </w:p>
        </w:tc>
      </w:tr>
      <w:tr>
        <w:trPr>
          <w:trHeight w:val="228"/>
        </w:trPr>
        <w:tc>
          <w:tcPr>
            <w:tcW w:w="5320" w:type="dxa"/>
            <w:vAlign w:val="bottom"/>
            <w:gridSpan w:val="2"/>
          </w:tcPr>
          <w:p>
            <w:pPr>
              <w:ind w:left="260"/>
              <w:spacing w:after="0"/>
              <w:rPr>
                <w:sz w:val="20"/>
                <w:szCs w:val="20"/>
                <w:color w:val="auto"/>
              </w:rPr>
            </w:pPr>
            <w:r>
              <w:rPr>
                <w:rFonts w:ascii="Arial" w:cs="Arial" w:eastAsia="Arial" w:hAnsi="Arial"/>
                <w:sz w:val="17"/>
                <w:szCs w:val="17"/>
                <w:color w:val="auto"/>
              </w:rPr>
              <w:t>S. P. MacMillan</w:t>
            </w:r>
          </w:p>
        </w:tc>
        <w:tc>
          <w:tcPr>
            <w:tcW w:w="2340" w:type="dxa"/>
            <w:vAlign w:val="bottom"/>
          </w:tcPr>
          <w:p>
            <w:pPr>
              <w:jc w:val="right"/>
              <w:ind w:right="579"/>
              <w:spacing w:after="0"/>
              <w:rPr>
                <w:sz w:val="20"/>
                <w:szCs w:val="20"/>
                <w:color w:val="auto"/>
              </w:rPr>
            </w:pPr>
            <w:r>
              <w:rPr>
                <w:rFonts w:ascii="Arial" w:cs="Arial" w:eastAsia="Arial" w:hAnsi="Arial"/>
                <w:sz w:val="17"/>
                <w:szCs w:val="17"/>
                <w:color w:val="auto"/>
              </w:rPr>
              <w:t>5,250</w:t>
            </w:r>
          </w:p>
        </w:tc>
        <w:tc>
          <w:tcPr>
            <w:tcW w:w="1140" w:type="dxa"/>
            <w:vAlign w:val="bottom"/>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99"/>
              <w:spacing w:after="0"/>
              <w:rPr>
                <w:sz w:val="20"/>
                <w:szCs w:val="20"/>
                <w:color w:val="auto"/>
              </w:rPr>
            </w:pPr>
            <w:r>
              <w:rPr>
                <w:rFonts w:ascii="Arial" w:cs="Arial" w:eastAsia="Arial" w:hAnsi="Arial"/>
                <w:sz w:val="17"/>
                <w:szCs w:val="17"/>
                <w:color w:val="auto"/>
              </w:rPr>
              <w:t>7,000</w:t>
            </w:r>
          </w:p>
        </w:tc>
        <w:tc>
          <w:tcPr>
            <w:tcW w:w="1220" w:type="dxa"/>
            <w:vAlign w:val="bottom"/>
          </w:tcPr>
          <w:p>
            <w:pPr>
              <w:jc w:val="right"/>
              <w:ind w:right="181"/>
              <w:spacing w:after="0"/>
              <w:rPr>
                <w:sz w:val="20"/>
                <w:szCs w:val="20"/>
                <w:color w:val="auto"/>
              </w:rPr>
            </w:pPr>
            <w:r>
              <w:rPr>
                <w:rFonts w:ascii="Arial" w:cs="Arial" w:eastAsia="Arial" w:hAnsi="Arial"/>
                <w:sz w:val="17"/>
                <w:szCs w:val="17"/>
                <w:color w:val="auto"/>
              </w:rPr>
              <w:t>4,296</w:t>
            </w:r>
          </w:p>
        </w:tc>
      </w:tr>
      <w:tr>
        <w:trPr>
          <w:trHeight w:val="244"/>
        </w:trPr>
        <w:tc>
          <w:tcPr>
            <w:tcW w:w="260" w:type="dxa"/>
            <w:vAlign w:val="bottom"/>
          </w:tcPr>
          <w:p>
            <w:pPr>
              <w:spacing w:after="0"/>
              <w:rPr>
                <w:sz w:val="21"/>
                <w:szCs w:val="21"/>
                <w:color w:val="auto"/>
              </w:rPr>
            </w:pPr>
          </w:p>
        </w:tc>
        <w:tc>
          <w:tcPr>
            <w:tcW w:w="5060" w:type="dxa"/>
            <w:vAlign w:val="bottom"/>
            <w:shd w:val="clear" w:color="auto" w:fill="E9E9E9"/>
          </w:tcPr>
          <w:p>
            <w:pPr>
              <w:spacing w:after="0"/>
              <w:rPr>
                <w:sz w:val="20"/>
                <w:szCs w:val="20"/>
                <w:color w:val="auto"/>
              </w:rPr>
            </w:pPr>
            <w:r>
              <w:rPr>
                <w:rFonts w:ascii="Arial" w:cs="Arial" w:eastAsia="Arial" w:hAnsi="Arial"/>
                <w:sz w:val="17"/>
                <w:szCs w:val="17"/>
                <w:color w:val="auto"/>
              </w:rPr>
              <w:t>P. H. Patsley</w:t>
            </w:r>
          </w:p>
        </w:tc>
        <w:tc>
          <w:tcPr>
            <w:tcW w:w="2340" w:type="dxa"/>
            <w:vAlign w:val="bottom"/>
            <w:shd w:val="clear" w:color="auto" w:fill="E9E9E9"/>
          </w:tcPr>
          <w:p>
            <w:pPr>
              <w:jc w:val="right"/>
              <w:ind w:right="579"/>
              <w:spacing w:after="0"/>
              <w:rPr>
                <w:sz w:val="20"/>
                <w:szCs w:val="20"/>
                <w:color w:val="auto"/>
              </w:rPr>
            </w:pPr>
            <w:r>
              <w:rPr>
                <w:rFonts w:ascii="Arial" w:cs="Arial" w:eastAsia="Arial" w:hAnsi="Arial"/>
                <w:sz w:val="17"/>
                <w:szCs w:val="17"/>
                <w:color w:val="auto"/>
              </w:rPr>
              <w:t>47,500</w:t>
            </w:r>
          </w:p>
        </w:tc>
        <w:tc>
          <w:tcPr>
            <w:tcW w:w="1140" w:type="dxa"/>
            <w:vAlign w:val="bottom"/>
            <w:shd w:val="clear" w:color="auto" w:fill="E9E9E9"/>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12,000</w:t>
            </w:r>
          </w:p>
        </w:tc>
        <w:tc>
          <w:tcPr>
            <w:tcW w:w="1220" w:type="dxa"/>
            <w:vAlign w:val="bottom"/>
            <w:shd w:val="clear" w:color="auto" w:fill="E9E9E9"/>
          </w:tcPr>
          <w:p>
            <w:pPr>
              <w:jc w:val="right"/>
              <w:ind w:right="181"/>
              <w:spacing w:after="0"/>
              <w:rPr>
                <w:sz w:val="20"/>
                <w:szCs w:val="20"/>
                <w:color w:val="auto"/>
              </w:rPr>
            </w:pPr>
            <w:r>
              <w:rPr>
                <w:rFonts w:ascii="Arial" w:cs="Arial" w:eastAsia="Arial" w:hAnsi="Arial"/>
                <w:sz w:val="17"/>
                <w:szCs w:val="17"/>
                <w:color w:val="auto"/>
              </w:rPr>
              <w:t>22,336</w:t>
            </w:r>
          </w:p>
        </w:tc>
      </w:tr>
      <w:tr>
        <w:trPr>
          <w:trHeight w:val="228"/>
        </w:trPr>
        <w:tc>
          <w:tcPr>
            <w:tcW w:w="5320" w:type="dxa"/>
            <w:vAlign w:val="bottom"/>
            <w:gridSpan w:val="2"/>
          </w:tcPr>
          <w:p>
            <w:pPr>
              <w:ind w:left="260"/>
              <w:spacing w:after="0"/>
              <w:rPr>
                <w:sz w:val="20"/>
                <w:szCs w:val="20"/>
                <w:color w:val="auto"/>
              </w:rPr>
            </w:pPr>
            <w:r>
              <w:rPr>
                <w:rFonts w:ascii="Arial" w:cs="Arial" w:eastAsia="Arial" w:hAnsi="Arial"/>
                <w:sz w:val="17"/>
                <w:szCs w:val="17"/>
                <w:color w:val="auto"/>
              </w:rPr>
              <w:t>W. R. Sanders</w:t>
            </w:r>
          </w:p>
        </w:tc>
        <w:tc>
          <w:tcPr>
            <w:tcW w:w="2340" w:type="dxa"/>
            <w:vAlign w:val="bottom"/>
          </w:tcPr>
          <w:p>
            <w:pPr>
              <w:jc w:val="right"/>
              <w:ind w:right="579"/>
              <w:spacing w:after="0"/>
              <w:rPr>
                <w:sz w:val="20"/>
                <w:szCs w:val="20"/>
                <w:color w:val="auto"/>
              </w:rPr>
            </w:pPr>
            <w:r>
              <w:rPr>
                <w:rFonts w:ascii="Arial" w:cs="Arial" w:eastAsia="Arial" w:hAnsi="Arial"/>
                <w:sz w:val="17"/>
                <w:szCs w:val="17"/>
                <w:color w:val="auto"/>
              </w:rPr>
              <w:t>92,500</w:t>
            </w:r>
          </w:p>
        </w:tc>
        <w:tc>
          <w:tcPr>
            <w:tcW w:w="1140" w:type="dxa"/>
            <w:vAlign w:val="bottom"/>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99"/>
              <w:spacing w:after="0"/>
              <w:rPr>
                <w:sz w:val="20"/>
                <w:szCs w:val="20"/>
                <w:color w:val="auto"/>
              </w:rPr>
            </w:pPr>
            <w:r>
              <w:rPr>
                <w:rFonts w:ascii="Arial" w:cs="Arial" w:eastAsia="Arial" w:hAnsi="Arial"/>
                <w:sz w:val="17"/>
                <w:szCs w:val="17"/>
                <w:color w:val="auto"/>
              </w:rPr>
              <w:t>19,600</w:t>
            </w:r>
          </w:p>
        </w:tc>
        <w:tc>
          <w:tcPr>
            <w:tcW w:w="1220" w:type="dxa"/>
            <w:vAlign w:val="bottom"/>
          </w:tcPr>
          <w:p>
            <w:pPr>
              <w:jc w:val="right"/>
              <w:ind w:right="181"/>
              <w:spacing w:after="0"/>
              <w:rPr>
                <w:sz w:val="20"/>
                <w:szCs w:val="20"/>
                <w:color w:val="auto"/>
              </w:rPr>
            </w:pPr>
            <w:r>
              <w:rPr>
                <w:rFonts w:ascii="Arial" w:cs="Arial" w:eastAsia="Arial" w:hAnsi="Arial"/>
                <w:sz w:val="17"/>
                <w:szCs w:val="17"/>
                <w:color w:val="auto"/>
              </w:rPr>
              <w:t>1,394</w:t>
            </w:r>
          </w:p>
        </w:tc>
      </w:tr>
      <w:tr>
        <w:trPr>
          <w:trHeight w:val="244"/>
        </w:trPr>
        <w:tc>
          <w:tcPr>
            <w:tcW w:w="260" w:type="dxa"/>
            <w:vAlign w:val="bottom"/>
          </w:tcPr>
          <w:p>
            <w:pPr>
              <w:spacing w:after="0"/>
              <w:rPr>
                <w:sz w:val="21"/>
                <w:szCs w:val="21"/>
                <w:color w:val="auto"/>
              </w:rPr>
            </w:pPr>
          </w:p>
        </w:tc>
        <w:tc>
          <w:tcPr>
            <w:tcW w:w="5060" w:type="dxa"/>
            <w:vAlign w:val="bottom"/>
            <w:shd w:val="clear" w:color="auto" w:fill="E9E9E9"/>
          </w:tcPr>
          <w:p>
            <w:pPr>
              <w:spacing w:after="0"/>
              <w:rPr>
                <w:sz w:val="20"/>
                <w:szCs w:val="20"/>
                <w:color w:val="auto"/>
              </w:rPr>
            </w:pPr>
            <w:r>
              <w:rPr>
                <w:rFonts w:ascii="Arial" w:cs="Arial" w:eastAsia="Arial" w:hAnsi="Arial"/>
                <w:sz w:val="17"/>
                <w:szCs w:val="17"/>
                <w:color w:val="auto"/>
              </w:rPr>
              <w:t>R. J. Simmons</w:t>
            </w:r>
          </w:p>
        </w:tc>
        <w:tc>
          <w:tcPr>
            <w:tcW w:w="2340" w:type="dxa"/>
            <w:vAlign w:val="bottom"/>
            <w:shd w:val="clear" w:color="auto" w:fill="E9E9E9"/>
          </w:tcPr>
          <w:p>
            <w:pPr>
              <w:jc w:val="right"/>
              <w:ind w:right="579"/>
              <w:spacing w:after="0"/>
              <w:rPr>
                <w:sz w:val="20"/>
                <w:szCs w:val="20"/>
                <w:color w:val="auto"/>
              </w:rPr>
            </w:pPr>
            <w:r>
              <w:rPr>
                <w:rFonts w:ascii="Arial" w:cs="Arial" w:eastAsia="Arial" w:hAnsi="Arial"/>
                <w:sz w:val="17"/>
                <w:szCs w:val="17"/>
                <w:color w:val="auto"/>
              </w:rPr>
              <w:t>92,500</w:t>
            </w:r>
          </w:p>
        </w:tc>
        <w:tc>
          <w:tcPr>
            <w:tcW w:w="1140" w:type="dxa"/>
            <w:vAlign w:val="bottom"/>
            <w:shd w:val="clear" w:color="auto" w:fill="E9E9E9"/>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18,000</w:t>
            </w:r>
          </w:p>
        </w:tc>
        <w:tc>
          <w:tcPr>
            <w:tcW w:w="1220" w:type="dxa"/>
            <w:vAlign w:val="bottom"/>
            <w:shd w:val="clear" w:color="auto" w:fill="E9E9E9"/>
          </w:tcPr>
          <w:p>
            <w:pPr>
              <w:jc w:val="right"/>
              <w:ind w:right="181"/>
              <w:spacing w:after="0"/>
              <w:rPr>
                <w:sz w:val="20"/>
                <w:szCs w:val="20"/>
                <w:color w:val="auto"/>
              </w:rPr>
            </w:pPr>
            <w:r>
              <w:rPr>
                <w:rFonts w:ascii="Arial" w:cs="Arial" w:eastAsia="Arial" w:hAnsi="Arial"/>
                <w:sz w:val="17"/>
                <w:szCs w:val="17"/>
                <w:color w:val="auto"/>
              </w:rPr>
              <w:t>15,382</w:t>
            </w:r>
          </w:p>
        </w:tc>
      </w:tr>
      <w:tr>
        <w:trPr>
          <w:trHeight w:val="228"/>
        </w:trPr>
        <w:tc>
          <w:tcPr>
            <w:tcW w:w="5320" w:type="dxa"/>
            <w:vAlign w:val="bottom"/>
            <w:gridSpan w:val="2"/>
          </w:tcPr>
          <w:p>
            <w:pPr>
              <w:ind w:left="260"/>
              <w:spacing w:after="0"/>
              <w:rPr>
                <w:sz w:val="20"/>
                <w:szCs w:val="20"/>
                <w:color w:val="auto"/>
              </w:rPr>
            </w:pPr>
            <w:r>
              <w:rPr>
                <w:rFonts w:ascii="Arial" w:cs="Arial" w:eastAsia="Arial" w:hAnsi="Arial"/>
                <w:sz w:val="17"/>
                <w:szCs w:val="17"/>
                <w:color w:val="auto"/>
              </w:rPr>
              <w:t>R. K. Templeton</w:t>
            </w:r>
          </w:p>
        </w:tc>
        <w:tc>
          <w:tcPr>
            <w:tcW w:w="2340" w:type="dxa"/>
            <w:vAlign w:val="bottom"/>
          </w:tcPr>
          <w:p>
            <w:pPr>
              <w:jc w:val="right"/>
              <w:ind w:right="579"/>
              <w:spacing w:after="0"/>
              <w:rPr>
                <w:sz w:val="20"/>
                <w:szCs w:val="20"/>
                <w:color w:val="auto"/>
              </w:rPr>
            </w:pPr>
            <w:r>
              <w:rPr>
                <w:rFonts w:ascii="Arial" w:cs="Arial" w:eastAsia="Arial" w:hAnsi="Arial"/>
                <w:sz w:val="17"/>
                <w:szCs w:val="17"/>
                <w:color w:val="auto"/>
              </w:rPr>
              <w:t>4,649,921</w:t>
            </w:r>
          </w:p>
        </w:tc>
        <w:tc>
          <w:tcPr>
            <w:tcW w:w="1140" w:type="dxa"/>
            <w:vAlign w:val="bottom"/>
          </w:tcPr>
          <w:p>
            <w:pPr>
              <w:jc w:val="right"/>
              <w:ind w:right="361"/>
              <w:spacing w:after="0"/>
              <w:rPr>
                <w:sz w:val="20"/>
                <w:szCs w:val="20"/>
                <w:color w:val="auto"/>
              </w:rPr>
            </w:pPr>
            <w:r>
              <w:rPr>
                <w:rFonts w:ascii="Arial" w:cs="Arial" w:eastAsia="Arial" w:hAnsi="Arial"/>
                <w:sz w:val="17"/>
                <w:szCs w:val="17"/>
                <w:color w:val="auto"/>
              </w:rPr>
              <w:t>11,759</w:t>
            </w:r>
          </w:p>
        </w:tc>
        <w:tc>
          <w:tcPr>
            <w:tcW w:w="1400" w:type="dxa"/>
            <w:vAlign w:val="bottom"/>
          </w:tcPr>
          <w:p>
            <w:pPr>
              <w:jc w:val="right"/>
              <w:ind w:right="299"/>
              <w:spacing w:after="0"/>
              <w:rPr>
                <w:sz w:val="20"/>
                <w:szCs w:val="20"/>
                <w:color w:val="auto"/>
              </w:rPr>
            </w:pPr>
            <w:r>
              <w:rPr>
                <w:rFonts w:ascii="Arial" w:cs="Arial" w:eastAsia="Arial" w:hAnsi="Arial"/>
                <w:sz w:val="17"/>
                <w:szCs w:val="17"/>
                <w:color w:val="auto"/>
              </w:rPr>
              <w:t>821,847</w:t>
            </w:r>
          </w:p>
        </w:tc>
        <w:tc>
          <w:tcPr>
            <w:tcW w:w="1220" w:type="dxa"/>
            <w:vAlign w:val="bottom"/>
          </w:tcPr>
          <w:p>
            <w:pPr>
              <w:jc w:val="right"/>
              <w:ind w:right="181"/>
              <w:spacing w:after="0"/>
              <w:rPr>
                <w:sz w:val="20"/>
                <w:szCs w:val="20"/>
                <w:color w:val="auto"/>
              </w:rPr>
            </w:pPr>
            <w:r>
              <w:rPr>
                <w:rFonts w:ascii="Arial" w:cs="Arial" w:eastAsia="Arial" w:hAnsi="Arial"/>
                <w:sz w:val="17"/>
                <w:szCs w:val="17"/>
                <w:color w:val="auto"/>
              </w:rPr>
              <w:t>—</w:t>
            </w:r>
          </w:p>
        </w:tc>
      </w:tr>
      <w:tr>
        <w:trPr>
          <w:trHeight w:val="244"/>
        </w:trPr>
        <w:tc>
          <w:tcPr>
            <w:tcW w:w="260" w:type="dxa"/>
            <w:vAlign w:val="bottom"/>
          </w:tcPr>
          <w:p>
            <w:pPr>
              <w:spacing w:after="0"/>
              <w:rPr>
                <w:sz w:val="21"/>
                <w:szCs w:val="21"/>
                <w:color w:val="auto"/>
              </w:rPr>
            </w:pPr>
          </w:p>
        </w:tc>
        <w:tc>
          <w:tcPr>
            <w:tcW w:w="5060" w:type="dxa"/>
            <w:vAlign w:val="bottom"/>
            <w:shd w:val="clear" w:color="auto" w:fill="E9E9E9"/>
          </w:tcPr>
          <w:p>
            <w:pPr>
              <w:spacing w:after="0"/>
              <w:rPr>
                <w:sz w:val="20"/>
                <w:szCs w:val="20"/>
                <w:color w:val="auto"/>
              </w:rPr>
            </w:pPr>
            <w:r>
              <w:rPr>
                <w:rFonts w:ascii="Arial" w:cs="Arial" w:eastAsia="Arial" w:hAnsi="Arial"/>
                <w:sz w:val="17"/>
                <w:szCs w:val="17"/>
                <w:color w:val="auto"/>
              </w:rPr>
              <w:t>C. T. Whitman</w:t>
            </w:r>
          </w:p>
        </w:tc>
        <w:tc>
          <w:tcPr>
            <w:tcW w:w="2340" w:type="dxa"/>
            <w:vAlign w:val="bottom"/>
            <w:shd w:val="clear" w:color="auto" w:fill="E9E9E9"/>
          </w:tcPr>
          <w:p>
            <w:pPr>
              <w:jc w:val="right"/>
              <w:ind w:right="579"/>
              <w:spacing w:after="0"/>
              <w:rPr>
                <w:sz w:val="20"/>
                <w:szCs w:val="20"/>
                <w:color w:val="auto"/>
              </w:rPr>
            </w:pPr>
            <w:r>
              <w:rPr>
                <w:rFonts w:ascii="Arial" w:cs="Arial" w:eastAsia="Arial" w:hAnsi="Arial"/>
                <w:sz w:val="17"/>
                <w:szCs w:val="17"/>
                <w:color w:val="auto"/>
              </w:rPr>
              <w:t>62,500</w:t>
            </w:r>
          </w:p>
        </w:tc>
        <w:tc>
          <w:tcPr>
            <w:tcW w:w="1140" w:type="dxa"/>
            <w:vAlign w:val="bottom"/>
            <w:shd w:val="clear" w:color="auto" w:fill="E9E9E9"/>
          </w:tcPr>
          <w:p>
            <w:pPr>
              <w:jc w:val="right"/>
              <w:ind w:right="361"/>
              <w:spacing w:after="0"/>
              <w:rPr>
                <w:sz w:val="20"/>
                <w:szCs w:val="20"/>
                <w:color w:val="auto"/>
              </w:rPr>
            </w:pPr>
            <w:r>
              <w:rPr>
                <w:rFonts w:ascii="Arial" w:cs="Arial" w:eastAsia="Arial" w:hAnsi="Arial"/>
                <w:sz w:val="17"/>
                <w:szCs w:val="17"/>
                <w:color w:val="auto"/>
              </w:rPr>
              <w:t>—</w:t>
            </w:r>
          </w:p>
        </w:tc>
        <w:tc>
          <w:tcPr>
            <w:tcW w:w="1400" w:type="dxa"/>
            <w:vAlign w:val="bottom"/>
            <w:shd w:val="clear" w:color="auto" w:fill="E9E9E9"/>
          </w:tcPr>
          <w:p>
            <w:pPr>
              <w:jc w:val="right"/>
              <w:ind w:right="299"/>
              <w:spacing w:after="0"/>
              <w:rPr>
                <w:sz w:val="20"/>
                <w:szCs w:val="20"/>
                <w:color w:val="auto"/>
              </w:rPr>
            </w:pPr>
            <w:r>
              <w:rPr>
                <w:rFonts w:ascii="Arial" w:cs="Arial" w:eastAsia="Arial" w:hAnsi="Arial"/>
                <w:sz w:val="17"/>
                <w:szCs w:val="17"/>
                <w:color w:val="auto"/>
              </w:rPr>
              <w:t>12,000</w:t>
            </w:r>
          </w:p>
        </w:tc>
        <w:tc>
          <w:tcPr>
            <w:tcW w:w="1220" w:type="dxa"/>
            <w:vAlign w:val="bottom"/>
            <w:shd w:val="clear" w:color="auto" w:fill="E9E9E9"/>
          </w:tcPr>
          <w:p>
            <w:pPr>
              <w:jc w:val="right"/>
              <w:ind w:right="181"/>
              <w:spacing w:after="0"/>
              <w:rPr>
                <w:sz w:val="20"/>
                <w:szCs w:val="20"/>
                <w:color w:val="auto"/>
              </w:rPr>
            </w:pPr>
            <w:r>
              <w:rPr>
                <w:rFonts w:ascii="Arial" w:cs="Arial" w:eastAsia="Arial" w:hAnsi="Arial"/>
                <w:sz w:val="17"/>
                <w:szCs w:val="17"/>
                <w:color w:val="auto"/>
              </w:rPr>
              <w:t>6,644</w:t>
            </w:r>
          </w:p>
        </w:tc>
      </w:tr>
    </w:tbl>
    <w:p>
      <w:pPr>
        <w:spacing w:after="0" w:line="239" w:lineRule="exact"/>
        <w:rPr>
          <w:sz w:val="20"/>
          <w:szCs w:val="20"/>
          <w:color w:val="auto"/>
        </w:rPr>
      </w:pPr>
    </w:p>
    <w:p>
      <w:pPr>
        <w:ind w:left="740" w:right="80" w:hanging="473"/>
        <w:spacing w:after="0" w:line="252" w:lineRule="auto"/>
        <w:tabs>
          <w:tab w:leader="none" w:pos="7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Mr. Sanchez was elected to the board effective March 15, 2011. As of that date he will be granted 2,000 restricted stock units pursuant to the terms of the 2009 Director Compensation Plan. For a discussion of that plan, please see pages 58-59.</w:t>
      </w:r>
    </w:p>
    <w:p>
      <w:pPr>
        <w:spacing w:after="0" w:line="218" w:lineRule="exact"/>
        <w:rPr>
          <w:rFonts w:ascii="Arial" w:cs="Arial" w:eastAsia="Arial" w:hAnsi="Arial"/>
          <w:sz w:val="17"/>
          <w:szCs w:val="17"/>
          <w:color w:val="auto"/>
        </w:rPr>
      </w:pPr>
    </w:p>
    <w:p>
      <w:pPr>
        <w:ind w:left="740" w:right="180" w:hanging="473"/>
        <w:spacing w:after="0" w:line="246" w:lineRule="auto"/>
        <w:tabs>
          <w:tab w:leader="none" w:pos="7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non-employee directors’ restricted stock units granted before 2007 are settled in TI stock generally upon the director’s termination of service provided he or she has served at least eight years or has reached the company’s retirement age for directors. Restricted stock units granted after 2006 are settled in TI stock generally upon the fourth anniversary of the grant date.</w:t>
      </w:r>
    </w:p>
    <w:p>
      <w:pPr>
        <w:spacing w:after="0" w:line="224" w:lineRule="exact"/>
        <w:rPr>
          <w:rFonts w:ascii="Arial" w:cs="Arial" w:eastAsia="Arial" w:hAnsi="Arial"/>
          <w:sz w:val="17"/>
          <w:szCs w:val="17"/>
          <w:color w:val="auto"/>
        </w:rPr>
      </w:pPr>
    </w:p>
    <w:p>
      <w:pPr>
        <w:ind w:left="740" w:hanging="473"/>
        <w:spacing w:after="0"/>
        <w:tabs>
          <w:tab w:leader="none" w:pos="7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shares in deferred compensation accounts are issued following the director’s termination of service.</w:t>
      </w:r>
    </w:p>
    <w:p>
      <w:pPr>
        <w:spacing w:after="0" w:line="237" w:lineRule="exact"/>
        <w:rPr>
          <w:rFonts w:ascii="Arial" w:cs="Arial" w:eastAsia="Arial" w:hAnsi="Arial"/>
          <w:sz w:val="17"/>
          <w:szCs w:val="17"/>
          <w:color w:val="auto"/>
        </w:rPr>
      </w:pPr>
    </w:p>
    <w:p>
      <w:pPr>
        <w:ind w:left="260" w:hanging="255"/>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Included in the shares owned shown above are:</w:t>
      </w:r>
    </w:p>
    <w:p>
      <w:pPr>
        <w:spacing w:after="0" w:line="257"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980" w:type="dxa"/>
            <w:vAlign w:val="bottom"/>
          </w:tcPr>
          <w:p>
            <w:pPr>
              <w:spacing w:after="0"/>
              <w:rPr>
                <w:sz w:val="15"/>
                <w:szCs w:val="15"/>
                <w:color w:val="auto"/>
              </w:rPr>
            </w:pPr>
          </w:p>
        </w:tc>
      </w:tr>
      <w:tr>
        <w:trPr>
          <w:trHeight w:val="236"/>
        </w:trPr>
        <w:tc>
          <w:tcPr>
            <w:tcW w:w="45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00" w:type="dxa"/>
            <w:vAlign w:val="bottom"/>
          </w:tcPr>
          <w:p>
            <w:pPr>
              <w:jc w:val="right"/>
              <w:ind w:right="286"/>
              <w:spacing w:after="0"/>
              <w:rPr>
                <w:sz w:val="20"/>
                <w:szCs w:val="20"/>
                <w:color w:val="auto"/>
              </w:rPr>
            </w:pPr>
            <w:r>
              <w:rPr>
                <w:rFonts w:ascii="Arial" w:cs="Arial" w:eastAsia="Arial" w:hAnsi="Arial"/>
                <w:sz w:val="13"/>
                <w:szCs w:val="13"/>
                <w:b w:val="1"/>
                <w:bCs w:val="1"/>
                <w:color w:val="auto"/>
              </w:rPr>
              <w:t>Credited</w:t>
            </w:r>
          </w:p>
        </w:tc>
        <w:tc>
          <w:tcPr>
            <w:tcW w:w="980" w:type="dxa"/>
            <w:vAlign w:val="bottom"/>
          </w:tcPr>
          <w:p>
            <w:pPr>
              <w:spacing w:after="0"/>
              <w:rPr>
                <w:sz w:val="20"/>
                <w:szCs w:val="20"/>
                <w:color w:val="auto"/>
              </w:rPr>
            </w:pPr>
          </w:p>
        </w:tc>
      </w:tr>
      <w:tr>
        <w:trPr>
          <w:trHeight w:val="236"/>
        </w:trPr>
        <w:tc>
          <w:tcPr>
            <w:tcW w:w="4500" w:type="dxa"/>
            <w:vAlign w:val="bottom"/>
          </w:tcPr>
          <w:p>
            <w:pPr>
              <w:spacing w:after="0"/>
              <w:rPr>
                <w:sz w:val="20"/>
                <w:szCs w:val="20"/>
                <w:color w:val="auto"/>
              </w:rPr>
            </w:pPr>
          </w:p>
        </w:tc>
        <w:tc>
          <w:tcPr>
            <w:tcW w:w="4480" w:type="dxa"/>
            <w:vAlign w:val="bottom"/>
          </w:tcPr>
          <w:p>
            <w:pPr>
              <w:jc w:val="center"/>
              <w:ind w:left="3203"/>
              <w:spacing w:after="0"/>
              <w:rPr>
                <w:sz w:val="20"/>
                <w:szCs w:val="20"/>
                <w:color w:val="auto"/>
              </w:rPr>
            </w:pPr>
            <w:r>
              <w:rPr>
                <w:rFonts w:ascii="Arial" w:cs="Arial" w:eastAsia="Arial" w:hAnsi="Arial"/>
                <w:sz w:val="13"/>
                <w:szCs w:val="13"/>
                <w:b w:val="1"/>
                <w:bCs w:val="1"/>
                <w:color w:val="auto"/>
              </w:rPr>
              <w:t>Shares</w:t>
            </w:r>
          </w:p>
        </w:tc>
        <w:tc>
          <w:tcPr>
            <w:tcW w:w="1200" w:type="dxa"/>
            <w:vAlign w:val="bottom"/>
          </w:tcPr>
          <w:p>
            <w:pPr>
              <w:jc w:val="right"/>
              <w:ind w:right="106"/>
              <w:spacing w:after="0"/>
              <w:rPr>
                <w:sz w:val="20"/>
                <w:szCs w:val="20"/>
                <w:color w:val="auto"/>
              </w:rPr>
            </w:pPr>
            <w:r>
              <w:rPr>
                <w:rFonts w:ascii="Arial" w:cs="Arial" w:eastAsia="Arial" w:hAnsi="Arial"/>
                <w:sz w:val="13"/>
                <w:szCs w:val="13"/>
                <w:b w:val="1"/>
                <w:bCs w:val="1"/>
                <w:color w:val="auto"/>
              </w:rPr>
              <w:t>to 401(k) and</w:t>
            </w:r>
          </w:p>
        </w:tc>
        <w:tc>
          <w:tcPr>
            <w:tcW w:w="980" w:type="dxa"/>
            <w:vAlign w:val="bottom"/>
          </w:tcPr>
          <w:p>
            <w:pPr>
              <w:jc w:val="center"/>
              <w:ind w:left="23"/>
              <w:spacing w:after="0"/>
              <w:rPr>
                <w:sz w:val="20"/>
                <w:szCs w:val="20"/>
                <w:color w:val="auto"/>
              </w:rPr>
            </w:pPr>
            <w:r>
              <w:rPr>
                <w:rFonts w:ascii="Arial" w:cs="Arial" w:eastAsia="Arial" w:hAnsi="Arial"/>
                <w:sz w:val="13"/>
                <w:szCs w:val="13"/>
                <w:b w:val="1"/>
                <w:bCs w:val="1"/>
                <w:color w:val="auto"/>
              </w:rPr>
              <w:t>Restricted</w:t>
            </w:r>
          </w:p>
        </w:tc>
      </w:tr>
      <w:tr>
        <w:trPr>
          <w:trHeight w:val="236"/>
        </w:trPr>
        <w:tc>
          <w:tcPr>
            <w:tcW w:w="4500" w:type="dxa"/>
            <w:vAlign w:val="bottom"/>
          </w:tcPr>
          <w:p>
            <w:pPr>
              <w:spacing w:after="0"/>
              <w:rPr>
                <w:sz w:val="20"/>
                <w:szCs w:val="20"/>
                <w:color w:val="auto"/>
              </w:rPr>
            </w:pPr>
          </w:p>
        </w:tc>
        <w:tc>
          <w:tcPr>
            <w:tcW w:w="4480" w:type="dxa"/>
            <w:vAlign w:val="bottom"/>
          </w:tcPr>
          <w:p>
            <w:pPr>
              <w:jc w:val="center"/>
              <w:ind w:left="3203"/>
              <w:spacing w:after="0"/>
              <w:rPr>
                <w:sz w:val="20"/>
                <w:szCs w:val="20"/>
                <w:color w:val="auto"/>
              </w:rPr>
            </w:pPr>
            <w:r>
              <w:rPr>
                <w:rFonts w:ascii="Arial" w:cs="Arial" w:eastAsia="Arial" w:hAnsi="Arial"/>
                <w:sz w:val="13"/>
                <w:szCs w:val="13"/>
                <w:b w:val="1"/>
                <w:bCs w:val="1"/>
                <w:color w:val="auto"/>
              </w:rPr>
              <w:t>Obtainable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9"/>
              </w:rPr>
              <w:t>Profit Sharing</w:t>
            </w:r>
          </w:p>
        </w:tc>
        <w:tc>
          <w:tcPr>
            <w:tcW w:w="980" w:type="dxa"/>
            <w:vAlign w:val="bottom"/>
          </w:tcPr>
          <w:p>
            <w:pPr>
              <w:jc w:val="center"/>
              <w:ind w:left="23"/>
              <w:spacing w:after="0"/>
              <w:rPr>
                <w:sz w:val="20"/>
                <w:szCs w:val="20"/>
                <w:color w:val="auto"/>
              </w:rPr>
            </w:pPr>
            <w:r>
              <w:rPr>
                <w:rFonts w:ascii="Arial" w:cs="Arial" w:eastAsia="Arial" w:hAnsi="Arial"/>
                <w:sz w:val="13"/>
                <w:szCs w:val="13"/>
                <w:b w:val="1"/>
                <w:bCs w:val="1"/>
                <w:color w:val="auto"/>
              </w:rPr>
              <w:t>Stock Units</w:t>
            </w:r>
          </w:p>
        </w:tc>
      </w:tr>
      <w:tr>
        <w:trPr>
          <w:trHeight w:val="236"/>
        </w:trPr>
        <w:tc>
          <w:tcPr>
            <w:tcW w:w="4500" w:type="dxa"/>
            <w:vAlign w:val="bottom"/>
          </w:tcPr>
          <w:p>
            <w:pPr>
              <w:spacing w:after="0"/>
              <w:rPr>
                <w:sz w:val="20"/>
                <w:szCs w:val="20"/>
                <w:color w:val="auto"/>
              </w:rPr>
            </w:pPr>
            <w:r>
              <w:rPr>
                <w:rFonts w:ascii="Arial" w:cs="Arial" w:eastAsia="Arial" w:hAnsi="Arial"/>
                <w:sz w:val="13"/>
                <w:szCs w:val="13"/>
                <w:b w:val="1"/>
                <w:bCs w:val="1"/>
                <w:color w:val="auto"/>
              </w:rPr>
              <w:t>Executive Officer</w:t>
            </w:r>
          </w:p>
        </w:tc>
        <w:tc>
          <w:tcPr>
            <w:tcW w:w="4480" w:type="dxa"/>
            <w:vAlign w:val="bottom"/>
          </w:tcPr>
          <w:p>
            <w:pPr>
              <w:jc w:val="center"/>
              <w:ind w:left="3203"/>
              <w:spacing w:after="0"/>
              <w:rPr>
                <w:sz w:val="20"/>
                <w:szCs w:val="20"/>
                <w:color w:val="auto"/>
              </w:rPr>
            </w:pPr>
            <w:r>
              <w:rPr>
                <w:rFonts w:ascii="Arial" w:cs="Arial" w:eastAsia="Arial" w:hAnsi="Arial"/>
                <w:sz w:val="13"/>
                <w:szCs w:val="13"/>
                <w:b w:val="1"/>
                <w:bCs w:val="1"/>
                <w:color w:val="auto"/>
              </w:rPr>
              <w:t>within 60 Days</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Accounts</w:t>
            </w:r>
          </w:p>
        </w:tc>
        <w:tc>
          <w:tcPr>
            <w:tcW w:w="980" w:type="dxa"/>
            <w:vAlign w:val="bottom"/>
          </w:tcPr>
          <w:p>
            <w:pPr>
              <w:jc w:val="center"/>
              <w:ind w:left="3"/>
              <w:spacing w:after="0"/>
              <w:rPr>
                <w:sz w:val="20"/>
                <w:szCs w:val="20"/>
                <w:color w:val="auto"/>
              </w:rPr>
            </w:pPr>
            <w:r>
              <w:rPr>
                <w:rFonts w:ascii="Arial" w:cs="Arial" w:eastAsia="Arial" w:hAnsi="Arial"/>
                <w:sz w:val="13"/>
                <w:szCs w:val="13"/>
                <w:b w:val="1"/>
                <w:bCs w:val="1"/>
                <w:color w:val="auto"/>
                <w:w w:val="98"/>
              </w:rPr>
              <w:t>(in Shares)</w:t>
            </w:r>
          </w:p>
        </w:tc>
      </w:tr>
      <w:tr>
        <w:trPr>
          <w:trHeight w:val="41"/>
        </w:trPr>
        <w:tc>
          <w:tcPr>
            <w:tcW w:w="4500" w:type="dxa"/>
            <w:vAlign w:val="bottom"/>
          </w:tcPr>
          <w:p>
            <w:pPr>
              <w:spacing w:after="0"/>
              <w:rPr>
                <w:sz w:val="3"/>
                <w:szCs w:val="3"/>
                <w:color w:val="auto"/>
              </w:rPr>
            </w:pPr>
          </w:p>
        </w:tc>
        <w:tc>
          <w:tcPr>
            <w:tcW w:w="4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66"/>
        </w:trPr>
        <w:tc>
          <w:tcPr>
            <w:tcW w:w="4500" w:type="dxa"/>
            <w:vAlign w:val="bottom"/>
            <w:shd w:val="clear" w:color="auto" w:fill="808285"/>
          </w:tcPr>
          <w:p>
            <w:pPr>
              <w:spacing w:after="0"/>
              <w:rPr>
                <w:sz w:val="5"/>
                <w:szCs w:val="5"/>
                <w:color w:val="auto"/>
              </w:rPr>
            </w:pPr>
          </w:p>
        </w:tc>
        <w:tc>
          <w:tcPr>
            <w:tcW w:w="4480" w:type="dxa"/>
            <w:vAlign w:val="bottom"/>
            <w:shd w:val="clear" w:color="auto" w:fill="808285"/>
          </w:tcPr>
          <w:p>
            <w:pPr>
              <w:spacing w:after="0"/>
              <w:rPr>
                <w:sz w:val="5"/>
                <w:szCs w:val="5"/>
                <w:color w:val="auto"/>
              </w:rPr>
            </w:pPr>
          </w:p>
        </w:tc>
        <w:tc>
          <w:tcPr>
            <w:tcW w:w="1200" w:type="dxa"/>
            <w:vAlign w:val="bottom"/>
            <w:shd w:val="clear" w:color="auto" w:fill="808285"/>
          </w:tcPr>
          <w:p>
            <w:pPr>
              <w:spacing w:after="0"/>
              <w:rPr>
                <w:sz w:val="5"/>
                <w:szCs w:val="5"/>
                <w:color w:val="auto"/>
              </w:rPr>
            </w:pPr>
          </w:p>
        </w:tc>
        <w:tc>
          <w:tcPr>
            <w:tcW w:w="980" w:type="dxa"/>
            <w:vAlign w:val="bottom"/>
            <w:shd w:val="clear" w:color="auto" w:fill="808285"/>
          </w:tcPr>
          <w:p>
            <w:pPr>
              <w:spacing w:after="0"/>
              <w:rPr>
                <w:sz w:val="5"/>
                <w:szCs w:val="5"/>
                <w:color w:val="auto"/>
              </w:rPr>
            </w:pPr>
          </w:p>
        </w:tc>
      </w:tr>
      <w:tr>
        <w:trPr>
          <w:trHeight w:val="236"/>
        </w:trPr>
        <w:tc>
          <w:tcPr>
            <w:tcW w:w="4500" w:type="dxa"/>
            <w:vAlign w:val="bottom"/>
            <w:shd w:val="clear" w:color="auto" w:fill="E9E9E9"/>
          </w:tcPr>
          <w:p>
            <w:pPr>
              <w:spacing w:after="0"/>
              <w:rPr>
                <w:sz w:val="20"/>
                <w:szCs w:val="20"/>
                <w:color w:val="auto"/>
              </w:rPr>
            </w:pPr>
            <w:r>
              <w:rPr>
                <w:rFonts w:ascii="Arial" w:cs="Arial" w:eastAsia="Arial" w:hAnsi="Arial"/>
                <w:sz w:val="17"/>
                <w:szCs w:val="17"/>
                <w:color w:val="auto"/>
              </w:rPr>
              <w:t>K. P. March</w:t>
            </w:r>
          </w:p>
        </w:tc>
        <w:tc>
          <w:tcPr>
            <w:tcW w:w="4480" w:type="dxa"/>
            <w:vAlign w:val="bottom"/>
            <w:shd w:val="clear" w:color="auto" w:fill="E9E9E9"/>
          </w:tcPr>
          <w:p>
            <w:pPr>
              <w:jc w:val="center"/>
              <w:ind w:left="3183"/>
              <w:spacing w:after="0"/>
              <w:rPr>
                <w:sz w:val="20"/>
                <w:szCs w:val="20"/>
                <w:color w:val="auto"/>
              </w:rPr>
            </w:pPr>
            <w:r>
              <w:rPr>
                <w:rFonts w:ascii="Arial" w:cs="Arial" w:eastAsia="Arial" w:hAnsi="Arial"/>
                <w:sz w:val="17"/>
                <w:szCs w:val="17"/>
                <w:color w:val="auto"/>
              </w:rPr>
              <w:t>691,953</w:t>
            </w:r>
          </w:p>
        </w:tc>
        <w:tc>
          <w:tcPr>
            <w:tcW w:w="1200" w:type="dxa"/>
            <w:vAlign w:val="bottom"/>
            <w:shd w:val="clear" w:color="auto" w:fill="E9E9E9"/>
          </w:tcPr>
          <w:p>
            <w:pPr>
              <w:jc w:val="right"/>
              <w:ind w:right="286"/>
              <w:spacing w:after="0"/>
              <w:rPr>
                <w:sz w:val="20"/>
                <w:szCs w:val="20"/>
                <w:color w:val="auto"/>
              </w:rPr>
            </w:pPr>
            <w:r>
              <w:rPr>
                <w:rFonts w:ascii="Arial" w:cs="Arial" w:eastAsia="Arial" w:hAnsi="Arial"/>
                <w:sz w:val="17"/>
                <w:szCs w:val="17"/>
                <w:color w:val="auto"/>
              </w:rPr>
              <w:t>1,896</w:t>
            </w:r>
          </w:p>
        </w:tc>
        <w:tc>
          <w:tcPr>
            <w:tcW w:w="980" w:type="dxa"/>
            <w:vAlign w:val="bottom"/>
            <w:shd w:val="clear" w:color="auto" w:fill="E9E9E9"/>
          </w:tcPr>
          <w:p>
            <w:pPr>
              <w:jc w:val="center"/>
              <w:ind w:left="3"/>
              <w:spacing w:after="0"/>
              <w:rPr>
                <w:sz w:val="20"/>
                <w:szCs w:val="20"/>
                <w:color w:val="auto"/>
              </w:rPr>
            </w:pPr>
            <w:r>
              <w:rPr>
                <w:rFonts w:ascii="Arial" w:cs="Arial" w:eastAsia="Arial" w:hAnsi="Arial"/>
                <w:sz w:val="17"/>
                <w:szCs w:val="17"/>
                <w:color w:val="auto"/>
              </w:rPr>
              <w:t>187,085</w:t>
            </w:r>
          </w:p>
        </w:tc>
      </w:tr>
      <w:tr>
        <w:trPr>
          <w:trHeight w:val="228"/>
        </w:trPr>
        <w:tc>
          <w:tcPr>
            <w:tcW w:w="4500" w:type="dxa"/>
            <w:vAlign w:val="bottom"/>
          </w:tcPr>
          <w:p>
            <w:pPr>
              <w:spacing w:after="0"/>
              <w:rPr>
                <w:sz w:val="20"/>
                <w:szCs w:val="20"/>
                <w:color w:val="auto"/>
              </w:rPr>
            </w:pPr>
            <w:r>
              <w:rPr>
                <w:rFonts w:ascii="Arial" w:cs="Arial" w:eastAsia="Arial" w:hAnsi="Arial"/>
                <w:sz w:val="17"/>
                <w:szCs w:val="17"/>
                <w:color w:val="auto"/>
              </w:rPr>
              <w:t>G. A. Lowe</w:t>
            </w:r>
          </w:p>
        </w:tc>
        <w:tc>
          <w:tcPr>
            <w:tcW w:w="4480" w:type="dxa"/>
            <w:vAlign w:val="bottom"/>
          </w:tcPr>
          <w:p>
            <w:pPr>
              <w:jc w:val="center"/>
              <w:ind w:left="3183"/>
              <w:spacing w:after="0"/>
              <w:rPr>
                <w:sz w:val="20"/>
                <w:szCs w:val="20"/>
                <w:color w:val="auto"/>
              </w:rPr>
            </w:pPr>
            <w:r>
              <w:rPr>
                <w:rFonts w:ascii="Arial" w:cs="Arial" w:eastAsia="Arial" w:hAnsi="Arial"/>
                <w:sz w:val="17"/>
                <w:szCs w:val="17"/>
                <w:color w:val="auto"/>
              </w:rPr>
              <w:t>794,566</w:t>
            </w:r>
          </w:p>
        </w:tc>
        <w:tc>
          <w:tcPr>
            <w:tcW w:w="1200" w:type="dxa"/>
            <w:vAlign w:val="bottom"/>
          </w:tcPr>
          <w:p>
            <w:pPr>
              <w:jc w:val="right"/>
              <w:ind w:right="286"/>
              <w:spacing w:after="0"/>
              <w:rPr>
                <w:sz w:val="20"/>
                <w:szCs w:val="20"/>
                <w:color w:val="auto"/>
              </w:rPr>
            </w:pPr>
            <w:r>
              <w:rPr>
                <w:rFonts w:ascii="Arial" w:cs="Arial" w:eastAsia="Arial" w:hAnsi="Arial"/>
                <w:sz w:val="17"/>
                <w:szCs w:val="17"/>
                <w:color w:val="auto"/>
              </w:rPr>
              <w:t>3,655</w:t>
            </w:r>
          </w:p>
        </w:tc>
        <w:tc>
          <w:tcPr>
            <w:tcW w:w="980" w:type="dxa"/>
            <w:vAlign w:val="bottom"/>
          </w:tcPr>
          <w:p>
            <w:pPr>
              <w:jc w:val="center"/>
              <w:ind w:left="3"/>
              <w:spacing w:after="0"/>
              <w:rPr>
                <w:sz w:val="20"/>
                <w:szCs w:val="20"/>
                <w:color w:val="auto"/>
              </w:rPr>
            </w:pPr>
            <w:r>
              <w:rPr>
                <w:rFonts w:ascii="Arial" w:cs="Arial" w:eastAsia="Arial" w:hAnsi="Arial"/>
                <w:sz w:val="17"/>
                <w:szCs w:val="17"/>
                <w:color w:val="auto"/>
              </w:rPr>
              <w:t>305,835</w:t>
            </w:r>
          </w:p>
        </w:tc>
      </w:tr>
      <w:tr>
        <w:trPr>
          <w:trHeight w:val="244"/>
        </w:trPr>
        <w:tc>
          <w:tcPr>
            <w:tcW w:w="4500" w:type="dxa"/>
            <w:vAlign w:val="bottom"/>
            <w:shd w:val="clear" w:color="auto" w:fill="E9E9E9"/>
          </w:tcPr>
          <w:p>
            <w:pPr>
              <w:spacing w:after="0"/>
              <w:rPr>
                <w:sz w:val="20"/>
                <w:szCs w:val="20"/>
                <w:color w:val="auto"/>
              </w:rPr>
            </w:pPr>
            <w:r>
              <w:rPr>
                <w:rFonts w:ascii="Arial" w:cs="Arial" w:eastAsia="Arial" w:hAnsi="Arial"/>
                <w:sz w:val="17"/>
                <w:szCs w:val="17"/>
                <w:color w:val="auto"/>
              </w:rPr>
              <w:t>B. T. Crutcher</w:t>
            </w:r>
          </w:p>
        </w:tc>
        <w:tc>
          <w:tcPr>
            <w:tcW w:w="4480" w:type="dxa"/>
            <w:vAlign w:val="bottom"/>
            <w:shd w:val="clear" w:color="auto" w:fill="E9E9E9"/>
          </w:tcPr>
          <w:p>
            <w:pPr>
              <w:jc w:val="center"/>
              <w:ind w:left="3183"/>
              <w:spacing w:after="0"/>
              <w:rPr>
                <w:sz w:val="20"/>
                <w:szCs w:val="20"/>
                <w:color w:val="auto"/>
              </w:rPr>
            </w:pPr>
            <w:r>
              <w:rPr>
                <w:rFonts w:ascii="Arial" w:cs="Arial" w:eastAsia="Arial" w:hAnsi="Arial"/>
                <w:sz w:val="17"/>
                <w:szCs w:val="17"/>
                <w:color w:val="auto"/>
              </w:rPr>
              <w:t>206,791</w:t>
            </w:r>
          </w:p>
        </w:tc>
        <w:tc>
          <w:tcPr>
            <w:tcW w:w="1200" w:type="dxa"/>
            <w:vAlign w:val="bottom"/>
            <w:shd w:val="clear" w:color="auto" w:fill="E9E9E9"/>
          </w:tcPr>
          <w:p>
            <w:pPr>
              <w:jc w:val="right"/>
              <w:ind w:right="286"/>
              <w:spacing w:after="0"/>
              <w:rPr>
                <w:sz w:val="20"/>
                <w:szCs w:val="20"/>
                <w:color w:val="auto"/>
              </w:rPr>
            </w:pPr>
            <w:r>
              <w:rPr>
                <w:rFonts w:ascii="Arial" w:cs="Arial" w:eastAsia="Arial" w:hAnsi="Arial"/>
                <w:sz w:val="17"/>
                <w:szCs w:val="17"/>
                <w:color w:val="auto"/>
              </w:rPr>
              <w:t>1,829</w:t>
            </w:r>
          </w:p>
        </w:tc>
        <w:tc>
          <w:tcPr>
            <w:tcW w:w="980" w:type="dxa"/>
            <w:vAlign w:val="bottom"/>
            <w:shd w:val="clear" w:color="auto" w:fill="E9E9E9"/>
          </w:tcPr>
          <w:p>
            <w:pPr>
              <w:jc w:val="center"/>
              <w:ind w:left="3"/>
              <w:spacing w:after="0"/>
              <w:rPr>
                <w:sz w:val="20"/>
                <w:szCs w:val="20"/>
                <w:color w:val="auto"/>
              </w:rPr>
            </w:pPr>
            <w:r>
              <w:rPr>
                <w:rFonts w:ascii="Arial" w:cs="Arial" w:eastAsia="Arial" w:hAnsi="Arial"/>
                <w:sz w:val="17"/>
                <w:szCs w:val="17"/>
                <w:color w:val="auto"/>
              </w:rPr>
              <w:t>213,334</w:t>
            </w:r>
          </w:p>
        </w:tc>
      </w:tr>
      <w:tr>
        <w:trPr>
          <w:trHeight w:val="220"/>
        </w:trPr>
        <w:tc>
          <w:tcPr>
            <w:tcW w:w="4500" w:type="dxa"/>
            <w:vAlign w:val="bottom"/>
          </w:tcPr>
          <w:p>
            <w:pPr>
              <w:spacing w:after="0"/>
              <w:rPr>
                <w:sz w:val="20"/>
                <w:szCs w:val="20"/>
                <w:color w:val="auto"/>
              </w:rPr>
            </w:pPr>
            <w:r>
              <w:rPr>
                <w:rFonts w:ascii="Arial" w:cs="Arial" w:eastAsia="Arial" w:hAnsi="Arial"/>
                <w:sz w:val="17"/>
                <w:szCs w:val="17"/>
                <w:color w:val="auto"/>
              </w:rPr>
              <w:t>K. J. Ritchie</w:t>
            </w:r>
          </w:p>
        </w:tc>
        <w:tc>
          <w:tcPr>
            <w:tcW w:w="4480" w:type="dxa"/>
            <w:vAlign w:val="bottom"/>
          </w:tcPr>
          <w:p>
            <w:pPr>
              <w:jc w:val="center"/>
              <w:ind w:left="3183"/>
              <w:spacing w:after="0"/>
              <w:rPr>
                <w:sz w:val="20"/>
                <w:szCs w:val="20"/>
                <w:color w:val="auto"/>
              </w:rPr>
            </w:pPr>
            <w:r>
              <w:rPr>
                <w:rFonts w:ascii="Arial" w:cs="Arial" w:eastAsia="Arial" w:hAnsi="Arial"/>
                <w:sz w:val="17"/>
                <w:szCs w:val="17"/>
                <w:color w:val="auto"/>
              </w:rPr>
              <w:t>911,975</w:t>
            </w:r>
          </w:p>
        </w:tc>
        <w:tc>
          <w:tcPr>
            <w:tcW w:w="1200" w:type="dxa"/>
            <w:vAlign w:val="bottom"/>
          </w:tcPr>
          <w:p>
            <w:pPr>
              <w:jc w:val="right"/>
              <w:ind w:right="286"/>
              <w:spacing w:after="0"/>
              <w:rPr>
                <w:sz w:val="20"/>
                <w:szCs w:val="20"/>
                <w:color w:val="auto"/>
              </w:rPr>
            </w:pPr>
            <w:r>
              <w:rPr>
                <w:rFonts w:ascii="Arial" w:cs="Arial" w:eastAsia="Arial" w:hAnsi="Arial"/>
                <w:sz w:val="17"/>
                <w:szCs w:val="17"/>
                <w:color w:val="auto"/>
              </w:rPr>
              <w:t>8,247</w:t>
            </w:r>
          </w:p>
        </w:tc>
        <w:tc>
          <w:tcPr>
            <w:tcW w:w="980" w:type="dxa"/>
            <w:vAlign w:val="bottom"/>
          </w:tcPr>
          <w:p>
            <w:pPr>
              <w:jc w:val="center"/>
              <w:ind w:left="3"/>
              <w:spacing w:after="0"/>
              <w:rPr>
                <w:sz w:val="20"/>
                <w:szCs w:val="20"/>
                <w:color w:val="auto"/>
              </w:rPr>
            </w:pPr>
            <w:r>
              <w:rPr>
                <w:rFonts w:ascii="Arial" w:cs="Arial" w:eastAsia="Arial" w:hAnsi="Arial"/>
                <w:sz w:val="17"/>
                <w:szCs w:val="17"/>
                <w:color w:val="auto"/>
              </w:rPr>
              <w:t>245,835</w:t>
            </w:r>
          </w:p>
        </w:tc>
      </w:tr>
    </w:tbl>
    <w:p>
      <w:pPr>
        <w:spacing w:after="0" w:line="255" w:lineRule="exact"/>
        <w:rPr>
          <w:sz w:val="20"/>
          <w:szCs w:val="20"/>
          <w:color w:val="auto"/>
        </w:rPr>
      </w:pPr>
    </w:p>
    <w:p>
      <w:pPr>
        <w:ind w:left="260" w:hanging="255"/>
        <w:spacing w:after="0"/>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w:t>
      </w:r>
    </w:p>
    <w:p>
      <w:pPr>
        <w:spacing w:after="0" w:line="237" w:lineRule="exact"/>
        <w:rPr>
          <w:rFonts w:ascii="Arial" w:cs="Arial" w:eastAsia="Arial" w:hAnsi="Arial"/>
          <w:sz w:val="17"/>
          <w:szCs w:val="17"/>
          <w:color w:val="auto"/>
        </w:rPr>
      </w:pPr>
    </w:p>
    <w:p>
      <w:pPr>
        <w:ind w:left="740" w:hanging="473"/>
        <w:spacing w:after="0"/>
        <w:tabs>
          <w:tab w:leader="none" w:pos="7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11,004,082 shares obtainable within 60 days;</w:t>
      </w:r>
    </w:p>
    <w:p>
      <w:pPr>
        <w:spacing w:after="0" w:line="276" w:lineRule="exact"/>
        <w:rPr>
          <w:rFonts w:ascii="Arial" w:cs="Arial" w:eastAsia="Arial" w:hAnsi="Arial"/>
          <w:sz w:val="17"/>
          <w:szCs w:val="17"/>
          <w:color w:val="auto"/>
        </w:rPr>
      </w:pPr>
    </w:p>
    <w:p>
      <w:pPr>
        <w:ind w:left="740" w:hanging="473"/>
        <w:spacing w:after="0"/>
        <w:tabs>
          <w:tab w:leader="none" w:pos="7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47,425 shares credited to 401(k) and profit sharing stock accounts;</w:t>
      </w:r>
    </w:p>
    <w:p>
      <w:pPr>
        <w:spacing w:after="0" w:line="276" w:lineRule="exact"/>
        <w:rPr>
          <w:rFonts w:ascii="Arial" w:cs="Arial" w:eastAsia="Arial" w:hAnsi="Arial"/>
          <w:sz w:val="17"/>
          <w:szCs w:val="17"/>
          <w:color w:val="auto"/>
        </w:rPr>
      </w:pPr>
    </w:p>
    <w:p>
      <w:pPr>
        <w:ind w:left="740" w:hanging="473"/>
        <w:spacing w:after="0"/>
        <w:tabs>
          <w:tab w:leader="none" w:pos="7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3,080,420 shares subject to restricted stock unit awards; for the terms of these restricted stock units, please see pages 58-60 and 78-79; and</w:t>
      </w:r>
    </w:p>
    <w:p>
      <w:pPr>
        <w:spacing w:after="0" w:line="276" w:lineRule="exact"/>
        <w:rPr>
          <w:rFonts w:ascii="Arial" w:cs="Arial" w:eastAsia="Arial" w:hAnsi="Arial"/>
          <w:sz w:val="17"/>
          <w:szCs w:val="17"/>
          <w:color w:val="auto"/>
        </w:rPr>
      </w:pPr>
    </w:p>
    <w:p>
      <w:pPr>
        <w:ind w:left="740" w:right="120" w:hanging="473"/>
        <w:spacing w:after="0" w:line="252" w:lineRule="auto"/>
        <w:tabs>
          <w:tab w:leader="none" w:pos="7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119,515 shares credited to certain non-employee directors’ deferred compensation accounts; shares in deferred compensation accounts are issued following a director’s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43" w:name="page44"/>
    <w:bookmarkEnd w:id="43"/>
    <w:p>
      <w:pPr>
        <w:jc w:val="center"/>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90</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reportable related person transactions.</w:t>
      </w:r>
    </w:p>
    <w:p>
      <w:pPr>
        <w:spacing w:after="0" w:line="27" w:lineRule="exact"/>
        <w:rPr>
          <w:sz w:val="20"/>
          <w:szCs w:val="20"/>
          <w:color w:val="auto"/>
        </w:rPr>
      </w:pPr>
    </w:p>
    <w:p>
      <w:pPr>
        <w:ind w:right="260" w:firstLine="291"/>
        <w:spacing w:after="0" w:line="245" w:lineRule="auto"/>
        <w:rPr>
          <w:sz w:val="20"/>
          <w:szCs w:val="20"/>
          <w:color w:val="auto"/>
        </w:rPr>
      </w:pPr>
      <w:r>
        <w:rPr>
          <w:rFonts w:ascii="Arial" w:cs="Arial" w:eastAsia="Arial" w:hAnsi="Arial"/>
          <w:sz w:val="17"/>
          <w:szCs w:val="17"/>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1" w:lineRule="exact"/>
        <w:rPr>
          <w:sz w:val="20"/>
          <w:szCs w:val="20"/>
          <w:color w:val="auto"/>
        </w:rPr>
      </w:pPr>
    </w:p>
    <w:p>
      <w:pPr>
        <w:ind w:left="520" w:hanging="25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TI or any TI subsidiary is or will be a participant;</w:t>
      </w:r>
    </w:p>
    <w:p>
      <w:pPr>
        <w:spacing w:after="0" w:line="40" w:lineRule="exact"/>
        <w:rPr>
          <w:rFonts w:ascii="Arial" w:cs="Arial" w:eastAsia="Arial" w:hAnsi="Arial"/>
          <w:sz w:val="17"/>
          <w:szCs w:val="17"/>
          <w:color w:val="auto"/>
        </w:rPr>
      </w:pPr>
    </w:p>
    <w:p>
      <w:pPr>
        <w:ind w:left="520" w:hanging="25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 involved exceeds or is expected to exceed $100,000 in a fiscal year; and</w:t>
      </w:r>
    </w:p>
    <w:p>
      <w:pPr>
        <w:spacing w:after="0" w:line="40" w:lineRule="exact"/>
        <w:rPr>
          <w:rFonts w:ascii="Arial" w:cs="Arial" w:eastAsia="Arial" w:hAnsi="Arial"/>
          <w:sz w:val="17"/>
          <w:szCs w:val="17"/>
          <w:color w:val="auto"/>
        </w:rPr>
      </w:pPr>
    </w:p>
    <w:p>
      <w:pPr>
        <w:ind w:left="520" w:hanging="253"/>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of the following (a “related person”) has or will have a direct or indirect interest:</w:t>
      </w:r>
    </w:p>
    <w:p>
      <w:pPr>
        <w:spacing w:after="0" w:line="40" w:lineRule="exact"/>
        <w:rPr>
          <w:rFonts w:ascii="Arial" w:cs="Arial" w:eastAsia="Arial" w:hAnsi="Arial"/>
          <w:sz w:val="17"/>
          <w:szCs w:val="17"/>
          <w:color w:val="auto"/>
        </w:rPr>
      </w:pPr>
    </w:p>
    <w:p>
      <w:pPr>
        <w:ind w:left="840" w:hanging="324"/>
        <w:spacing w:after="0"/>
        <w:tabs>
          <w:tab w:leader="none" w:pos="8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 TI director or executive officer, or an Immediate Family Member of a director or executive officer;</w:t>
      </w:r>
    </w:p>
    <w:p>
      <w:pPr>
        <w:spacing w:after="0" w:line="40" w:lineRule="exact"/>
        <w:rPr>
          <w:rFonts w:ascii="Arial" w:cs="Arial" w:eastAsia="Arial" w:hAnsi="Arial"/>
          <w:sz w:val="17"/>
          <w:szCs w:val="17"/>
          <w:color w:val="auto"/>
        </w:rPr>
      </w:pPr>
    </w:p>
    <w:p>
      <w:pPr>
        <w:ind w:left="840" w:right="420" w:hanging="324"/>
        <w:spacing w:after="0" w:line="241" w:lineRule="auto"/>
        <w:tabs>
          <w:tab w:leader="none" w:pos="8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1" w:lineRule="exact"/>
        <w:rPr>
          <w:rFonts w:ascii="Arial" w:cs="Arial" w:eastAsia="Arial" w:hAnsi="Arial"/>
          <w:sz w:val="17"/>
          <w:szCs w:val="17"/>
          <w:color w:val="auto"/>
        </w:rPr>
      </w:pPr>
    </w:p>
    <w:p>
      <w:pPr>
        <w:ind w:left="840" w:right="220" w:hanging="324"/>
        <w:spacing w:after="0" w:line="252" w:lineRule="auto"/>
        <w:tabs>
          <w:tab w:leader="none" w:pos="8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 entity in which someone listed in (a) or (b) above has a 5 percent or greater ownership interest, by which someone listed in (a) or (b) is employed, or of which someone listed in (a) or (b) is a director, principal or partner.</w:t>
      </w:r>
    </w:p>
    <w:p>
      <w:pPr>
        <w:spacing w:after="0" w:line="9" w:lineRule="exact"/>
        <w:rPr>
          <w:sz w:val="20"/>
          <w:szCs w:val="20"/>
          <w:color w:val="auto"/>
        </w:rPr>
      </w:pPr>
    </w:p>
    <w:p>
      <w:pPr>
        <w:ind w:right="200" w:firstLine="262"/>
        <w:spacing w:after="0" w:line="254" w:lineRule="auto"/>
        <w:rPr>
          <w:sz w:val="20"/>
          <w:szCs w:val="20"/>
          <w:color w:val="auto"/>
        </w:rPr>
      </w:pPr>
      <w:r>
        <w:rPr>
          <w:rFonts w:ascii="Arial" w:cs="Arial" w:eastAsia="Arial" w:hAnsi="Arial"/>
          <w:sz w:val="17"/>
          <w:szCs w:val="17"/>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9" w:lineRule="exact"/>
        <w:rPr>
          <w:sz w:val="20"/>
          <w:szCs w:val="20"/>
          <w:color w:val="auto"/>
        </w:rPr>
      </w:pPr>
    </w:p>
    <w:p>
      <w:pPr>
        <w:ind w:right="100" w:firstLine="262"/>
        <w:spacing w:after="0" w:line="268" w:lineRule="auto"/>
        <w:rPr>
          <w:sz w:val="20"/>
          <w:szCs w:val="20"/>
          <w:color w:val="auto"/>
        </w:rPr>
      </w:pPr>
      <w:r>
        <w:rPr>
          <w:rFonts w:ascii="Arial" w:cs="Arial" w:eastAsia="Arial" w:hAnsi="Arial"/>
          <w:sz w:val="17"/>
          <w:szCs w:val="17"/>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Approval required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20"/>
                <w:szCs w:val="20"/>
                <w:color w:val="auto"/>
              </w:rPr>
            </w:pPr>
            <w:r>
              <w:rPr>
                <w:rFonts w:ascii="Arial" w:cs="Arial" w:eastAsia="Arial" w:hAnsi="Arial"/>
                <w:sz w:val="13"/>
                <w:szCs w:val="13"/>
                <w:b w:val="1"/>
                <w:bCs w:val="1"/>
                <w:color w:val="auto"/>
              </w:rPr>
              <w:t>Arrangement involving:</w:t>
            </w:r>
          </w:p>
        </w:tc>
        <w:tc>
          <w:tcPr>
            <w:tcW w:w="5760" w:type="dxa"/>
            <w:vAlign w:val="bottom"/>
          </w:tcPr>
          <w:p>
            <w:pPr>
              <w:ind w:left="2260"/>
              <w:spacing w:after="0"/>
              <w:rPr>
                <w:sz w:val="20"/>
                <w:szCs w:val="20"/>
                <w:color w:val="auto"/>
              </w:rPr>
            </w:pPr>
            <w:r>
              <w:rPr>
                <w:rFonts w:ascii="Arial" w:cs="Arial" w:eastAsia="Arial" w:hAnsi="Arial"/>
                <w:sz w:val="13"/>
                <w:szCs w:val="13"/>
                <w:b w:val="1"/>
                <w:bCs w:val="1"/>
                <w:color w:val="auto"/>
              </w:rPr>
              <w:t>Approval required by:</w:t>
            </w:r>
          </w:p>
        </w:tc>
      </w:tr>
      <w:tr>
        <w:trPr>
          <w:trHeight w:val="41"/>
        </w:trPr>
        <w:tc>
          <w:tcPr>
            <w:tcW w:w="5660" w:type="dxa"/>
            <w:vAlign w:val="bottom"/>
          </w:tcPr>
          <w:p>
            <w:pPr>
              <w:spacing w:after="0"/>
              <w:rPr>
                <w:sz w:val="3"/>
                <w:szCs w:val="3"/>
                <w:color w:val="auto"/>
              </w:rPr>
            </w:pPr>
          </w:p>
        </w:tc>
        <w:tc>
          <w:tcPr>
            <w:tcW w:w="5760" w:type="dxa"/>
            <w:vAlign w:val="bottom"/>
          </w:tcPr>
          <w:p>
            <w:pPr>
              <w:spacing w:after="0"/>
              <w:rPr>
                <w:sz w:val="3"/>
                <w:szCs w:val="3"/>
                <w:color w:val="auto"/>
              </w:rPr>
            </w:pPr>
          </w:p>
        </w:tc>
      </w:tr>
      <w:tr>
        <w:trPr>
          <w:trHeight w:val="66"/>
        </w:trPr>
        <w:tc>
          <w:tcPr>
            <w:tcW w:w="5660" w:type="dxa"/>
            <w:vAlign w:val="bottom"/>
            <w:shd w:val="clear" w:color="auto" w:fill="808285"/>
          </w:tcPr>
          <w:p>
            <w:pPr>
              <w:spacing w:after="0"/>
              <w:rPr>
                <w:sz w:val="5"/>
                <w:szCs w:val="5"/>
                <w:color w:val="auto"/>
              </w:rPr>
            </w:pPr>
          </w:p>
        </w:tc>
        <w:tc>
          <w:tcPr>
            <w:tcW w:w="5760" w:type="dxa"/>
            <w:vAlign w:val="bottom"/>
            <w:shd w:val="clear" w:color="auto" w:fill="808285"/>
          </w:tcPr>
          <w:p>
            <w:pPr>
              <w:spacing w:after="0"/>
              <w:rPr>
                <w:sz w:val="5"/>
                <w:szCs w:val="5"/>
                <w:color w:val="auto"/>
              </w:rPr>
            </w:pPr>
          </w:p>
        </w:tc>
      </w:tr>
      <w:tr>
        <w:trPr>
          <w:trHeight w:val="220"/>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Executive officer who is also a member of the TI board, an Immediate</w:t>
            </w:r>
          </w:p>
        </w:tc>
        <w:tc>
          <w:tcPr>
            <w:tcW w:w="5760" w:type="dxa"/>
            <w:vAlign w:val="bottom"/>
            <w:shd w:val="clear" w:color="auto" w:fill="E9E9E9"/>
          </w:tcPr>
          <w:p>
            <w:pPr>
              <w:ind w:left="120"/>
              <w:spacing w:after="0"/>
              <w:rPr>
                <w:sz w:val="20"/>
                <w:szCs w:val="20"/>
                <w:color w:val="auto"/>
              </w:rPr>
            </w:pPr>
            <w:r>
              <w:rPr>
                <w:rFonts w:ascii="Arial" w:cs="Arial" w:eastAsia="Arial" w:hAnsi="Arial"/>
                <w:sz w:val="17"/>
                <w:szCs w:val="17"/>
                <w:color w:val="auto"/>
              </w:rPr>
              <w:t>Governance and Stockholder Relations Committee</w:t>
            </w:r>
          </w:p>
        </w:tc>
      </w:tr>
      <w:tr>
        <w:trPr>
          <w:trHeight w:val="236"/>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Family Member of such person, or an entity in which any of the foregoing</w:t>
            </w:r>
          </w:p>
        </w:tc>
        <w:tc>
          <w:tcPr>
            <w:tcW w:w="5760" w:type="dxa"/>
            <w:vAlign w:val="bottom"/>
            <w:shd w:val="clear" w:color="auto" w:fill="E9E9E9"/>
          </w:tcPr>
          <w:p>
            <w:pPr>
              <w:spacing w:after="0"/>
              <w:rPr>
                <w:sz w:val="20"/>
                <w:szCs w:val="20"/>
                <w:color w:val="auto"/>
              </w:rPr>
            </w:pPr>
          </w:p>
        </w:tc>
      </w:tr>
      <w:tr>
        <w:trPr>
          <w:trHeight w:val="252"/>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has a 5 percent or greater ownership interest</w:t>
            </w:r>
          </w:p>
        </w:tc>
        <w:tc>
          <w:tcPr>
            <w:tcW w:w="5760" w:type="dxa"/>
            <w:vAlign w:val="bottom"/>
            <w:shd w:val="clear" w:color="auto" w:fill="E9E9E9"/>
          </w:tcPr>
          <w:p>
            <w:pPr>
              <w:spacing w:after="0"/>
              <w:rPr>
                <w:sz w:val="21"/>
                <w:szCs w:val="21"/>
                <w:color w:val="auto"/>
              </w:rPr>
            </w:pPr>
          </w:p>
        </w:tc>
      </w:tr>
      <w:tr>
        <w:trPr>
          <w:trHeight w:val="236"/>
        </w:trPr>
        <w:tc>
          <w:tcPr>
            <w:tcW w:w="566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220"/>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Chief compliance officer, any of his or her Immediate Family Members, or</w:t>
            </w:r>
          </w:p>
        </w:tc>
        <w:tc>
          <w:tcPr>
            <w:tcW w:w="5760" w:type="dxa"/>
            <w:vAlign w:val="bottom"/>
            <w:shd w:val="clear" w:color="auto" w:fill="E9E9E9"/>
          </w:tcPr>
          <w:p>
            <w:pPr>
              <w:ind w:left="120"/>
              <w:spacing w:after="0"/>
              <w:rPr>
                <w:sz w:val="20"/>
                <w:szCs w:val="20"/>
                <w:color w:val="auto"/>
              </w:rPr>
            </w:pPr>
            <w:r>
              <w:rPr>
                <w:rFonts w:ascii="Arial" w:cs="Arial" w:eastAsia="Arial" w:hAnsi="Arial"/>
                <w:sz w:val="17"/>
                <w:szCs w:val="17"/>
                <w:color w:val="auto"/>
              </w:rPr>
              <w:t>Governance and Stockholder Relations Committee</w:t>
            </w:r>
          </w:p>
        </w:tc>
      </w:tr>
      <w:tr>
        <w:trPr>
          <w:trHeight w:val="236"/>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an entity in which any of the foregoing has a 5 percent or greater</w:t>
            </w:r>
          </w:p>
        </w:tc>
        <w:tc>
          <w:tcPr>
            <w:tcW w:w="5760" w:type="dxa"/>
            <w:vAlign w:val="bottom"/>
            <w:shd w:val="clear" w:color="auto" w:fill="E9E9E9"/>
          </w:tcPr>
          <w:p>
            <w:pPr>
              <w:spacing w:after="0"/>
              <w:rPr>
                <w:sz w:val="20"/>
                <w:szCs w:val="20"/>
                <w:color w:val="auto"/>
              </w:rPr>
            </w:pPr>
          </w:p>
        </w:tc>
      </w:tr>
      <w:tr>
        <w:trPr>
          <w:trHeight w:val="252"/>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ownership interest</w:t>
            </w:r>
          </w:p>
        </w:tc>
        <w:tc>
          <w:tcPr>
            <w:tcW w:w="5760" w:type="dxa"/>
            <w:vAlign w:val="bottom"/>
            <w:shd w:val="clear" w:color="auto" w:fill="E9E9E9"/>
          </w:tcPr>
          <w:p>
            <w:pPr>
              <w:spacing w:after="0"/>
              <w:rPr>
                <w:sz w:val="21"/>
                <w:szCs w:val="21"/>
                <w:color w:val="auto"/>
              </w:rPr>
            </w:pPr>
          </w:p>
        </w:tc>
      </w:tr>
      <w:tr>
        <w:trPr>
          <w:trHeight w:val="236"/>
        </w:trPr>
        <w:tc>
          <w:tcPr>
            <w:tcW w:w="566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220"/>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Any other director or executive officer, an Immediate Family Member of</w:t>
            </w:r>
          </w:p>
        </w:tc>
        <w:tc>
          <w:tcPr>
            <w:tcW w:w="5760" w:type="dxa"/>
            <w:vAlign w:val="bottom"/>
            <w:shd w:val="clear" w:color="auto" w:fill="E9E9E9"/>
          </w:tcPr>
          <w:p>
            <w:pPr>
              <w:ind w:left="120"/>
              <w:spacing w:after="0"/>
              <w:rPr>
                <w:sz w:val="20"/>
                <w:szCs w:val="20"/>
                <w:color w:val="auto"/>
              </w:rPr>
            </w:pPr>
            <w:r>
              <w:rPr>
                <w:rFonts w:ascii="Arial" w:cs="Arial" w:eastAsia="Arial" w:hAnsi="Arial"/>
                <w:sz w:val="17"/>
                <w:szCs w:val="17"/>
                <w:color w:val="auto"/>
              </w:rPr>
              <w:t>Chief compliance officer in consultation with the Chair of the Governance</w:t>
            </w:r>
          </w:p>
        </w:tc>
      </w:tr>
      <w:tr>
        <w:trPr>
          <w:trHeight w:val="236"/>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such person, or an entity in which any of the foregoing has a 5 percent or</w:t>
            </w:r>
          </w:p>
        </w:tc>
        <w:tc>
          <w:tcPr>
            <w:tcW w:w="5760" w:type="dxa"/>
            <w:vAlign w:val="bottom"/>
            <w:shd w:val="clear" w:color="auto" w:fill="E9E9E9"/>
          </w:tcPr>
          <w:p>
            <w:pPr>
              <w:ind w:left="120"/>
              <w:spacing w:after="0"/>
              <w:rPr>
                <w:sz w:val="20"/>
                <w:szCs w:val="20"/>
                <w:color w:val="auto"/>
              </w:rPr>
            </w:pPr>
            <w:r>
              <w:rPr>
                <w:rFonts w:ascii="Arial" w:cs="Arial" w:eastAsia="Arial" w:hAnsi="Arial"/>
                <w:sz w:val="17"/>
                <w:szCs w:val="17"/>
                <w:color w:val="auto"/>
              </w:rPr>
              <w:t>and Stockholder Relations Committee</w:t>
            </w:r>
          </w:p>
        </w:tc>
      </w:tr>
      <w:tr>
        <w:trPr>
          <w:trHeight w:val="252"/>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greater ownership interest</w:t>
            </w:r>
          </w:p>
        </w:tc>
        <w:tc>
          <w:tcPr>
            <w:tcW w:w="5760" w:type="dxa"/>
            <w:vAlign w:val="bottom"/>
            <w:shd w:val="clear" w:color="auto" w:fill="E9E9E9"/>
          </w:tcPr>
          <w:p>
            <w:pPr>
              <w:spacing w:after="0"/>
              <w:rPr>
                <w:sz w:val="21"/>
                <w:szCs w:val="21"/>
                <w:color w:val="auto"/>
              </w:rPr>
            </w:pPr>
          </w:p>
        </w:tc>
      </w:tr>
      <w:tr>
        <w:trPr>
          <w:trHeight w:val="236"/>
        </w:trPr>
        <w:tc>
          <w:tcPr>
            <w:tcW w:w="566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236"/>
        </w:trPr>
        <w:tc>
          <w:tcPr>
            <w:tcW w:w="5660" w:type="dxa"/>
            <w:vAlign w:val="bottom"/>
            <w:shd w:val="clear" w:color="auto" w:fill="E9E9E9"/>
          </w:tcPr>
          <w:p>
            <w:pPr>
              <w:spacing w:after="0"/>
              <w:rPr>
                <w:sz w:val="20"/>
                <w:szCs w:val="20"/>
                <w:color w:val="auto"/>
              </w:rPr>
            </w:pPr>
            <w:r>
              <w:rPr>
                <w:rFonts w:ascii="Arial" w:cs="Arial" w:eastAsia="Arial" w:hAnsi="Arial"/>
                <w:sz w:val="17"/>
                <w:szCs w:val="17"/>
                <w:color w:val="auto"/>
              </w:rPr>
              <w:t>A 5 percent holder</w:t>
            </w:r>
          </w:p>
        </w:tc>
        <w:tc>
          <w:tcPr>
            <w:tcW w:w="5760" w:type="dxa"/>
            <w:vAlign w:val="bottom"/>
            <w:shd w:val="clear" w:color="auto" w:fill="E9E9E9"/>
          </w:tcPr>
          <w:p>
            <w:pPr>
              <w:ind w:left="120"/>
              <w:spacing w:after="0"/>
              <w:rPr>
                <w:sz w:val="20"/>
                <w:szCs w:val="20"/>
                <w:color w:val="auto"/>
              </w:rPr>
            </w:pPr>
            <w:r>
              <w:rPr>
                <w:rFonts w:ascii="Arial" w:cs="Arial" w:eastAsia="Arial" w:hAnsi="Arial"/>
                <w:sz w:val="17"/>
                <w:szCs w:val="17"/>
                <w:color w:val="auto"/>
              </w:rPr>
              <w:t>Governance and Stockholder Relations Committee</w:t>
            </w:r>
          </w:p>
        </w:tc>
      </w:tr>
    </w:tbl>
    <w:p>
      <w:pPr>
        <w:spacing w:after="0" w:line="239"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No member of the Governance and Stockholder Relations Committee will participate in the consideration of a related person arrangement in which such member or any of his or her Immediate Family Members is the related person.</w:t>
      </w:r>
    </w:p>
    <w:p>
      <w:pPr>
        <w:spacing w:after="0" w:line="9" w:lineRule="exact"/>
        <w:rPr>
          <w:sz w:val="20"/>
          <w:szCs w:val="20"/>
          <w:color w:val="auto"/>
        </w:rPr>
      </w:pPr>
    </w:p>
    <w:p>
      <w:pPr>
        <w:ind w:right="80" w:firstLine="262"/>
        <w:spacing w:after="0" w:line="246" w:lineRule="auto"/>
        <w:rPr>
          <w:sz w:val="20"/>
          <w:szCs w:val="20"/>
          <w:color w:val="auto"/>
        </w:rPr>
      </w:pPr>
      <w:r>
        <w:rPr>
          <w:rFonts w:ascii="Arial" w:cs="Arial" w:eastAsia="Arial" w:hAnsi="Arial"/>
          <w:sz w:val="17"/>
          <w:szCs w:val="17"/>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7" w:lineRule="exact"/>
        <w:rPr>
          <w:sz w:val="20"/>
          <w:szCs w:val="20"/>
          <w:color w:val="auto"/>
        </w:rPr>
      </w:pPr>
    </w:p>
    <w:p>
      <w:pPr>
        <w:ind w:right="180" w:firstLine="262"/>
        <w:spacing w:after="0" w:line="265" w:lineRule="auto"/>
        <w:rPr>
          <w:sz w:val="20"/>
          <w:szCs w:val="20"/>
          <w:color w:val="auto"/>
        </w:rPr>
      </w:pPr>
      <w:r>
        <w:rPr>
          <w:rFonts w:ascii="Arial" w:cs="Arial" w:eastAsia="Arial" w:hAnsi="Arial"/>
          <w:sz w:val="17"/>
          <w:szCs w:val="17"/>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 w:lineRule="exact"/>
        <w:rPr>
          <w:sz w:val="20"/>
          <w:szCs w:val="20"/>
          <w:color w:val="auto"/>
        </w:rPr>
      </w:pPr>
    </w:p>
    <w:p>
      <w:pPr>
        <w:ind w:right="60" w:firstLine="262"/>
        <w:spacing w:after="0" w:line="254" w:lineRule="auto"/>
        <w:rPr>
          <w:sz w:val="20"/>
          <w:szCs w:val="20"/>
          <w:color w:val="auto"/>
        </w:rPr>
      </w:pPr>
      <w:r>
        <w:rPr>
          <w:rFonts w:ascii="Arial" w:cs="Arial" w:eastAsia="Arial" w:hAnsi="Arial"/>
          <w:sz w:val="17"/>
          <w:szCs w:val="17"/>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44" w:name="page45"/>
    <w:bookmarkEnd w:id="44"/>
    <w:p>
      <w:pPr>
        <w:ind w:left="3780"/>
        <w:spacing w:after="0"/>
        <w:tabs>
          <w:tab w:leader="none" w:pos="5400" w:val="left"/>
          <w:tab w:leader="none" w:pos="602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91</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57" w:lineRule="exact"/>
        <w:rPr>
          <w:sz w:val="20"/>
          <w:szCs w:val="20"/>
          <w:color w:val="auto"/>
        </w:rPr>
      </w:pPr>
    </w:p>
    <w:p>
      <w:pPr>
        <w:jc w:val="both"/>
        <w:ind w:right="100"/>
        <w:spacing w:after="0" w:line="245" w:lineRule="auto"/>
        <w:rPr>
          <w:sz w:val="20"/>
          <w:szCs w:val="20"/>
          <w:color w:val="auto"/>
        </w:rPr>
      </w:pPr>
      <w:r>
        <w:rPr>
          <w:rFonts w:ascii="Arial" w:cs="Arial" w:eastAsia="Arial" w:hAnsi="Arial"/>
          <w:sz w:val="17"/>
          <w:szCs w:val="17"/>
          <w:color w:val="auto"/>
        </w:rPr>
        <w:t>During 2010, Ms. Cox and Messrs. Carp, Goode and MacMillan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solicitation</w:t>
      </w:r>
    </w:p>
    <w:p>
      <w:pPr>
        <w:spacing w:after="0" w:line="257"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5" w:lineRule="exact"/>
        <w:rPr>
          <w:sz w:val="20"/>
          <w:szCs w:val="20"/>
          <w:color w:val="auto"/>
        </w:rPr>
      </w:pPr>
    </w:p>
    <w:p>
      <w:pPr>
        <w:ind w:right="220" w:firstLine="262"/>
        <w:spacing w:after="0" w:line="254" w:lineRule="auto"/>
        <w:rPr>
          <w:sz w:val="20"/>
          <w:szCs w:val="20"/>
          <w:color w:val="auto"/>
        </w:rPr>
      </w:pPr>
      <w:r>
        <w:rPr>
          <w:rFonts w:ascii="Arial" w:cs="Arial" w:eastAsia="Arial" w:hAnsi="Arial"/>
          <w:sz w:val="17"/>
          <w:szCs w:val="17"/>
          <w:color w:val="auto"/>
        </w:rPr>
        <w:t>Without receiving additional compensation, officials and regular employees of TI may solicit proxies personally, by telephone, fax or e-mail, from some stockholders if proxies are not promptly received. We have also hired Georgeson Inc. to assist in the solicitation of proxies at a cost of $12,000 plus out-of-pocket expenses.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for 2012</w:t>
      </w:r>
    </w:p>
    <w:p>
      <w:pPr>
        <w:spacing w:after="0" w:line="25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If you wish to submit a proposal for possible inclusion in TI’s 2012 proxy material, we must receive your notice, in accordance with the rules of the SEC, on or before November 8, 2011. Proposals are to be sent to: Texas Instruments Incorporated, 12500 TI Boulevard, MS 8658, Dallas, Texas, 75243, Attn: Secretary.</w:t>
      </w:r>
    </w:p>
    <w:p>
      <w:pPr>
        <w:spacing w:after="0" w:line="15" w:lineRule="exact"/>
        <w:rPr>
          <w:sz w:val="20"/>
          <w:szCs w:val="20"/>
          <w:color w:val="auto"/>
        </w:rPr>
      </w:pPr>
    </w:p>
    <w:p>
      <w:pPr>
        <w:ind w:right="500" w:firstLine="262"/>
        <w:spacing w:after="0" w:line="265" w:lineRule="auto"/>
        <w:rPr>
          <w:sz w:val="20"/>
          <w:szCs w:val="20"/>
          <w:color w:val="auto"/>
        </w:rPr>
      </w:pPr>
      <w:r>
        <w:rPr>
          <w:rFonts w:ascii="Arial" w:cs="Arial" w:eastAsia="Arial" w:hAnsi="Arial"/>
          <w:sz w:val="17"/>
          <w:szCs w:val="17"/>
          <w:color w:val="auto"/>
        </w:rPr>
        <w:t>If you wish to submit a proposal at the 2012 annual meeting (but not seek inclusion of the proposal in the company’s proxy material), we must receive your notice, in accordance with the company’s by-laws, on or before January 22, 2012.</w:t>
      </w:r>
    </w:p>
    <w:p>
      <w:pPr>
        <w:spacing w:after="0" w:line="1" w:lineRule="exact"/>
        <w:rPr>
          <w:sz w:val="20"/>
          <w:szCs w:val="20"/>
          <w:color w:val="auto"/>
        </w:rPr>
      </w:pPr>
    </w:p>
    <w:p>
      <w:pPr>
        <w:ind w:firstLine="262"/>
        <w:spacing w:after="0" w:line="248" w:lineRule="auto"/>
        <w:rPr>
          <w:sz w:val="20"/>
          <w:szCs w:val="20"/>
          <w:color w:val="auto"/>
        </w:rPr>
      </w:pPr>
      <w:r>
        <w:rPr>
          <w:rFonts w:ascii="Arial" w:cs="Arial" w:eastAsia="Arial" w:hAnsi="Arial"/>
          <w:sz w:val="17"/>
          <w:szCs w:val="17"/>
          <w:color w:val="auto"/>
        </w:rPr>
        <w:t>All suggestions from stockholders concerning the company’s business are welcome and will be carefully considered by TI’s management. To ensure that your suggestions receive appropriate review, the G&amp;SR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54 for information on contacting the board.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plan voting</w:t>
      </w:r>
    </w:p>
    <w:p>
      <w:pPr>
        <w:spacing w:after="0" w:line="257"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18, 2011, in the manner described in the notice of meeting.</w:t>
      </w:r>
    </w:p>
    <w:p>
      <w:pPr>
        <w:spacing w:after="0" w:line="15" w:lineRule="exact"/>
        <w:rPr>
          <w:sz w:val="20"/>
          <w:szCs w:val="20"/>
          <w:color w:val="auto"/>
        </w:rPr>
      </w:pPr>
    </w:p>
    <w:p>
      <w:pPr>
        <w:ind w:right="20" w:firstLine="262"/>
        <w:spacing w:after="0" w:line="254" w:lineRule="auto"/>
        <w:rPr>
          <w:sz w:val="20"/>
          <w:szCs w:val="20"/>
          <w:color w:val="auto"/>
        </w:rPr>
      </w:pPr>
      <w:r>
        <w:rPr>
          <w:rFonts w:ascii="Arial" w:cs="Arial" w:eastAsia="Arial" w:hAnsi="Arial"/>
          <w:sz w:val="17"/>
          <w:szCs w:val="17"/>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18, 2011, will be voted in the same proportions as the shares in the plans for which voting instructions have been received by that date.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57"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Section 16(a) of the Securities Exchange Act of 1934 requires certain persons, including the company’s directors and executive officers, to file reports with the SEC regarding beneficial ownership of certain equity securities of the company. During 2010, all reports were timely filed.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 and Internet voting</w:t>
      </w:r>
    </w:p>
    <w:p>
      <w:pPr>
        <w:spacing w:after="0" w:line="257"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u w:val="single" w:color="auto"/>
          <w:color w:val="auto"/>
        </w:rPr>
        <w:t>Registered stockholders and benefit plan participants</w:t>
      </w:r>
      <w:r>
        <w:rPr>
          <w:rFonts w:ascii="Arial" w:cs="Arial" w:eastAsia="Arial" w:hAnsi="Arial"/>
          <w:sz w:val="17"/>
          <w:szCs w:val="17"/>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5" w:lineRule="exact"/>
        <w:rPr>
          <w:sz w:val="20"/>
          <w:szCs w:val="20"/>
          <w:color w:val="auto"/>
        </w:rPr>
      </w:pPr>
    </w:p>
    <w:p>
      <w:pPr>
        <w:ind w:right="60" w:firstLine="262"/>
        <w:spacing w:after="0" w:line="250" w:lineRule="auto"/>
        <w:rPr>
          <w:sz w:val="20"/>
          <w:szCs w:val="20"/>
          <w:color w:val="auto"/>
        </w:rPr>
      </w:pPr>
      <w:r>
        <w:rPr>
          <w:rFonts w:ascii="Arial" w:cs="Arial" w:eastAsia="Arial" w:hAnsi="Arial"/>
          <w:sz w:val="17"/>
          <w:szCs w:val="17"/>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Investor Communication Solutions, Inc., are consistent with the requirements of applicable law.</w:t>
      </w:r>
    </w:p>
    <w:p>
      <w:pPr>
        <w:spacing w:after="0" w:line="22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u w:val="single" w:color="auto"/>
          <w:color w:val="auto"/>
        </w:rPr>
        <w:t>Stockholders with shares registered in the name of a brokerage firm or bank</w:t>
      </w:r>
      <w:r>
        <w:rPr>
          <w:rFonts w:ascii="Arial" w:cs="Arial" w:eastAsia="Arial" w:hAnsi="Arial"/>
          <w:sz w:val="17"/>
          <w:szCs w:val="17"/>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5" w:lineRule="exact"/>
        <w:rPr>
          <w:sz w:val="20"/>
          <w:szCs w:val="20"/>
          <w:color w:val="auto"/>
        </w:rPr>
      </w:pPr>
    </w:p>
    <w:p>
      <w:pPr>
        <w:ind w:right="420" w:firstLine="262"/>
        <w:spacing w:after="0" w:line="268" w:lineRule="auto"/>
        <w:rPr>
          <w:sz w:val="20"/>
          <w:szCs w:val="20"/>
          <w:color w:val="auto"/>
        </w:rPr>
      </w:pPr>
      <w:r>
        <w:rPr>
          <w:rFonts w:ascii="Arial" w:cs="Arial" w:eastAsia="Arial" w:hAnsi="Arial"/>
          <w:sz w:val="17"/>
          <w:szCs w:val="17"/>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193040</wp:posOffset>
            </wp:positionV>
            <wp:extent cx="727138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45" w:name="page46"/>
    <w:bookmarkEnd w:id="45"/>
    <w:p>
      <w:pPr>
        <w:jc w:val="center"/>
        <w:ind w:right="-19"/>
        <w:spacing w:after="0"/>
        <w:tabs>
          <w:tab w:leader="none" w:pos="200" w:val="left"/>
          <w:tab w:leader="none" w:pos="20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92</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sharing the same address</w:t>
      </w:r>
    </w:p>
    <w:p>
      <w:pPr>
        <w:spacing w:after="0" w:line="25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To reduce the expenses of delivering duplicate materials, we are taking advantage of the SEC’s “householding” rules which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(972) 995-3773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(800) 542-1061 or writing to Investor Relations at the address given above.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delivery of proxy materials</w:t>
      </w:r>
    </w:p>
    <w:p>
      <w:pPr>
        <w:spacing w:after="0" w:line="257"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www-us.computershare.com/investor or call TI Investor Relations at (972) 995-3773 for more information. If you are a participant in a TI benefit plan and would like to request electronic delivery, please call TI Investor Relations for more information.</w:t>
      </w:r>
    </w:p>
    <w:p>
      <w:pPr>
        <w:spacing w:after="0" w:line="207"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 Meeting to be held on April 21, 2011. This 2011 proxy statement and the company’s 2010 annual report are accessible at: www.proxyvote.com.</w:t>
      </w:r>
    </w:p>
    <w:p>
      <w:pPr>
        <w:spacing w:after="0" w:line="200"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-635</wp:posOffset>
            </wp:positionV>
            <wp:extent cx="2064385" cy="6076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64385"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Joseph F. Hubach</w:t>
      </w:r>
    </w:p>
    <w:p>
      <w:pPr>
        <w:spacing w:after="0" w:line="1"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Senior Vice President,</w:t>
      </w:r>
    </w:p>
    <w:p>
      <w:pPr>
        <w:spacing w:after="0" w:line="1"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March 7, 2011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212725</wp:posOffset>
            </wp:positionV>
            <wp:extent cx="727138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00"/>
          </w:cols>
          <w:pgMar w:left="240" w:top="595" w:right="259" w:bottom="1440" w:gutter="0" w:footer="0" w:header="0"/>
        </w:sectPr>
      </w:pPr>
    </w:p>
    <w:bookmarkStart w:id="46" w:name="page47"/>
    <w:bookmarkEnd w:id="46"/>
    <w:p>
      <w:pPr>
        <w:ind w:left="3780"/>
        <w:spacing w:after="0"/>
        <w:tabs>
          <w:tab w:leader="none" w:pos="5400" w:val="left"/>
          <w:tab w:leader="none" w:pos="6020" w:val="left"/>
        </w:tabs>
        <w:rPr>
          <w:sz w:val="20"/>
          <w:szCs w:val="20"/>
          <w:color w:val="auto"/>
        </w:rPr>
      </w:pPr>
      <w:r>
        <w:rPr>
          <w:rFonts w:ascii="Arial" w:cs="Arial" w:eastAsia="Arial" w:hAnsi="Arial"/>
          <w:sz w:val="13"/>
          <w:szCs w:val="13"/>
          <w:b w:val="1"/>
          <w:bCs w:val="1"/>
          <w:color w:val="808285"/>
        </w:rPr>
        <w:t>TEXAS INSTRUMENTS</w:t>
      </w:r>
      <w:r>
        <w:rPr>
          <w:sz w:val="20"/>
          <w:szCs w:val="20"/>
          <w:color w:val="auto"/>
        </w:rPr>
        <w:tab/>
      </w:r>
      <w:r>
        <w:rPr>
          <w:rFonts w:ascii="Arial" w:cs="Arial" w:eastAsia="Arial" w:hAnsi="Arial"/>
          <w:sz w:val="17"/>
          <w:szCs w:val="17"/>
          <w:b w:val="1"/>
          <w:bCs w:val="1"/>
          <w:color w:val="808285"/>
        </w:rPr>
        <w:t xml:space="preserve">| </w:t>
      </w:r>
      <w:r>
        <w:rPr>
          <w:rFonts w:ascii="Arial" w:cs="Arial" w:eastAsia="Arial" w:hAnsi="Arial"/>
          <w:sz w:val="13"/>
          <w:szCs w:val="13"/>
          <w:b w:val="1"/>
          <w:bCs w:val="1"/>
          <w:color w:val="808285"/>
        </w:rPr>
        <w:t>93</w:t>
      </w:r>
      <w:r>
        <w:rPr>
          <w:rFonts w:ascii="Arial" w:cs="Arial" w:eastAsia="Arial" w:hAnsi="Arial"/>
          <w:sz w:val="17"/>
          <w:szCs w:val="17"/>
          <w:b w:val="1"/>
          <w:bCs w:val="1"/>
          <w:color w:val="808285"/>
        </w:rPr>
        <w:t xml:space="preserve"> |</w:t>
      </w:r>
      <w:r>
        <w:rPr>
          <w:sz w:val="20"/>
          <w:szCs w:val="20"/>
          <w:color w:val="auto"/>
        </w:rPr>
        <w:tab/>
      </w:r>
      <w:r>
        <w:rPr>
          <w:rFonts w:ascii="Arial" w:cs="Arial" w:eastAsia="Arial" w:hAnsi="Arial"/>
          <w:sz w:val="12"/>
          <w:szCs w:val="12"/>
          <w:b w:val="1"/>
          <w:bCs w:val="1"/>
          <w:color w:val="808285"/>
        </w:rPr>
        <w:t>2011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Directions and other annual meeting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Directions</w:t>
      </w:r>
    </w:p>
    <w:p>
      <w:pPr>
        <w:spacing w:after="0" w:line="219"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i w:val="1"/>
          <w:iCs w:val="1"/>
          <w:color w:val="auto"/>
        </w:rPr>
        <w:t xml:space="preserve">From DFW airport: </w:t>
      </w:r>
      <w:r>
        <w:rPr>
          <w:rFonts w:ascii="Arial" w:cs="Arial" w:eastAsia="Arial" w:hAnsi="Arial"/>
          <w:sz w:val="17"/>
          <w:szCs w:val="17"/>
          <w:color w:val="auto"/>
        </w:rPr>
        <w:t>Take the North Airport exit to IH-635E. Take IH-635E to the Greenville Avenue exit. Turn right (South) on Greenville. Turn right</w:t>
      </w:r>
      <w:r>
        <w:rPr>
          <w:rFonts w:ascii="Arial" w:cs="Arial" w:eastAsia="Arial" w:hAnsi="Arial"/>
          <w:sz w:val="17"/>
          <w:szCs w:val="17"/>
          <w:i w:val="1"/>
          <w:iCs w:val="1"/>
          <w:color w:val="auto"/>
        </w:rPr>
        <w:t xml:space="preserve"> </w:t>
      </w:r>
      <w:r>
        <w:rPr>
          <w:rFonts w:ascii="Arial" w:cs="Arial" w:eastAsia="Arial" w:hAnsi="Arial"/>
          <w:sz w:val="17"/>
          <w:szCs w:val="17"/>
          <w:color w:val="auto"/>
        </w:rPr>
        <w:t>(West) on Forest Lane. Texas Instruments will be on your right at the second traffic light. Please use the North entrance to the building.</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 xml:space="preserve">From Love Field airport: </w:t>
      </w:r>
      <w:r>
        <w:rPr>
          <w:rFonts w:ascii="Arial" w:cs="Arial" w:eastAsia="Arial" w:hAnsi="Arial"/>
          <w:sz w:val="17"/>
          <w:szCs w:val="17"/>
          <w:color w:val="auto"/>
        </w:rPr>
        <w:t>Take Mockingbird Lane East to US-75N (Central Expressway). Travel North on 75N to the Forest Lane exit. Turn right (East)</w:t>
      </w:r>
      <w:r>
        <w:rPr>
          <w:rFonts w:ascii="Arial" w:cs="Arial" w:eastAsia="Arial" w:hAnsi="Arial"/>
          <w:sz w:val="17"/>
          <w:szCs w:val="17"/>
          <w:i w:val="1"/>
          <w:iCs w:val="1"/>
          <w:color w:val="auto"/>
        </w:rPr>
        <w:t xml:space="preserve"> </w:t>
      </w:r>
      <w:r>
        <w:rPr>
          <w:rFonts w:ascii="Arial" w:cs="Arial" w:eastAsia="Arial" w:hAnsi="Arial"/>
          <w:sz w:val="17"/>
          <w:szCs w:val="17"/>
          <w:color w:val="auto"/>
        </w:rPr>
        <w:t>on Forest Lane. You will pass two traffic lights. At the third light, the entrance to Texas Instruments will be on your left. Please use the North entrance to the building.</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Parking</w:t>
      </w:r>
    </w:p>
    <w:p>
      <w:pPr>
        <w:spacing w:after="0" w:line="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There will be reserved parking for all visitors at the North Lobby. Visitors with special needs requiring assistance will be accommodated at the South Lobby entrance.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Security</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Please be advised that TI’s security policy forbids weapons, cameras and audio/video recording devices inside TI buildings. All bags will be subject to search upon entry into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380"/>
          </w:cols>
          <w:pgMar w:left="240" w:top="595" w:right="279" w:bottom="1440" w:gutter="0" w:footer="0" w:header="0"/>
        </w:sectPr>
      </w:pPr>
    </w:p>
    <w:bookmarkStart w:id="47" w:name="page48"/>
    <w:bookmarkEnd w:id="47"/>
    <w:tbl>
      <w:tblPr>
        <w:tblLayout w:type="fixed"/>
        <w:tblInd w:w="58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b w:val="1"/>
                <w:bCs w:val="1"/>
                <w:color w:val="auto"/>
              </w:rPr>
              <w:t>For registered shares, your proxy must be received by 11:59 P.M. (Eastern Time) on</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b w:val="1"/>
                <w:bCs w:val="1"/>
                <w:i w:val="1"/>
                <w:iCs w:val="1"/>
                <w:color w:val="auto"/>
              </w:rPr>
              <w:t>April 20, 2011.</w:t>
            </w: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b w:val="1"/>
                <w:bCs w:val="1"/>
                <w:color w:val="auto"/>
              </w:rPr>
              <w:t>For shares allocable to a benefit plan account, your proxy must be received by 11:59</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b w:val="1"/>
                <w:bCs w:val="1"/>
                <w:color w:val="auto"/>
              </w:rPr>
              <w:t xml:space="preserve">P.M. (Eastern Time) on </w:t>
            </w:r>
            <w:r>
              <w:rPr>
                <w:rFonts w:ascii="Arial" w:cs="Arial" w:eastAsia="Arial" w:hAnsi="Arial"/>
                <w:sz w:val="13"/>
                <w:szCs w:val="13"/>
                <w:b w:val="1"/>
                <w:bCs w:val="1"/>
                <w:i w:val="1"/>
                <w:iCs w:val="1"/>
                <w:color w:val="auto"/>
              </w:rPr>
              <w:t>April 18, 2011</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0"/>
                <w:szCs w:val="20"/>
                <w:color w:val="auto"/>
              </w:rPr>
            </w:pPr>
            <w:r>
              <w:rPr>
                <w:rFonts w:ascii="Arial" w:cs="Arial" w:eastAsia="Arial" w:hAnsi="Arial"/>
                <w:sz w:val="17"/>
                <w:szCs w:val="17"/>
                <w:b w:val="1"/>
                <w:bCs w:val="1"/>
                <w:i w:val="1"/>
                <w:iCs w:val="1"/>
                <w:color w:val="auto"/>
              </w:rPr>
              <w:t>ATTN: JANE NAHRA</w:t>
            </w:r>
          </w:p>
        </w:tc>
        <w:tc>
          <w:tcPr>
            <w:tcW w:w="6900" w:type="dxa"/>
            <w:vAlign w:val="bottom"/>
            <w:gridSpan w:val="3"/>
          </w:tcPr>
          <w:p>
            <w:pPr>
              <w:ind w:left="1480"/>
              <w:spacing w:after="0"/>
              <w:rPr>
                <w:sz w:val="20"/>
                <w:szCs w:val="20"/>
                <w:color w:val="auto"/>
              </w:rPr>
            </w:pPr>
            <w:r>
              <w:rPr>
                <w:rFonts w:ascii="Arial" w:cs="Arial" w:eastAsia="Arial" w:hAnsi="Arial"/>
                <w:sz w:val="13"/>
                <w:szCs w:val="13"/>
                <w:b w:val="1"/>
                <w:bCs w:val="1"/>
                <w:color w:val="auto"/>
              </w:rPr>
              <w:t>VOTE BY INTERNET - www.proxyvote.com</w:t>
            </w:r>
          </w:p>
        </w:tc>
        <w:tc>
          <w:tcPr>
            <w:tcW w:w="0" w:type="dxa"/>
            <w:vAlign w:val="bottom"/>
          </w:tcPr>
          <w:p>
            <w:pPr>
              <w:spacing w:after="0"/>
              <w:rPr>
                <w:sz w:val="1"/>
                <w:szCs w:val="1"/>
                <w:color w:val="auto"/>
              </w:rPr>
            </w:pPr>
          </w:p>
        </w:tc>
      </w:tr>
      <w:tr>
        <w:trPr>
          <w:trHeight w:val="26"/>
        </w:trPr>
        <w:tc>
          <w:tcPr>
            <w:tcW w:w="3380" w:type="dxa"/>
            <w:vAlign w:val="bottom"/>
            <w:vMerge w:val="restart"/>
          </w:tcPr>
          <w:p>
            <w:pPr>
              <w:spacing w:after="0" w:line="171" w:lineRule="exact"/>
              <w:rPr>
                <w:sz w:val="20"/>
                <w:szCs w:val="20"/>
                <w:color w:val="auto"/>
              </w:rPr>
            </w:pPr>
            <w:r>
              <w:rPr>
                <w:rFonts w:ascii="Arial" w:cs="Arial" w:eastAsia="Arial" w:hAnsi="Arial"/>
                <w:sz w:val="17"/>
                <w:szCs w:val="17"/>
                <w:b w:val="1"/>
                <w:bCs w:val="1"/>
                <w:i w:val="1"/>
                <w:iCs w:val="1"/>
                <w:color w:val="auto"/>
              </w:rPr>
              <w:t>7839 CHURCHILL WAY</w:t>
            </w:r>
          </w:p>
        </w:tc>
        <w:tc>
          <w:tcPr>
            <w:tcW w:w="28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380" w:type="dxa"/>
            <w:vAlign w:val="bottom"/>
            <w:vMerge w:val="continue"/>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Use the Internet to transmit your voting instructions and for electronic delivery of information</w:t>
            </w:r>
          </w:p>
        </w:tc>
        <w:tc>
          <w:tcPr>
            <w:tcW w:w="0" w:type="dxa"/>
            <w:vAlign w:val="bottom"/>
          </w:tcPr>
          <w:p>
            <w:pPr>
              <w:spacing w:after="0"/>
              <w:rPr>
                <w:sz w:val="1"/>
                <w:szCs w:val="1"/>
                <w:color w:val="auto"/>
              </w:rPr>
            </w:pPr>
          </w:p>
        </w:tc>
      </w:tr>
      <w:tr>
        <w:trPr>
          <w:trHeight w:val="144"/>
        </w:trPr>
        <w:tc>
          <w:tcPr>
            <w:tcW w:w="338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MS 3999</w:t>
            </w: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up until 11:59 P.M. Eastern Time the day before the cut-off date or meeting date. Have your</w:t>
            </w:r>
          </w:p>
        </w:tc>
        <w:tc>
          <w:tcPr>
            <w:tcW w:w="0" w:type="dxa"/>
            <w:vAlign w:val="bottom"/>
          </w:tcPr>
          <w:p>
            <w:pPr>
              <w:spacing w:after="0"/>
              <w:rPr>
                <w:sz w:val="1"/>
                <w:szCs w:val="1"/>
                <w:color w:val="auto"/>
              </w:rPr>
            </w:pPr>
          </w:p>
        </w:tc>
      </w:tr>
      <w:tr>
        <w:trPr>
          <w:trHeight w:val="72"/>
        </w:trPr>
        <w:tc>
          <w:tcPr>
            <w:tcW w:w="3380" w:type="dxa"/>
            <w:vAlign w:val="bottom"/>
            <w:vMerge w:val="continue"/>
          </w:tcPr>
          <w:p>
            <w:pPr>
              <w:spacing w:after="0"/>
              <w:rPr>
                <w:sz w:val="6"/>
                <w:szCs w:val="6"/>
                <w:color w:val="auto"/>
              </w:rPr>
            </w:pPr>
          </w:p>
        </w:tc>
        <w:tc>
          <w:tcPr>
            <w:tcW w:w="6900" w:type="dxa"/>
            <w:vAlign w:val="bottom"/>
            <w:gridSpan w:val="3"/>
            <w:vMerge w:val="restart"/>
          </w:tcPr>
          <w:p>
            <w:pPr>
              <w:ind w:left="1480"/>
              <w:spacing w:after="0" w:line="144" w:lineRule="exact"/>
              <w:rPr>
                <w:sz w:val="20"/>
                <w:szCs w:val="20"/>
                <w:color w:val="auto"/>
              </w:rPr>
            </w:pPr>
            <w:r>
              <w:rPr>
                <w:rFonts w:ascii="Arial" w:cs="Arial" w:eastAsia="Arial" w:hAnsi="Arial"/>
                <w:sz w:val="13"/>
                <w:szCs w:val="13"/>
                <w:color w:val="auto"/>
              </w:rPr>
              <w:t>proxy card in hand when you access the web site and follow the instructions to obtain your</w:t>
            </w:r>
          </w:p>
        </w:tc>
        <w:tc>
          <w:tcPr>
            <w:tcW w:w="0" w:type="dxa"/>
            <w:vAlign w:val="bottom"/>
          </w:tcPr>
          <w:p>
            <w:pPr>
              <w:spacing w:after="0"/>
              <w:rPr>
                <w:sz w:val="1"/>
                <w:szCs w:val="1"/>
                <w:color w:val="auto"/>
              </w:rPr>
            </w:pPr>
          </w:p>
        </w:tc>
      </w:tr>
      <w:tr>
        <w:trPr>
          <w:trHeight w:val="73"/>
        </w:trPr>
        <w:tc>
          <w:tcPr>
            <w:tcW w:w="338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DALLAS, TX 75251</w:t>
            </w:r>
          </w:p>
        </w:tc>
        <w:tc>
          <w:tcPr>
            <w:tcW w:w="6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380" w:type="dxa"/>
            <w:vAlign w:val="bottom"/>
            <w:vMerge w:val="continue"/>
          </w:tcPr>
          <w:p>
            <w:pPr>
              <w:spacing w:after="0"/>
              <w:rPr>
                <w:sz w:val="13"/>
                <w:szCs w:val="13"/>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color w:val="auto"/>
              </w:rPr>
              <w:t>records and to create an electronic voting instruction form.</w:t>
            </w:r>
          </w:p>
        </w:tc>
        <w:tc>
          <w:tcPr>
            <w:tcW w:w="0" w:type="dxa"/>
            <w:vAlign w:val="bottom"/>
          </w:tcPr>
          <w:p>
            <w:pPr>
              <w:spacing w:after="0"/>
              <w:rPr>
                <w:sz w:val="1"/>
                <w:szCs w:val="1"/>
                <w:color w:val="auto"/>
              </w:rPr>
            </w:pPr>
          </w:p>
        </w:tc>
      </w:tr>
      <w:tr>
        <w:trPr>
          <w:trHeight w:val="275"/>
        </w:trPr>
        <w:tc>
          <w:tcPr>
            <w:tcW w:w="3380" w:type="dxa"/>
            <w:vAlign w:val="bottom"/>
          </w:tcPr>
          <w:p>
            <w:pPr>
              <w:spacing w:after="0"/>
              <w:rPr>
                <w:sz w:val="23"/>
                <w:szCs w:val="23"/>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b w:val="1"/>
                <w:bCs w:val="1"/>
                <w:color w:val="auto"/>
              </w:rPr>
              <w:t>ELECTRONIC DELIVERY OF FUTURE PROXY MATERIALS</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instructions above to vote using the Internet and, when prompted, indicate that you agree to</w:t>
            </w: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color w:val="auto"/>
              </w:rPr>
              <w:t>receive or access proxy materials electronically in future years.</w:t>
            </w:r>
          </w:p>
        </w:tc>
        <w:tc>
          <w:tcPr>
            <w:tcW w:w="0" w:type="dxa"/>
            <w:vAlign w:val="bottom"/>
          </w:tcPr>
          <w:p>
            <w:pPr>
              <w:spacing w:after="0"/>
              <w:rPr>
                <w:sz w:val="1"/>
                <w:szCs w:val="1"/>
                <w:color w:val="auto"/>
              </w:rPr>
            </w:pPr>
          </w:p>
        </w:tc>
      </w:tr>
      <w:tr>
        <w:trPr>
          <w:trHeight w:val="276"/>
        </w:trPr>
        <w:tc>
          <w:tcPr>
            <w:tcW w:w="3380" w:type="dxa"/>
            <w:vAlign w:val="bottom"/>
          </w:tcPr>
          <w:p>
            <w:pPr>
              <w:spacing w:after="0"/>
              <w:rPr>
                <w:sz w:val="23"/>
                <w:szCs w:val="23"/>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b w:val="1"/>
                <w:bCs w:val="1"/>
                <w:color w:val="auto"/>
              </w:rPr>
              <w:t>VOTE BY PHONE - 1-800-690-6903</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Use any touch-tone telephone to transmit your voting instructions until 11:59 P.M. Eastern</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Time the day before the cut-off date or meeting date. Have your proxy card in hand when you</w:t>
            </w: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color w:val="auto"/>
              </w:rPr>
              <w:t>call and then follow the instructions.</w:t>
            </w:r>
          </w:p>
        </w:tc>
        <w:tc>
          <w:tcPr>
            <w:tcW w:w="0" w:type="dxa"/>
            <w:vAlign w:val="bottom"/>
          </w:tcPr>
          <w:p>
            <w:pPr>
              <w:spacing w:after="0"/>
              <w:rPr>
                <w:sz w:val="1"/>
                <w:szCs w:val="1"/>
                <w:color w:val="auto"/>
              </w:rPr>
            </w:pPr>
          </w:p>
        </w:tc>
      </w:tr>
      <w:tr>
        <w:trPr>
          <w:trHeight w:val="276"/>
        </w:trPr>
        <w:tc>
          <w:tcPr>
            <w:tcW w:w="3380" w:type="dxa"/>
            <w:vAlign w:val="bottom"/>
          </w:tcPr>
          <w:p>
            <w:pPr>
              <w:spacing w:after="0"/>
              <w:rPr>
                <w:sz w:val="23"/>
                <w:szCs w:val="23"/>
                <w:color w:val="auto"/>
              </w:rPr>
            </w:pPr>
          </w:p>
        </w:tc>
        <w:tc>
          <w:tcPr>
            <w:tcW w:w="6900" w:type="dxa"/>
            <w:vAlign w:val="bottom"/>
            <w:gridSpan w:val="3"/>
          </w:tcPr>
          <w:p>
            <w:pPr>
              <w:ind w:left="1480"/>
              <w:spacing w:after="0"/>
              <w:rPr>
                <w:sz w:val="20"/>
                <w:szCs w:val="20"/>
                <w:color w:val="auto"/>
              </w:rPr>
            </w:pPr>
            <w:r>
              <w:rPr>
                <w:rFonts w:ascii="Arial" w:cs="Arial" w:eastAsia="Arial" w:hAnsi="Arial"/>
                <w:sz w:val="13"/>
                <w:szCs w:val="13"/>
                <w:b w:val="1"/>
                <w:bCs w:val="1"/>
                <w:color w:val="auto"/>
              </w:rPr>
              <w:t>VOTE BY MAIL</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6900" w:type="dxa"/>
            <w:vAlign w:val="bottom"/>
            <w:gridSpan w:val="3"/>
          </w:tcPr>
          <w:p>
            <w:pPr>
              <w:ind w:left="1480"/>
              <w:spacing w:after="0" w:line="144" w:lineRule="exact"/>
              <w:rPr>
                <w:sz w:val="20"/>
                <w:szCs w:val="20"/>
                <w:color w:val="auto"/>
              </w:rPr>
            </w:pPr>
            <w:r>
              <w:rPr>
                <w:rFonts w:ascii="Arial" w:cs="Arial" w:eastAsia="Arial" w:hAnsi="Arial"/>
                <w:sz w:val="13"/>
                <w:szCs w:val="13"/>
                <w:color w:val="auto"/>
              </w:rPr>
              <w:t>provided or return it to Vote Processing, c/o Broadridge, 51 Mercedes Way, Edgewood, NY</w:t>
            </w: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2860" w:type="dxa"/>
            <w:vAlign w:val="bottom"/>
          </w:tcPr>
          <w:p>
            <w:pPr>
              <w:ind w:left="1480"/>
              <w:spacing w:after="0"/>
              <w:rPr>
                <w:sz w:val="20"/>
                <w:szCs w:val="20"/>
                <w:color w:val="auto"/>
              </w:rPr>
            </w:pPr>
            <w:r>
              <w:rPr>
                <w:rFonts w:ascii="Arial" w:cs="Arial" w:eastAsia="Arial" w:hAnsi="Arial"/>
                <w:sz w:val="13"/>
                <w:szCs w:val="13"/>
                <w:color w:val="auto"/>
              </w:rPr>
              <w:t>11717.</w:t>
            </w:r>
          </w:p>
        </w:tc>
        <w:tc>
          <w:tcPr>
            <w:tcW w:w="12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-2520950</wp:posOffset>
            </wp:positionV>
            <wp:extent cx="1215390" cy="4578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15390" cy="45783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8" w:lineRule="exact"/>
        <w:rPr>
          <w:sz w:val="20"/>
          <w:szCs w:val="20"/>
          <w:color w:val="auto"/>
        </w:rPr>
      </w:pPr>
    </w:p>
    <w:p>
      <w:pPr>
        <w:jc w:val="right"/>
        <w:ind w:right="100"/>
        <w:spacing w:after="0"/>
        <w:tabs>
          <w:tab w:leader="none" w:pos="2720" w:val="left"/>
        </w:tabs>
        <w:rPr>
          <w:sz w:val="20"/>
          <w:szCs w:val="20"/>
          <w:color w:val="auto"/>
        </w:rPr>
      </w:pPr>
      <w:r>
        <w:rPr>
          <w:rFonts w:ascii="Arial" w:cs="Arial" w:eastAsia="Arial" w:hAnsi="Arial"/>
          <w:sz w:val="13"/>
          <w:szCs w:val="13"/>
          <w:u w:val="single" w:color="auto"/>
          <w:color w:val="auto"/>
        </w:rPr>
        <w:t>M30208-Z54716-P05978</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wp:posOffset>
            </wp:positionV>
            <wp:extent cx="7275830" cy="336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5830" cy="3365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3"/>
          <w:szCs w:val="13"/>
          <w:color w:val="auto"/>
        </w:rPr>
        <w:t>DETACH AND RETURN THIS PORTION ONLY</w:t>
      </w:r>
    </w:p>
    <w:p>
      <w:pPr>
        <w:jc w:val="center"/>
        <w:ind w:right="60"/>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wp:posOffset>
            </wp:positionV>
            <wp:extent cx="7305675" cy="4166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5675" cy="4166870"/>
                    </a:xfrm>
                    <a:prstGeom prst="rect">
                      <a:avLst/>
                    </a:prstGeom>
                    <a:noFill/>
                  </pic:spPr>
                </pic:pic>
              </a:graphicData>
            </a:graphic>
          </wp:anchor>
        </w:drawing>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TEXAS INSTRUMENTS INCORPORATED</w:t>
      </w:r>
    </w:p>
    <w:p>
      <w:pPr>
        <w:sectPr>
          <w:pgSz w:w="11900" w:h="16838" w:orient="portrait"/>
          <w:cols w:equalWidth="0" w:num="1">
            <w:col w:w="11520"/>
          </w:cols>
          <w:pgMar w:left="240" w:top="590" w:right="139" w:bottom="1440" w:gutter="0" w:footer="0" w:header="0"/>
        </w:sectPr>
      </w:pPr>
    </w:p>
    <w:p>
      <w:pPr>
        <w:spacing w:after="0" w:line="139" w:lineRule="exact"/>
        <w:rPr>
          <w:sz w:val="20"/>
          <w:szCs w:val="20"/>
          <w:color w:val="auto"/>
        </w:rPr>
      </w:pPr>
    </w:p>
    <w:p>
      <w:pPr>
        <w:jc w:val="both"/>
        <w:ind w:left="260" w:right="1840"/>
        <w:spacing w:after="0" w:line="250" w:lineRule="auto"/>
        <w:rPr>
          <w:sz w:val="20"/>
          <w:szCs w:val="20"/>
          <w:color w:val="auto"/>
        </w:rPr>
      </w:pPr>
      <w:r>
        <w:rPr>
          <w:rFonts w:ascii="Arial" w:cs="Arial" w:eastAsia="Arial" w:hAnsi="Arial"/>
          <w:sz w:val="13"/>
          <w:szCs w:val="13"/>
          <w:color w:val="auto"/>
        </w:rPr>
        <w:t xml:space="preserve">The board of directors recommends you vote </w:t>
      </w:r>
      <w:r>
        <w:rPr>
          <w:rFonts w:ascii="Arial" w:cs="Arial" w:eastAsia="Arial" w:hAnsi="Arial"/>
          <w:sz w:val="13"/>
          <w:szCs w:val="13"/>
          <w:b w:val="1"/>
          <w:bCs w:val="1"/>
          <w:color w:val="auto"/>
        </w:rPr>
        <w:t>FOR</w:t>
      </w:r>
      <w:r>
        <w:rPr>
          <w:rFonts w:ascii="Arial" w:cs="Arial" w:eastAsia="Arial" w:hAnsi="Arial"/>
          <w:sz w:val="13"/>
          <w:szCs w:val="13"/>
          <w:color w:val="auto"/>
        </w:rPr>
        <w:t xml:space="preserve"> each of the nominees for director, </w:t>
      </w:r>
      <w:r>
        <w:rPr>
          <w:rFonts w:ascii="Arial" w:cs="Arial" w:eastAsia="Arial" w:hAnsi="Arial"/>
          <w:sz w:val="13"/>
          <w:szCs w:val="13"/>
          <w:b w:val="1"/>
          <w:bCs w:val="1"/>
          <w:color w:val="auto"/>
        </w:rPr>
        <w:t>FOR</w:t>
      </w:r>
      <w:r>
        <w:rPr>
          <w:rFonts w:ascii="Arial" w:cs="Arial" w:eastAsia="Arial" w:hAnsi="Arial"/>
          <w:sz w:val="13"/>
          <w:szCs w:val="13"/>
          <w:color w:val="auto"/>
        </w:rPr>
        <w:t xml:space="preserve"> Proposals 2 and 4, and for "</w:t>
      </w:r>
      <w:r>
        <w:rPr>
          <w:rFonts w:ascii="Arial" w:cs="Arial" w:eastAsia="Arial" w:hAnsi="Arial"/>
          <w:sz w:val="13"/>
          <w:szCs w:val="13"/>
          <w:b w:val="1"/>
          <w:bCs w:val="1"/>
          <w:color w:val="auto"/>
        </w:rPr>
        <w:t>3</w:t>
      </w:r>
      <w:r>
        <w:rPr>
          <w:rFonts w:ascii="Arial" w:cs="Arial" w:eastAsia="Arial" w:hAnsi="Arial"/>
          <w:sz w:val="13"/>
          <w:szCs w:val="13"/>
          <w:color w:val="auto"/>
        </w:rPr>
        <w:t xml:space="preserve"> </w:t>
      </w:r>
      <w:r>
        <w:rPr>
          <w:rFonts w:ascii="Arial" w:cs="Arial" w:eastAsia="Arial" w:hAnsi="Arial"/>
          <w:sz w:val="13"/>
          <w:szCs w:val="13"/>
          <w:b w:val="1"/>
          <w:bCs w:val="1"/>
          <w:color w:val="auto"/>
        </w:rPr>
        <w:t>YEARS</w:t>
      </w:r>
      <w:r>
        <w:rPr>
          <w:rFonts w:ascii="Arial" w:cs="Arial" w:eastAsia="Arial" w:hAnsi="Arial"/>
          <w:sz w:val="13"/>
          <w:szCs w:val="13"/>
          <w:color w:val="auto"/>
        </w:rPr>
        <w:t>" on Proposal 3.</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2660" w:type="dxa"/>
            <w:vAlign w:val="bottom"/>
            <w:gridSpan w:val="2"/>
          </w:tcPr>
          <w:p>
            <w:pPr>
              <w:spacing w:after="0"/>
              <w:rPr>
                <w:sz w:val="20"/>
                <w:szCs w:val="20"/>
                <w:color w:val="auto"/>
              </w:rPr>
            </w:pPr>
            <w:r>
              <w:rPr>
                <w:rFonts w:ascii="Arial" w:cs="Arial" w:eastAsia="Arial" w:hAnsi="Arial"/>
                <w:sz w:val="13"/>
                <w:szCs w:val="13"/>
                <w:b w:val="1"/>
                <w:bCs w:val="1"/>
                <w:color w:val="auto"/>
              </w:rPr>
              <w:t>Vote on Directors</w:t>
            </w: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88"/>
        </w:trPr>
        <w:tc>
          <w:tcPr>
            <w:tcW w:w="266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c>
          <w:tcPr>
            <w:tcW w:w="1600" w:type="dxa"/>
            <w:vAlign w:val="bottom"/>
          </w:tcPr>
          <w:p>
            <w:pPr>
              <w:jc w:val="center"/>
              <w:ind w:left="1117"/>
              <w:spacing w:after="0"/>
              <w:rPr>
                <w:sz w:val="20"/>
                <w:szCs w:val="20"/>
                <w:color w:val="auto"/>
              </w:rPr>
            </w:pPr>
            <w:r>
              <w:rPr>
                <w:rFonts w:ascii="Arial" w:cs="Arial" w:eastAsia="Arial" w:hAnsi="Arial"/>
                <w:sz w:val="13"/>
                <w:szCs w:val="13"/>
                <w:b w:val="1"/>
                <w:bCs w:val="1"/>
                <w:color w:val="auto"/>
                <w:w w:val="95"/>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288"/>
        </w:trPr>
        <w:tc>
          <w:tcPr>
            <w:tcW w:w="2660" w:type="dxa"/>
            <w:vAlign w:val="bottom"/>
            <w:gridSpan w:val="2"/>
          </w:tcPr>
          <w:p>
            <w:pPr>
              <w:ind w:left="180"/>
              <w:spacing w:after="0"/>
              <w:rPr>
                <w:sz w:val="20"/>
                <w:szCs w:val="20"/>
                <w:color w:val="auto"/>
              </w:rPr>
            </w:pPr>
            <w:r>
              <w:rPr>
                <w:rFonts w:ascii="Arial" w:cs="Arial" w:eastAsia="Arial" w:hAnsi="Arial"/>
                <w:sz w:val="13"/>
                <w:szCs w:val="13"/>
                <w:b w:val="1"/>
                <w:bCs w:val="1"/>
                <w:color w:val="auto"/>
              </w:rPr>
              <w:t>Nominees:</w:t>
            </w: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0"/>
        </w:trPr>
        <w:tc>
          <w:tcPr>
            <w:tcW w:w="400" w:type="dxa"/>
            <w:vAlign w:val="bottom"/>
          </w:tcPr>
          <w:p>
            <w:pPr>
              <w:ind w:left="180"/>
              <w:spacing w:after="0"/>
              <w:rPr>
                <w:sz w:val="20"/>
                <w:szCs w:val="20"/>
                <w:color w:val="auto"/>
              </w:rPr>
            </w:pPr>
            <w:r>
              <w:rPr>
                <w:rFonts w:ascii="Arial" w:cs="Arial" w:eastAsia="Arial" w:hAnsi="Arial"/>
                <w:sz w:val="13"/>
                <w:szCs w:val="13"/>
                <w:color w:val="auto"/>
              </w:rPr>
              <w:t>1a.</w:t>
            </w:r>
          </w:p>
        </w:tc>
        <w:tc>
          <w:tcPr>
            <w:tcW w:w="2260" w:type="dxa"/>
            <w:vAlign w:val="bottom"/>
          </w:tcPr>
          <w:p>
            <w:pPr>
              <w:ind w:left="40"/>
              <w:spacing w:after="0"/>
              <w:rPr>
                <w:sz w:val="20"/>
                <w:szCs w:val="20"/>
                <w:color w:val="auto"/>
              </w:rPr>
            </w:pPr>
            <w:r>
              <w:rPr>
                <w:rFonts w:ascii="Arial" w:cs="Arial" w:eastAsia="Arial" w:hAnsi="Arial"/>
                <w:sz w:val="13"/>
                <w:szCs w:val="13"/>
                <w:color w:val="auto"/>
              </w:rPr>
              <w:t>R. W. Babb, Jr.</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1b.</w:t>
            </w:r>
          </w:p>
        </w:tc>
        <w:tc>
          <w:tcPr>
            <w:tcW w:w="2260" w:type="dxa"/>
            <w:vAlign w:val="bottom"/>
          </w:tcPr>
          <w:p>
            <w:pPr>
              <w:ind w:left="40"/>
              <w:spacing w:after="0"/>
              <w:rPr>
                <w:sz w:val="20"/>
                <w:szCs w:val="20"/>
                <w:color w:val="auto"/>
              </w:rPr>
            </w:pPr>
            <w:r>
              <w:rPr>
                <w:rFonts w:ascii="Arial" w:cs="Arial" w:eastAsia="Arial" w:hAnsi="Arial"/>
                <w:sz w:val="13"/>
                <w:szCs w:val="13"/>
                <w:color w:val="auto"/>
              </w:rPr>
              <w:t>D. A. Carp</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1c.</w:t>
            </w:r>
          </w:p>
        </w:tc>
        <w:tc>
          <w:tcPr>
            <w:tcW w:w="2260" w:type="dxa"/>
            <w:vAlign w:val="bottom"/>
          </w:tcPr>
          <w:p>
            <w:pPr>
              <w:ind w:left="40"/>
              <w:spacing w:after="0"/>
              <w:rPr>
                <w:sz w:val="20"/>
                <w:szCs w:val="20"/>
                <w:color w:val="auto"/>
              </w:rPr>
            </w:pPr>
            <w:r>
              <w:rPr>
                <w:rFonts w:ascii="Arial" w:cs="Arial" w:eastAsia="Arial" w:hAnsi="Arial"/>
                <w:sz w:val="13"/>
                <w:szCs w:val="13"/>
                <w:color w:val="auto"/>
              </w:rPr>
              <w:t>C. S. Cox</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1d.</w:t>
            </w:r>
          </w:p>
        </w:tc>
        <w:tc>
          <w:tcPr>
            <w:tcW w:w="2260" w:type="dxa"/>
            <w:vAlign w:val="bottom"/>
          </w:tcPr>
          <w:p>
            <w:pPr>
              <w:ind w:left="40"/>
              <w:spacing w:after="0"/>
              <w:rPr>
                <w:sz w:val="20"/>
                <w:szCs w:val="20"/>
                <w:color w:val="auto"/>
              </w:rPr>
            </w:pPr>
            <w:r>
              <w:rPr>
                <w:rFonts w:ascii="Arial" w:cs="Arial" w:eastAsia="Arial" w:hAnsi="Arial"/>
                <w:sz w:val="13"/>
                <w:szCs w:val="13"/>
                <w:color w:val="auto"/>
              </w:rPr>
              <w:t>S. P. MacMillan</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1e.</w:t>
            </w:r>
          </w:p>
        </w:tc>
        <w:tc>
          <w:tcPr>
            <w:tcW w:w="2260" w:type="dxa"/>
            <w:vAlign w:val="bottom"/>
          </w:tcPr>
          <w:p>
            <w:pPr>
              <w:ind w:left="40"/>
              <w:spacing w:after="0"/>
              <w:rPr>
                <w:sz w:val="20"/>
                <w:szCs w:val="20"/>
                <w:color w:val="auto"/>
              </w:rPr>
            </w:pPr>
            <w:r>
              <w:rPr>
                <w:rFonts w:ascii="Arial" w:cs="Arial" w:eastAsia="Arial" w:hAnsi="Arial"/>
                <w:sz w:val="13"/>
                <w:szCs w:val="13"/>
                <w:color w:val="auto"/>
              </w:rPr>
              <w:t>P. H. Patsley</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1f.</w:t>
            </w:r>
          </w:p>
        </w:tc>
        <w:tc>
          <w:tcPr>
            <w:tcW w:w="2260" w:type="dxa"/>
            <w:vAlign w:val="bottom"/>
          </w:tcPr>
          <w:p>
            <w:pPr>
              <w:ind w:left="40"/>
              <w:spacing w:after="0"/>
              <w:rPr>
                <w:sz w:val="20"/>
                <w:szCs w:val="20"/>
                <w:color w:val="auto"/>
              </w:rPr>
            </w:pPr>
            <w:r>
              <w:rPr>
                <w:rFonts w:ascii="Arial" w:cs="Arial" w:eastAsia="Arial" w:hAnsi="Arial"/>
                <w:sz w:val="13"/>
                <w:szCs w:val="13"/>
                <w:color w:val="auto"/>
              </w:rPr>
              <w:t>R. E. Sanchez</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1g.</w:t>
            </w:r>
          </w:p>
        </w:tc>
        <w:tc>
          <w:tcPr>
            <w:tcW w:w="2260" w:type="dxa"/>
            <w:vAlign w:val="bottom"/>
          </w:tcPr>
          <w:p>
            <w:pPr>
              <w:ind w:left="40"/>
              <w:spacing w:after="0"/>
              <w:rPr>
                <w:sz w:val="20"/>
                <w:szCs w:val="20"/>
                <w:color w:val="auto"/>
              </w:rPr>
            </w:pPr>
            <w:r>
              <w:rPr>
                <w:rFonts w:ascii="Arial" w:cs="Arial" w:eastAsia="Arial" w:hAnsi="Arial"/>
                <w:sz w:val="13"/>
                <w:szCs w:val="13"/>
                <w:color w:val="auto"/>
              </w:rPr>
              <w:t>W. R. Sanders</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1h.</w:t>
            </w:r>
          </w:p>
        </w:tc>
        <w:tc>
          <w:tcPr>
            <w:tcW w:w="2260" w:type="dxa"/>
            <w:vAlign w:val="bottom"/>
          </w:tcPr>
          <w:p>
            <w:pPr>
              <w:ind w:left="40"/>
              <w:spacing w:after="0"/>
              <w:rPr>
                <w:sz w:val="20"/>
                <w:szCs w:val="20"/>
                <w:color w:val="auto"/>
              </w:rPr>
            </w:pPr>
            <w:r>
              <w:rPr>
                <w:rFonts w:ascii="Arial" w:cs="Arial" w:eastAsia="Arial" w:hAnsi="Arial"/>
                <w:sz w:val="13"/>
                <w:szCs w:val="13"/>
                <w:color w:val="auto"/>
              </w:rPr>
              <w:t>R. J. Simmons</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1i.</w:t>
            </w:r>
          </w:p>
        </w:tc>
        <w:tc>
          <w:tcPr>
            <w:tcW w:w="2260" w:type="dxa"/>
            <w:vAlign w:val="bottom"/>
          </w:tcPr>
          <w:p>
            <w:pPr>
              <w:ind w:left="40"/>
              <w:spacing w:after="0"/>
              <w:rPr>
                <w:sz w:val="20"/>
                <w:szCs w:val="20"/>
                <w:color w:val="auto"/>
              </w:rPr>
            </w:pPr>
            <w:r>
              <w:rPr>
                <w:rFonts w:ascii="Arial" w:cs="Arial" w:eastAsia="Arial" w:hAnsi="Arial"/>
                <w:sz w:val="13"/>
                <w:szCs w:val="13"/>
                <w:color w:val="auto"/>
              </w:rPr>
              <w:t>R. K. Templeton</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r>
        <w:trPr>
          <w:trHeight w:val="354"/>
        </w:trPr>
        <w:tc>
          <w:tcPr>
            <w:tcW w:w="400" w:type="dxa"/>
            <w:vAlign w:val="bottom"/>
          </w:tcPr>
          <w:p>
            <w:pPr>
              <w:ind w:left="180"/>
              <w:spacing w:after="0"/>
              <w:rPr>
                <w:sz w:val="20"/>
                <w:szCs w:val="20"/>
                <w:color w:val="auto"/>
              </w:rPr>
            </w:pPr>
            <w:r>
              <w:rPr>
                <w:rFonts w:ascii="Arial" w:cs="Arial" w:eastAsia="Arial" w:hAnsi="Arial"/>
                <w:sz w:val="13"/>
                <w:szCs w:val="13"/>
                <w:color w:val="auto"/>
              </w:rPr>
              <w:t>1j.</w:t>
            </w:r>
          </w:p>
        </w:tc>
        <w:tc>
          <w:tcPr>
            <w:tcW w:w="2260" w:type="dxa"/>
            <w:vAlign w:val="bottom"/>
          </w:tcPr>
          <w:p>
            <w:pPr>
              <w:ind w:left="40"/>
              <w:spacing w:after="0"/>
              <w:rPr>
                <w:sz w:val="20"/>
                <w:szCs w:val="20"/>
                <w:color w:val="auto"/>
              </w:rPr>
            </w:pPr>
            <w:r>
              <w:rPr>
                <w:rFonts w:ascii="Arial" w:cs="Arial" w:eastAsia="Arial" w:hAnsi="Arial"/>
                <w:sz w:val="13"/>
                <w:szCs w:val="13"/>
                <w:color w:val="auto"/>
              </w:rPr>
              <w:t>C. T. Whitman</w:t>
            </w:r>
          </w:p>
        </w:tc>
        <w:tc>
          <w:tcPr>
            <w:tcW w:w="1600" w:type="dxa"/>
            <w:vAlign w:val="bottom"/>
          </w:tcPr>
          <w:p>
            <w:pPr>
              <w:jc w:val="center"/>
              <w:ind w:left="1117"/>
              <w:spacing w:after="0"/>
              <w:rPr>
                <w:sz w:val="20"/>
                <w:szCs w:val="20"/>
                <w:color w:val="auto"/>
              </w:rPr>
            </w:pPr>
            <w:r>
              <w:rPr>
                <w:rFonts w:ascii="Arial" w:cs="Arial" w:eastAsia="Arial" w:hAnsi="Arial"/>
                <w:sz w:val="17"/>
                <w:szCs w:val="17"/>
                <w:color w:val="auto"/>
                <w:w w:val="84"/>
              </w:rPr>
              <w:t>o</w:t>
            </w: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40" w:type="dxa"/>
            <w:vAlign w:val="bottom"/>
          </w:tcPr>
          <w:p>
            <w:pPr>
              <w:jc w:val="center"/>
              <w:spacing w:after="0"/>
              <w:rPr>
                <w:sz w:val="20"/>
                <w:szCs w:val="20"/>
                <w:color w:val="auto"/>
              </w:rPr>
            </w:pPr>
            <w:r>
              <w:rPr>
                <w:rFonts w:ascii="Arial" w:cs="Arial" w:eastAsia="Arial" w:hAnsi="Arial"/>
                <w:sz w:val="17"/>
                <w:szCs w:val="17"/>
                <w:color w:val="auto"/>
                <w:w w:val="84"/>
              </w:rPr>
              <w:t>o</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Vote on Proposals</w:t>
            </w:r>
          </w:p>
        </w:tc>
        <w:tc>
          <w:tcPr>
            <w:tcW w:w="5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276"/>
        </w:trPr>
        <w:tc>
          <w:tcPr>
            <w:tcW w:w="160" w:type="dxa"/>
            <w:vAlign w:val="bottom"/>
          </w:tcPr>
          <w:p>
            <w:pPr>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40"/>
              <w:spacing w:after="0"/>
              <w:rPr>
                <w:sz w:val="20"/>
                <w:szCs w:val="20"/>
                <w:color w:val="auto"/>
              </w:rPr>
            </w:pPr>
            <w:r>
              <w:rPr>
                <w:rFonts w:ascii="Arial" w:cs="Arial" w:eastAsia="Arial" w:hAnsi="Arial"/>
                <w:sz w:val="13"/>
                <w:szCs w:val="13"/>
                <w:color w:val="auto"/>
              </w:rPr>
              <w:t>Board proposal regarding an advisory vote on named executive</w:t>
            </w:r>
          </w:p>
        </w:tc>
        <w:tc>
          <w:tcPr>
            <w:tcW w:w="520" w:type="dxa"/>
            <w:vAlign w:val="bottom"/>
          </w:tcPr>
          <w:p>
            <w:pPr>
              <w:jc w:val="center"/>
              <w:spacing w:after="0"/>
              <w:rPr>
                <w:sz w:val="20"/>
                <w:szCs w:val="20"/>
                <w:color w:val="auto"/>
              </w:rPr>
            </w:pPr>
            <w:r>
              <w:rPr>
                <w:rFonts w:ascii="Arial" w:cs="Arial" w:eastAsia="Arial" w:hAnsi="Arial"/>
                <w:sz w:val="17"/>
                <w:szCs w:val="17"/>
                <w:color w:val="auto"/>
              </w:rPr>
              <w:t>o</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60" w:type="dxa"/>
            <w:vAlign w:val="bottom"/>
          </w:tcPr>
          <w:p>
            <w:pPr>
              <w:jc w:val="center"/>
              <w:spacing w:after="0"/>
              <w:rPr>
                <w:sz w:val="20"/>
                <w:szCs w:val="20"/>
                <w:color w:val="auto"/>
              </w:rPr>
            </w:pPr>
            <w:r>
              <w:rPr>
                <w:rFonts w:ascii="Arial" w:cs="Arial" w:eastAsia="Arial" w:hAnsi="Arial"/>
                <w:sz w:val="17"/>
                <w:szCs w:val="17"/>
                <w:color w:val="auto"/>
              </w:rPr>
              <w:t>o</w:t>
            </w:r>
          </w:p>
        </w:tc>
      </w:tr>
      <w:tr>
        <w:trPr>
          <w:trHeight w:val="157"/>
        </w:trPr>
        <w:tc>
          <w:tcPr>
            <w:tcW w:w="160" w:type="dxa"/>
            <w:vAlign w:val="bottom"/>
          </w:tcPr>
          <w:p>
            <w:pPr>
              <w:spacing w:after="0"/>
              <w:rPr>
                <w:sz w:val="13"/>
                <w:szCs w:val="13"/>
                <w:color w:val="auto"/>
              </w:rPr>
            </w:pPr>
          </w:p>
        </w:tc>
        <w:tc>
          <w:tcPr>
            <w:tcW w:w="3220" w:type="dxa"/>
            <w:vAlign w:val="bottom"/>
          </w:tcPr>
          <w:p>
            <w:pPr>
              <w:ind w:left="40"/>
              <w:spacing w:after="0"/>
              <w:rPr>
                <w:sz w:val="20"/>
                <w:szCs w:val="20"/>
                <w:color w:val="auto"/>
              </w:rPr>
            </w:pPr>
            <w:r>
              <w:rPr>
                <w:rFonts w:ascii="Arial" w:cs="Arial" w:eastAsia="Arial" w:hAnsi="Arial"/>
                <w:sz w:val="13"/>
                <w:szCs w:val="13"/>
                <w:color w:val="auto"/>
              </w:rPr>
              <w:t>officer compensation.</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88"/>
        </w:trPr>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40" w:type="dxa"/>
            <w:vAlign w:val="bottom"/>
          </w:tcPr>
          <w:p>
            <w:pPr>
              <w:jc w:val="center"/>
              <w:ind w:right="45"/>
              <w:spacing w:after="0"/>
              <w:rPr>
                <w:sz w:val="20"/>
                <w:szCs w:val="20"/>
                <w:color w:val="auto"/>
              </w:rPr>
            </w:pPr>
            <w:r>
              <w:rPr>
                <w:rFonts w:ascii="Arial" w:cs="Arial" w:eastAsia="Arial" w:hAnsi="Arial"/>
                <w:sz w:val="13"/>
                <w:szCs w:val="13"/>
                <w:b w:val="1"/>
                <w:bCs w:val="1"/>
                <w:color w:val="auto"/>
                <w:w w:val="97"/>
              </w:rPr>
              <w:t>1 Year</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9"/>
              </w:rPr>
              <w:t>2 Years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9"/>
              </w:rPr>
              <w:t>3 Years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276"/>
        </w:trPr>
        <w:tc>
          <w:tcPr>
            <w:tcW w:w="160" w:type="dxa"/>
            <w:vAlign w:val="bottom"/>
          </w:tcPr>
          <w:p>
            <w:pPr>
              <w:spacing w:after="0"/>
              <w:rPr>
                <w:sz w:val="20"/>
                <w:szCs w:val="20"/>
                <w:color w:val="auto"/>
              </w:rPr>
            </w:pPr>
            <w:r>
              <w:rPr>
                <w:rFonts w:ascii="Arial" w:cs="Arial" w:eastAsia="Arial" w:hAnsi="Arial"/>
                <w:sz w:val="13"/>
                <w:szCs w:val="13"/>
                <w:color w:val="auto"/>
              </w:rPr>
              <w:t>3.</w:t>
            </w:r>
          </w:p>
        </w:tc>
        <w:tc>
          <w:tcPr>
            <w:tcW w:w="3220" w:type="dxa"/>
            <w:vAlign w:val="bottom"/>
          </w:tcPr>
          <w:p>
            <w:pPr>
              <w:ind w:left="40"/>
              <w:spacing w:after="0"/>
              <w:rPr>
                <w:sz w:val="20"/>
                <w:szCs w:val="20"/>
                <w:color w:val="auto"/>
              </w:rPr>
            </w:pPr>
            <w:r>
              <w:rPr>
                <w:rFonts w:ascii="Arial" w:cs="Arial" w:eastAsia="Arial" w:hAnsi="Arial"/>
                <w:sz w:val="13"/>
                <w:szCs w:val="13"/>
                <w:color w:val="auto"/>
              </w:rPr>
              <w:t>Board proposal regarding an advisory vote on the</w:t>
            </w:r>
          </w:p>
        </w:tc>
        <w:tc>
          <w:tcPr>
            <w:tcW w:w="540" w:type="dxa"/>
            <w:vAlign w:val="bottom"/>
          </w:tcPr>
          <w:p>
            <w:pPr>
              <w:jc w:val="center"/>
              <w:ind w:right="65"/>
              <w:spacing w:after="0"/>
              <w:rPr>
                <w:sz w:val="20"/>
                <w:szCs w:val="20"/>
                <w:color w:val="auto"/>
              </w:rPr>
            </w:pPr>
            <w:r>
              <w:rPr>
                <w:rFonts w:ascii="Arial" w:cs="Arial" w:eastAsia="Arial" w:hAnsi="Arial"/>
                <w:sz w:val="17"/>
                <w:szCs w:val="17"/>
                <w:color w:val="auto"/>
                <w:w w:val="84"/>
              </w:rPr>
              <w:t>o</w:t>
            </w:r>
          </w:p>
        </w:tc>
        <w:tc>
          <w:tcPr>
            <w:tcW w:w="520" w:type="dxa"/>
            <w:vAlign w:val="bottom"/>
          </w:tcPr>
          <w:p>
            <w:pPr>
              <w:jc w:val="center"/>
              <w:spacing w:after="0"/>
              <w:rPr>
                <w:sz w:val="20"/>
                <w:szCs w:val="20"/>
                <w:color w:val="auto"/>
              </w:rPr>
            </w:pPr>
            <w:r>
              <w:rPr>
                <w:rFonts w:ascii="Arial" w:cs="Arial" w:eastAsia="Arial" w:hAnsi="Arial"/>
                <w:sz w:val="17"/>
                <w:szCs w:val="17"/>
                <w:color w:val="auto"/>
              </w:rPr>
              <w:t>o</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60" w:type="dxa"/>
            <w:vAlign w:val="bottom"/>
          </w:tcPr>
          <w:p>
            <w:pPr>
              <w:jc w:val="center"/>
              <w:spacing w:after="0"/>
              <w:rPr>
                <w:sz w:val="20"/>
                <w:szCs w:val="20"/>
                <w:color w:val="auto"/>
              </w:rPr>
            </w:pPr>
            <w:r>
              <w:rPr>
                <w:rFonts w:ascii="Arial" w:cs="Arial" w:eastAsia="Arial" w:hAnsi="Arial"/>
                <w:sz w:val="17"/>
                <w:szCs w:val="17"/>
                <w:color w:val="auto"/>
              </w:rPr>
              <w:t>o</w:t>
            </w:r>
          </w:p>
        </w:tc>
      </w:tr>
      <w:tr>
        <w:trPr>
          <w:trHeight w:val="144"/>
        </w:trPr>
        <w:tc>
          <w:tcPr>
            <w:tcW w:w="160" w:type="dxa"/>
            <w:vAlign w:val="bottom"/>
          </w:tcPr>
          <w:p>
            <w:pPr>
              <w:spacing w:after="0"/>
              <w:rPr>
                <w:sz w:val="12"/>
                <w:szCs w:val="12"/>
                <w:color w:val="auto"/>
              </w:rPr>
            </w:pPr>
          </w:p>
        </w:tc>
        <w:tc>
          <w:tcPr>
            <w:tcW w:w="3220" w:type="dxa"/>
            <w:vAlign w:val="bottom"/>
          </w:tcPr>
          <w:p>
            <w:pPr>
              <w:ind w:left="40"/>
              <w:spacing w:after="0" w:line="144" w:lineRule="exact"/>
              <w:rPr>
                <w:sz w:val="20"/>
                <w:szCs w:val="20"/>
                <w:color w:val="auto"/>
              </w:rPr>
            </w:pPr>
            <w:r>
              <w:rPr>
                <w:rFonts w:ascii="Arial" w:cs="Arial" w:eastAsia="Arial" w:hAnsi="Arial"/>
                <w:sz w:val="13"/>
                <w:szCs w:val="13"/>
                <w:color w:val="auto"/>
              </w:rPr>
              <w:t>frequency of future advisory votes on named executive</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7"/>
        </w:trPr>
        <w:tc>
          <w:tcPr>
            <w:tcW w:w="160" w:type="dxa"/>
            <w:vAlign w:val="bottom"/>
          </w:tcPr>
          <w:p>
            <w:pPr>
              <w:spacing w:after="0"/>
              <w:rPr>
                <w:sz w:val="13"/>
                <w:szCs w:val="13"/>
                <w:color w:val="auto"/>
              </w:rPr>
            </w:pPr>
          </w:p>
        </w:tc>
        <w:tc>
          <w:tcPr>
            <w:tcW w:w="3220" w:type="dxa"/>
            <w:vAlign w:val="bottom"/>
          </w:tcPr>
          <w:p>
            <w:pPr>
              <w:ind w:left="40"/>
              <w:spacing w:after="0"/>
              <w:rPr>
                <w:sz w:val="20"/>
                <w:szCs w:val="20"/>
                <w:color w:val="auto"/>
              </w:rPr>
            </w:pPr>
            <w:r>
              <w:rPr>
                <w:rFonts w:ascii="Arial" w:cs="Arial" w:eastAsia="Arial" w:hAnsi="Arial"/>
                <w:sz w:val="13"/>
                <w:szCs w:val="13"/>
                <w:color w:val="auto"/>
              </w:rPr>
              <w:t>officer compensation.</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88"/>
        </w:trPr>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276"/>
        </w:trPr>
        <w:tc>
          <w:tcPr>
            <w:tcW w:w="160" w:type="dxa"/>
            <w:vAlign w:val="bottom"/>
          </w:tcPr>
          <w:p>
            <w:pPr>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40"/>
              <w:spacing w:after="0"/>
              <w:rPr>
                <w:sz w:val="20"/>
                <w:szCs w:val="20"/>
                <w:color w:val="auto"/>
              </w:rPr>
            </w:pPr>
            <w:r>
              <w:rPr>
                <w:rFonts w:ascii="Arial" w:cs="Arial" w:eastAsia="Arial" w:hAnsi="Arial"/>
                <w:sz w:val="13"/>
                <w:szCs w:val="13"/>
                <w:color w:val="auto"/>
              </w:rPr>
              <w:t>Board proposal to ratify the appointment of Ernst &amp; Young LLP</w:t>
            </w:r>
          </w:p>
        </w:tc>
        <w:tc>
          <w:tcPr>
            <w:tcW w:w="520" w:type="dxa"/>
            <w:vAlign w:val="bottom"/>
          </w:tcPr>
          <w:p>
            <w:pPr>
              <w:jc w:val="center"/>
              <w:spacing w:after="0"/>
              <w:rPr>
                <w:sz w:val="20"/>
                <w:szCs w:val="20"/>
                <w:color w:val="auto"/>
              </w:rPr>
            </w:pPr>
            <w:r>
              <w:rPr>
                <w:rFonts w:ascii="Arial" w:cs="Arial" w:eastAsia="Arial" w:hAnsi="Arial"/>
                <w:sz w:val="17"/>
                <w:szCs w:val="17"/>
                <w:color w:val="auto"/>
              </w:rPr>
              <w:t>o</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o</w:t>
            </w:r>
          </w:p>
        </w:tc>
        <w:tc>
          <w:tcPr>
            <w:tcW w:w="560" w:type="dxa"/>
            <w:vAlign w:val="bottom"/>
          </w:tcPr>
          <w:p>
            <w:pPr>
              <w:jc w:val="center"/>
              <w:spacing w:after="0"/>
              <w:rPr>
                <w:sz w:val="20"/>
                <w:szCs w:val="20"/>
                <w:color w:val="auto"/>
              </w:rPr>
            </w:pPr>
            <w:r>
              <w:rPr>
                <w:rFonts w:ascii="Arial" w:cs="Arial" w:eastAsia="Arial" w:hAnsi="Arial"/>
                <w:sz w:val="17"/>
                <w:szCs w:val="17"/>
                <w:color w:val="auto"/>
              </w:rPr>
              <w:t>o</w:t>
            </w:r>
          </w:p>
        </w:tc>
      </w:tr>
      <w:tr>
        <w:trPr>
          <w:trHeight w:val="144"/>
        </w:trPr>
        <w:tc>
          <w:tcPr>
            <w:tcW w:w="160" w:type="dxa"/>
            <w:vAlign w:val="bottom"/>
          </w:tcPr>
          <w:p>
            <w:pPr>
              <w:spacing w:after="0"/>
              <w:rPr>
                <w:sz w:val="12"/>
                <w:szCs w:val="12"/>
                <w:color w:val="auto"/>
              </w:rPr>
            </w:pPr>
          </w:p>
        </w:tc>
        <w:tc>
          <w:tcPr>
            <w:tcW w:w="37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as the Company's independent registered public accounting</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r>
    </w:tbl>
    <w:p>
      <w:pPr>
        <w:ind w:left="200"/>
        <w:spacing w:after="0"/>
        <w:rPr>
          <w:sz w:val="20"/>
          <w:szCs w:val="20"/>
          <w:color w:val="auto"/>
        </w:rPr>
      </w:pPr>
      <w:r>
        <w:rPr>
          <w:rFonts w:ascii="Arial" w:cs="Arial" w:eastAsia="Arial" w:hAnsi="Arial"/>
          <w:sz w:val="13"/>
          <w:szCs w:val="13"/>
          <w:color w:val="auto"/>
        </w:rPr>
        <w:t>firm for 2011.</w:t>
      </w:r>
    </w:p>
    <w:p>
      <w:pPr>
        <w:spacing w:after="0" w:line="123" w:lineRule="exact"/>
        <w:rPr>
          <w:sz w:val="20"/>
          <w:szCs w:val="20"/>
          <w:color w:val="auto"/>
        </w:rPr>
      </w:pPr>
    </w:p>
    <w:p>
      <w:pPr>
        <w:ind w:right="1660"/>
        <w:spacing w:after="0" w:line="268" w:lineRule="auto"/>
        <w:rPr>
          <w:sz w:val="20"/>
          <w:szCs w:val="20"/>
          <w:color w:val="auto"/>
        </w:rPr>
      </w:pPr>
      <w:r>
        <w:rPr>
          <w:rFonts w:ascii="Arial" w:cs="Arial" w:eastAsia="Arial" w:hAnsi="Arial"/>
          <w:sz w:val="13"/>
          <w:szCs w:val="13"/>
          <w:b w:val="1"/>
          <w:bCs w:val="1"/>
          <w:color w:val="auto"/>
        </w:rPr>
        <w:t>NOTE</w:t>
      </w:r>
      <w:r>
        <w:rPr>
          <w:rFonts w:ascii="Arial" w:cs="Arial" w:eastAsia="Arial" w:hAnsi="Arial"/>
          <w:sz w:val="13"/>
          <w:szCs w:val="13"/>
          <w:color w:val="auto"/>
        </w:rPr>
        <w:t>: Such other business as may properly come before the</w:t>
      </w:r>
      <w:r>
        <w:rPr>
          <w:rFonts w:ascii="Arial" w:cs="Arial" w:eastAsia="Arial" w:hAnsi="Arial"/>
          <w:sz w:val="13"/>
          <w:szCs w:val="13"/>
          <w:b w:val="1"/>
          <w:bCs w:val="1"/>
          <w:color w:val="auto"/>
        </w:rPr>
        <w:t xml:space="preserve"> </w:t>
      </w:r>
      <w:r>
        <w:rPr>
          <w:rFonts w:ascii="Arial" w:cs="Arial" w:eastAsia="Arial" w:hAnsi="Arial"/>
          <w:sz w:val="13"/>
          <w:szCs w:val="13"/>
          <w:color w:val="auto"/>
        </w:rPr>
        <w:t>meeting or any adjournment thereof.</w:t>
      </w:r>
    </w:p>
    <w:p>
      <w:pPr>
        <w:spacing w:after="0" w:line="1058" w:lineRule="exact"/>
        <w:rPr>
          <w:sz w:val="20"/>
          <w:szCs w:val="20"/>
          <w:color w:val="auto"/>
        </w:rPr>
      </w:pPr>
    </w:p>
    <w:p>
      <w:pPr>
        <w:sectPr>
          <w:pgSz w:w="11900" w:h="16838" w:orient="portrait"/>
          <w:cols w:equalWidth="0" w:num="2">
            <w:col w:w="5680" w:space="260"/>
            <w:col w:w="5580"/>
          </w:cols>
          <w:pgMar w:left="240" w:top="590" w:right="139" w:bottom="1440" w:gutter="0" w:footer="0" w:header="0"/>
          <w:type w:val="continuous"/>
        </w:sectPr>
      </w:pPr>
    </w:p>
    <w:p>
      <w:pPr>
        <w:jc w:val="both"/>
        <w:ind w:left="260" w:right="2140"/>
        <w:spacing w:after="0" w:line="238"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99" w:lineRule="exact"/>
        <w:rPr>
          <w:sz w:val="20"/>
          <w:szCs w:val="20"/>
          <w:color w:val="auto"/>
        </w:rPr>
      </w:pPr>
    </w:p>
    <w:p>
      <w:pPr>
        <w:ind w:left="260"/>
        <w:spacing w:after="0"/>
        <w:tabs>
          <w:tab w:leader="none" w:pos="3400" w:val="left"/>
          <w:tab w:leader="none" w:pos="5860" w:val="left"/>
          <w:tab w:leader="none" w:pos="906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286385</wp:posOffset>
            </wp:positionV>
            <wp:extent cx="727138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520"/>
          </w:cols>
          <w:pgMar w:left="240" w:top="590" w:right="139" w:bottom="1440" w:gutter="0" w:footer="0" w:header="0"/>
          <w:type w:val="continuous"/>
        </w:sectPr>
      </w:pPr>
    </w:p>
    <w:bookmarkStart w:id="48" w:name="page49"/>
    <w:bookmarkEnd w:id="48"/>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3177540</wp:posOffset>
            </wp:positionH>
            <wp:positionV relativeFrom="page">
              <wp:posOffset>388620</wp:posOffset>
            </wp:positionV>
            <wp:extent cx="1215390" cy="4495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215390" cy="449580"/>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APRIL 21, 2011</w:t>
      </w:r>
    </w:p>
    <w:p>
      <w:pPr>
        <w:spacing w:after="0" w:line="257" w:lineRule="exact"/>
        <w:rPr>
          <w:sz w:val="20"/>
          <w:szCs w:val="20"/>
          <w:color w:val="auto"/>
        </w:rPr>
      </w:pPr>
    </w:p>
    <w:p>
      <w:pPr>
        <w:jc w:val="both"/>
        <w:ind w:left="280" w:right="580"/>
        <w:spacing w:after="0" w:line="244" w:lineRule="auto"/>
        <w:rPr>
          <w:sz w:val="20"/>
          <w:szCs w:val="20"/>
          <w:color w:val="auto"/>
        </w:rPr>
      </w:pPr>
      <w:r>
        <w:rPr>
          <w:rFonts w:ascii="Arial" w:cs="Arial" w:eastAsia="Arial" w:hAnsi="Arial"/>
          <w:sz w:val="17"/>
          <w:szCs w:val="17"/>
          <w:color w:val="auto"/>
        </w:rPr>
        <w:t>You are invited to attend the 2011 annual meeting of stockholders on Thursday, April 21, 2011, at the cafeteria on our property at 12500 TI Boulevard, Dallas, Texas, at 10:00 a.m. (Dallas time). At the meeting we will consider the election of directors, an advisory vote on named executive officer compensation, an advisory vote on the frequency of future advisory votes on named executive officer compensation, ratification of the appointment of Ernst &amp; Young LLP as the Company’s independent registered public accounting firm for 2011, and such other matters as may properly come before the meeting.</w:t>
      </w:r>
    </w:p>
    <w:p>
      <w:pPr>
        <w:spacing w:after="0" w:line="206"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u w:val="single" w:color="auto"/>
          <w:color w:val="auto"/>
        </w:rPr>
        <w:t>Electronic Delivery of Proxy Materials</w:t>
      </w:r>
    </w:p>
    <w:p>
      <w:pPr>
        <w:spacing w:after="0" w:line="257" w:lineRule="exact"/>
        <w:rPr>
          <w:sz w:val="20"/>
          <w:szCs w:val="20"/>
          <w:color w:val="auto"/>
        </w:rPr>
      </w:pPr>
    </w:p>
    <w:p>
      <w:pPr>
        <w:jc w:val="both"/>
        <w:ind w:left="280" w:right="560"/>
        <w:spacing w:after="0" w:line="252" w:lineRule="auto"/>
        <w:rPr>
          <w:sz w:val="20"/>
          <w:szCs w:val="20"/>
          <w:color w:val="auto"/>
        </w:rPr>
      </w:pPr>
      <w:r>
        <w:rPr>
          <w:rFonts w:ascii="Arial" w:cs="Arial" w:eastAsia="Arial" w:hAnsi="Arial"/>
          <w:sz w:val="17"/>
          <w:szCs w:val="17"/>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199"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2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 xml:space="preserve">The 2011 Notice and Proxy Statement and 2010 Annual Report are also available at </w:t>
      </w:r>
      <w:r>
        <w:rPr>
          <w:rFonts w:ascii="Arial" w:cs="Arial" w:eastAsia="Arial" w:hAnsi="Arial"/>
          <w:sz w:val="17"/>
          <w:szCs w:val="17"/>
          <w:u w:val="single" w:color="auto"/>
          <w:color w:val="auto"/>
        </w:rPr>
        <w:t>www.proxyvote.com</w:t>
      </w:r>
      <w:r>
        <w:rPr>
          <w:rFonts w:ascii="Arial" w:cs="Arial" w:eastAsia="Arial" w:hAnsi="Arial"/>
          <w:sz w:val="17"/>
          <w:szCs w:val="17"/>
          <w:color w:val="auto"/>
        </w:rPr>
        <w:t>.</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M30209-Z54716-P05978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186055</wp:posOffset>
            </wp:positionV>
            <wp:extent cx="7238365" cy="32924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38365" cy="329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PROXY FOR ANNUAL MEETING TO BE HELD APRIL 21, 2011</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37" w:lineRule="exact"/>
        <w:rPr>
          <w:sz w:val="20"/>
          <w:szCs w:val="20"/>
          <w:color w:val="auto"/>
        </w:rPr>
      </w:pPr>
    </w:p>
    <w:p>
      <w:pPr>
        <w:jc w:val="both"/>
        <w:ind w:right="300"/>
        <w:spacing w:after="0" w:line="243" w:lineRule="auto"/>
        <w:rPr>
          <w:sz w:val="20"/>
          <w:szCs w:val="20"/>
          <w:color w:val="auto"/>
        </w:rPr>
      </w:pPr>
      <w:r>
        <w:rPr>
          <w:rFonts w:ascii="Arial" w:cs="Arial" w:eastAsia="Arial" w:hAnsi="Arial"/>
          <w:sz w:val="17"/>
          <w:szCs w:val="17"/>
          <w:color w:val="auto"/>
        </w:rPr>
        <w:t xml:space="preserve">The undersigned hereby appoints CARRIE S. COX, PAMELA H. PATSLEY, RUTH J. SIMMONS, RICHARD K. TEMPLETON, or any one or more of them, the true and lawful attorneys of the undersigned with power of substitution, to vote as proxies for the undersigned at the annual meeting of stockholders of Texas Instruments Incorporated to be held in Dallas, Texas, on April 21, 2011, at 10:00 a.m. (Dallas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7"/>
          <w:szCs w:val="17"/>
          <w:b w:val="1"/>
          <w:bCs w:val="1"/>
          <w:color w:val="auto"/>
        </w:rPr>
        <w:t>If no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contrary indication is made, this proxy will be voted FOR the election of each director nominee, FOR Proposals 2 and 4, and for "3 YEARS" on Proposal 3. </w:t>
      </w:r>
      <w:r>
        <w:rPr>
          <w:rFonts w:ascii="Arial" w:cs="Arial" w:eastAsia="Arial" w:hAnsi="Arial"/>
          <w:sz w:val="17"/>
          <w:szCs w:val="17"/>
          <w:color w:val="auto"/>
        </w:rPr>
        <w:t>If other matters come before the meeting, this proxy will be voted in the discretion of the named proxies.</w:t>
      </w:r>
    </w:p>
    <w:p>
      <w:pPr>
        <w:spacing w:after="0" w:line="227" w:lineRule="exact"/>
        <w:rPr>
          <w:sz w:val="20"/>
          <w:szCs w:val="20"/>
          <w:color w:val="auto"/>
        </w:rPr>
      </w:pPr>
    </w:p>
    <w:p>
      <w:pPr>
        <w:jc w:val="both"/>
        <w:ind w:right="300"/>
        <w:spacing w:after="0" w:line="243"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shares allocable to that plan account as well as other shares registered in the participant's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18, 2011, those shares will be voted, in accordance with the terms of plans, in the same proportion as the shares for which voting instructions have been received. If other matters come before the meeting, the named proxies will vote plan shares on those matters in their discretion.</w:t>
      </w:r>
    </w:p>
    <w:p>
      <w:pPr>
        <w:spacing w:after="0" w:line="207"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521335</wp:posOffset>
            </wp:positionV>
            <wp:extent cx="727138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120"/>
          </w:cols>
          <w:pgMar w:left="540" w:top="1440"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color w:val="auto"/>
        </w:rPr>
        <w:t>TEXAS INSTRUMENTS INCORPORATED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NOTICE OF ANNUAL MEETING OF STOCKHOLDERS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RECORD DATE: February 22, 2011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MEETING DATE: April 21, 2011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CUSIP NUMBER: 882508104</w:t>
      </w:r>
    </w:p>
    <w:p>
      <w:pPr>
        <w:spacing w:after="0" w:line="237"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You are cordially invited to attend the 2011 annual meeting of stockholders on Thursday, April 21, 2011, at the cafeteria on our property at 12500 TI Boulevard, Dallas, Texas, at 10:00 a.m. (Dallas time). At the meeting, we will consider and act upon the following matters: (i) the election of directors,</w:t>
      </w:r>
    </w:p>
    <w:p>
      <w:pPr>
        <w:spacing w:after="0" w:line="1" w:lineRule="exact"/>
        <w:rPr>
          <w:sz w:val="20"/>
          <w:szCs w:val="20"/>
          <w:color w:val="auto"/>
        </w:rPr>
      </w:pPr>
    </w:p>
    <w:p>
      <w:pPr>
        <w:jc w:val="both"/>
        <w:ind w:right="440" w:firstLine="5"/>
        <w:spacing w:after="0" w:line="246" w:lineRule="auto"/>
        <w:tabs>
          <w:tab w:leader="none" w:pos="237"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advisory vote on named executive officer compensation, (iii) an advisory vote on the frequency of future advisory votes on named executive officer compensation, (iv) ratification of the appointment of Ernst &amp; Young LLP as the Company's independent registered public accounting firm for 2011, and (v) such other matters as may properly come before the meeting.</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You are enrolled to receive stockholder communications via the Internet. This e-mail contains instructions for viewing the Texas Instruments 2011 Proxy Statement and Annual Report for 2010 and for voting your shares.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Please read the instructions carefully before proceeding.</w:t>
      </w:r>
    </w:p>
    <w:p>
      <w:pPr>
        <w:spacing w:after="0" w:line="23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VIEWING THE PROXY MATERIALS AND VOTING YOUR SHARES – Please review the Proxy Statement and Annual Report before voting. The Proxy Statement discusses the proposals to be voted on.</w:t>
      </w:r>
    </w:p>
    <w:p>
      <w:pPr>
        <w:spacing w:after="0" w:line="21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You can enter your voting instructions and view the shareholder material at the following Internet site. If your browser supports secure transactions you will be automatically directed to a secure site.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http://www.proxyvote.com/0012345678901</w:t>
      </w:r>
    </w:p>
    <w:p>
      <w:pPr>
        <w:spacing w:after="0" w:line="237"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Registered shares must be voted by 11:59 p.m. (Eastern Time) on April 20, 2011. Shares allocable to a Texas Instruments (TI) benefit plan must be voted by 11:59 p.m. (Eastern Time) on April 18, 2011.</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To enter your vote you will need the following:</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CONTROL NUMBER: 012345678901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YOUR 4-DIGIT PIN NUMBER</w:t>
      </w:r>
    </w:p>
    <w:p>
      <w:pPr>
        <w:spacing w:after="0" w:line="237"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225" w:lineRule="exact"/>
        <w:rPr>
          <w:sz w:val="20"/>
          <w:szCs w:val="20"/>
          <w:color w:val="auto"/>
        </w:rPr>
      </w:pPr>
    </w:p>
    <w:p>
      <w:pPr>
        <w:jc w:val="both"/>
        <w:ind w:right="480"/>
        <w:spacing w:after="0" w:line="246" w:lineRule="auto"/>
        <w:rPr>
          <w:sz w:val="20"/>
          <w:szCs w:val="20"/>
          <w:color w:val="auto"/>
        </w:rPr>
      </w:pPr>
      <w:r>
        <w:rPr>
          <w:rFonts w:ascii="Arial" w:cs="Arial" w:eastAsia="Arial" w:hAnsi="Arial"/>
          <w:sz w:val="17"/>
          <w:szCs w:val="17"/>
          <w:color w:val="auto"/>
        </w:rPr>
        <w:t>If you would like to cancel your enrollment, or change your e-mail address or PIN, please go to http://www.InvestorDelivery.com. You will need the enrollment number below, and your four-digit PIN. If you have forgotten your PIN, you can have it sent to your enrolled e-mail address by going to http://www.InvestorDelivery.com.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00" w:type="dxa"/>
            <w:vAlign w:val="bottom"/>
          </w:tcPr>
          <w:p>
            <w:pPr>
              <w:spacing w:after="0"/>
              <w:rPr>
                <w:sz w:val="20"/>
                <w:szCs w:val="20"/>
                <w:color w:val="auto"/>
              </w:rPr>
            </w:pPr>
            <w:r>
              <w:rPr>
                <w:rFonts w:ascii="Arial" w:cs="Arial" w:eastAsia="Arial" w:hAnsi="Arial"/>
                <w:sz w:val="17"/>
                <w:szCs w:val="17"/>
                <w:color w:val="auto"/>
              </w:rPr>
              <w:t>Your InvestorDelivery Enrollment Number is:</w:t>
            </w:r>
          </w:p>
        </w:tc>
        <w:tc>
          <w:tcPr>
            <w:tcW w:w="6940" w:type="dxa"/>
            <w:vAlign w:val="bottom"/>
          </w:tcPr>
          <w:p>
            <w:pPr>
              <w:ind w:left="1140"/>
              <w:spacing w:after="0"/>
              <w:rPr>
                <w:sz w:val="20"/>
                <w:szCs w:val="20"/>
                <w:color w:val="auto"/>
              </w:rPr>
            </w:pPr>
            <w:r>
              <w:rPr>
                <w:rFonts w:ascii="Arial" w:cs="Arial" w:eastAsia="Arial" w:hAnsi="Arial"/>
                <w:sz w:val="17"/>
                <w:szCs w:val="17"/>
                <w:color w:val="auto"/>
              </w:rPr>
              <w:t>M012345678901</w:t>
            </w:r>
          </w:p>
        </w:tc>
      </w:tr>
      <w:tr>
        <w:trPr>
          <w:trHeight w:val="366"/>
        </w:trPr>
        <w:tc>
          <w:tcPr>
            <w:tcW w:w="4500" w:type="dxa"/>
            <w:vAlign w:val="bottom"/>
            <w:tcBorders>
              <w:bottom w:val="single" w:sz="8" w:color="808080"/>
            </w:tcBorders>
          </w:tcPr>
          <w:p>
            <w:pPr>
              <w:spacing w:after="0"/>
              <w:rPr>
                <w:sz w:val="24"/>
                <w:szCs w:val="24"/>
                <w:color w:val="auto"/>
              </w:rPr>
            </w:pPr>
          </w:p>
        </w:tc>
        <w:tc>
          <w:tcPr>
            <w:tcW w:w="6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615" w:right="219" w:bottom="1440" w:gutter="0" w:footer="0" w:header="0"/>
        </w:sectPr>
      </w:pPr>
    </w:p>
    <w:bookmarkStart w:id="50" w:name="page51"/>
    <w:bookmarkEnd w:id="50"/>
    <w:p>
      <w:pPr>
        <w:spacing w:after="0" w:line="242" w:lineRule="auto"/>
        <w:rPr>
          <w:sz w:val="20"/>
          <w:szCs w:val="20"/>
          <w:color w:val="auto"/>
        </w:rPr>
      </w:pPr>
      <w:r>
        <w:rPr>
          <w:rFonts w:ascii="Arial" w:cs="Arial" w:eastAsia="Arial" w:hAnsi="Arial"/>
          <w:sz w:val="17"/>
          <w:szCs w:val="17"/>
          <w:color w:val="auto"/>
        </w:rPr>
        <w:t>This e-mail covers TI shares registered directly in your name and TI shares allocable to employee benefit plan(s). Should you have an account in the TI Contribution and 401(k) Savings Plan or the TI 401(k) Savings Plan, this proxy represents the number of TI shares allocable to the plan account as well as other shares registered in your name. As a "named fiduciary" under the plans for TI shares allocable to the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18, 2011, those shares will be voted, in accordance with the terms of the plans, in the same proportion as the shares for which voting instructions have been received. If other matters come before the meeting, the named proxies will vote plan shares on those matters in their discretion.</w:t>
      </w:r>
    </w:p>
    <w:p>
      <w:pPr>
        <w:spacing w:after="0" w:line="232"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If you receive more than one e-mail or a proxy card in addition to this e-mail, it generally means that your holdings are listed under other names or different spellings of your name, and you must vote under all e-mails and any proxy cards to vote all shares.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At the proxyvote.com link above, you can access the proxy materials in both PDF and HTML formats.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You may also view the proxy materials in HTML and PDF at: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Annual Report (HTML)</w:t>
      </w:r>
    </w:p>
    <w:p>
      <w:pPr>
        <w:sectPr>
          <w:pgSz w:w="11900" w:h="16838" w:orient="portrait"/>
          <w:cols w:equalWidth="0" w:num="1">
            <w:col w:w="11400"/>
          </w:cols>
          <w:pgMar w:left="240" w:top="615" w:right="25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https://materials.proxyvote.com/882508</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(HTML)</w:t>
      </w:r>
    </w:p>
    <w:p>
      <w:pPr>
        <w:spacing w:after="0" w:line="200" w:lineRule="exact"/>
        <w:rPr>
          <w:sz w:val="20"/>
          <w:szCs w:val="20"/>
          <w:color w:val="auto"/>
        </w:rPr>
      </w:pPr>
    </w:p>
    <w:p>
      <w:pPr>
        <w:sectPr>
          <w:pgSz w:w="11900" w:h="16838" w:orient="portrait"/>
          <w:cols w:equalWidth="0" w:num="2">
            <w:col w:w="4920" w:space="720"/>
            <w:col w:w="5760"/>
          </w:cols>
          <w:pgMar w:left="240" w:top="615" w:right="25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Annual Report (PDF)</w:t>
      </w:r>
    </w:p>
    <w:p>
      <w:pPr>
        <w:sectPr>
          <w:pgSz w:w="11900" w:h="16838" w:orient="portrait"/>
          <w:cols w:equalWidth="0" w:num="1">
            <w:col w:w="11400"/>
          </w:cols>
          <w:pgMar w:left="240" w:top="615"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https://materials.proxyvote.com/882508</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(PDF)</w:t>
      </w:r>
    </w:p>
    <w:p>
      <w:pPr>
        <w:spacing w:after="0" w:line="200" w:lineRule="exact"/>
        <w:rPr>
          <w:sz w:val="20"/>
          <w:szCs w:val="20"/>
          <w:color w:val="auto"/>
        </w:rPr>
      </w:pPr>
    </w:p>
    <w:p>
      <w:pPr>
        <w:sectPr>
          <w:pgSz w:w="11900" w:h="16838" w:orient="portrait"/>
          <w:cols w:equalWidth="0" w:num="2">
            <w:col w:w="4920" w:space="720"/>
            <w:col w:w="5760"/>
          </w:cols>
          <w:pgMar w:left="240" w:top="615" w:right="25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 (HTML)</w:t>
      </w:r>
    </w:p>
    <w:p>
      <w:pPr>
        <w:sectPr>
          <w:pgSz w:w="11900" w:h="16838" w:orient="portrait"/>
          <w:cols w:equalWidth="0" w:num="1">
            <w:col w:w="11400"/>
          </w:cols>
          <w:pgMar w:left="240" w:top="615" w:right="25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https://materials.proxyvote.com/882508</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(HTML)</w:t>
      </w:r>
    </w:p>
    <w:p>
      <w:pPr>
        <w:spacing w:after="0" w:line="200" w:lineRule="exact"/>
        <w:rPr>
          <w:sz w:val="20"/>
          <w:szCs w:val="20"/>
          <w:color w:val="auto"/>
        </w:rPr>
      </w:pPr>
    </w:p>
    <w:p>
      <w:pPr>
        <w:sectPr>
          <w:pgSz w:w="11900" w:h="16838" w:orient="portrait"/>
          <w:cols w:equalWidth="0" w:num="2">
            <w:col w:w="4920" w:space="720"/>
            <w:col w:w="5760"/>
          </w:cols>
          <w:pgMar w:left="240" w:top="615" w:right="25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Proxy Statement (PDF)</w:t>
      </w:r>
    </w:p>
    <w:p>
      <w:pPr>
        <w:sectPr>
          <w:pgSz w:w="11900" w:h="16838" w:orient="portrait"/>
          <w:cols w:equalWidth="0" w:num="1">
            <w:col w:w="11400"/>
          </w:cols>
          <w:pgMar w:left="240" w:top="615" w:right="25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https://materials.proxyvote.com/882508</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(PDF)</w:t>
      </w:r>
    </w:p>
    <w:p>
      <w:pPr>
        <w:spacing w:after="0" w:line="200" w:lineRule="exact"/>
        <w:rPr>
          <w:sz w:val="20"/>
          <w:szCs w:val="20"/>
          <w:color w:val="auto"/>
        </w:rPr>
      </w:pPr>
    </w:p>
    <w:p>
      <w:pPr>
        <w:sectPr>
          <w:pgSz w:w="11900" w:h="16838" w:orient="portrait"/>
          <w:cols w:equalWidth="0" w:num="2">
            <w:col w:w="4920" w:space="720"/>
            <w:col w:w="5760"/>
          </w:cols>
          <w:pgMar w:left="240" w:top="615" w:right="25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To view the proxy materials, you may need Adobe Acrobat Reader, which is available at the following Internet site: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http://www.adobe.com/products/acrobat/readstep2.html</w:t>
      </w:r>
    </w:p>
    <w:p>
      <w:pPr>
        <w:spacing w:after="0" w:line="237"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There are no charges for any of the services referenced herein. There may be costs associated with electronic access, such as usage charges from Internet access providers and telephone companies, that must be borne by the stockholder.</w:t>
      </w:r>
    </w:p>
    <w:p>
      <w:pPr>
        <w:spacing w:after="0" w:line="219"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PAPER COPIES - You may receive paper copies of the Proxy Statement and Annual Report free of charge by calling Investor Relations at (972) 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27138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400"/>
          </w:cols>
          <w:pgMar w:left="240" w:top="615" w:right="259" w:bottom="1440" w:gutter="0" w:footer="0" w:header="0"/>
          <w:type w:val="continuous"/>
        </w:sectPr>
      </w:pPr>
    </w:p>
    <w:bookmarkStart w:id="51" w:name="page52"/>
    <w:bookmarkEnd w:id="51"/>
    <w:p>
      <w:pPr>
        <w:spacing w:after="0" w:line="3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388620</wp:posOffset>
            </wp:positionV>
            <wp:extent cx="1664970" cy="6242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664970" cy="6242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8"/>
        </w:trPr>
        <w:tc>
          <w:tcPr>
            <w:tcW w:w="6020" w:type="dxa"/>
            <w:vAlign w:val="bottom"/>
          </w:tcPr>
          <w:p>
            <w:pPr>
              <w:ind w:left="40"/>
              <w:spacing w:after="0"/>
              <w:rPr>
                <w:sz w:val="20"/>
                <w:szCs w:val="20"/>
                <w:color w:val="auto"/>
              </w:rPr>
            </w:pPr>
            <w:r>
              <w:rPr>
                <w:rFonts w:ascii="Arial" w:cs="Arial" w:eastAsia="Arial" w:hAnsi="Arial"/>
                <w:sz w:val="21"/>
                <w:szCs w:val="21"/>
                <w:color w:val="656565"/>
              </w:rPr>
              <w:t>TEXAS INSTRUMENTS INCORPORATED</w:t>
            </w:r>
          </w:p>
        </w:tc>
        <w:tc>
          <w:tcPr>
            <w:tcW w:w="4580" w:type="dxa"/>
            <w:vAlign w:val="bottom"/>
          </w:tcPr>
          <w:p>
            <w:pPr>
              <w:spacing w:after="0"/>
              <w:rPr>
                <w:sz w:val="24"/>
                <w:szCs w:val="24"/>
                <w:color w:val="auto"/>
              </w:rPr>
            </w:pPr>
          </w:p>
        </w:tc>
        <w:tc>
          <w:tcPr>
            <w:tcW w:w="820" w:type="dxa"/>
            <w:vAlign w:val="bottom"/>
            <w:shd w:val="clear" w:color="auto" w:fill="D7D7D7"/>
          </w:tcPr>
          <w:p>
            <w:pPr>
              <w:ind w:left="40"/>
              <w:spacing w:after="0"/>
              <w:rPr>
                <w:sz w:val="20"/>
                <w:szCs w:val="20"/>
                <w:color w:val="auto"/>
              </w:rPr>
            </w:pPr>
            <w:r>
              <w:rPr>
                <w:rFonts w:ascii="Arial" w:cs="Arial" w:eastAsia="Arial" w:hAnsi="Arial"/>
                <w:sz w:val="17"/>
                <w:szCs w:val="17"/>
                <w:b w:val="1"/>
                <w:bCs w:val="1"/>
                <w:color w:val="auto"/>
              </w:rPr>
              <w:t>Control#</w:t>
            </w:r>
          </w:p>
        </w:tc>
        <w:tc>
          <w:tcPr>
            <w:tcW w:w="0" w:type="dxa"/>
            <w:vAlign w:val="bottom"/>
          </w:tcPr>
          <w:p>
            <w:pPr>
              <w:spacing w:after="0"/>
              <w:rPr>
                <w:sz w:val="1"/>
                <w:szCs w:val="1"/>
                <w:color w:val="auto"/>
              </w:rPr>
            </w:pPr>
          </w:p>
        </w:tc>
      </w:tr>
      <w:tr>
        <w:trPr>
          <w:trHeight w:val="443"/>
        </w:trPr>
        <w:tc>
          <w:tcPr>
            <w:tcW w:w="6020" w:type="dxa"/>
            <w:vAlign w:val="bottom"/>
          </w:tcPr>
          <w:p>
            <w:pPr>
              <w:spacing w:after="0"/>
              <w:rPr>
                <w:sz w:val="24"/>
                <w:szCs w:val="24"/>
                <w:color w:val="auto"/>
              </w:rPr>
            </w:pPr>
          </w:p>
        </w:tc>
        <w:tc>
          <w:tcPr>
            <w:tcW w:w="5400" w:type="dxa"/>
            <w:vAlign w:val="bottom"/>
            <w:gridSpan w:val="2"/>
          </w:tcPr>
          <w:p>
            <w:pPr>
              <w:ind w:left="1980"/>
              <w:spacing w:after="0"/>
              <w:rPr>
                <w:sz w:val="20"/>
                <w:szCs w:val="20"/>
                <w:color w:val="auto"/>
              </w:rPr>
            </w:pPr>
            <w:r>
              <w:rPr>
                <w:rFonts w:ascii="Arial" w:cs="Arial" w:eastAsia="Arial" w:hAnsi="Arial"/>
                <w:sz w:val="17"/>
                <w:szCs w:val="17"/>
                <w:b w:val="1"/>
                <w:bCs w:val="1"/>
                <w:color w:val="auto"/>
              </w:rPr>
              <w:t>Meeting Material(s)</w:t>
            </w:r>
          </w:p>
        </w:tc>
        <w:tc>
          <w:tcPr>
            <w:tcW w:w="0" w:type="dxa"/>
            <w:vAlign w:val="bottom"/>
          </w:tcPr>
          <w:p>
            <w:pPr>
              <w:spacing w:after="0"/>
              <w:rPr>
                <w:sz w:val="1"/>
                <w:szCs w:val="1"/>
                <w:color w:val="auto"/>
              </w:rPr>
            </w:pPr>
          </w:p>
        </w:tc>
      </w:tr>
      <w:tr>
        <w:trPr>
          <w:trHeight w:val="472"/>
        </w:trPr>
        <w:tc>
          <w:tcPr>
            <w:tcW w:w="6020" w:type="dxa"/>
            <w:vAlign w:val="bottom"/>
          </w:tcPr>
          <w:p>
            <w:pPr>
              <w:spacing w:after="0"/>
              <w:rPr>
                <w:sz w:val="20"/>
                <w:szCs w:val="20"/>
                <w:color w:val="auto"/>
              </w:rPr>
            </w:pPr>
            <w:r>
              <w:rPr>
                <w:rFonts w:ascii="Arial" w:cs="Arial" w:eastAsia="Arial" w:hAnsi="Arial"/>
                <w:sz w:val="17"/>
                <w:szCs w:val="17"/>
                <w:b w:val="1"/>
                <w:bCs w:val="1"/>
                <w:color w:val="auto"/>
              </w:rPr>
              <w:t>2011 Annual Meeting of Shareholders</w:t>
            </w:r>
          </w:p>
        </w:tc>
        <w:tc>
          <w:tcPr>
            <w:tcW w:w="5400" w:type="dxa"/>
            <w:vAlign w:val="bottom"/>
            <w:gridSpan w:val="2"/>
          </w:tcPr>
          <w:p>
            <w:pPr>
              <w:ind w:left="2720"/>
              <w:spacing w:after="0"/>
              <w:rPr>
                <w:sz w:val="20"/>
                <w:szCs w:val="20"/>
                <w:color w:val="auto"/>
              </w:rPr>
            </w:pPr>
            <w:r>
              <w:rPr>
                <w:rFonts w:ascii="Arial" w:cs="Arial" w:eastAsia="Arial" w:hAnsi="Arial"/>
                <w:sz w:val="17"/>
                <w:szCs w:val="17"/>
                <w:color w:val="auto"/>
              </w:rPr>
              <w:t>Annual Report</w:t>
            </w:r>
          </w:p>
        </w:tc>
        <w:tc>
          <w:tcPr>
            <w:tcW w:w="0" w:type="dxa"/>
            <w:vAlign w:val="bottom"/>
          </w:tcPr>
          <w:p>
            <w:pPr>
              <w:spacing w:after="0"/>
              <w:rPr>
                <w:sz w:val="1"/>
                <w:szCs w:val="1"/>
                <w:color w:val="auto"/>
              </w:rPr>
            </w:pPr>
          </w:p>
        </w:tc>
      </w:tr>
      <w:tr>
        <w:trPr>
          <w:trHeight w:val="419"/>
        </w:trPr>
        <w:tc>
          <w:tcPr>
            <w:tcW w:w="6020" w:type="dxa"/>
            <w:vAlign w:val="bottom"/>
          </w:tcPr>
          <w:p>
            <w:pPr>
              <w:spacing w:after="0"/>
              <w:rPr>
                <w:sz w:val="20"/>
                <w:szCs w:val="20"/>
                <w:color w:val="auto"/>
              </w:rPr>
            </w:pPr>
            <w:r>
              <w:rPr>
                <w:rFonts w:ascii="Arial" w:cs="Arial" w:eastAsia="Arial" w:hAnsi="Arial"/>
                <w:sz w:val="17"/>
                <w:szCs w:val="17"/>
                <w:b w:val="1"/>
                <w:bCs w:val="1"/>
                <w:color w:val="auto"/>
              </w:rPr>
              <w:t>Thursday, April 21, 2011</w:t>
            </w:r>
          </w:p>
        </w:tc>
        <w:tc>
          <w:tcPr>
            <w:tcW w:w="5400" w:type="dxa"/>
            <w:vAlign w:val="bottom"/>
            <w:gridSpan w:val="2"/>
          </w:tcPr>
          <w:p>
            <w:pPr>
              <w:ind w:left="2720"/>
              <w:spacing w:after="0"/>
              <w:rPr>
                <w:sz w:val="20"/>
                <w:szCs w:val="20"/>
                <w:color w:val="auto"/>
              </w:rPr>
            </w:pPr>
            <w:r>
              <w:rPr>
                <w:rFonts w:ascii="Arial" w:cs="Arial" w:eastAsia="Arial" w:hAnsi="Arial"/>
                <w:sz w:val="17"/>
                <w:szCs w:val="17"/>
                <w:color w:val="auto"/>
              </w:rPr>
              <w:t>Annual Report</w:t>
            </w:r>
          </w:p>
        </w:tc>
        <w:tc>
          <w:tcPr>
            <w:tcW w:w="0" w:type="dxa"/>
            <w:vAlign w:val="bottom"/>
          </w:tcPr>
          <w:p>
            <w:pPr>
              <w:spacing w:after="0"/>
              <w:rPr>
                <w:sz w:val="1"/>
                <w:szCs w:val="1"/>
                <w:color w:val="auto"/>
              </w:rPr>
            </w:pPr>
          </w:p>
        </w:tc>
      </w:tr>
      <w:tr>
        <w:trPr>
          <w:trHeight w:val="367"/>
        </w:trPr>
        <w:tc>
          <w:tcPr>
            <w:tcW w:w="6020" w:type="dxa"/>
            <w:vAlign w:val="bottom"/>
          </w:tcPr>
          <w:p>
            <w:pPr>
              <w:spacing w:after="0"/>
              <w:rPr>
                <w:sz w:val="20"/>
                <w:szCs w:val="20"/>
                <w:color w:val="auto"/>
              </w:rPr>
            </w:pPr>
            <w:r>
              <w:rPr>
                <w:rFonts w:ascii="Arial" w:cs="Arial" w:eastAsia="Arial" w:hAnsi="Arial"/>
                <w:sz w:val="17"/>
                <w:szCs w:val="17"/>
                <w:b w:val="1"/>
                <w:bCs w:val="1"/>
                <w:color w:val="auto"/>
              </w:rPr>
              <w:t>For holders as of: 02/22/2011</w:t>
            </w:r>
          </w:p>
        </w:tc>
        <w:tc>
          <w:tcPr>
            <w:tcW w:w="5400" w:type="dxa"/>
            <w:vAlign w:val="bottom"/>
            <w:gridSpan w:val="2"/>
            <w:vMerge w:val="restart"/>
          </w:tcPr>
          <w:p>
            <w:pPr>
              <w:ind w:left="2720"/>
              <w:spacing w:after="0"/>
              <w:rPr>
                <w:sz w:val="20"/>
                <w:szCs w:val="20"/>
                <w:color w:val="auto"/>
              </w:rPr>
            </w:pPr>
            <w:r>
              <w:rPr>
                <w:rFonts w:ascii="Arial" w:cs="Arial" w:eastAsia="Arial" w:hAnsi="Arial"/>
                <w:sz w:val="17"/>
                <w:szCs w:val="17"/>
                <w:color w:val="auto"/>
              </w:rPr>
              <w:t>Proxy Statement</w:t>
            </w:r>
          </w:p>
        </w:tc>
        <w:tc>
          <w:tcPr>
            <w:tcW w:w="0" w:type="dxa"/>
            <w:vAlign w:val="bottom"/>
          </w:tcPr>
          <w:p>
            <w:pPr>
              <w:spacing w:after="0"/>
              <w:rPr>
                <w:sz w:val="1"/>
                <w:szCs w:val="1"/>
                <w:color w:val="auto"/>
              </w:rPr>
            </w:pPr>
          </w:p>
        </w:tc>
      </w:tr>
      <w:tr>
        <w:trPr>
          <w:trHeight w:val="52"/>
        </w:trPr>
        <w:tc>
          <w:tcPr>
            <w:tcW w:w="6020" w:type="dxa"/>
            <w:vAlign w:val="bottom"/>
          </w:tcPr>
          <w:p>
            <w:pPr>
              <w:spacing w:after="0"/>
              <w:rPr>
                <w:sz w:val="4"/>
                <w:szCs w:val="4"/>
                <w:color w:val="auto"/>
              </w:rPr>
            </w:pPr>
          </w:p>
        </w:tc>
        <w:tc>
          <w:tcPr>
            <w:tcW w:w="5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6020" w:type="dxa"/>
            <w:vAlign w:val="bottom"/>
          </w:tcPr>
          <w:p>
            <w:pPr>
              <w:spacing w:after="0"/>
              <w:rPr>
                <w:sz w:val="20"/>
                <w:szCs w:val="20"/>
                <w:color w:val="auto"/>
              </w:rPr>
            </w:pPr>
            <w:r>
              <w:rPr>
                <w:rFonts w:ascii="Arial" w:cs="Arial" w:eastAsia="Arial" w:hAnsi="Arial"/>
                <w:sz w:val="17"/>
                <w:szCs w:val="17"/>
                <w:b w:val="1"/>
                <w:bCs w:val="1"/>
                <w:color w:val="auto"/>
              </w:rPr>
              <w:t>Cusip: 882508-104</w:t>
            </w:r>
          </w:p>
        </w:tc>
        <w:tc>
          <w:tcPr>
            <w:tcW w:w="5400" w:type="dxa"/>
            <w:vAlign w:val="bottom"/>
            <w:gridSpan w:val="2"/>
            <w:vMerge w:val="restart"/>
          </w:tcPr>
          <w:p>
            <w:pPr>
              <w:ind w:left="2720"/>
              <w:spacing w:after="0"/>
              <w:rPr>
                <w:sz w:val="20"/>
                <w:szCs w:val="20"/>
                <w:color w:val="auto"/>
              </w:rPr>
            </w:pPr>
            <w:r>
              <w:rPr>
                <w:rFonts w:ascii="Arial" w:cs="Arial" w:eastAsia="Arial" w:hAnsi="Arial"/>
                <w:sz w:val="17"/>
                <w:szCs w:val="17"/>
                <w:color w:val="auto"/>
              </w:rPr>
              <w:t>Proxy Statement</w:t>
            </w:r>
          </w:p>
        </w:tc>
        <w:tc>
          <w:tcPr>
            <w:tcW w:w="0" w:type="dxa"/>
            <w:vAlign w:val="bottom"/>
          </w:tcPr>
          <w:p>
            <w:pPr>
              <w:spacing w:after="0"/>
              <w:rPr>
                <w:sz w:val="1"/>
                <w:szCs w:val="1"/>
                <w:color w:val="auto"/>
              </w:rPr>
            </w:pPr>
          </w:p>
        </w:tc>
      </w:tr>
      <w:tr>
        <w:trPr>
          <w:trHeight w:val="79"/>
        </w:trPr>
        <w:tc>
          <w:tcPr>
            <w:tcW w:w="6020" w:type="dxa"/>
            <w:vAlign w:val="bottom"/>
          </w:tcPr>
          <w:p>
            <w:pPr>
              <w:spacing w:after="0"/>
              <w:rPr>
                <w:sz w:val="6"/>
                <w:szCs w:val="6"/>
                <w:color w:val="auto"/>
              </w:rPr>
            </w:pPr>
          </w:p>
        </w:tc>
        <w:tc>
          <w:tcPr>
            <w:tcW w:w="5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5409565</wp:posOffset>
            </wp:positionH>
            <wp:positionV relativeFrom="paragraph">
              <wp:posOffset>-892810</wp:posOffset>
            </wp:positionV>
            <wp:extent cx="58420" cy="584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-626745</wp:posOffset>
            </wp:positionV>
            <wp:extent cx="58420" cy="584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-360045</wp:posOffset>
            </wp:positionV>
            <wp:extent cx="58420" cy="584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-93980</wp:posOffset>
            </wp:positionV>
            <wp:extent cx="58420" cy="584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36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color w:val="auto"/>
        </w:rPr>
        <w:t>As your vote is very important, we recommend that all voting instructions be received at least one business day prior to the voting cut-off time stated in the proxy materials. Scroll down for proxy instructions and voting.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vote via telephone, call </w:t>
      </w:r>
      <w:r>
        <w:rPr>
          <w:rFonts w:ascii="Arial" w:cs="Arial" w:eastAsia="Arial" w:hAnsi="Arial"/>
          <w:sz w:val="17"/>
          <w:szCs w:val="17"/>
          <w:b w:val="1"/>
          <w:bCs w:val="1"/>
          <w:color w:val="auto"/>
        </w:rPr>
        <w:t>1-800-690-6903.</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FFFFFF"/>
        </w:rPr>
        <w:t>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-113030</wp:posOffset>
            </wp:positionV>
            <wp:extent cx="7167245" cy="1250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7245" cy="125095"/>
                    </a:xfrm>
                    <a:prstGeom prst="rect">
                      <a:avLst/>
                    </a:prstGeom>
                    <a:noFill/>
                  </pic:spPr>
                </pic:pic>
              </a:graphicData>
            </a:graphic>
          </wp:anchor>
        </w:drawing>
      </w: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TEXAS INSTRUMENTS INCORPORATED</w:t>
      </w: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2011 Annual Meeting of Shareholders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To be held on 04/21/2011 for holders of record as of 02/22/2011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7314565" cy="35007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14565" cy="35007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TEXAS INSTRUMENTS INCORPORATED</w:t>
      </w:r>
    </w:p>
    <w:p>
      <w:pPr>
        <w:spacing w:after="0" w:line="222" w:lineRule="exact"/>
        <w:rPr>
          <w:sz w:val="20"/>
          <w:szCs w:val="20"/>
          <w:color w:val="auto"/>
        </w:rPr>
      </w:pPr>
    </w:p>
    <w:p>
      <w:pPr>
        <w:jc w:val="center"/>
        <w:ind w:left="320"/>
        <w:spacing w:after="0"/>
        <w:rPr>
          <w:sz w:val="20"/>
          <w:szCs w:val="20"/>
          <w:color w:val="auto"/>
        </w:rPr>
      </w:pPr>
      <w:r>
        <w:rPr>
          <w:rFonts w:ascii="Arial" w:cs="Arial" w:eastAsia="Arial" w:hAnsi="Arial"/>
          <w:sz w:val="21"/>
          <w:szCs w:val="21"/>
          <w:b w:val="1"/>
          <w:bCs w:val="1"/>
          <w:color w:val="auto"/>
        </w:rPr>
        <w:t>PROXY FOR ANNUAL MEETING TO BE HELD APRIL 21, 2011</w:t>
      </w: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21"/>
          <w:szCs w:val="21"/>
          <w:b w:val="1"/>
          <w:bCs w:val="1"/>
          <w:color w:val="auto"/>
        </w:rPr>
        <w:t>This proxy is solicited on behalf of the Board of Directors.</w:t>
      </w:r>
    </w:p>
    <w:p>
      <w:pPr>
        <w:spacing w:after="0" w:line="262" w:lineRule="exact"/>
        <w:rPr>
          <w:sz w:val="20"/>
          <w:szCs w:val="20"/>
          <w:color w:val="auto"/>
        </w:rPr>
      </w:pPr>
    </w:p>
    <w:p>
      <w:pPr>
        <w:jc w:val="both"/>
        <w:ind w:left="160"/>
        <w:spacing w:after="0" w:line="244" w:lineRule="auto"/>
        <w:rPr>
          <w:sz w:val="20"/>
          <w:szCs w:val="20"/>
          <w:color w:val="auto"/>
        </w:rPr>
      </w:pPr>
      <w:r>
        <w:rPr>
          <w:rFonts w:ascii="Arial" w:cs="Arial" w:eastAsia="Arial" w:hAnsi="Arial"/>
          <w:sz w:val="17"/>
          <w:szCs w:val="17"/>
          <w:color w:val="auto"/>
        </w:rPr>
        <w:t xml:space="preserve">The undersigned hereby appoints CARRIE S. COX, PAMELA H. PATSLEY, RUTH J. SIMMONS, RICHARD K. TEMPLETON, or any one or more o them, the true and lawful attorneys of the undersigned with power of substitution, to vote as proxies for the undersigned at the annual meeting o stockholders of Texas Instruments Incorporated to be held in Dallas, Texas, on April 21, 2011, at 10:00 a.m. (Dallas time) and at any or al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7"/>
          <w:szCs w:val="17"/>
          <w:b w:val="1"/>
          <w:bCs w:val="1"/>
          <w:color w:val="auto"/>
        </w:rPr>
        <w:t>If no contrary indication i</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made, this proxy will be voted FOR the election of each director nominee, FOR Proposals 2 and 4, and for "3 YEARS" on Proposal 3. </w:t>
      </w:r>
      <w:r>
        <w:rPr>
          <w:rFonts w:ascii="Arial" w:cs="Arial" w:eastAsia="Arial" w:hAnsi="Arial"/>
          <w:sz w:val="17"/>
          <w:szCs w:val="17"/>
          <w:color w:val="auto"/>
        </w:rPr>
        <w:t>I</w:t>
      </w:r>
      <w:r>
        <w:rPr>
          <w:rFonts w:ascii="Arial" w:cs="Arial" w:eastAsia="Arial" w:hAnsi="Arial"/>
          <w:sz w:val="17"/>
          <w:szCs w:val="17"/>
          <w:b w:val="1"/>
          <w:bCs w:val="1"/>
          <w:color w:val="auto"/>
        </w:rPr>
        <w:t xml:space="preserve"> </w:t>
      </w:r>
      <w:r>
        <w:rPr>
          <w:rFonts w:ascii="Arial" w:cs="Arial" w:eastAsia="Arial" w:hAnsi="Arial"/>
          <w:sz w:val="17"/>
          <w:szCs w:val="17"/>
          <w:color w:val="auto"/>
        </w:rPr>
        <w:t>other matters come before the meeting, this proxy will be voted in the discretion of the named proxies.</w:t>
      </w:r>
    </w:p>
    <w:p>
      <w:pPr>
        <w:spacing w:after="0" w:line="221" w:lineRule="exact"/>
        <w:rPr>
          <w:sz w:val="20"/>
          <w:szCs w:val="20"/>
          <w:color w:val="auto"/>
        </w:rPr>
      </w:pPr>
    </w:p>
    <w:p>
      <w:pPr>
        <w:jc w:val="both"/>
        <w:ind w:left="160"/>
        <w:spacing w:after="0" w:line="244"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 shares allocable to that plan account as well as other shares registered in the participant's name. As a "named fiduciary" under the plans for T shares allocable to that plan account and for shares for which no voting instructions are received, this proxy will serve as voting instructions for Th Northern Trust Company, trustee for the plans, or its designee. The plans provide that the trustee will vote each participant's shares in accordanc with the participant's instructions. If the trustee does not receive voting instructions for TI shares under the plans by April 18, 2011, those shares wil be voted, in accordance with the terms of plans, in the same proportion as the shares for which voting instructions have been received. If othe matters come before the meeting, the named proxies will vote plan shares on those matters in their discretion.</w:t>
      </w:r>
    </w:p>
    <w:p>
      <w:pPr>
        <w:spacing w:after="0" w:line="205"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450215</wp:posOffset>
            </wp:positionV>
            <wp:extent cx="727138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1385" cy="20955"/>
                    </a:xfrm>
                    <a:prstGeom prst="rect">
                      <a:avLst/>
                    </a:prstGeom>
                    <a:noFill/>
                  </pic:spPr>
                </pic:pic>
              </a:graphicData>
            </a:graphic>
          </wp:anchor>
        </w:drawing>
      </w:r>
    </w:p>
    <w:p>
      <w:pPr>
        <w:sectPr>
          <w:pgSz w:w="11900" w:h="16838" w:orient="portrait"/>
          <w:cols w:equalWidth="0" w:num="1">
            <w:col w:w="11520"/>
          </w:cols>
          <w:pgMar w:left="240" w:top="1440" w:right="139" w:bottom="1440" w:gutter="0" w:footer="0" w:header="0"/>
        </w:sectPr>
      </w:pPr>
    </w:p>
    <w:bookmarkStart w:id="52" w:name="page53"/>
    <w:bookmarkEnd w:id="52"/>
    <w:p>
      <w:pPr>
        <w:jc w:val="center"/>
        <w:ind w:left="3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386715</wp:posOffset>
            </wp:positionV>
            <wp:extent cx="7314565" cy="14693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14565" cy="1469390"/>
                    </a:xfrm>
                    <a:prstGeom prst="rect">
                      <a:avLst/>
                    </a:prstGeom>
                    <a:noFill/>
                  </pic:spPr>
                </pic:pic>
              </a:graphicData>
            </a:graphic>
          </wp:anchor>
        </w:drawing>
        <w:t>Recommendations of the Board of Directors:</w:t>
      </w:r>
    </w:p>
    <w:p>
      <w:pPr>
        <w:spacing w:after="0" w:line="253" w:lineRule="exact"/>
        <w:rPr>
          <w:sz w:val="20"/>
          <w:szCs w:val="20"/>
          <w:color w:val="auto"/>
        </w:rPr>
      </w:pPr>
    </w:p>
    <w:p>
      <w:pPr>
        <w:jc w:val="center"/>
        <w:ind w:left="540" w:right="180"/>
        <w:spacing w:after="0" w:line="259" w:lineRule="auto"/>
        <w:rPr>
          <w:sz w:val="20"/>
          <w:szCs w:val="20"/>
          <w:color w:val="auto"/>
        </w:rPr>
      </w:pPr>
      <w:r>
        <w:rPr>
          <w:rFonts w:ascii="Arial" w:cs="Arial" w:eastAsia="Arial" w:hAnsi="Arial"/>
          <w:sz w:val="17"/>
          <w:szCs w:val="17"/>
          <w:color w:val="auto"/>
        </w:rPr>
        <w:t>Choose this option if you would like to vote your shares with the recommendations of the Board of Directors. See below or refer to the proxy statement for details on the recommendations.</w:t>
      </w:r>
    </w:p>
    <w:p>
      <w:pPr>
        <w:spacing w:after="0" w:line="168" w:lineRule="exact"/>
        <w:rPr>
          <w:sz w:val="20"/>
          <w:szCs w:val="20"/>
          <w:color w:val="auto"/>
        </w:rPr>
      </w:pPr>
    </w:p>
    <w:p>
      <w:pPr>
        <w:jc w:val="center"/>
        <w:ind w:left="540" w:right="340"/>
        <w:spacing w:after="0" w:line="259" w:lineRule="auto"/>
        <w:rPr>
          <w:sz w:val="20"/>
          <w:szCs w:val="20"/>
          <w:color w:val="auto"/>
        </w:rPr>
      </w:pPr>
      <w:r>
        <w:rPr>
          <w:rFonts w:ascii="Arial" w:cs="Arial" w:eastAsia="Arial" w:hAnsi="Arial"/>
          <w:sz w:val="17"/>
          <w:szCs w:val="17"/>
          <w:color w:val="auto"/>
        </w:rPr>
        <w:t>Please be advised that this agenda contains an item for you to record your preference on how often you would like to vote on Executive Compensation.</w:t>
      </w:r>
    </w:p>
    <w:p>
      <w:pPr>
        <w:spacing w:after="0" w:line="277" w:lineRule="exact"/>
        <w:rPr>
          <w:sz w:val="20"/>
          <w:szCs w:val="20"/>
          <w:color w:val="auto"/>
        </w:rPr>
      </w:pPr>
    </w:p>
    <w:p>
      <w:pPr>
        <w:jc w:val="center"/>
        <w:ind w:left="320"/>
        <w:spacing w:after="0"/>
        <w:rPr>
          <w:sz w:val="20"/>
          <w:szCs w:val="20"/>
          <w:color w:val="auto"/>
        </w:rPr>
      </w:pPr>
      <w:r>
        <w:rPr>
          <w:rFonts w:ascii="Arial" w:cs="Arial" w:eastAsia="Arial" w:hAnsi="Arial"/>
          <w:sz w:val="17"/>
          <w:szCs w:val="17"/>
          <w:color w:val="FFFFFF"/>
        </w:rPr>
        <w:t>Vote with the Board's Recommendations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right w:val="single" w:sz="8" w:color="auto"/>
            </w:tcBorders>
          </w:tcPr>
          <w:p>
            <w:pPr>
              <w:spacing w:after="0"/>
              <w:rPr>
                <w:sz w:val="17"/>
                <w:szCs w:val="17"/>
                <w:color w:val="auto"/>
              </w:rPr>
            </w:pPr>
          </w:p>
        </w:tc>
        <w:tc>
          <w:tcPr>
            <w:tcW w:w="460" w:type="dxa"/>
            <w:vAlign w:val="bottom"/>
            <w:tcBorders>
              <w:top w:val="single" w:sz="8" w:color="auto"/>
              <w:right w:val="single" w:sz="8" w:color="auto"/>
            </w:tcBorders>
            <w:shd w:val="clear" w:color="auto" w:fill="C0C0C0"/>
          </w:tcPr>
          <w:p>
            <w:pPr>
              <w:spacing w:after="0"/>
              <w:rPr>
                <w:sz w:val="17"/>
                <w:szCs w:val="17"/>
                <w:color w:val="auto"/>
              </w:rPr>
            </w:pPr>
          </w:p>
        </w:tc>
        <w:tc>
          <w:tcPr>
            <w:tcW w:w="4380" w:type="dxa"/>
            <w:vAlign w:val="bottom"/>
            <w:tcBorders>
              <w:top w:val="single" w:sz="8" w:color="auto"/>
              <w:right w:val="single" w:sz="8" w:color="auto"/>
            </w:tcBorders>
            <w:shd w:val="clear" w:color="auto" w:fill="C0C0C0"/>
          </w:tcPr>
          <w:p>
            <w:pPr>
              <w:spacing w:after="0"/>
              <w:rPr>
                <w:sz w:val="17"/>
                <w:szCs w:val="17"/>
                <w:color w:val="auto"/>
              </w:rPr>
            </w:pPr>
          </w:p>
        </w:tc>
        <w:tc>
          <w:tcPr>
            <w:tcW w:w="29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7"/>
                <w:szCs w:val="17"/>
                <w:b w:val="1"/>
                <w:bCs w:val="1"/>
                <w:color w:val="auto"/>
              </w:rPr>
              <w:t>Recommendations</w:t>
            </w:r>
          </w:p>
        </w:tc>
        <w:tc>
          <w:tcPr>
            <w:tcW w:w="100" w:type="dxa"/>
            <w:vAlign w:val="bottom"/>
            <w:tcBorders>
              <w:top w:val="single" w:sz="8" w:color="auto"/>
            </w:tcBorders>
            <w:shd w:val="clear" w:color="auto" w:fill="C0C0C0"/>
          </w:tcPr>
          <w:p>
            <w:pPr>
              <w:spacing w:after="0"/>
              <w:rPr>
                <w:sz w:val="17"/>
                <w:szCs w:val="17"/>
                <w:color w:val="auto"/>
              </w:rPr>
            </w:pPr>
          </w:p>
        </w:tc>
        <w:tc>
          <w:tcPr>
            <w:tcW w:w="400" w:type="dxa"/>
            <w:vAlign w:val="bottom"/>
            <w:tcBorders>
              <w:top w:val="single" w:sz="8" w:color="auto"/>
            </w:tcBorders>
            <w:shd w:val="clear" w:color="auto" w:fill="C0C0C0"/>
          </w:tcPr>
          <w:p>
            <w:pPr>
              <w:spacing w:after="0"/>
              <w:rPr>
                <w:sz w:val="17"/>
                <w:szCs w:val="17"/>
                <w:color w:val="auto"/>
              </w:rPr>
            </w:pPr>
          </w:p>
        </w:tc>
        <w:tc>
          <w:tcPr>
            <w:tcW w:w="220" w:type="dxa"/>
            <w:vAlign w:val="bottom"/>
            <w:tcBorders>
              <w:top w:val="single" w:sz="8" w:color="auto"/>
            </w:tcBorders>
            <w:shd w:val="clear" w:color="auto" w:fill="C0C0C0"/>
          </w:tcPr>
          <w:p>
            <w:pPr>
              <w:spacing w:after="0"/>
              <w:rPr>
                <w:sz w:val="17"/>
                <w:szCs w:val="17"/>
                <w:color w:val="auto"/>
              </w:rPr>
            </w:pPr>
          </w:p>
        </w:tc>
        <w:tc>
          <w:tcPr>
            <w:tcW w:w="680" w:type="dxa"/>
            <w:vAlign w:val="bottom"/>
            <w:tcBorders>
              <w:top w:val="single" w:sz="8" w:color="auto"/>
            </w:tcBorders>
            <w:shd w:val="clear" w:color="auto" w:fill="C0C0C0"/>
          </w:tcPr>
          <w:p>
            <w:pPr>
              <w:spacing w:after="0"/>
              <w:rPr>
                <w:sz w:val="17"/>
                <w:szCs w:val="17"/>
                <w:color w:val="auto"/>
              </w:rPr>
            </w:pPr>
          </w:p>
        </w:tc>
        <w:tc>
          <w:tcPr>
            <w:tcW w:w="220" w:type="dxa"/>
            <w:vAlign w:val="bottom"/>
            <w:tcBorders>
              <w:top w:val="single" w:sz="8" w:color="auto"/>
            </w:tcBorders>
            <w:shd w:val="clear" w:color="auto" w:fill="C0C0C0"/>
          </w:tcPr>
          <w:p>
            <w:pPr>
              <w:spacing w:after="0"/>
              <w:rPr>
                <w:sz w:val="17"/>
                <w:szCs w:val="17"/>
                <w:color w:val="auto"/>
              </w:rPr>
            </w:pPr>
          </w:p>
        </w:tc>
        <w:tc>
          <w:tcPr>
            <w:tcW w:w="1820" w:type="dxa"/>
            <w:vAlign w:val="bottom"/>
            <w:tcBorders>
              <w:top w:val="single" w:sz="8" w:color="auto"/>
              <w:right w:val="single" w:sz="8" w:color="auto"/>
            </w:tcBorders>
            <w:shd w:val="clear" w:color="auto" w:fill="C0C0C0"/>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shd w:val="clear" w:color="auto" w:fill="C0C0C0"/>
          </w:tcPr>
          <w:p>
            <w:pPr>
              <w:spacing w:after="0"/>
              <w:rPr>
                <w:sz w:val="17"/>
                <w:szCs w:val="17"/>
                <w:color w:val="auto"/>
              </w:rPr>
            </w:pPr>
          </w:p>
        </w:tc>
        <w:tc>
          <w:tcPr>
            <w:tcW w:w="4380" w:type="dxa"/>
            <w:vAlign w:val="bottom"/>
            <w:tcBorders>
              <w:right w:val="single" w:sz="8" w:color="auto"/>
            </w:tcBorders>
            <w:shd w:val="clear" w:color="auto" w:fill="C0C0C0"/>
          </w:tcPr>
          <w:p>
            <w:pPr>
              <w:ind w:left="1720"/>
              <w:spacing w:after="0"/>
              <w:rPr>
                <w:sz w:val="20"/>
                <w:szCs w:val="20"/>
                <w:color w:val="auto"/>
              </w:rPr>
            </w:pPr>
            <w:r>
              <w:rPr>
                <w:rFonts w:ascii="Arial" w:cs="Arial" w:eastAsia="Arial" w:hAnsi="Arial"/>
                <w:sz w:val="17"/>
                <w:szCs w:val="17"/>
                <w:b w:val="1"/>
                <w:bCs w:val="1"/>
                <w:color w:val="auto"/>
              </w:rPr>
              <w:t>Proposal(s)</w:t>
            </w:r>
          </w:p>
        </w:tc>
        <w:tc>
          <w:tcPr>
            <w:tcW w:w="29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7"/>
                <w:szCs w:val="17"/>
                <w:b w:val="1"/>
                <w:bCs w:val="1"/>
                <w:color w:val="auto"/>
              </w:rPr>
              <w:t>of the Board of</w:t>
            </w:r>
          </w:p>
        </w:tc>
        <w:tc>
          <w:tcPr>
            <w:tcW w:w="1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2720" w:type="dxa"/>
            <w:vAlign w:val="bottom"/>
            <w:tcBorders>
              <w:right w:val="single" w:sz="8" w:color="auto"/>
            </w:tcBorders>
            <w:gridSpan w:val="3"/>
            <w:shd w:val="clear" w:color="auto" w:fill="C0C0C0"/>
          </w:tcPr>
          <w:p>
            <w:pPr>
              <w:ind w:left="440"/>
              <w:spacing w:after="0"/>
              <w:rPr>
                <w:sz w:val="20"/>
                <w:szCs w:val="20"/>
                <w:color w:val="auto"/>
              </w:rPr>
            </w:pPr>
            <w:r>
              <w:rPr>
                <w:rFonts w:ascii="Arial" w:cs="Arial" w:eastAsia="Arial" w:hAnsi="Arial"/>
                <w:sz w:val="17"/>
                <w:szCs w:val="17"/>
                <w:b w:val="1"/>
                <w:bCs w:val="1"/>
                <w:color w:val="auto"/>
              </w:rPr>
              <w:t>Vote Options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0" w:type="dxa"/>
            <w:vAlign w:val="bottom"/>
            <w:tcBorders>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shd w:val="clear" w:color="auto" w:fill="C0C0C0"/>
          </w:tcPr>
          <w:p>
            <w:pPr>
              <w:spacing w:after="0"/>
              <w:rPr>
                <w:sz w:val="21"/>
                <w:szCs w:val="21"/>
                <w:color w:val="auto"/>
              </w:rPr>
            </w:pPr>
          </w:p>
        </w:tc>
        <w:tc>
          <w:tcPr>
            <w:tcW w:w="4380" w:type="dxa"/>
            <w:vAlign w:val="bottom"/>
            <w:tcBorders>
              <w:bottom w:val="single" w:sz="8" w:color="auto"/>
              <w:right w:val="single" w:sz="8" w:color="auto"/>
            </w:tcBorders>
            <w:shd w:val="clear" w:color="auto" w:fill="C0C0C0"/>
          </w:tcPr>
          <w:p>
            <w:pPr>
              <w:spacing w:after="0"/>
              <w:rPr>
                <w:sz w:val="21"/>
                <w:szCs w:val="21"/>
                <w:color w:val="auto"/>
              </w:rPr>
            </w:pPr>
          </w:p>
        </w:tc>
        <w:tc>
          <w:tcPr>
            <w:tcW w:w="29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7"/>
                <w:szCs w:val="17"/>
                <w:b w:val="1"/>
                <w:bCs w:val="1"/>
                <w:color w:val="auto"/>
                <w:w w:val="99"/>
              </w:rPr>
              <w:t>Directors</w:t>
            </w:r>
          </w:p>
        </w:tc>
        <w:tc>
          <w:tcPr>
            <w:tcW w:w="100" w:type="dxa"/>
            <w:vAlign w:val="bottom"/>
            <w:tcBorders>
              <w:bottom w:val="single" w:sz="8" w:color="auto"/>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1820" w:type="dxa"/>
            <w:vAlign w:val="bottom"/>
            <w:tcBorders>
              <w:bottom w:val="single" w:sz="8" w:color="auto"/>
              <w:right w:val="single" w:sz="8" w:color="auto"/>
            </w:tcBorders>
            <w:shd w:val="clear" w:color="auto" w:fill="C0C0C0"/>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20" w:type="dxa"/>
            <w:vAlign w:val="bottom"/>
            <w:tcBorders>
              <w:right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line="185" w:lineRule="exact"/>
              <w:rPr>
                <w:sz w:val="20"/>
                <w:szCs w:val="20"/>
                <w:color w:val="auto"/>
              </w:rPr>
            </w:pPr>
            <w:r>
              <w:rPr>
                <w:rFonts w:ascii="Arial" w:cs="Arial" w:eastAsia="Arial" w:hAnsi="Arial"/>
                <w:sz w:val="17"/>
                <w:szCs w:val="17"/>
                <w:color w:val="auto"/>
              </w:rPr>
              <w:t>1A</w:t>
            </w:r>
          </w:p>
        </w:tc>
        <w:tc>
          <w:tcPr>
            <w:tcW w:w="4380" w:type="dxa"/>
            <w:vAlign w:val="bottom"/>
            <w:tcBorders>
              <w:bottom w:val="single" w:sz="8" w:color="auto"/>
              <w:right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ELECTION OF DIRECTOR: R.W. BABB, JR.</w:t>
            </w:r>
          </w:p>
        </w:tc>
        <w:tc>
          <w:tcPr>
            <w:tcW w:w="2940" w:type="dxa"/>
            <w:vAlign w:val="bottom"/>
            <w:tcBorders>
              <w:bottom w:val="single" w:sz="8" w:color="auto"/>
              <w:right w:val="single" w:sz="8" w:color="auto"/>
            </w:tcBorders>
          </w:tcPr>
          <w:p>
            <w:pPr>
              <w:jc w:val="center"/>
              <w:spacing w:after="0" w:line="186" w:lineRule="exact"/>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line="186" w:lineRule="exact"/>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1B</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D.A. CARP</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1C</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C.S. COX</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1D</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S.P. MACMILLAN</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1E</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P.H. PATSLEY</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1F</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R.E. SANCHEZ</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1G</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W.R. SANDERS</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1H</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R.J. SIMMONS</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1I</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R.K. TEMPLETON</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334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7"/>
                <w:szCs w:val="17"/>
                <w:color w:val="auto"/>
              </w:rPr>
              <w:t>For  ¡  Against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1J</w:t>
            </w: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ELECTION OF DIRECTOR: C.T. WHITMAN</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Borders>
              <w:bottom w:val="single" w:sz="8" w:color="auto"/>
            </w:tcBorders>
          </w:tcPr>
          <w:p>
            <w:pPr>
              <w:jc w:val="right"/>
              <w:ind w:right="23"/>
              <w:spacing w:after="0"/>
              <w:rPr>
                <w:sz w:val="20"/>
                <w:szCs w:val="20"/>
                <w:color w:val="auto"/>
              </w:rPr>
            </w:pPr>
            <w:r>
              <w:rPr>
                <w:rFonts w:ascii="Arial" w:cs="Arial" w:eastAsia="Arial" w:hAnsi="Arial"/>
                <w:sz w:val="7"/>
                <w:szCs w:val="7"/>
                <w:color w:val="auto"/>
                <w:w w:val="83"/>
              </w:rPr>
              <w:t>¡</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For</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Against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2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rPr>
              <w:t>02</w:t>
            </w:r>
          </w:p>
        </w:tc>
        <w:tc>
          <w:tcPr>
            <w:tcW w:w="438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b w:val="1"/>
                <w:bCs w:val="1"/>
                <w:color w:val="auto"/>
              </w:rPr>
              <w:t>BOARD PROPOSAL REGARDING AN ADVISORY</w:t>
            </w:r>
          </w:p>
        </w:tc>
        <w:tc>
          <w:tcPr>
            <w:tcW w:w="29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VOTE ON NAMED EXECUTIVE OFFICER</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400" w:type="dxa"/>
            <w:vAlign w:val="bottom"/>
          </w:tcPr>
          <w:p>
            <w:pPr>
              <w:ind w:left="80"/>
              <w:spacing w:after="0"/>
              <w:rPr>
                <w:sz w:val="20"/>
                <w:szCs w:val="20"/>
                <w:color w:val="auto"/>
              </w:rPr>
            </w:pPr>
            <w:r>
              <w:rPr>
                <w:rFonts w:ascii="Arial" w:cs="Arial" w:eastAsia="Arial" w:hAnsi="Arial"/>
                <w:sz w:val="17"/>
                <w:szCs w:val="17"/>
                <w:color w:val="auto"/>
              </w:rPr>
              <w:t>For</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tcPr>
          <w:p>
            <w:pPr>
              <w:ind w:left="60"/>
              <w:spacing w:after="0"/>
              <w:rPr>
                <w:sz w:val="20"/>
                <w:szCs w:val="20"/>
                <w:color w:val="auto"/>
              </w:rPr>
            </w:pPr>
            <w:r>
              <w:rPr>
                <w:rFonts w:ascii="Arial" w:cs="Arial" w:eastAsia="Arial" w:hAnsi="Arial"/>
                <w:sz w:val="17"/>
                <w:szCs w:val="17"/>
                <w:color w:val="auto"/>
              </w:rPr>
              <w:t>Against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0" w:type="dxa"/>
            <w:vAlign w:val="bottom"/>
            <w:tcBorders>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COMPENSATION.</w:t>
            </w:r>
          </w:p>
        </w:tc>
        <w:tc>
          <w:tcPr>
            <w:tcW w:w="29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2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rPr>
              <w:t>03</w:t>
            </w:r>
          </w:p>
        </w:tc>
        <w:tc>
          <w:tcPr>
            <w:tcW w:w="438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b w:val="1"/>
                <w:bCs w:val="1"/>
                <w:color w:val="auto"/>
              </w:rPr>
              <w:t>BOARD PROPOSAL REGARDING AN ADVISORY</w:t>
            </w:r>
          </w:p>
        </w:tc>
        <w:tc>
          <w:tcPr>
            <w:tcW w:w="29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VOTE ON THE FREQUENCY OF FUTURE ADVISORY</w:t>
            </w: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5"/>
              </w:rPr>
              <w:t>3 Years</w:t>
            </w:r>
          </w:p>
        </w:tc>
        <w:tc>
          <w:tcPr>
            <w:tcW w:w="100" w:type="dxa"/>
            <w:vAlign w:val="bottom"/>
            <w:vMerge w:val="restart"/>
          </w:tcPr>
          <w:p>
            <w:pPr>
              <w:jc w:val="right"/>
              <w:ind w:right="23"/>
              <w:spacing w:after="0"/>
              <w:rPr>
                <w:sz w:val="20"/>
                <w:szCs w:val="20"/>
                <w:color w:val="auto"/>
              </w:rPr>
            </w:pPr>
            <w:r>
              <w:rPr>
                <w:rFonts w:ascii="Arial" w:cs="Arial" w:eastAsia="Arial" w:hAnsi="Arial"/>
                <w:sz w:val="7"/>
                <w:szCs w:val="7"/>
                <w:color w:val="auto"/>
                <w:w w:val="83"/>
              </w:rPr>
              <w:t>¡</w:t>
            </w:r>
          </w:p>
        </w:tc>
        <w:tc>
          <w:tcPr>
            <w:tcW w:w="620" w:type="dxa"/>
            <w:vAlign w:val="bottom"/>
            <w:gridSpan w:val="2"/>
            <w:vMerge w:val="restart"/>
          </w:tcPr>
          <w:p>
            <w:pPr>
              <w:ind w:left="80"/>
              <w:spacing w:after="0"/>
              <w:rPr>
                <w:sz w:val="20"/>
                <w:szCs w:val="20"/>
                <w:color w:val="auto"/>
              </w:rPr>
            </w:pPr>
            <w:r>
              <w:rPr>
                <w:rFonts w:ascii="Arial" w:cs="Arial" w:eastAsia="Arial" w:hAnsi="Arial"/>
                <w:sz w:val="17"/>
                <w:szCs w:val="17"/>
                <w:color w:val="auto"/>
              </w:rPr>
              <w:t>1 Year</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rPr>
              <w:t>¡  2 Years</w:t>
            </w: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  3 Years  ¡  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VOTES ON NAMED EXECUTIVE OFFICER</w:t>
            </w:r>
          </w:p>
        </w:tc>
        <w:tc>
          <w:tcPr>
            <w:tcW w:w="2940" w:type="dxa"/>
            <w:vAlign w:val="bottom"/>
            <w:tcBorders>
              <w:right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20" w:type="dxa"/>
            <w:vAlign w:val="bottom"/>
            <w:tcBorders>
              <w:right w:val="single" w:sz="8" w:color="auto"/>
            </w:tcBorders>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380" w:type="dxa"/>
            <w:vAlign w:val="bottom"/>
            <w:tcBorders>
              <w:right w:val="single" w:sz="8" w:color="auto"/>
            </w:tcBorders>
            <w:vMerge w:val="continue"/>
          </w:tcPr>
          <w:p>
            <w:pPr>
              <w:spacing w:after="0"/>
              <w:rPr>
                <w:sz w:val="6"/>
                <w:szCs w:val="6"/>
                <w:color w:val="auto"/>
              </w:rPr>
            </w:pPr>
          </w:p>
        </w:tc>
        <w:tc>
          <w:tcPr>
            <w:tcW w:w="29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20" w:type="dxa"/>
            <w:vAlign w:val="bottom"/>
            <w:tcBorders>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COMPENSATION.</w:t>
            </w:r>
          </w:p>
        </w:tc>
        <w:tc>
          <w:tcPr>
            <w:tcW w:w="29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2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color w:val="auto"/>
              </w:rPr>
              <w:t>04</w:t>
            </w:r>
          </w:p>
        </w:tc>
        <w:tc>
          <w:tcPr>
            <w:tcW w:w="4380" w:type="dxa"/>
            <w:vAlign w:val="bottom"/>
            <w:tcBorders>
              <w:right w:val="single" w:sz="8" w:color="auto"/>
            </w:tcBorders>
          </w:tcPr>
          <w:p>
            <w:pPr>
              <w:spacing w:after="0" w:line="167" w:lineRule="exact"/>
              <w:rPr>
                <w:sz w:val="20"/>
                <w:szCs w:val="20"/>
                <w:color w:val="auto"/>
              </w:rPr>
            </w:pPr>
            <w:r>
              <w:rPr>
                <w:rFonts w:ascii="Arial" w:cs="Arial" w:eastAsia="Arial" w:hAnsi="Arial"/>
                <w:sz w:val="17"/>
                <w:szCs w:val="17"/>
                <w:b w:val="1"/>
                <w:bCs w:val="1"/>
                <w:color w:val="auto"/>
              </w:rPr>
              <w:t>BOARD PROPOSAL TO RATIFY THE APPOINTMENT</w:t>
            </w:r>
          </w:p>
        </w:tc>
        <w:tc>
          <w:tcPr>
            <w:tcW w:w="29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OF ERNST &amp; YOUNG LLP AS THE COMPANY'S</w:t>
            </w: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4"/>
              </w:rPr>
              <w:t>For</w:t>
            </w:r>
          </w:p>
        </w:tc>
        <w:tc>
          <w:tcPr>
            <w:tcW w:w="100" w:type="dxa"/>
            <w:vAlign w:val="bottom"/>
            <w:vMerge w:val="restart"/>
          </w:tcPr>
          <w:p>
            <w:pPr>
              <w:jc w:val="right"/>
              <w:ind w:right="23"/>
              <w:spacing w:after="0"/>
              <w:rPr>
                <w:sz w:val="20"/>
                <w:szCs w:val="20"/>
                <w:color w:val="auto"/>
              </w:rPr>
            </w:pPr>
            <w:r>
              <w:rPr>
                <w:rFonts w:ascii="Arial" w:cs="Arial" w:eastAsia="Arial" w:hAnsi="Arial"/>
                <w:sz w:val="7"/>
                <w:szCs w:val="7"/>
                <w:color w:val="auto"/>
                <w:w w:val="83"/>
              </w:rPr>
              <w:t>¡</w:t>
            </w:r>
          </w:p>
        </w:tc>
        <w:tc>
          <w:tcPr>
            <w:tcW w:w="400" w:type="dxa"/>
            <w:vAlign w:val="bottom"/>
            <w:vMerge w:val="restart"/>
          </w:tcPr>
          <w:p>
            <w:pPr>
              <w:ind w:left="80"/>
              <w:spacing w:after="0"/>
              <w:rPr>
                <w:sz w:val="20"/>
                <w:szCs w:val="20"/>
                <w:color w:val="auto"/>
              </w:rPr>
            </w:pPr>
            <w:r>
              <w:rPr>
                <w:rFonts w:ascii="Arial" w:cs="Arial" w:eastAsia="Arial" w:hAnsi="Arial"/>
                <w:sz w:val="17"/>
                <w:szCs w:val="17"/>
                <w:color w:val="auto"/>
              </w:rPr>
              <w:t>For</w:t>
            </w:r>
          </w:p>
        </w:tc>
        <w:tc>
          <w:tcPr>
            <w:tcW w:w="22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auto"/>
              </w:rPr>
              <w:t>Against</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Abstain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120" w:type="dxa"/>
            <w:vAlign w:val="bottom"/>
            <w:tcBorders>
              <w:right w:val="single" w:sz="8" w:color="auto"/>
            </w:tcBorders>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3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INDEPENDENT REGISTERED PUBLIC ACCOUNTING</w:t>
            </w:r>
          </w:p>
        </w:tc>
        <w:tc>
          <w:tcPr>
            <w:tcW w:w="2940" w:type="dxa"/>
            <w:vAlign w:val="bottom"/>
            <w:tcBorders>
              <w:right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20" w:type="dxa"/>
            <w:vAlign w:val="bottom"/>
            <w:tcBorders>
              <w:right w:val="single" w:sz="8" w:color="auto"/>
            </w:tcBorders>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4380" w:type="dxa"/>
            <w:vAlign w:val="bottom"/>
            <w:tcBorders>
              <w:right w:val="single" w:sz="8" w:color="auto"/>
            </w:tcBorders>
            <w:vMerge w:val="continue"/>
          </w:tcPr>
          <w:p>
            <w:pPr>
              <w:spacing w:after="0"/>
              <w:rPr>
                <w:sz w:val="6"/>
                <w:szCs w:val="6"/>
                <w:color w:val="auto"/>
              </w:rPr>
            </w:pPr>
          </w:p>
        </w:tc>
        <w:tc>
          <w:tcPr>
            <w:tcW w:w="29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20" w:type="dxa"/>
            <w:vAlign w:val="bottom"/>
            <w:tcBorders>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FIRM FOR 2011.</w:t>
            </w:r>
          </w:p>
        </w:tc>
        <w:tc>
          <w:tcPr>
            <w:tcW w:w="29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40"/>
      </w:cols>
      <w:pgMar w:left="240" w:top="75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upperLetter"/>
      <w:start w:val="24"/>
    </w:lvl>
  </w:abstractNum>
  <w:abstractNum w:abstractNumId="1">
    <w:nsid w:val="2D1D5AE9"/>
    <w:multiLevelType w:val="hybridMultilevel"/>
    <w:lvl w:ilvl="0">
      <w:lvlJc w:val="left"/>
      <w:lvlText w:val="[%1]"/>
      <w:numFmt w:val="upperLetter"/>
      <w:start w:val="24"/>
    </w:lvl>
  </w:abstractNum>
  <w:abstractNum w:abstractNumId="2">
    <w:nsid w:val="6763845E"/>
    <w:multiLevelType w:val="hybridMultilevel"/>
    <w:lvl w:ilvl="0">
      <w:lvlJc w:val="left"/>
      <w:lvlText w:val="["/>
      <w:numFmt w:val="bullet"/>
      <w:start w:val="1"/>
    </w:lvl>
    <w:lvl w:ilvl="1">
      <w:lvlJc w:val="left"/>
      <w:lvlText w:val="%2)"/>
      <w:numFmt w:val="decimal"/>
      <w:start w:val="1"/>
    </w:lvl>
  </w:abstractNum>
  <w:abstractNum w:abstractNumId="3">
    <w:nsid w:val="75A2A8D4"/>
    <w:multiLevelType w:val="hybridMultilevel"/>
    <w:lvl w:ilvl="0">
      <w:lvlJc w:val="left"/>
      <w:lvlText w:val="["/>
      <w:numFmt w:val="bullet"/>
      <w:start w:val="1"/>
    </w:lvl>
    <w:lvl w:ilvl="1">
      <w:lvlJc w:val="left"/>
      <w:lvlText w:val="%2)"/>
      <w:numFmt w:val="decimal"/>
      <w:start w:val="1"/>
    </w:lvl>
  </w:abstractNum>
  <w:abstractNum w:abstractNumId="4">
    <w:nsid w:val="8EDBDAB"/>
    <w:multiLevelType w:val="hybridMultilevel"/>
    <w:lvl w:ilvl="0">
      <w:lvlJc w:val="left"/>
      <w:lvlText w:val="%1"/>
      <w:numFmt w:val="upperLetter"/>
      <w:start w:val="1"/>
    </w:lvl>
    <w:lvl w:ilvl="1">
      <w:lvlJc w:val="left"/>
      <w:lvlText w:val="%2."/>
      <w:numFmt w:val="decimal"/>
      <w:start w:val="1"/>
    </w:lvl>
  </w:abstractNum>
  <w:abstractNum w:abstractNumId="5">
    <w:nsid w:val="79838CB2"/>
    <w:multiLevelType w:val="hybridMultilevel"/>
    <w:lvl w:ilvl="0">
      <w:lvlJc w:val="left"/>
      <w:lvlText w:val="%1"/>
      <w:numFmt w:val="upperLetter"/>
      <w:start w:val="1"/>
    </w:lvl>
    <w:lvl w:ilvl="1">
      <w:lvlJc w:val="left"/>
      <w:lvlText w:val="%2."/>
      <w:numFmt w:val="decimal"/>
      <w:start w:val="1"/>
    </w:lvl>
  </w:abstractNum>
  <w:abstractNum w:abstractNumId="6">
    <w:nsid w:val="4353D0CD"/>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abstractNum>
  <w:abstractNum w:abstractNumId="7">
    <w:nsid w:val="B03E0C6"/>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2"/>
    </w:lvl>
  </w:abstractNum>
  <w:abstractNum w:abstractNumId="10">
    <w:nsid w:val="71F32454"/>
    <w:multiLevelType w:val="hybridMultilevel"/>
    <w:lvl w:ilvl="0">
      <w:lvlJc w:val="left"/>
      <w:lvlText w:val="(%1)"/>
      <w:numFmt w:val="decimal"/>
      <w:start w:val="4"/>
    </w:lvl>
  </w:abstractNum>
  <w:abstractNum w:abstractNumId="11">
    <w:nsid w:val="2CA88611"/>
    <w:multiLevelType w:val="hybridMultilevel"/>
    <w:lvl w:ilvl="0">
      <w:lvlJc w:val="left"/>
      <w:lvlText w:val="(%1)"/>
      <w:numFmt w:val="decimal"/>
      <w:start w:val="5"/>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2"/>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3"/>
      <w:numFmt w:val="bullet"/>
      <w:start w:val="1"/>
    </w:lvl>
  </w:abstractNum>
  <w:abstractNum w:abstractNumId="19">
    <w:nsid w:val="6CEAF087"/>
    <w:multiLevelType w:val="hybridMultilevel"/>
    <w:lvl w:ilvl="0">
      <w:lvlJc w:val="left"/>
      <w:lvlText w:val="4"/>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5"/>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3"/>
    </w:lvl>
  </w:abstractNum>
  <w:abstractNum w:abstractNumId="29">
    <w:nsid w:val="77465F01"/>
    <w:multiLevelType w:val="hybridMultilevel"/>
    <w:lvl w:ilvl="0">
      <w:lvlJc w:val="left"/>
      <w:lvlText w:val="(%1)"/>
      <w:numFmt w:val="lowerRoman"/>
      <w:start w:val="3"/>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6"/>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6"/>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2"/>
    </w:lvl>
    <w:lvl w:ilvl="1">
      <w:lvlJc w:val="left"/>
      <w:lvlText w:val="%2"/>
      <w:numFmt w:val="lowerLetter"/>
      <w:start w:val="1"/>
    </w:lvl>
  </w:abstractNum>
  <w:abstractNum w:abstractNumId="41">
    <w:nsid w:val="2A487CB0"/>
    <w:multiLevelType w:val="hybridMultilevel"/>
    <w:lvl w:ilvl="0">
      <w:lvlJc w:val="left"/>
      <w:lvlText w:val="(%1)"/>
      <w:numFmt w:val="decimal"/>
      <w:start w:val="3"/>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2019-12-10T03:20:47Z</dcterms:created>
  <dcterms:modified xsi:type="dcterms:W3CDTF">2019-12-10T03:20:47Z</dcterms:modified>
</cp:coreProperties>
</file>