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ind w:right="20"/>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ind w:right="20"/>
        <w:spacing w:after="0"/>
        <w:rPr>
          <w:sz w:val="20"/>
          <w:szCs w:val="20"/>
          <w:color w:val="auto"/>
        </w:rPr>
      </w:pPr>
      <w:r>
        <w:rPr>
          <w:rFonts w:ascii="Arial" w:cs="Arial" w:eastAsia="Arial" w:hAnsi="Arial"/>
          <w:sz w:val="18"/>
          <w:szCs w:val="18"/>
          <w:b w:val="1"/>
          <w:bCs w:val="1"/>
          <w:color w:val="auto"/>
        </w:rPr>
        <w:t>Registration No. 333-229797</w:t>
      </w:r>
    </w:p>
    <w:p>
      <w:pPr>
        <w:spacing w:after="0" w:line="135" w:lineRule="exact"/>
        <w:rPr>
          <w:sz w:val="24"/>
          <w:szCs w:val="24"/>
          <w:color w:val="auto"/>
        </w:rPr>
      </w:pPr>
    </w:p>
    <w:p>
      <w:pPr>
        <w:ind w:left="200" w:right="160"/>
        <w:spacing w:after="0" w:line="247" w:lineRule="auto"/>
        <w:rPr>
          <w:sz w:val="20"/>
          <w:szCs w:val="20"/>
          <w:color w:val="auto"/>
        </w:rPr>
      </w:pPr>
      <w:r>
        <w:rPr>
          <w:rFonts w:ascii="Arial" w:cs="Arial" w:eastAsia="Arial" w:hAnsi="Arial"/>
          <w:sz w:val="18"/>
          <w:szCs w:val="18"/>
          <w:b w:val="1"/>
          <w:bCs w:val="1"/>
          <w:color w:val="DE1A1E"/>
        </w:rPr>
        <w:t>The information in this preliminary prospectus supplement is not complete and may be changed. A registration statement relating to these notes has been filed with the Securities and Exchange Commission and is effective. This preliminary prospectus supplement and the accompanying prospectus is not an offer to sell these securities and it is not soliciting an offer to buy these securities in any jurisdiction where the offer or sale is not permitted.</w:t>
      </w:r>
    </w:p>
    <w:p>
      <w:pPr>
        <w:spacing w:after="0" w:line="111"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DE1A1E"/>
        </w:rPr>
        <w:t>SUBJECT TO COMPLETION, DATED AUGUST 26, 2019</w:t>
      </w:r>
    </w:p>
    <w:p>
      <w:pPr>
        <w:spacing w:after="0" w:line="225"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PRELIMINARY PROSPECTUS SUPPLEMENT</w:t>
      </w:r>
    </w:p>
    <w:p>
      <w:pPr>
        <w:spacing w:after="0" w:line="27"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(To Prospectus Dated February 22,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2192020</wp:posOffset>
            </wp:positionH>
            <wp:positionV relativeFrom="paragraph">
              <wp:posOffset>314325</wp:posOffset>
            </wp:positionV>
            <wp:extent cx="2872740" cy="677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72740" cy="677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ind w:left="5320" w:hanging="1434"/>
        <w:spacing w:after="0"/>
        <w:tabs>
          <w:tab w:leader="none" w:pos="5320" w:val="left"/>
        </w:tabs>
        <w:numPr>
          <w:ilvl w:val="0"/>
          <w:numId w:val="1"/>
        </w:numPr>
        <w:rPr>
          <w:rFonts w:ascii="Arial" w:cs="Arial" w:eastAsia="Arial" w:hAnsi="Arial"/>
          <w:sz w:val="29"/>
          <w:szCs w:val="29"/>
          <w:b w:val="1"/>
          <w:bCs w:val="1"/>
          <w:color w:val="auto"/>
        </w:rPr>
      </w:pPr>
      <w:r>
        <w:rPr>
          <w:rFonts w:ascii="Arial" w:cs="Arial" w:eastAsia="Arial" w:hAnsi="Arial"/>
          <w:sz w:val="29"/>
          <w:szCs w:val="29"/>
          <w:b w:val="1"/>
          <w:bCs w:val="1"/>
          <w:color w:val="auto"/>
        </w:rPr>
        <w:t>% Notes due 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3066415</wp:posOffset>
            </wp:positionH>
            <wp:positionV relativeFrom="paragraph">
              <wp:posOffset>168910</wp:posOffset>
            </wp:positionV>
            <wp:extent cx="11233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ind w:left="640"/>
        <w:spacing w:after="0"/>
        <w:tabs>
          <w:tab w:leader="none" w:pos="4580" w:val="left"/>
          <w:tab w:leader="none" w:pos="7200" w:val="left"/>
          <w:tab w:leader="none" w:pos="8560" w:val="left"/>
        </w:tabs>
        <w:rPr>
          <w:sz w:val="20"/>
          <w:szCs w:val="20"/>
          <w:color w:val="auto"/>
        </w:rPr>
      </w:pPr>
      <w:r>
        <w:rPr>
          <w:rFonts w:ascii="Arial" w:cs="Arial" w:eastAsia="Arial" w:hAnsi="Arial"/>
          <w:sz w:val="18"/>
          <w:szCs w:val="18"/>
          <w:color w:val="auto"/>
        </w:rPr>
        <w:t>Texas Instruments Incorporated is offering $</w:t>
      </w:r>
      <w:r>
        <w:rPr>
          <w:sz w:val="20"/>
          <w:szCs w:val="20"/>
          <w:color w:val="auto"/>
        </w:rPr>
        <w:tab/>
      </w:r>
      <w:r>
        <w:rPr>
          <w:rFonts w:ascii="Arial" w:cs="Arial" w:eastAsia="Arial" w:hAnsi="Arial"/>
          <w:sz w:val="18"/>
          <w:szCs w:val="18"/>
          <w:color w:val="auto"/>
        </w:rPr>
        <w:t>aggregate principal amount of its</w:t>
        <w:tab/>
        <w:t>% Notes due 20</w:t>
      </w:r>
      <w:r>
        <w:rPr>
          <w:sz w:val="20"/>
          <w:szCs w:val="20"/>
          <w:color w:val="auto"/>
        </w:rPr>
        <w:tab/>
      </w:r>
      <w:r>
        <w:rPr>
          <w:rFonts w:ascii="Arial" w:cs="Arial" w:eastAsia="Arial" w:hAnsi="Arial"/>
          <w:sz w:val="17"/>
          <w:szCs w:val="17"/>
          <w:color w:val="auto"/>
        </w:rPr>
        <w:t>(the “Notes”), which will bear</w:t>
      </w:r>
    </w:p>
    <w:p>
      <w:pPr>
        <w:spacing w:after="0" w:line="23" w:lineRule="exact"/>
        <w:rPr>
          <w:sz w:val="24"/>
          <w:szCs w:val="24"/>
          <w:color w:val="auto"/>
        </w:rPr>
      </w:pPr>
    </w:p>
    <w:p>
      <w:pPr>
        <w:ind w:left="200"/>
        <w:spacing w:after="0"/>
        <w:tabs>
          <w:tab w:leader="none" w:pos="8960" w:val="left"/>
          <w:tab w:leader="none" w:pos="10020" w:val="left"/>
        </w:tabs>
        <w:rPr>
          <w:sz w:val="20"/>
          <w:szCs w:val="20"/>
          <w:color w:val="auto"/>
        </w:rPr>
      </w:pPr>
      <w:r>
        <w:rPr>
          <w:rFonts w:ascii="Arial" w:cs="Arial" w:eastAsia="Arial" w:hAnsi="Arial"/>
          <w:sz w:val="18"/>
          <w:szCs w:val="18"/>
          <w:color w:val="auto"/>
        </w:rPr>
        <w:t>interest at the rate per year as set forth above. Interest on the Notes will be payable semi-annually in arrears on</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5"/>
          <w:szCs w:val="15"/>
          <w:color w:val="auto"/>
        </w:rPr>
        <w:t>of each year,</w:t>
      </w:r>
    </w:p>
    <w:p>
      <w:pPr>
        <w:spacing w:after="0" w:line="9" w:lineRule="exact"/>
        <w:rPr>
          <w:sz w:val="24"/>
          <w:szCs w:val="24"/>
          <w:color w:val="auto"/>
        </w:rPr>
      </w:pPr>
    </w:p>
    <w:p>
      <w:pPr>
        <w:ind w:left="200"/>
        <w:spacing w:after="0"/>
        <w:tabs>
          <w:tab w:leader="none" w:pos="1900" w:val="left"/>
        </w:tabs>
        <w:rPr>
          <w:sz w:val="20"/>
          <w:szCs w:val="20"/>
          <w:color w:val="auto"/>
        </w:rPr>
      </w:pPr>
      <w:r>
        <w:rPr>
          <w:rFonts w:ascii="Arial" w:cs="Arial" w:eastAsia="Arial" w:hAnsi="Arial"/>
          <w:sz w:val="18"/>
          <w:szCs w:val="18"/>
          <w:color w:val="auto"/>
        </w:rPr>
        <w:t>beginning on</w:t>
      </w:r>
      <w:r>
        <w:rPr>
          <w:sz w:val="20"/>
          <w:szCs w:val="20"/>
          <w:color w:val="auto"/>
        </w:rPr>
        <w:tab/>
      </w:r>
      <w:r>
        <w:rPr>
          <w:rFonts w:ascii="Arial" w:cs="Arial" w:eastAsia="Arial" w:hAnsi="Arial"/>
          <w:sz w:val="15"/>
          <w:szCs w:val="15"/>
          <w:color w:val="auto"/>
        </w:rPr>
        <w:t>, 2020.</w:t>
      </w:r>
    </w:p>
    <w:p>
      <w:pPr>
        <w:spacing w:after="0" w:line="211" w:lineRule="exact"/>
        <w:rPr>
          <w:sz w:val="24"/>
          <w:szCs w:val="24"/>
          <w:color w:val="auto"/>
        </w:rPr>
      </w:pPr>
    </w:p>
    <w:p>
      <w:pPr>
        <w:ind w:left="640"/>
        <w:spacing w:after="0"/>
        <w:tabs>
          <w:tab w:leader="none" w:pos="3220" w:val="left"/>
          <w:tab w:leader="none" w:pos="3680" w:val="left"/>
        </w:tabs>
        <w:rPr>
          <w:sz w:val="20"/>
          <w:szCs w:val="20"/>
          <w:color w:val="auto"/>
        </w:rPr>
      </w:pPr>
      <w:r>
        <w:rPr>
          <w:rFonts w:ascii="Arial" w:cs="Arial" w:eastAsia="Arial" w:hAnsi="Arial"/>
          <w:sz w:val="18"/>
          <w:szCs w:val="18"/>
          <w:color w:val="auto"/>
        </w:rPr>
        <w:t>The Notes will mature on</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4"/>
          <w:szCs w:val="14"/>
          <w:color w:val="auto"/>
        </w:rPr>
        <w:t>.</w:t>
      </w:r>
    </w:p>
    <w:p>
      <w:pPr>
        <w:spacing w:after="0" w:line="225" w:lineRule="exact"/>
        <w:rPr>
          <w:sz w:val="24"/>
          <w:szCs w:val="24"/>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We may redeem some or all of the Notes at any time at the redemption prices indicated under the caption “Description of the Notes—Optional Redemption.”</w:t>
      </w:r>
    </w:p>
    <w:p>
      <w:pPr>
        <w:spacing w:after="0" w:line="170" w:lineRule="exact"/>
        <w:rPr>
          <w:sz w:val="24"/>
          <w:szCs w:val="24"/>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Notes will be our unsecured senior obligations and will rank equally with all of our other existing and future unsecured and unsubordinated indebtedness from time to time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3066415</wp:posOffset>
            </wp:positionH>
            <wp:positionV relativeFrom="paragraph">
              <wp:posOffset>125730</wp:posOffset>
            </wp:positionV>
            <wp:extent cx="11233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380" w:lineRule="exact"/>
        <w:rPr>
          <w:sz w:val="24"/>
          <w:szCs w:val="24"/>
          <w:color w:val="auto"/>
        </w:rPr>
      </w:pPr>
    </w:p>
    <w:p>
      <w:pPr>
        <w:ind w:left="64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the Notes involves risks. See “</w:t>
      </w:r>
      <w:hyperlink w:anchor="page9">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3066415</wp:posOffset>
            </wp:positionH>
            <wp:positionV relativeFrom="paragraph">
              <wp:posOffset>156845</wp:posOffset>
            </wp:positionV>
            <wp:extent cx="11233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200" w:right="400" w:firstLine="441"/>
        <w:spacing w:after="0" w:line="264" w:lineRule="auto"/>
        <w:rPr>
          <w:sz w:val="20"/>
          <w:szCs w:val="20"/>
          <w:color w:val="auto"/>
        </w:rPr>
      </w:pPr>
      <w:r>
        <w:rPr>
          <w:rFonts w:ascii="Arial" w:cs="Arial" w:eastAsia="Arial" w:hAnsi="Arial"/>
          <w:sz w:val="18"/>
          <w:szCs w:val="18"/>
          <w:color w:val="auto"/>
        </w:rPr>
        <w:t>Neither the U.S.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3066415</wp:posOffset>
            </wp:positionH>
            <wp:positionV relativeFrom="paragraph">
              <wp:posOffset>132715</wp:posOffset>
            </wp:positionV>
            <wp:extent cx="1123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88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Per</w:t>
            </w:r>
          </w:p>
        </w:tc>
        <w:tc>
          <w:tcPr>
            <w:tcW w:w="140" w:type="dxa"/>
            <w:vAlign w:val="bottom"/>
          </w:tcPr>
          <w:p>
            <w:pPr>
              <w:spacing w:after="0"/>
              <w:rPr>
                <w:sz w:val="14"/>
                <w:szCs w:val="14"/>
                <w:color w:val="auto"/>
              </w:rPr>
            </w:pPr>
          </w:p>
        </w:tc>
        <w:tc>
          <w:tcPr>
            <w:tcW w:w="11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88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Note</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53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8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Underwriting discount</w:t>
            </w:r>
          </w:p>
        </w:tc>
        <w:tc>
          <w:tcPr>
            <w:tcW w:w="624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8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62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87"/>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540" w:type="dxa"/>
            <w:vAlign w:val="bottom"/>
          </w:tcPr>
          <w:p>
            <w:pPr>
              <w:ind w:left="420"/>
              <w:spacing w:after="0"/>
              <w:rPr>
                <w:sz w:val="20"/>
                <w:szCs w:val="20"/>
                <w:color w:val="auto"/>
              </w:rPr>
            </w:pPr>
            <w:r>
              <w:rPr>
                <w:rFonts w:ascii="Arial" w:cs="Arial" w:eastAsia="Arial" w:hAnsi="Arial"/>
                <w:sz w:val="18"/>
                <w:szCs w:val="18"/>
                <w:color w:val="auto"/>
              </w:rPr>
              <w:t>Interest on the Notes will accrue from</w:t>
            </w:r>
          </w:p>
        </w:tc>
        <w:tc>
          <w:tcPr>
            <w:tcW w:w="6240" w:type="dxa"/>
            <w:vAlign w:val="bottom"/>
            <w:gridSpan w:val="3"/>
          </w:tcPr>
          <w:p>
            <w:pPr>
              <w:jc w:val="right"/>
              <w:ind w:right="3670"/>
              <w:spacing w:after="0"/>
              <w:rPr>
                <w:sz w:val="20"/>
                <w:szCs w:val="20"/>
                <w:color w:val="auto"/>
              </w:rPr>
            </w:pPr>
            <w:r>
              <w:rPr>
                <w:rFonts w:ascii="Arial" w:cs="Arial" w:eastAsia="Arial" w:hAnsi="Arial"/>
                <w:sz w:val="18"/>
                <w:szCs w:val="18"/>
                <w:color w:val="auto"/>
              </w:rPr>
              <w:t>, 2019 to the date of delivery.</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640"/>
        <w:spacing w:after="0"/>
        <w:rPr>
          <w:sz w:val="20"/>
          <w:szCs w:val="20"/>
          <w:color w:val="auto"/>
        </w:rPr>
      </w:pPr>
      <w:r>
        <w:rPr>
          <w:rFonts w:ascii="Arial" w:cs="Arial" w:eastAsia="Arial" w:hAnsi="Arial"/>
          <w:sz w:val="16"/>
          <w:szCs w:val="16"/>
          <w:color w:val="auto"/>
        </w:rPr>
        <w:t>The underwriters expect to deliver the Notes to purchasers only in book-entry form through the facilities of The Depository Trust Company and its</w:t>
      </w:r>
    </w:p>
    <w:p>
      <w:pPr>
        <w:spacing w:after="0" w:line="46" w:lineRule="exact"/>
        <w:rPr>
          <w:sz w:val="24"/>
          <w:szCs w:val="24"/>
          <w:color w:val="auto"/>
        </w:rPr>
      </w:pPr>
    </w:p>
    <w:p>
      <w:pPr>
        <w:ind w:left="200" w:right="460"/>
        <w:spacing w:after="0" w:line="261" w:lineRule="auto"/>
        <w:rPr>
          <w:sz w:val="20"/>
          <w:szCs w:val="20"/>
          <w:color w:val="auto"/>
        </w:rPr>
      </w:pPr>
      <w:r>
        <w:rPr>
          <w:rFonts w:ascii="Arial" w:cs="Arial" w:eastAsia="Arial" w:hAnsi="Arial"/>
          <w:sz w:val="18"/>
          <w:szCs w:val="18"/>
          <w:color w:val="auto"/>
        </w:rPr>
        <w:t>participants, including Euroclear Bank S.A./N.V. and Clearstream Banking, S.A., on or about , 2019, which is the business day following the date of this prospectus supplement. See “Underwriting.”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3066415</wp:posOffset>
            </wp:positionH>
            <wp:positionV relativeFrom="paragraph">
              <wp:posOffset>134620</wp:posOffset>
            </wp:positionV>
            <wp:extent cx="11233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400" w:lineRule="exact"/>
        <w:rPr>
          <w:sz w:val="24"/>
          <w:szCs w:val="24"/>
          <w:color w:val="auto"/>
        </w:rPr>
      </w:pPr>
    </w:p>
    <w:p>
      <w:pPr>
        <w:jc w:val="center"/>
        <w:ind w:right="-179"/>
        <w:spacing w:after="0"/>
        <w:rPr>
          <w:sz w:val="20"/>
          <w:szCs w:val="20"/>
          <w:color w:val="auto"/>
        </w:rPr>
      </w:pPr>
      <w:r>
        <w:rPr>
          <w:rFonts w:ascii="Arial" w:cs="Arial" w:eastAsia="Arial" w:hAnsi="Arial"/>
          <w:sz w:val="22"/>
          <w:szCs w:val="22"/>
          <w:i w:val="1"/>
          <w:iCs w:val="1"/>
          <w:color w:val="auto"/>
        </w:rPr>
        <w:t>Joint Book-Running Managers</w:t>
      </w:r>
    </w:p>
    <w:p>
      <w:pPr>
        <w:spacing w:after="0" w:line="223" w:lineRule="exact"/>
        <w:rPr>
          <w:sz w:val="24"/>
          <w:szCs w:val="24"/>
          <w:color w:val="auto"/>
        </w:rPr>
      </w:pPr>
    </w:p>
    <w:p>
      <w:pPr>
        <w:ind w:left="200"/>
        <w:spacing w:after="0"/>
        <w:tabs>
          <w:tab w:leader="none" w:pos="4820" w:val="left"/>
          <w:tab w:leader="none" w:pos="9700" w:val="left"/>
        </w:tabs>
        <w:rPr>
          <w:sz w:val="20"/>
          <w:szCs w:val="20"/>
          <w:color w:val="auto"/>
        </w:rPr>
      </w:pPr>
      <w:r>
        <w:rPr>
          <w:rFonts w:ascii="Arial" w:cs="Arial" w:eastAsia="Arial" w:hAnsi="Arial"/>
          <w:sz w:val="29"/>
          <w:szCs w:val="29"/>
          <w:b w:val="1"/>
          <w:bCs w:val="1"/>
          <w:color w:val="auto"/>
        </w:rPr>
        <w:t>Barclays</w:t>
      </w:r>
      <w:r>
        <w:rPr>
          <w:sz w:val="20"/>
          <w:szCs w:val="20"/>
          <w:color w:val="auto"/>
        </w:rPr>
        <w:tab/>
      </w:r>
      <w:r>
        <w:rPr>
          <w:rFonts w:ascii="Arial" w:cs="Arial" w:eastAsia="Arial" w:hAnsi="Arial"/>
          <w:sz w:val="29"/>
          <w:szCs w:val="29"/>
          <w:b w:val="1"/>
          <w:bCs w:val="1"/>
          <w:color w:val="auto"/>
        </w:rPr>
        <w:t>BofA Merrill Lynch</w:t>
      </w:r>
      <w:r>
        <w:rPr>
          <w:sz w:val="20"/>
          <w:szCs w:val="20"/>
          <w:color w:val="auto"/>
        </w:rPr>
        <w:tab/>
      </w:r>
      <w:r>
        <w:rPr>
          <w:rFonts w:ascii="Arial" w:cs="Arial" w:eastAsia="Arial" w:hAnsi="Arial"/>
          <w:sz w:val="26"/>
          <w:szCs w:val="26"/>
          <w:b w:val="1"/>
          <w:bCs w:val="1"/>
          <w:color w:val="auto"/>
        </w:rPr>
        <w:t>J.P. Morgan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3066415</wp:posOffset>
            </wp:positionH>
            <wp:positionV relativeFrom="paragraph">
              <wp:posOffset>168910</wp:posOffset>
            </wp:positionV>
            <wp:extent cx="11233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ectPr>
          <w:pgSz w:w="11900" w:h="16838" w:orient="portrait"/>
          <w:cols w:equalWidth="0" w:num="1">
            <w:col w:w="11240"/>
          </w:cols>
          <w:pgMar w:left="240" w:top="230" w:right="419" w:bottom="1440" w:gutter="0" w:footer="0" w:header="0"/>
        </w:sectPr>
      </w:pPr>
    </w:p>
    <w:p>
      <w:pPr>
        <w:spacing w:after="0" w:line="200" w:lineRule="exact"/>
        <w:rPr>
          <w:sz w:val="24"/>
          <w:szCs w:val="24"/>
          <w:color w:val="auto"/>
        </w:rPr>
      </w:pPr>
    </w:p>
    <w:p>
      <w:pPr>
        <w:spacing w:after="0" w:line="281" w:lineRule="exact"/>
        <w:rPr>
          <w:sz w:val="24"/>
          <w:szCs w:val="24"/>
          <w:color w:val="auto"/>
        </w:rPr>
      </w:pPr>
    </w:p>
    <w:p>
      <w:pPr>
        <w:ind w:left="5760"/>
        <w:spacing w:after="0"/>
        <w:rPr>
          <w:sz w:val="20"/>
          <w:szCs w:val="20"/>
          <w:color w:val="auto"/>
        </w:rPr>
      </w:pPr>
      <w:r>
        <w:rPr>
          <w:rFonts w:ascii="Arial" w:cs="Arial" w:eastAsia="Arial" w:hAnsi="Arial"/>
          <w:sz w:val="15"/>
          <w:szCs w:val="15"/>
          <w:color w:val="auto"/>
        </w:rPr>
        <w:t>, 2019</w:t>
      </w:r>
    </w:p>
    <w:p>
      <w:pPr>
        <w:sectPr>
          <w:pgSz w:w="11900" w:h="16838" w:orient="portrait"/>
          <w:cols w:equalWidth="0" w:num="1">
            <w:col w:w="11240"/>
          </w:cols>
          <w:pgMar w:left="240" w:top="230" w:right="41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b w:val="1"/>
          <w:bCs w:val="1"/>
          <w:color w:val="auto"/>
        </w:rPr>
        <w:t>We are responsible for the information contained in or incorporated by reference into this prospectus supplement and the accompanying prospectus and any free-writing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supplement or the accompanying prospectus is accurate as of any date other than its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216535</wp:posOffset>
            </wp:positionV>
            <wp:extent cx="11233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40" w:type="dxa"/>
            <w:vAlign w:val="bottom"/>
            <w:gridSpan w:val="4"/>
          </w:tcPr>
          <w:p>
            <w:pPr>
              <w:jc w:val="right"/>
              <w:ind w:right="4413"/>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1"/>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4180" w:type="dxa"/>
            <w:vAlign w:val="bottom"/>
          </w:tcPr>
          <w:p>
            <w:pPr>
              <w:spacing w:after="0"/>
              <w:rPr>
                <w:sz w:val="24"/>
                <w:szCs w:val="24"/>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431"/>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40" w:type="dxa"/>
            <w:vAlign w:val="bottom"/>
            <w:gridSpan w:val="3"/>
            <w:vMerge w:val="restart"/>
          </w:tcPr>
          <w:p>
            <w:pPr>
              <w:jc w:val="right"/>
              <w:ind w:right="4440"/>
              <w:spacing w:after="0"/>
              <w:rPr>
                <w:sz w:val="20"/>
                <w:szCs w:val="20"/>
                <w:color w:val="auto"/>
              </w:rPr>
            </w:pPr>
            <w:r>
              <w:rPr>
                <w:rFonts w:ascii="Arial" w:cs="Arial" w:eastAsia="Arial" w:hAnsi="Arial"/>
                <w:sz w:val="18"/>
                <w:szCs w:val="18"/>
                <w:b w:val="1"/>
                <w:bCs w:val="1"/>
                <w:color w:val="auto"/>
              </w:rPr>
              <w:t>Prospectus Supplement</w:t>
            </w:r>
          </w:p>
        </w:tc>
        <w:tc>
          <w:tcPr>
            <w:tcW w:w="4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40" w:type="dxa"/>
            <w:vAlign w:val="bottom"/>
            <w:gridSpan w:val="17"/>
            <w:vMerge w:val="restart"/>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Notice Regarding Forward-Looking Statements</w:t>
              </w:r>
            </w:hyperlink>
          </w:p>
        </w:tc>
        <w:tc>
          <w:tcPr>
            <w:tcW w:w="500" w:type="dxa"/>
            <w:vAlign w:val="bottom"/>
            <w:gridSpan w:val="2"/>
            <w:vMerge w:val="restart"/>
          </w:tcPr>
          <w:p>
            <w:pPr>
              <w:spacing w:after="0"/>
              <w:rPr>
                <w:sz w:val="18"/>
                <w:szCs w:val="18"/>
                <w:color w:val="auto"/>
              </w:rPr>
            </w:pPr>
          </w:p>
        </w:tc>
        <w:tc>
          <w:tcPr>
            <w:tcW w:w="6640" w:type="dxa"/>
            <w:vAlign w:val="bottom"/>
            <w:gridSpan w:val="3"/>
            <w:vMerge w:val="continue"/>
          </w:tcPr>
          <w:p>
            <w:pPr>
              <w:spacing w:after="0"/>
              <w:rPr>
                <w:sz w:val="18"/>
                <w:szCs w:val="18"/>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289"/>
        </w:trPr>
        <w:tc>
          <w:tcPr>
            <w:tcW w:w="3440" w:type="dxa"/>
            <w:vAlign w:val="bottom"/>
            <w:tcBorders>
              <w:bottom w:val="single" w:sz="8" w:color="0000EE"/>
            </w:tcBorders>
            <w:gridSpan w:val="17"/>
            <w:vMerge w:val="continue"/>
          </w:tcPr>
          <w:p>
            <w:pPr>
              <w:spacing w:after="0"/>
              <w:rPr>
                <w:sz w:val="24"/>
                <w:szCs w:val="24"/>
                <w:color w:val="auto"/>
              </w:rPr>
            </w:pPr>
          </w:p>
        </w:tc>
        <w:tc>
          <w:tcPr>
            <w:tcW w:w="50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940" w:type="dxa"/>
            <w:vAlign w:val="bottom"/>
            <w:gridSpan w:val="1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About this Prospectus Supplement</w:t>
              </w:r>
            </w:hyperlink>
          </w:p>
        </w:tc>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S-iv</w:t>
            </w: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Summary</w:t>
              </w:r>
            </w:hyperlink>
          </w:p>
        </w:tc>
        <w:tc>
          <w:tcPr>
            <w:tcW w:w="146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gridSpan w:val="19"/>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S-4</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Use of Proceeds</w:t>
              </w:r>
            </w:hyperlink>
          </w:p>
        </w:tc>
        <w:tc>
          <w:tcPr>
            <w:tcW w:w="2760" w:type="dxa"/>
            <w:vAlign w:val="bottom"/>
            <w:gridSpan w:val="13"/>
          </w:tcPr>
          <w:p>
            <w:pPr>
              <w:spacing w:after="0"/>
              <w:rPr>
                <w:sz w:val="17"/>
                <w:szCs w:val="17"/>
                <w:color w:val="auto"/>
              </w:rPr>
            </w:pPr>
          </w:p>
        </w:tc>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13">
              <w:r>
                <w:rPr>
                  <w:rFonts w:ascii="Arial" w:cs="Arial" w:eastAsia="Arial" w:hAnsi="Arial"/>
                  <w:sz w:val="18"/>
                  <w:szCs w:val="18"/>
                  <w:color w:val="0000EE"/>
                  <w:w w:val="92"/>
                </w:rPr>
                <w:t>Capitalization</w:t>
              </w:r>
            </w:hyperlink>
          </w:p>
        </w:tc>
        <w:tc>
          <w:tcPr>
            <w:tcW w:w="2920" w:type="dxa"/>
            <w:vAlign w:val="bottom"/>
            <w:gridSpan w:val="14"/>
          </w:tcPr>
          <w:p>
            <w:pPr>
              <w:spacing w:after="0"/>
              <w:rPr>
                <w:sz w:val="17"/>
                <w:szCs w:val="17"/>
                <w:color w:val="auto"/>
              </w:rPr>
            </w:pPr>
          </w:p>
        </w:tc>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196"/>
        </w:trPr>
        <w:tc>
          <w:tcPr>
            <w:tcW w:w="3940" w:type="dxa"/>
            <w:vAlign w:val="bottom"/>
            <w:gridSpan w:val="19"/>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Description of the Notes</w:t>
              </w:r>
            </w:hyperlink>
          </w:p>
        </w:tc>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Material U.S. Federal Income Tax Consequences</w:t>
              </w:r>
            </w:hyperlink>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S-17</w:t>
            </w:r>
          </w:p>
        </w:tc>
        <w:tc>
          <w:tcPr>
            <w:tcW w:w="0" w:type="dxa"/>
            <w:vAlign w:val="bottom"/>
          </w:tcPr>
          <w:p>
            <w:pPr>
              <w:spacing w:after="0"/>
              <w:rPr>
                <w:sz w:val="1"/>
                <w:szCs w:val="1"/>
                <w:color w:val="auto"/>
              </w:rPr>
            </w:pPr>
          </w:p>
        </w:tc>
      </w:tr>
      <w:tr>
        <w:trPr>
          <w:trHeight w:val="196"/>
        </w:trPr>
        <w:tc>
          <w:tcPr>
            <w:tcW w:w="98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25">
              <w:r>
                <w:rPr>
                  <w:rFonts w:ascii="Arial" w:cs="Arial" w:eastAsia="Arial" w:hAnsi="Arial"/>
                  <w:sz w:val="18"/>
                  <w:szCs w:val="18"/>
                  <w:color w:val="0000EE"/>
                  <w:w w:val="94"/>
                </w:rPr>
                <w:t>Underwriting</w:t>
              </w:r>
            </w:hyperlink>
          </w:p>
        </w:tc>
        <w:tc>
          <w:tcPr>
            <w:tcW w:w="2960" w:type="dxa"/>
            <w:vAlign w:val="bottom"/>
            <w:gridSpan w:val="15"/>
          </w:tcPr>
          <w:p>
            <w:pPr>
              <w:spacing w:after="0"/>
              <w:rPr>
                <w:sz w:val="17"/>
                <w:szCs w:val="17"/>
                <w:color w:val="auto"/>
              </w:rPr>
            </w:pPr>
          </w:p>
        </w:tc>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S-20</w:t>
            </w:r>
          </w:p>
        </w:tc>
        <w:tc>
          <w:tcPr>
            <w:tcW w:w="0" w:type="dxa"/>
            <w:vAlign w:val="bottom"/>
          </w:tcPr>
          <w:p>
            <w:pPr>
              <w:spacing w:after="0"/>
              <w:rPr>
                <w:sz w:val="1"/>
                <w:szCs w:val="1"/>
                <w:color w:val="auto"/>
              </w:rPr>
            </w:pPr>
          </w:p>
        </w:tc>
      </w:tr>
      <w:tr>
        <w:trPr>
          <w:trHeight w:val="196"/>
        </w:trPr>
        <w:tc>
          <w:tcPr>
            <w:tcW w:w="3940" w:type="dxa"/>
            <w:vAlign w:val="bottom"/>
            <w:gridSpan w:val="19"/>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Validity of Securities</w:t>
              </w:r>
            </w:hyperlink>
          </w:p>
        </w:tc>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S-27</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Experts</w:t>
              </w:r>
            </w:hyperlink>
          </w:p>
        </w:tc>
        <w:tc>
          <w:tcPr>
            <w:tcW w:w="960" w:type="dxa"/>
            <w:vAlign w:val="bottom"/>
            <w:tcBorders>
              <w:top w:val="single" w:sz="8" w:color="0000EE"/>
            </w:tcBorders>
            <w:gridSpan w:val="9"/>
          </w:tcPr>
          <w:p>
            <w:pPr>
              <w:spacing w:after="0"/>
              <w:rPr>
                <w:sz w:val="17"/>
                <w:szCs w:val="17"/>
                <w:color w:val="auto"/>
              </w:rPr>
            </w:pPr>
          </w:p>
        </w:tc>
        <w:tc>
          <w:tcPr>
            <w:tcW w:w="2420" w:type="dxa"/>
            <w:vAlign w:val="bottom"/>
            <w:gridSpan w:val="9"/>
          </w:tcPr>
          <w:p>
            <w:pPr>
              <w:spacing w:after="0"/>
              <w:rPr>
                <w:sz w:val="17"/>
                <w:szCs w:val="17"/>
                <w:color w:val="auto"/>
              </w:rPr>
            </w:pPr>
          </w:p>
        </w:tc>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S-27</w:t>
            </w:r>
          </w:p>
        </w:tc>
        <w:tc>
          <w:tcPr>
            <w:tcW w:w="0" w:type="dxa"/>
            <w:vAlign w:val="bottom"/>
          </w:tcPr>
          <w:p>
            <w:pPr>
              <w:spacing w:after="0"/>
              <w:rPr>
                <w:sz w:val="1"/>
                <w:szCs w:val="1"/>
                <w:color w:val="auto"/>
              </w:rPr>
            </w:pPr>
          </w:p>
        </w:tc>
      </w:tr>
      <w:tr>
        <w:trPr>
          <w:trHeight w:val="196"/>
        </w:trPr>
        <w:tc>
          <w:tcPr>
            <w:tcW w:w="3940" w:type="dxa"/>
            <w:vAlign w:val="bottom"/>
            <w:gridSpan w:val="19"/>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Where You Can Find More Information</w:t>
              </w:r>
            </w:hyperlink>
          </w:p>
        </w:tc>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S-27</w:t>
            </w:r>
          </w:p>
        </w:tc>
        <w:tc>
          <w:tcPr>
            <w:tcW w:w="0" w:type="dxa"/>
            <w:vAlign w:val="bottom"/>
          </w:tcPr>
          <w:p>
            <w:pPr>
              <w:spacing w:after="0"/>
              <w:rPr>
                <w:sz w:val="1"/>
                <w:szCs w:val="1"/>
                <w:color w:val="auto"/>
              </w:rPr>
            </w:pPr>
          </w:p>
        </w:tc>
      </w:tr>
      <w:tr>
        <w:trPr>
          <w:trHeight w:val="385"/>
        </w:trPr>
        <w:tc>
          <w:tcPr>
            <w:tcW w:w="5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960" w:type="dxa"/>
            <w:vAlign w:val="bottom"/>
            <w:gridSpan w:val="2"/>
            <w:vMerge w:val="restart"/>
          </w:tcPr>
          <w:p>
            <w:pPr>
              <w:jc w:val="right"/>
              <w:ind w:right="4940"/>
              <w:spacing w:after="0"/>
              <w:rPr>
                <w:sz w:val="20"/>
                <w:szCs w:val="20"/>
                <w:color w:val="auto"/>
              </w:rPr>
            </w:pPr>
            <w:r>
              <w:rPr>
                <w:rFonts w:ascii="Arial" w:cs="Arial" w:eastAsia="Arial" w:hAnsi="Arial"/>
                <w:sz w:val="18"/>
                <w:szCs w:val="18"/>
                <w:b w:val="1"/>
                <w:bCs w:val="1"/>
                <w:color w:val="auto"/>
              </w:rPr>
              <w:t>Prospectus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96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940" w:type="dxa"/>
            <w:vAlign w:val="bottom"/>
            <w:gridSpan w:val="1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The Company</w:t>
              </w:r>
            </w:hyperlink>
          </w:p>
        </w:tc>
        <w:tc>
          <w:tcPr>
            <w:tcW w:w="7040" w:type="dxa"/>
            <w:vAlign w:val="bottom"/>
            <w:gridSpan w:val="4"/>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02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70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gridSpan w:val="19"/>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About this Prospectus</w:t>
              </w:r>
            </w:hyperlink>
          </w:p>
        </w:tc>
        <w:tc>
          <w:tcPr>
            <w:tcW w:w="70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80" w:type="dxa"/>
            <w:vAlign w:val="bottom"/>
            <w:gridSpan w:val="6"/>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70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36">
              <w:r>
                <w:rPr>
                  <w:rFonts w:ascii="Arial" w:cs="Arial" w:eastAsia="Arial" w:hAnsi="Arial"/>
                  <w:sz w:val="18"/>
                  <w:szCs w:val="18"/>
                  <w:color w:val="0000EE"/>
                  <w:w w:val="92"/>
                </w:rPr>
                <w:t>Where You Can Find More Information</w:t>
              </w:r>
            </w:hyperlink>
          </w:p>
        </w:tc>
        <w:tc>
          <w:tcPr>
            <w:tcW w:w="1060" w:type="dxa"/>
            <w:vAlign w:val="bottom"/>
            <w:gridSpan w:val="3"/>
          </w:tcPr>
          <w:p>
            <w:pPr>
              <w:spacing w:after="0"/>
              <w:rPr>
                <w:sz w:val="17"/>
                <w:szCs w:val="17"/>
                <w:color w:val="auto"/>
              </w:rPr>
            </w:pPr>
          </w:p>
        </w:tc>
        <w:tc>
          <w:tcPr>
            <w:tcW w:w="70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344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Notice Regarding Forward-Looking Statements</w:t>
              </w:r>
            </w:hyperlink>
          </w:p>
        </w:tc>
        <w:tc>
          <w:tcPr>
            <w:tcW w:w="500" w:type="dxa"/>
            <w:vAlign w:val="bottom"/>
            <w:gridSpan w:val="2"/>
          </w:tcPr>
          <w:p>
            <w:pPr>
              <w:spacing w:after="0"/>
              <w:rPr>
                <w:sz w:val="17"/>
                <w:szCs w:val="17"/>
                <w:color w:val="auto"/>
              </w:rPr>
            </w:pPr>
          </w:p>
        </w:tc>
        <w:tc>
          <w:tcPr>
            <w:tcW w:w="70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Use of Proceeds</w:t>
              </w:r>
            </w:hyperlink>
          </w:p>
        </w:tc>
        <w:tc>
          <w:tcPr>
            <w:tcW w:w="2760" w:type="dxa"/>
            <w:vAlign w:val="bottom"/>
            <w:gridSpan w:val="13"/>
          </w:tcPr>
          <w:p>
            <w:pPr>
              <w:spacing w:after="0"/>
              <w:rPr>
                <w:sz w:val="17"/>
                <w:szCs w:val="17"/>
                <w:color w:val="auto"/>
              </w:rPr>
            </w:pPr>
          </w:p>
        </w:tc>
        <w:tc>
          <w:tcPr>
            <w:tcW w:w="70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6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39">
              <w:r>
                <w:rPr>
                  <w:rFonts w:ascii="Arial" w:cs="Arial" w:eastAsia="Arial" w:hAnsi="Arial"/>
                  <w:sz w:val="18"/>
                  <w:szCs w:val="18"/>
                  <w:color w:val="0000EE"/>
                  <w:w w:val="92"/>
                </w:rPr>
                <w:t>Description of Capital Stock</w:t>
              </w:r>
            </w:hyperlink>
          </w:p>
        </w:tc>
        <w:tc>
          <w:tcPr>
            <w:tcW w:w="1880" w:type="dxa"/>
            <w:vAlign w:val="bottom"/>
            <w:gridSpan w:val="6"/>
          </w:tcPr>
          <w:p>
            <w:pPr>
              <w:spacing w:after="0"/>
              <w:rPr>
                <w:sz w:val="17"/>
                <w:szCs w:val="17"/>
                <w:color w:val="auto"/>
              </w:rPr>
            </w:pPr>
          </w:p>
        </w:tc>
        <w:tc>
          <w:tcPr>
            <w:tcW w:w="70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940" w:type="dxa"/>
            <w:vAlign w:val="bottom"/>
            <w:gridSpan w:val="19"/>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Description of Debt Securities</w:t>
              </w:r>
            </w:hyperlink>
          </w:p>
        </w:tc>
        <w:tc>
          <w:tcPr>
            <w:tcW w:w="70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1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Description of Warrants</w:t>
              </w:r>
            </w:hyperlink>
          </w:p>
        </w:tc>
        <w:tc>
          <w:tcPr>
            <w:tcW w:w="1760" w:type="dxa"/>
            <w:vAlign w:val="bottom"/>
            <w:gridSpan w:val="5"/>
          </w:tcPr>
          <w:p>
            <w:pPr>
              <w:spacing w:after="0"/>
              <w:rPr>
                <w:sz w:val="17"/>
                <w:szCs w:val="17"/>
                <w:color w:val="auto"/>
              </w:rPr>
            </w:pPr>
          </w:p>
        </w:tc>
        <w:tc>
          <w:tcPr>
            <w:tcW w:w="70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4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3"/>
              </w:rPr>
            </w:pPr>
            <w:hyperlink w:anchor="page51">
              <w:r>
                <w:rPr>
                  <w:rFonts w:ascii="Arial" w:cs="Arial" w:eastAsia="Arial" w:hAnsi="Arial"/>
                  <w:sz w:val="18"/>
                  <w:szCs w:val="18"/>
                  <w:color w:val="0000EE"/>
                  <w:w w:val="93"/>
                </w:rPr>
                <w:t>Description of Units</w:t>
              </w:r>
            </w:hyperlink>
          </w:p>
        </w:tc>
        <w:tc>
          <w:tcPr>
            <w:tcW w:w="280" w:type="dxa"/>
            <w:vAlign w:val="bottom"/>
            <w:tcBorders>
              <w:top w:val="single" w:sz="8" w:color="0000EE"/>
            </w:tcBorders>
            <w:gridSpan w:val="3"/>
          </w:tcPr>
          <w:p>
            <w:pPr>
              <w:spacing w:after="0"/>
              <w:rPr>
                <w:sz w:val="17"/>
                <w:szCs w:val="17"/>
                <w:color w:val="auto"/>
              </w:rPr>
            </w:pPr>
          </w:p>
        </w:tc>
        <w:tc>
          <w:tcPr>
            <w:tcW w:w="2180" w:type="dxa"/>
            <w:vAlign w:val="bottom"/>
            <w:gridSpan w:val="7"/>
          </w:tcPr>
          <w:p>
            <w:pPr>
              <w:spacing w:after="0"/>
              <w:rPr>
                <w:sz w:val="17"/>
                <w:szCs w:val="17"/>
                <w:color w:val="auto"/>
              </w:rPr>
            </w:pPr>
          </w:p>
        </w:tc>
        <w:tc>
          <w:tcPr>
            <w:tcW w:w="70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4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Forms of Securities</w:t>
              </w:r>
            </w:hyperlink>
          </w:p>
        </w:tc>
        <w:tc>
          <w:tcPr>
            <w:tcW w:w="2520" w:type="dxa"/>
            <w:vAlign w:val="bottom"/>
            <w:gridSpan w:val="12"/>
          </w:tcPr>
          <w:p>
            <w:pPr>
              <w:spacing w:after="0"/>
              <w:rPr>
                <w:sz w:val="17"/>
                <w:szCs w:val="17"/>
                <w:color w:val="auto"/>
              </w:rPr>
            </w:pPr>
          </w:p>
        </w:tc>
        <w:tc>
          <w:tcPr>
            <w:tcW w:w="70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w:anchor="page54">
              <w:r>
                <w:rPr>
                  <w:rFonts w:ascii="Arial" w:cs="Arial" w:eastAsia="Arial" w:hAnsi="Arial"/>
                  <w:sz w:val="18"/>
                  <w:szCs w:val="18"/>
                  <w:color w:val="0000EE"/>
                  <w:w w:val="93"/>
                </w:rPr>
                <w:t>Plan of Distribution</w:t>
              </w:r>
            </w:hyperlink>
          </w:p>
        </w:tc>
        <w:tc>
          <w:tcPr>
            <w:tcW w:w="2500" w:type="dxa"/>
            <w:vAlign w:val="bottom"/>
            <w:gridSpan w:val="11"/>
          </w:tcPr>
          <w:p>
            <w:pPr>
              <w:spacing w:after="0"/>
              <w:rPr>
                <w:sz w:val="17"/>
                <w:szCs w:val="17"/>
                <w:color w:val="auto"/>
              </w:rPr>
            </w:pPr>
          </w:p>
        </w:tc>
        <w:tc>
          <w:tcPr>
            <w:tcW w:w="70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3940" w:type="dxa"/>
            <w:vAlign w:val="bottom"/>
            <w:gridSpan w:val="19"/>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Validity of Securities</w:t>
              </w:r>
            </w:hyperlink>
          </w:p>
        </w:tc>
        <w:tc>
          <w:tcPr>
            <w:tcW w:w="70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55">
              <w:r>
                <w:rPr>
                  <w:rFonts w:ascii="Arial" w:cs="Arial" w:eastAsia="Arial" w:hAnsi="Arial"/>
                  <w:sz w:val="18"/>
                  <w:szCs w:val="18"/>
                  <w:color w:val="0000EE"/>
                  <w:w w:val="88"/>
                </w:rPr>
                <w:t>Experts</w:t>
              </w:r>
            </w:hyperlink>
          </w:p>
        </w:tc>
        <w:tc>
          <w:tcPr>
            <w:tcW w:w="960" w:type="dxa"/>
            <w:vAlign w:val="bottom"/>
            <w:tcBorders>
              <w:top w:val="single" w:sz="8" w:color="0000EE"/>
            </w:tcBorders>
            <w:gridSpan w:val="9"/>
          </w:tcPr>
          <w:p>
            <w:pPr>
              <w:spacing w:after="0"/>
              <w:rPr>
                <w:sz w:val="17"/>
                <w:szCs w:val="17"/>
                <w:color w:val="auto"/>
              </w:rPr>
            </w:pPr>
          </w:p>
        </w:tc>
        <w:tc>
          <w:tcPr>
            <w:tcW w:w="2420" w:type="dxa"/>
            <w:vAlign w:val="bottom"/>
            <w:gridSpan w:val="9"/>
          </w:tcPr>
          <w:p>
            <w:pPr>
              <w:spacing w:after="0"/>
              <w:rPr>
                <w:sz w:val="17"/>
                <w:szCs w:val="17"/>
                <w:color w:val="auto"/>
              </w:rPr>
            </w:pPr>
          </w:p>
        </w:tc>
        <w:tc>
          <w:tcPr>
            <w:tcW w:w="70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220"/>
          </w:cols>
          <w:pgMar w:left="24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This prospectus supplement, the accompanying prospectus and documents that are incorporated by reference into this prospectus supplement include forward-looking statements intended to qualify for the safe harbor from liability established by the Private Securities Litigation Reform Act of 1995. These forward-looking statements generally can be identified by phrases such as we or our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8"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our company or our management:</w:t>
      </w:r>
    </w:p>
    <w:p>
      <w:pPr>
        <w:spacing w:after="0" w:line="76" w:lineRule="exact"/>
        <w:rPr>
          <w:sz w:val="20"/>
          <w:szCs w:val="20"/>
          <w:color w:val="auto"/>
        </w:rPr>
      </w:pPr>
    </w:p>
    <w:p>
      <w:pPr>
        <w:ind w:left="860" w:hanging="224"/>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in our end markets;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30" w:lineRule="exact"/>
        <w:rPr>
          <w:rFonts w:ascii="Arial" w:cs="Arial" w:eastAsia="Arial" w:hAnsi="Arial"/>
          <w:sz w:val="18"/>
          <w:szCs w:val="18"/>
          <w:color w:val="auto"/>
        </w:rPr>
      </w:pPr>
    </w:p>
    <w:p>
      <w:pPr>
        <w:ind w:left="860" w:right="20" w:hanging="224"/>
        <w:spacing w:after="0" w:line="277"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company inventory that results from demand that differs from projections;</w:t>
      </w:r>
    </w:p>
    <w:p>
      <w:pPr>
        <w:spacing w:after="0" w:line="75" w:lineRule="exact"/>
        <w:rPr>
          <w:rFonts w:ascii="Arial" w:cs="Arial" w:eastAsia="Arial" w:hAnsi="Arial"/>
          <w:sz w:val="18"/>
          <w:szCs w:val="18"/>
          <w:color w:val="auto"/>
        </w:rPr>
      </w:pPr>
    </w:p>
    <w:p>
      <w:pPr>
        <w:ind w:left="860" w:right="120" w:hanging="224"/>
        <w:spacing w:after="0" w:line="264"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we, our customers or our suppliers operate, including security risks; global trade policies; political and social instability; health conditions; possible disruptions in transportation, communications and information technology networks; and fluctuations in foreign currency exchange rates;</w:t>
      </w:r>
    </w:p>
    <w:p>
      <w:pPr>
        <w:spacing w:after="0" w:line="86" w:lineRule="exact"/>
        <w:rPr>
          <w:rFonts w:ascii="Arial" w:cs="Arial" w:eastAsia="Arial" w:hAnsi="Arial"/>
          <w:sz w:val="18"/>
          <w:szCs w:val="18"/>
          <w:color w:val="auto"/>
        </w:rPr>
      </w:pPr>
    </w:p>
    <w:p>
      <w:pPr>
        <w:ind w:left="860" w:hanging="224"/>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Evolving cybersecurity threats to our information technology systems or those of our customers or suppliers;</w:t>
      </w:r>
    </w:p>
    <w:p>
      <w:pPr>
        <w:spacing w:after="0" w:line="130" w:lineRule="exact"/>
        <w:rPr>
          <w:rFonts w:ascii="Arial" w:cs="Arial" w:eastAsia="Arial" w:hAnsi="Arial"/>
          <w:sz w:val="18"/>
          <w:szCs w:val="18"/>
          <w:color w:val="auto"/>
        </w:rPr>
      </w:pPr>
    </w:p>
    <w:p>
      <w:pPr>
        <w:ind w:left="860" w:right="480" w:hanging="224"/>
        <w:spacing w:after="0" w:line="277"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geological events or health epidemics in the locations in which we, our customers or our suppliers operate;</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w:t>
      </w:r>
    </w:p>
    <w:p>
      <w:pPr>
        <w:spacing w:after="0" w:line="130" w:lineRule="exact"/>
        <w:rPr>
          <w:rFonts w:ascii="Arial" w:cs="Arial" w:eastAsia="Arial" w:hAnsi="Arial"/>
          <w:sz w:val="18"/>
          <w:szCs w:val="18"/>
          <w:color w:val="auto"/>
        </w:rPr>
      </w:pPr>
    </w:p>
    <w:p>
      <w:pPr>
        <w:ind w:left="860" w:right="20" w:hanging="224"/>
        <w:spacing w:after="0" w:line="277"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53" w:lineRule="exact"/>
        <w:rPr>
          <w:rFonts w:ascii="Arial" w:cs="Arial" w:eastAsia="Arial" w:hAnsi="Arial"/>
          <w:sz w:val="16"/>
          <w:szCs w:val="16"/>
          <w:color w:val="auto"/>
        </w:rPr>
      </w:pPr>
    </w:p>
    <w:p>
      <w:pPr>
        <w:ind w:left="860" w:right="420" w:hanging="224"/>
        <w:spacing w:after="0" w:line="277"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our products, manufacturing, services, design or communications, or recalls by our customers for a product containing one of our parts;</w:t>
      </w:r>
    </w:p>
    <w:p>
      <w:pPr>
        <w:spacing w:after="0" w:line="75" w:lineRule="exact"/>
        <w:rPr>
          <w:rFonts w:ascii="Arial" w:cs="Arial" w:eastAsia="Arial" w:hAnsi="Arial"/>
          <w:sz w:val="18"/>
          <w:szCs w:val="18"/>
          <w:color w:val="auto"/>
        </w:rPr>
      </w:pPr>
    </w:p>
    <w:p>
      <w:pPr>
        <w:ind w:left="860" w:right="260" w:hanging="224"/>
        <w:spacing w:after="0" w:line="264"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manufacture or ship our products or operate our business, or subject us to fines, penalties or other legal liability;</w:t>
      </w:r>
    </w:p>
    <w:p>
      <w:pPr>
        <w:spacing w:after="0" w:line="86" w:lineRule="exact"/>
        <w:rPr>
          <w:rFonts w:ascii="Arial" w:cs="Arial" w:eastAsia="Arial" w:hAnsi="Arial"/>
          <w:sz w:val="18"/>
          <w:szCs w:val="18"/>
          <w:color w:val="auto"/>
        </w:rPr>
      </w:pPr>
    </w:p>
    <w:p>
      <w:pPr>
        <w:ind w:left="860" w:hanging="224"/>
        <w:spacing w:after="0" w:line="308" w:lineRule="auto"/>
        <w:tabs>
          <w:tab w:leader="none" w:pos="860" w:val="left"/>
        </w:tabs>
        <w:numPr>
          <w:ilvl w:val="0"/>
          <w:numId w:val="2"/>
        </w:numPr>
        <w:rPr>
          <w:rFonts w:ascii="Arial" w:cs="Arial" w:eastAsia="Arial" w:hAnsi="Arial"/>
          <w:sz w:val="17"/>
          <w:szCs w:val="17"/>
          <w:color w:val="auto"/>
        </w:rPr>
      </w:pPr>
      <w:r>
        <w:rPr>
          <w:rFonts w:ascii="Arial" w:cs="Arial" w:eastAsia="Arial" w:hAnsi="Arial"/>
          <w:sz w:val="17"/>
          <w:szCs w:val="17"/>
          <w:color w:val="auto"/>
        </w:rPr>
        <w:t>Changes in tax law and accounting standards that can impact the tax rate applicable to us, the jurisdictions in which profits are determined to be earned and taxed, adverse resolution of tax audits, increases in tariff rates, and the ability to realize deferred tax assets;</w:t>
      </w:r>
    </w:p>
    <w:p>
      <w:pPr>
        <w:spacing w:after="0" w:line="51" w:lineRule="exact"/>
        <w:rPr>
          <w:rFonts w:ascii="Arial" w:cs="Arial" w:eastAsia="Arial" w:hAnsi="Arial"/>
          <w:sz w:val="17"/>
          <w:szCs w:val="17"/>
          <w:color w:val="auto"/>
        </w:rPr>
      </w:pPr>
    </w:p>
    <w:p>
      <w:pPr>
        <w:ind w:left="860" w:hanging="224"/>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TI-consigned inventory;</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
        </w:numPr>
        <w:rPr>
          <w:rFonts w:ascii="Arial" w:cs="Arial" w:eastAsia="Arial" w:hAnsi="Arial"/>
          <w:sz w:val="17"/>
          <w:szCs w:val="17"/>
          <w:color w:val="auto"/>
        </w:rPr>
      </w:pPr>
      <w:r>
        <w:rPr>
          <w:rFonts w:ascii="Arial" w:cs="Arial" w:eastAsia="Arial" w:hAnsi="Arial"/>
          <w:sz w:val="17"/>
          <w:szCs w:val="17"/>
          <w:color w:val="auto"/>
        </w:rPr>
        <w:t>Financial difficulties of our distributors or their promotion of competing product lines to our detriment, or the loss of significant distributors;</w:t>
      </w:r>
    </w:p>
    <w:p>
      <w:pPr>
        <w:spacing w:after="0" w:line="142" w:lineRule="exact"/>
        <w:rPr>
          <w:rFonts w:ascii="Arial" w:cs="Arial" w:eastAsia="Arial" w:hAnsi="Arial"/>
          <w:sz w:val="17"/>
          <w:szCs w:val="17"/>
          <w:color w:val="auto"/>
        </w:rPr>
      </w:pPr>
    </w:p>
    <w:p>
      <w:pPr>
        <w:ind w:left="860" w:hanging="224"/>
        <w:spacing w:after="0"/>
        <w:tabs>
          <w:tab w:leader="none" w:pos="860" w:val="left"/>
        </w:tabs>
        <w:numPr>
          <w:ilvl w:val="0"/>
          <w:numId w:val="2"/>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or the timing and amount of distributor and other customer inventory adjustments;</w:t>
      </w:r>
    </w:p>
    <w:p>
      <w:pPr>
        <w:spacing w:after="0" w:line="1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200"/>
          </w:cols>
          <w:pgMar w:left="24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0" w:right="140" w:hanging="224"/>
        <w:spacing w:after="0" w:line="308" w:lineRule="auto"/>
        <w:tabs>
          <w:tab w:leader="none" w:pos="8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or improve profit margins, including our ability to utilize our manufacturing facilities at sufficient levels to cover our fixed operating costs, in an intensely competitive and cyclical industry and despite changes in the regulatory environment;</w:t>
      </w:r>
    </w:p>
    <w:p>
      <w:pPr>
        <w:spacing w:after="0" w:line="51" w:lineRule="exact"/>
        <w:rPr>
          <w:rFonts w:ascii="Arial" w:cs="Arial" w:eastAsia="Arial" w:hAnsi="Arial"/>
          <w:sz w:val="17"/>
          <w:szCs w:val="17"/>
          <w:color w:val="auto"/>
        </w:rPr>
      </w:pPr>
    </w:p>
    <w:p>
      <w:pPr>
        <w:ind w:left="860" w:right="300" w:hanging="224"/>
        <w:spacing w:after="0" w:line="277"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75" w:lineRule="exact"/>
        <w:rPr>
          <w:rFonts w:ascii="Arial" w:cs="Arial" w:eastAsia="Arial" w:hAnsi="Arial"/>
          <w:sz w:val="18"/>
          <w:szCs w:val="18"/>
          <w:color w:val="auto"/>
        </w:rPr>
      </w:pPr>
    </w:p>
    <w:p>
      <w:pPr>
        <w:ind w:left="860" w:right="100" w:hanging="224"/>
        <w:spacing w:after="0" w:line="277"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that affects our ability to fund our daily operations, invest in the business, make strategic acquisitions, or make principal and interest payments on our debt;</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recruit and retain skilled engineering, management and technical personnel, and effectively manage key employee succession;</w:t>
      </w:r>
    </w:p>
    <w:p>
      <w:pPr>
        <w:spacing w:after="0" w:line="153" w:lineRule="exact"/>
        <w:rPr>
          <w:rFonts w:ascii="Arial" w:cs="Arial" w:eastAsia="Arial" w:hAnsi="Arial"/>
          <w:sz w:val="16"/>
          <w:szCs w:val="16"/>
          <w:color w:val="auto"/>
        </w:rPr>
      </w:pPr>
    </w:p>
    <w:p>
      <w:pPr>
        <w:ind w:left="860" w:right="40" w:hanging="224"/>
        <w:spacing w:after="0" w:line="277"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integrate and realize opportunities for growth from acquisitions, or our ability to realize our expectations regarding the amount and timing of restructuring charges and associated cost savings; and</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For a more detailed discussion of these factors, see our periodic filings with the Securities and Exchange Commission (the “SEC”). The forward-looking statements contained in this prospectus supplement are made as of the date hereof, and we undertake no obligation to update the forward-looking statements to reflect subsequent events or circumstances.</w:t>
      </w:r>
    </w:p>
    <w:p>
      <w:pPr>
        <w:spacing w:after="0" w:line="11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100"/>
          </w:cols>
          <w:pgMar w:left="240" w:top="459" w:right="5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This document is in two parts. The first is this prospectus supplement, which describes the specific terms of this offering. This prospectus supplement also incorporates by reference the information described under “Where You Can Find More Information.” The second part is the accompanying prospectus dated February 22, 2019. The accompanying prospectus contains a description of our debt securities and gives more general information, some of which may not apply to this offering.</w:t>
      </w:r>
    </w:p>
    <w:p>
      <w:pPr>
        <w:spacing w:after="0" w:line="18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If the description of this offering varies between this prospectus supplement and the accompanying prospectus, you should rely on the information in this prospectus supplement.</w:t>
      </w:r>
    </w:p>
    <w:p>
      <w:pPr>
        <w:spacing w:after="0" w:line="166" w:lineRule="exact"/>
        <w:rPr>
          <w:sz w:val="20"/>
          <w:szCs w:val="20"/>
          <w:color w:val="auto"/>
        </w:rPr>
      </w:pPr>
    </w:p>
    <w:p>
      <w:pPr>
        <w:ind w:left="200" w:right="20" w:firstLine="441"/>
        <w:spacing w:after="0" w:line="266" w:lineRule="auto"/>
        <w:rPr>
          <w:sz w:val="20"/>
          <w:szCs w:val="20"/>
          <w:color w:val="auto"/>
        </w:rPr>
      </w:pPr>
      <w:r>
        <w:rPr>
          <w:rFonts w:ascii="Arial" w:cs="Arial" w:eastAsia="Arial" w:hAnsi="Arial"/>
          <w:sz w:val="18"/>
          <w:szCs w:val="18"/>
          <w:b w:val="1"/>
          <w:bCs w:val="1"/>
          <w:color w:val="auto"/>
        </w:rPr>
        <w:t>Unless we have indicated otherwise, references in this prospectus supplement to “TI,” “we,” “us” and “our” or similar terms are to Texas Instruments Incorporated and its consolidated subsidiaries; references in this prospectus supplement to “Texas Instruments Incorporated” excludes its consolidated subsidiaries.</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180"/>
          </w:cols>
          <w:pgMar w:left="24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2808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02145" cy="28086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80" w:right="280" w:firstLine="426"/>
        <w:spacing w:after="0" w:line="259" w:lineRule="auto"/>
        <w:rPr>
          <w:sz w:val="20"/>
          <w:szCs w:val="20"/>
          <w:color w:val="auto"/>
        </w:rPr>
      </w:pPr>
      <w:r>
        <w:rPr>
          <w:rFonts w:ascii="Arial" w:cs="Arial" w:eastAsia="Arial" w:hAnsi="Arial"/>
          <w:sz w:val="18"/>
          <w:szCs w:val="18"/>
          <w:i w:val="1"/>
          <w:iCs w:val="1"/>
          <w:color w:val="auto"/>
        </w:rPr>
        <w:t>The following summary highlights information contained in or incorporated by reference into this prospectus supplement and the accompanying prospectus. It may not contain all of the information that you should consider before investing in the Notes. You should carefully read this entire prospectus supplement, as well as the accompanying prospectus and the documents incorporated by reference herein that are described under “Where You Can Find More Information.”</w:t>
      </w:r>
    </w:p>
    <w:p>
      <w:pPr>
        <w:spacing w:after="0" w:line="399"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Texas Instruments Incorporated</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We design and make semiconductors that we sell to electronics designers and manufacturers all over the world. We began operations in 1930.</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are incorporated in Delaware, headquartered in Dallas, Texas, and have design, manufacturing or sales operations in more than 30 countries.</w:t>
      </w:r>
    </w:p>
    <w:p>
      <w:pPr>
        <w:spacing w:after="0" w:line="234" w:lineRule="exact"/>
        <w:rPr>
          <w:sz w:val="20"/>
          <w:szCs w:val="20"/>
          <w:color w:val="auto"/>
        </w:rPr>
      </w:pPr>
    </w:p>
    <w:p>
      <w:pPr>
        <w:jc w:val="both"/>
        <w:ind w:left="380" w:right="220" w:firstLine="426"/>
        <w:spacing w:after="0" w:line="264" w:lineRule="auto"/>
        <w:rPr>
          <w:sz w:val="20"/>
          <w:szCs w:val="20"/>
          <w:color w:val="auto"/>
        </w:rPr>
      </w:pPr>
      <w:r>
        <w:rPr>
          <w:rFonts w:ascii="Arial" w:cs="Arial" w:eastAsia="Arial" w:hAnsi="Arial"/>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 supplement or the accompanying prospectus.</w:t>
      </w:r>
    </w:p>
    <w:p>
      <w:pPr>
        <w:spacing w:after="0" w:line="181" w:lineRule="exact"/>
        <w:rPr>
          <w:sz w:val="20"/>
          <w:szCs w:val="20"/>
          <w:color w:val="auto"/>
        </w:rPr>
      </w:pPr>
    </w:p>
    <w:p>
      <w:pPr>
        <w:ind w:left="380" w:right="60" w:firstLine="426"/>
        <w:spacing w:after="0" w:line="264"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into this prospectus supplement. For instructions on how to find copies of these and our other filings incorporated by reference into this prospectus supplement, see “Where You Can Find More Information.”</w:t>
      </w:r>
    </w:p>
    <w:p>
      <w:pPr>
        <w:spacing w:after="0" w:line="12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000"/>
          </w:cols>
          <w:pgMar w:left="240" w:top="459" w:right="6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500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02145" cy="63500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Offering</w:t>
      </w:r>
    </w:p>
    <w:p>
      <w:pPr>
        <w:spacing w:after="0" w:line="121" w:lineRule="exact"/>
        <w:rPr>
          <w:sz w:val="20"/>
          <w:szCs w:val="20"/>
          <w:color w:val="auto"/>
        </w:rPr>
      </w:pPr>
    </w:p>
    <w:p>
      <w:pPr>
        <w:jc w:val="both"/>
        <w:ind w:left="380" w:right="300" w:firstLine="426"/>
        <w:spacing w:after="0" w:line="286" w:lineRule="auto"/>
        <w:rPr>
          <w:sz w:val="20"/>
          <w:szCs w:val="20"/>
          <w:color w:val="auto"/>
        </w:rPr>
      </w:pPr>
      <w:r>
        <w:rPr>
          <w:rFonts w:ascii="Arial" w:cs="Arial" w:eastAsia="Arial" w:hAnsi="Arial"/>
          <w:sz w:val="17"/>
          <w:szCs w:val="17"/>
          <w:i w:val="1"/>
          <w:iCs w:val="1"/>
          <w:color w:val="auto"/>
        </w:rPr>
        <w:t>The summary below describes the principal terms of the Notes. Certain of the terms and conditions described below are subject to important limitations and exceptions. The “Description of the Notes” section of this prospectus supplement and the “Description of Debt Securities” section of the accompanying prospectus contain a more detailed description of the terms and conditions of the Notes.</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3100" w:type="dxa"/>
            <w:vAlign w:val="bottom"/>
          </w:tcPr>
          <w:p>
            <w:pPr>
              <w:ind w:left="180"/>
              <w:spacing w:after="0"/>
              <w:rPr>
                <w:sz w:val="20"/>
                <w:szCs w:val="20"/>
                <w:color w:val="auto"/>
              </w:rPr>
            </w:pPr>
            <w:r>
              <w:rPr>
                <w:rFonts w:ascii="Arial" w:cs="Arial" w:eastAsia="Arial" w:hAnsi="Arial"/>
                <w:sz w:val="18"/>
                <w:szCs w:val="18"/>
                <w:color w:val="auto"/>
              </w:rPr>
              <w:t>Issuer</w:t>
            </w:r>
          </w:p>
        </w:tc>
        <w:tc>
          <w:tcPr>
            <w:tcW w:w="5060" w:type="dxa"/>
            <w:vAlign w:val="bottom"/>
            <w:gridSpan w:val="3"/>
          </w:tcPr>
          <w:p>
            <w:pPr>
              <w:ind w:left="1120"/>
              <w:spacing w:after="0"/>
              <w:rPr>
                <w:sz w:val="20"/>
                <w:szCs w:val="20"/>
                <w:color w:val="auto"/>
              </w:rPr>
            </w:pPr>
            <w:r>
              <w:rPr>
                <w:rFonts w:ascii="Arial" w:cs="Arial" w:eastAsia="Arial" w:hAnsi="Arial"/>
                <w:sz w:val="18"/>
                <w:szCs w:val="18"/>
                <w:color w:val="auto"/>
              </w:rPr>
              <w:t>Texas Instruments Incorporated.</w:t>
            </w:r>
          </w:p>
        </w:tc>
        <w:tc>
          <w:tcPr>
            <w:tcW w:w="2880" w:type="dxa"/>
            <w:vAlign w:val="bottom"/>
          </w:tcPr>
          <w:p>
            <w:pPr>
              <w:spacing w:after="0"/>
              <w:rPr>
                <w:sz w:val="20"/>
                <w:szCs w:val="20"/>
                <w:color w:val="auto"/>
              </w:rPr>
            </w:pPr>
          </w:p>
        </w:tc>
      </w:tr>
      <w:tr>
        <w:trPr>
          <w:trHeight w:val="473"/>
        </w:trPr>
        <w:tc>
          <w:tcPr>
            <w:tcW w:w="3100" w:type="dxa"/>
            <w:vAlign w:val="bottom"/>
          </w:tcPr>
          <w:p>
            <w:pPr>
              <w:ind w:left="180"/>
              <w:spacing w:after="0"/>
              <w:rPr>
                <w:sz w:val="20"/>
                <w:szCs w:val="20"/>
                <w:color w:val="auto"/>
              </w:rPr>
            </w:pPr>
            <w:r>
              <w:rPr>
                <w:rFonts w:ascii="Arial" w:cs="Arial" w:eastAsia="Arial" w:hAnsi="Arial"/>
                <w:sz w:val="18"/>
                <w:szCs w:val="18"/>
                <w:color w:val="auto"/>
              </w:rPr>
              <w:t>Securities Offered</w:t>
            </w:r>
          </w:p>
        </w:tc>
        <w:tc>
          <w:tcPr>
            <w:tcW w:w="1640" w:type="dxa"/>
            <w:vAlign w:val="bottom"/>
          </w:tcPr>
          <w:p>
            <w:pPr>
              <w:ind w:left="1120"/>
              <w:spacing w:after="0"/>
              <w:rPr>
                <w:sz w:val="20"/>
                <w:szCs w:val="20"/>
                <w:color w:val="auto"/>
              </w:rPr>
            </w:pPr>
            <w:r>
              <w:rPr>
                <w:rFonts w:ascii="Arial" w:cs="Arial" w:eastAsia="Arial" w:hAnsi="Arial"/>
                <w:sz w:val="18"/>
                <w:szCs w:val="18"/>
                <w:color w:val="auto"/>
              </w:rPr>
              <w:t>$</w:t>
            </w:r>
          </w:p>
        </w:tc>
        <w:tc>
          <w:tcPr>
            <w:tcW w:w="6300" w:type="dxa"/>
            <w:vAlign w:val="bottom"/>
            <w:gridSpan w:val="3"/>
          </w:tcPr>
          <w:p>
            <w:pPr>
              <w:ind w:left="160"/>
              <w:spacing w:after="0"/>
              <w:rPr>
                <w:sz w:val="20"/>
                <w:szCs w:val="20"/>
                <w:color w:val="auto"/>
              </w:rPr>
            </w:pPr>
            <w:r>
              <w:rPr>
                <w:rFonts w:ascii="Arial" w:cs="Arial" w:eastAsia="Arial" w:hAnsi="Arial"/>
                <w:sz w:val="18"/>
                <w:szCs w:val="18"/>
                <w:color w:val="auto"/>
              </w:rPr>
              <w:t>aggregate principal amount of   % Notes due 20  .</w:t>
            </w:r>
          </w:p>
        </w:tc>
      </w:tr>
      <w:tr>
        <w:trPr>
          <w:trHeight w:val="473"/>
        </w:trPr>
        <w:tc>
          <w:tcPr>
            <w:tcW w:w="3100" w:type="dxa"/>
            <w:vAlign w:val="bottom"/>
          </w:tcPr>
          <w:p>
            <w:pPr>
              <w:ind w:left="180"/>
              <w:spacing w:after="0"/>
              <w:rPr>
                <w:sz w:val="20"/>
                <w:szCs w:val="20"/>
                <w:color w:val="auto"/>
              </w:rPr>
            </w:pPr>
            <w:r>
              <w:rPr>
                <w:rFonts w:ascii="Arial" w:cs="Arial" w:eastAsia="Arial" w:hAnsi="Arial"/>
                <w:sz w:val="18"/>
                <w:szCs w:val="18"/>
                <w:color w:val="auto"/>
              </w:rPr>
              <w:t>Maturity Date</w:t>
            </w:r>
          </w:p>
        </w:tc>
        <w:tc>
          <w:tcPr>
            <w:tcW w:w="1640" w:type="dxa"/>
            <w:vAlign w:val="bottom"/>
          </w:tcPr>
          <w:p>
            <w:pPr>
              <w:spacing w:after="0"/>
              <w:rPr>
                <w:sz w:val="24"/>
                <w:szCs w:val="24"/>
                <w:color w:val="auto"/>
              </w:rPr>
            </w:pPr>
          </w:p>
        </w:tc>
        <w:tc>
          <w:tcPr>
            <w:tcW w:w="1680" w:type="dxa"/>
            <w:vAlign w:val="bottom"/>
          </w:tcPr>
          <w:p>
            <w:pPr>
              <w:jc w:val="right"/>
              <w:ind w:right="710"/>
              <w:spacing w:after="0"/>
              <w:rPr>
                <w:sz w:val="20"/>
                <w:szCs w:val="20"/>
                <w:color w:val="auto"/>
              </w:rPr>
            </w:pPr>
            <w:r>
              <w:rPr>
                <w:rFonts w:ascii="Arial" w:cs="Arial" w:eastAsia="Arial" w:hAnsi="Arial"/>
                <w:sz w:val="18"/>
                <w:szCs w:val="18"/>
                <w:color w:val="auto"/>
              </w:rPr>
              <w:t>, 20  .</w:t>
            </w:r>
          </w:p>
        </w:tc>
        <w:tc>
          <w:tcPr>
            <w:tcW w:w="174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473"/>
        </w:trPr>
        <w:tc>
          <w:tcPr>
            <w:tcW w:w="3100" w:type="dxa"/>
            <w:vAlign w:val="bottom"/>
          </w:tcPr>
          <w:p>
            <w:pPr>
              <w:ind w:left="180"/>
              <w:spacing w:after="0"/>
              <w:rPr>
                <w:sz w:val="20"/>
                <w:szCs w:val="20"/>
                <w:color w:val="auto"/>
              </w:rPr>
            </w:pPr>
            <w:r>
              <w:rPr>
                <w:rFonts w:ascii="Arial" w:cs="Arial" w:eastAsia="Arial" w:hAnsi="Arial"/>
                <w:sz w:val="18"/>
                <w:szCs w:val="18"/>
                <w:color w:val="auto"/>
              </w:rPr>
              <w:t>Original Issue Date</w:t>
            </w:r>
          </w:p>
        </w:tc>
        <w:tc>
          <w:tcPr>
            <w:tcW w:w="1640" w:type="dxa"/>
            <w:vAlign w:val="bottom"/>
          </w:tcPr>
          <w:p>
            <w:pPr>
              <w:spacing w:after="0"/>
              <w:rPr>
                <w:sz w:val="24"/>
                <w:szCs w:val="24"/>
                <w:color w:val="auto"/>
              </w:rPr>
            </w:pPr>
          </w:p>
        </w:tc>
        <w:tc>
          <w:tcPr>
            <w:tcW w:w="1680" w:type="dxa"/>
            <w:vAlign w:val="bottom"/>
          </w:tcPr>
          <w:p>
            <w:pPr>
              <w:jc w:val="right"/>
              <w:ind w:right="710"/>
              <w:spacing w:after="0"/>
              <w:rPr>
                <w:sz w:val="20"/>
                <w:szCs w:val="20"/>
                <w:color w:val="auto"/>
              </w:rPr>
            </w:pPr>
            <w:r>
              <w:rPr>
                <w:rFonts w:ascii="Arial" w:cs="Arial" w:eastAsia="Arial" w:hAnsi="Arial"/>
                <w:sz w:val="18"/>
                <w:szCs w:val="18"/>
                <w:color w:val="auto"/>
              </w:rPr>
              <w:t>, 2019.</w:t>
            </w:r>
          </w:p>
        </w:tc>
        <w:tc>
          <w:tcPr>
            <w:tcW w:w="174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473"/>
        </w:trPr>
        <w:tc>
          <w:tcPr>
            <w:tcW w:w="3100" w:type="dxa"/>
            <w:vAlign w:val="bottom"/>
          </w:tcPr>
          <w:p>
            <w:pPr>
              <w:ind w:left="180"/>
              <w:spacing w:after="0"/>
              <w:rPr>
                <w:sz w:val="20"/>
                <w:szCs w:val="20"/>
                <w:color w:val="auto"/>
              </w:rPr>
            </w:pPr>
            <w:r>
              <w:rPr>
                <w:rFonts w:ascii="Arial" w:cs="Arial" w:eastAsia="Arial" w:hAnsi="Arial"/>
                <w:sz w:val="18"/>
                <w:szCs w:val="18"/>
                <w:color w:val="auto"/>
              </w:rPr>
              <w:t>Interest Rate</w:t>
            </w:r>
          </w:p>
        </w:tc>
        <w:tc>
          <w:tcPr>
            <w:tcW w:w="3320" w:type="dxa"/>
            <w:vAlign w:val="bottom"/>
            <w:gridSpan w:val="2"/>
          </w:tcPr>
          <w:p>
            <w:pPr>
              <w:ind w:left="1120"/>
              <w:spacing w:after="0"/>
              <w:rPr>
                <w:sz w:val="20"/>
                <w:szCs w:val="20"/>
                <w:color w:val="auto"/>
              </w:rPr>
            </w:pPr>
            <w:r>
              <w:rPr>
                <w:rFonts w:ascii="Arial" w:cs="Arial" w:eastAsia="Arial" w:hAnsi="Arial"/>
                <w:sz w:val="18"/>
                <w:szCs w:val="18"/>
                <w:color w:val="auto"/>
              </w:rPr>
              <w:t>Fixed rate of   %.</w:t>
            </w:r>
          </w:p>
        </w:tc>
        <w:tc>
          <w:tcPr>
            <w:tcW w:w="174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473"/>
        </w:trPr>
        <w:tc>
          <w:tcPr>
            <w:tcW w:w="3100" w:type="dxa"/>
            <w:vAlign w:val="bottom"/>
          </w:tcPr>
          <w:p>
            <w:pPr>
              <w:ind w:left="180"/>
              <w:spacing w:after="0"/>
              <w:rPr>
                <w:sz w:val="20"/>
                <w:szCs w:val="20"/>
                <w:color w:val="auto"/>
              </w:rPr>
            </w:pPr>
            <w:r>
              <w:rPr>
                <w:rFonts w:ascii="Arial" w:cs="Arial" w:eastAsia="Arial" w:hAnsi="Arial"/>
                <w:sz w:val="18"/>
                <w:szCs w:val="18"/>
                <w:color w:val="auto"/>
              </w:rPr>
              <w:t>Interest Payment Dates</w:t>
            </w:r>
          </w:p>
        </w:tc>
        <w:tc>
          <w:tcPr>
            <w:tcW w:w="1640" w:type="dxa"/>
            <w:vAlign w:val="bottom"/>
          </w:tcPr>
          <w:p>
            <w:pPr>
              <w:ind w:left="1120"/>
              <w:spacing w:after="0"/>
              <w:rPr>
                <w:sz w:val="20"/>
                <w:szCs w:val="20"/>
                <w:color w:val="auto"/>
              </w:rPr>
            </w:pPr>
            <w:r>
              <w:rPr>
                <w:rFonts w:ascii="Arial" w:cs="Arial" w:eastAsia="Arial" w:hAnsi="Arial"/>
                <w:sz w:val="18"/>
                <w:szCs w:val="18"/>
                <w:color w:val="auto"/>
              </w:rPr>
              <w:t>Each</w:t>
            </w:r>
          </w:p>
        </w:tc>
        <w:tc>
          <w:tcPr>
            <w:tcW w:w="1680" w:type="dxa"/>
            <w:vAlign w:val="bottom"/>
          </w:tcPr>
          <w:p>
            <w:pPr>
              <w:ind w:left="660"/>
              <w:spacing w:after="0"/>
              <w:rPr>
                <w:sz w:val="20"/>
                <w:szCs w:val="20"/>
                <w:color w:val="auto"/>
              </w:rPr>
            </w:pPr>
            <w:r>
              <w:rPr>
                <w:rFonts w:ascii="Arial" w:cs="Arial" w:eastAsia="Arial" w:hAnsi="Arial"/>
                <w:sz w:val="18"/>
                <w:szCs w:val="18"/>
                <w:color w:val="auto"/>
              </w:rPr>
              <w:t>and</w:t>
            </w:r>
          </w:p>
        </w:tc>
        <w:tc>
          <w:tcPr>
            <w:tcW w:w="1740" w:type="dxa"/>
            <w:vAlign w:val="bottom"/>
          </w:tcPr>
          <w:p>
            <w:pPr>
              <w:spacing w:after="0"/>
              <w:rPr>
                <w:sz w:val="20"/>
                <w:szCs w:val="20"/>
                <w:color w:val="auto"/>
              </w:rPr>
            </w:pPr>
            <w:r>
              <w:rPr>
                <w:rFonts w:ascii="Arial" w:cs="Arial" w:eastAsia="Arial" w:hAnsi="Arial"/>
                <w:sz w:val="18"/>
                <w:szCs w:val="18"/>
                <w:color w:val="auto"/>
              </w:rPr>
              <w:t>, beginning on</w:t>
            </w:r>
          </w:p>
        </w:tc>
        <w:tc>
          <w:tcPr>
            <w:tcW w:w="2880" w:type="dxa"/>
            <w:vAlign w:val="bottom"/>
          </w:tcPr>
          <w:p>
            <w:pPr>
              <w:ind w:left="240"/>
              <w:spacing w:after="0"/>
              <w:rPr>
                <w:sz w:val="20"/>
                <w:szCs w:val="20"/>
                <w:color w:val="auto"/>
              </w:rPr>
            </w:pPr>
            <w:r>
              <w:rPr>
                <w:rFonts w:ascii="Arial" w:cs="Arial" w:eastAsia="Arial" w:hAnsi="Arial"/>
                <w:sz w:val="18"/>
                <w:szCs w:val="18"/>
                <w:color w:val="auto"/>
              </w:rPr>
              <w:t>, 2020, and on the maturity date.</w:t>
            </w:r>
          </w:p>
        </w:tc>
      </w:tr>
      <w:tr>
        <w:trPr>
          <w:trHeight w:val="458"/>
        </w:trPr>
        <w:tc>
          <w:tcPr>
            <w:tcW w:w="3100" w:type="dxa"/>
            <w:vAlign w:val="bottom"/>
          </w:tcPr>
          <w:p>
            <w:pPr>
              <w:ind w:left="180"/>
              <w:spacing w:after="0"/>
              <w:rPr>
                <w:sz w:val="20"/>
                <w:szCs w:val="20"/>
                <w:color w:val="auto"/>
              </w:rPr>
            </w:pPr>
            <w:r>
              <w:rPr>
                <w:rFonts w:ascii="Arial" w:cs="Arial" w:eastAsia="Arial" w:hAnsi="Arial"/>
                <w:sz w:val="18"/>
                <w:szCs w:val="18"/>
                <w:color w:val="auto"/>
              </w:rPr>
              <w:t>Ranking</w:t>
            </w:r>
          </w:p>
        </w:tc>
        <w:tc>
          <w:tcPr>
            <w:tcW w:w="7940" w:type="dxa"/>
            <w:vAlign w:val="bottom"/>
            <w:gridSpan w:val="4"/>
          </w:tcPr>
          <w:p>
            <w:pPr>
              <w:ind w:left="1120"/>
              <w:spacing w:after="0"/>
              <w:rPr>
                <w:sz w:val="20"/>
                <w:szCs w:val="20"/>
                <w:color w:val="auto"/>
              </w:rPr>
            </w:pPr>
            <w:r>
              <w:rPr>
                <w:rFonts w:ascii="Arial" w:cs="Arial" w:eastAsia="Arial" w:hAnsi="Arial"/>
                <w:sz w:val="18"/>
                <w:szCs w:val="18"/>
                <w:color w:val="auto"/>
                <w:w w:val="94"/>
              </w:rPr>
              <w:t>The Notes will be the senior unsecured obligations of Texas Instruments Incorporated and</w:t>
            </w:r>
          </w:p>
        </w:tc>
      </w:tr>
      <w:tr>
        <w:trPr>
          <w:trHeight w:val="216"/>
        </w:trPr>
        <w:tc>
          <w:tcPr>
            <w:tcW w:w="3100" w:type="dxa"/>
            <w:vAlign w:val="bottom"/>
          </w:tcPr>
          <w:p>
            <w:pPr>
              <w:spacing w:after="0"/>
              <w:rPr>
                <w:sz w:val="18"/>
                <w:szCs w:val="18"/>
                <w:color w:val="auto"/>
              </w:rPr>
            </w:pPr>
          </w:p>
        </w:tc>
        <w:tc>
          <w:tcPr>
            <w:tcW w:w="7940" w:type="dxa"/>
            <w:vAlign w:val="bottom"/>
            <w:gridSpan w:val="4"/>
          </w:tcPr>
          <w:p>
            <w:pPr>
              <w:ind w:left="1120"/>
              <w:spacing w:after="0"/>
              <w:rPr>
                <w:sz w:val="20"/>
                <w:szCs w:val="20"/>
                <w:color w:val="auto"/>
              </w:rPr>
            </w:pPr>
            <w:r>
              <w:rPr>
                <w:rFonts w:ascii="Arial" w:cs="Arial" w:eastAsia="Arial" w:hAnsi="Arial"/>
                <w:sz w:val="18"/>
                <w:szCs w:val="18"/>
                <w:color w:val="auto"/>
                <w:w w:val="98"/>
              </w:rPr>
              <w:t>will rank equally with all of its existing and future senior indebtedness from time to time</w:t>
            </w:r>
          </w:p>
        </w:tc>
      </w:tr>
      <w:tr>
        <w:trPr>
          <w:trHeight w:val="216"/>
        </w:trPr>
        <w:tc>
          <w:tcPr>
            <w:tcW w:w="3100" w:type="dxa"/>
            <w:vAlign w:val="bottom"/>
          </w:tcPr>
          <w:p>
            <w:pPr>
              <w:spacing w:after="0"/>
              <w:rPr>
                <w:sz w:val="18"/>
                <w:szCs w:val="18"/>
                <w:color w:val="auto"/>
              </w:rPr>
            </w:pPr>
          </w:p>
        </w:tc>
        <w:tc>
          <w:tcPr>
            <w:tcW w:w="7940" w:type="dxa"/>
            <w:vAlign w:val="bottom"/>
            <w:gridSpan w:val="4"/>
          </w:tcPr>
          <w:p>
            <w:pPr>
              <w:ind w:left="1120"/>
              <w:spacing w:after="0"/>
              <w:rPr>
                <w:sz w:val="20"/>
                <w:szCs w:val="20"/>
                <w:color w:val="auto"/>
              </w:rPr>
            </w:pPr>
            <w:r>
              <w:rPr>
                <w:rFonts w:ascii="Arial" w:cs="Arial" w:eastAsia="Arial" w:hAnsi="Arial"/>
                <w:sz w:val="18"/>
                <w:szCs w:val="18"/>
                <w:color w:val="auto"/>
              </w:rPr>
              <w:t>outstanding. All existing and future liabilities of subsidiaries of Texas Instruments</w:t>
            </w:r>
          </w:p>
        </w:tc>
      </w:tr>
      <w:tr>
        <w:trPr>
          <w:trHeight w:val="230"/>
        </w:trPr>
        <w:tc>
          <w:tcPr>
            <w:tcW w:w="3100" w:type="dxa"/>
            <w:vAlign w:val="bottom"/>
          </w:tcPr>
          <w:p>
            <w:pPr>
              <w:spacing w:after="0"/>
              <w:rPr>
                <w:sz w:val="20"/>
                <w:szCs w:val="20"/>
                <w:color w:val="auto"/>
              </w:rPr>
            </w:pPr>
          </w:p>
        </w:tc>
        <w:tc>
          <w:tcPr>
            <w:tcW w:w="5060" w:type="dxa"/>
            <w:vAlign w:val="bottom"/>
            <w:gridSpan w:val="3"/>
          </w:tcPr>
          <w:p>
            <w:pPr>
              <w:ind w:left="1120"/>
              <w:spacing w:after="0"/>
              <w:rPr>
                <w:sz w:val="20"/>
                <w:szCs w:val="20"/>
                <w:color w:val="auto"/>
              </w:rPr>
            </w:pPr>
            <w:r>
              <w:rPr>
                <w:rFonts w:ascii="Arial" w:cs="Arial" w:eastAsia="Arial" w:hAnsi="Arial"/>
                <w:sz w:val="18"/>
                <w:szCs w:val="18"/>
                <w:color w:val="auto"/>
                <w:w w:val="97"/>
              </w:rPr>
              <w:t>Incorporated will be effectively senior to the Notes.</w:t>
            </w:r>
          </w:p>
        </w:tc>
        <w:tc>
          <w:tcPr>
            <w:tcW w:w="2880" w:type="dxa"/>
            <w:vAlign w:val="bottom"/>
          </w:tcPr>
          <w:p>
            <w:pPr>
              <w:spacing w:after="0"/>
              <w:rPr>
                <w:sz w:val="20"/>
                <w:szCs w:val="20"/>
                <w:color w:val="auto"/>
              </w:rPr>
            </w:pPr>
          </w:p>
        </w:tc>
      </w:tr>
      <w:tr>
        <w:trPr>
          <w:trHeight w:val="445"/>
        </w:trPr>
        <w:tc>
          <w:tcPr>
            <w:tcW w:w="3100" w:type="dxa"/>
            <w:vAlign w:val="bottom"/>
          </w:tcPr>
          <w:p>
            <w:pPr>
              <w:spacing w:after="0"/>
              <w:rPr>
                <w:sz w:val="24"/>
                <w:szCs w:val="24"/>
                <w:color w:val="auto"/>
              </w:rPr>
            </w:pPr>
          </w:p>
        </w:tc>
        <w:tc>
          <w:tcPr>
            <w:tcW w:w="7940" w:type="dxa"/>
            <w:vAlign w:val="bottom"/>
            <w:gridSpan w:val="4"/>
          </w:tcPr>
          <w:p>
            <w:pPr>
              <w:ind w:left="1120"/>
              <w:spacing w:after="0"/>
              <w:rPr>
                <w:sz w:val="20"/>
                <w:szCs w:val="20"/>
                <w:color w:val="auto"/>
              </w:rPr>
            </w:pPr>
            <w:r>
              <w:rPr>
                <w:rFonts w:ascii="Arial" w:cs="Arial" w:eastAsia="Arial" w:hAnsi="Arial"/>
                <w:sz w:val="18"/>
                <w:szCs w:val="18"/>
                <w:color w:val="auto"/>
                <w:w w:val="98"/>
              </w:rPr>
              <w:t>As of June 30, 2019, Texas Instruments Incorporated had approximately $5.8 billion of</w:t>
            </w:r>
          </w:p>
        </w:tc>
      </w:tr>
      <w:tr>
        <w:trPr>
          <w:trHeight w:val="216"/>
        </w:trPr>
        <w:tc>
          <w:tcPr>
            <w:tcW w:w="3100" w:type="dxa"/>
            <w:vAlign w:val="bottom"/>
          </w:tcPr>
          <w:p>
            <w:pPr>
              <w:spacing w:after="0"/>
              <w:rPr>
                <w:sz w:val="18"/>
                <w:szCs w:val="18"/>
                <w:color w:val="auto"/>
              </w:rPr>
            </w:pPr>
          </w:p>
        </w:tc>
        <w:tc>
          <w:tcPr>
            <w:tcW w:w="7940" w:type="dxa"/>
            <w:vAlign w:val="bottom"/>
            <w:gridSpan w:val="4"/>
          </w:tcPr>
          <w:p>
            <w:pPr>
              <w:ind w:left="1120"/>
              <w:spacing w:after="0"/>
              <w:rPr>
                <w:sz w:val="20"/>
                <w:szCs w:val="20"/>
                <w:color w:val="auto"/>
              </w:rPr>
            </w:pPr>
            <w:r>
              <w:rPr>
                <w:rFonts w:ascii="Arial" w:cs="Arial" w:eastAsia="Arial" w:hAnsi="Arial"/>
                <w:sz w:val="18"/>
                <w:szCs w:val="18"/>
                <w:color w:val="auto"/>
                <w:w w:val="99"/>
              </w:rPr>
              <w:t>outstanding indebtedness. As of June 30, 2019, Texas Instruments had approximately</w:t>
            </w:r>
          </w:p>
        </w:tc>
      </w:tr>
      <w:tr>
        <w:trPr>
          <w:trHeight w:val="216"/>
        </w:trPr>
        <w:tc>
          <w:tcPr>
            <w:tcW w:w="3100" w:type="dxa"/>
            <w:vAlign w:val="bottom"/>
          </w:tcPr>
          <w:p>
            <w:pPr>
              <w:spacing w:after="0"/>
              <w:rPr>
                <w:sz w:val="18"/>
                <w:szCs w:val="18"/>
                <w:color w:val="auto"/>
              </w:rPr>
            </w:pPr>
          </w:p>
        </w:tc>
        <w:tc>
          <w:tcPr>
            <w:tcW w:w="7940" w:type="dxa"/>
            <w:vAlign w:val="bottom"/>
            <w:gridSpan w:val="4"/>
          </w:tcPr>
          <w:p>
            <w:pPr>
              <w:ind w:left="1120"/>
              <w:spacing w:after="0"/>
              <w:rPr>
                <w:sz w:val="20"/>
                <w:szCs w:val="20"/>
                <w:color w:val="auto"/>
              </w:rPr>
            </w:pPr>
            <w:r>
              <w:rPr>
                <w:rFonts w:ascii="Arial" w:cs="Arial" w:eastAsia="Arial" w:hAnsi="Arial"/>
                <w:sz w:val="18"/>
                <w:szCs w:val="18"/>
                <w:color w:val="auto"/>
                <w:w w:val="94"/>
              </w:rPr>
              <w:t>$8.9 billion of total liabilities on a consolidated basis. Of this amount, subsidiaries of Texas</w:t>
            </w:r>
          </w:p>
        </w:tc>
      </w:tr>
      <w:tr>
        <w:trPr>
          <w:trHeight w:val="216"/>
        </w:trPr>
        <w:tc>
          <w:tcPr>
            <w:tcW w:w="3100" w:type="dxa"/>
            <w:vAlign w:val="bottom"/>
          </w:tcPr>
          <w:p>
            <w:pPr>
              <w:spacing w:after="0"/>
              <w:rPr>
                <w:sz w:val="18"/>
                <w:szCs w:val="18"/>
                <w:color w:val="auto"/>
              </w:rPr>
            </w:pPr>
          </w:p>
        </w:tc>
        <w:tc>
          <w:tcPr>
            <w:tcW w:w="7940" w:type="dxa"/>
            <w:vAlign w:val="bottom"/>
            <w:gridSpan w:val="4"/>
          </w:tcPr>
          <w:p>
            <w:pPr>
              <w:ind w:left="1120"/>
              <w:spacing w:after="0"/>
              <w:rPr>
                <w:sz w:val="20"/>
                <w:szCs w:val="20"/>
                <w:color w:val="auto"/>
              </w:rPr>
            </w:pPr>
            <w:r>
              <w:rPr>
                <w:rFonts w:ascii="Arial" w:cs="Arial" w:eastAsia="Arial" w:hAnsi="Arial"/>
                <w:sz w:val="18"/>
                <w:szCs w:val="18"/>
                <w:color w:val="auto"/>
              </w:rPr>
              <w:t>Instruments Incorporated had approximately $0.9 billion of liabilities (including trade</w:t>
            </w:r>
          </w:p>
        </w:tc>
      </w:tr>
      <w:tr>
        <w:trPr>
          <w:trHeight w:val="216"/>
        </w:trPr>
        <w:tc>
          <w:tcPr>
            <w:tcW w:w="3100" w:type="dxa"/>
            <w:vAlign w:val="bottom"/>
          </w:tcPr>
          <w:p>
            <w:pPr>
              <w:spacing w:after="0"/>
              <w:rPr>
                <w:sz w:val="18"/>
                <w:szCs w:val="18"/>
                <w:color w:val="auto"/>
              </w:rPr>
            </w:pPr>
          </w:p>
        </w:tc>
        <w:tc>
          <w:tcPr>
            <w:tcW w:w="7940" w:type="dxa"/>
            <w:vAlign w:val="bottom"/>
            <w:gridSpan w:val="4"/>
          </w:tcPr>
          <w:p>
            <w:pPr>
              <w:ind w:left="1120"/>
              <w:spacing w:after="0"/>
              <w:rPr>
                <w:sz w:val="20"/>
                <w:szCs w:val="20"/>
                <w:color w:val="auto"/>
              </w:rPr>
            </w:pPr>
            <w:r>
              <w:rPr>
                <w:rFonts w:ascii="Arial" w:cs="Arial" w:eastAsia="Arial" w:hAnsi="Arial"/>
                <w:sz w:val="18"/>
                <w:szCs w:val="18"/>
                <w:color w:val="auto"/>
              </w:rPr>
              <w:t>payables and excluding intercompany debt) to which the Notes will be effectively</w:t>
            </w:r>
          </w:p>
        </w:tc>
      </w:tr>
      <w:tr>
        <w:trPr>
          <w:trHeight w:val="230"/>
        </w:trPr>
        <w:tc>
          <w:tcPr>
            <w:tcW w:w="3100" w:type="dxa"/>
            <w:vAlign w:val="bottom"/>
          </w:tcPr>
          <w:p>
            <w:pPr>
              <w:spacing w:after="0"/>
              <w:rPr>
                <w:sz w:val="20"/>
                <w:szCs w:val="20"/>
                <w:color w:val="auto"/>
              </w:rPr>
            </w:pPr>
          </w:p>
        </w:tc>
        <w:tc>
          <w:tcPr>
            <w:tcW w:w="3320" w:type="dxa"/>
            <w:vAlign w:val="bottom"/>
            <w:gridSpan w:val="2"/>
          </w:tcPr>
          <w:p>
            <w:pPr>
              <w:ind w:left="1120"/>
              <w:spacing w:after="0"/>
              <w:rPr>
                <w:sz w:val="20"/>
                <w:szCs w:val="20"/>
                <w:color w:val="auto"/>
              </w:rPr>
            </w:pPr>
            <w:r>
              <w:rPr>
                <w:rFonts w:ascii="Arial" w:cs="Arial" w:eastAsia="Arial" w:hAnsi="Arial"/>
                <w:sz w:val="18"/>
                <w:szCs w:val="18"/>
                <w:color w:val="auto"/>
              </w:rPr>
              <w:t>subordinated.</w:t>
            </w:r>
          </w:p>
        </w:tc>
        <w:tc>
          <w:tcPr>
            <w:tcW w:w="1740" w:type="dxa"/>
            <w:vAlign w:val="bottom"/>
          </w:tcPr>
          <w:p>
            <w:pPr>
              <w:spacing w:after="0"/>
              <w:rPr>
                <w:sz w:val="20"/>
                <w:szCs w:val="20"/>
                <w:color w:val="auto"/>
              </w:rPr>
            </w:pPr>
          </w:p>
        </w:tc>
        <w:tc>
          <w:tcPr>
            <w:tcW w:w="2880" w:type="dxa"/>
            <w:vAlign w:val="bottom"/>
          </w:tcPr>
          <w:p>
            <w:pPr>
              <w:spacing w:after="0"/>
              <w:rPr>
                <w:sz w:val="20"/>
                <w:szCs w:val="20"/>
                <w:color w:val="auto"/>
              </w:rPr>
            </w:pPr>
          </w:p>
        </w:tc>
      </w:tr>
      <w:tr>
        <w:trPr>
          <w:trHeight w:val="445"/>
        </w:trPr>
        <w:tc>
          <w:tcPr>
            <w:tcW w:w="3100" w:type="dxa"/>
            <w:vAlign w:val="bottom"/>
          </w:tcPr>
          <w:p>
            <w:pPr>
              <w:ind w:left="180"/>
              <w:spacing w:after="0"/>
              <w:rPr>
                <w:sz w:val="20"/>
                <w:szCs w:val="20"/>
                <w:color w:val="auto"/>
              </w:rPr>
            </w:pPr>
            <w:r>
              <w:rPr>
                <w:rFonts w:ascii="Arial" w:cs="Arial" w:eastAsia="Arial" w:hAnsi="Arial"/>
                <w:sz w:val="18"/>
                <w:szCs w:val="18"/>
                <w:color w:val="auto"/>
              </w:rPr>
              <w:t>Form and Denomination</w:t>
            </w:r>
          </w:p>
        </w:tc>
        <w:tc>
          <w:tcPr>
            <w:tcW w:w="7940" w:type="dxa"/>
            <w:vAlign w:val="bottom"/>
            <w:gridSpan w:val="4"/>
          </w:tcPr>
          <w:p>
            <w:pPr>
              <w:ind w:left="1120"/>
              <w:spacing w:after="0"/>
              <w:rPr>
                <w:sz w:val="20"/>
                <w:szCs w:val="20"/>
                <w:color w:val="auto"/>
              </w:rPr>
            </w:pPr>
            <w:r>
              <w:rPr>
                <w:rFonts w:ascii="Arial" w:cs="Arial" w:eastAsia="Arial" w:hAnsi="Arial"/>
                <w:sz w:val="18"/>
                <w:szCs w:val="18"/>
                <w:color w:val="auto"/>
              </w:rPr>
              <w:t>The Notes will be issued in the form of one or more fully registered global securities,</w:t>
            </w:r>
          </w:p>
        </w:tc>
      </w:tr>
      <w:tr>
        <w:trPr>
          <w:trHeight w:val="216"/>
        </w:trPr>
        <w:tc>
          <w:tcPr>
            <w:tcW w:w="3100" w:type="dxa"/>
            <w:vAlign w:val="bottom"/>
          </w:tcPr>
          <w:p>
            <w:pPr>
              <w:spacing w:after="0"/>
              <w:rPr>
                <w:sz w:val="18"/>
                <w:szCs w:val="18"/>
                <w:color w:val="auto"/>
              </w:rPr>
            </w:pPr>
          </w:p>
        </w:tc>
        <w:tc>
          <w:tcPr>
            <w:tcW w:w="7940" w:type="dxa"/>
            <w:vAlign w:val="bottom"/>
            <w:gridSpan w:val="4"/>
          </w:tcPr>
          <w:p>
            <w:pPr>
              <w:ind w:left="1120"/>
              <w:spacing w:after="0"/>
              <w:rPr>
                <w:sz w:val="20"/>
                <w:szCs w:val="20"/>
                <w:color w:val="auto"/>
              </w:rPr>
            </w:pPr>
            <w:r>
              <w:rPr>
                <w:rFonts w:ascii="Arial" w:cs="Arial" w:eastAsia="Arial" w:hAnsi="Arial"/>
                <w:sz w:val="18"/>
                <w:szCs w:val="18"/>
                <w:color w:val="auto"/>
                <w:w w:val="96"/>
              </w:rPr>
              <w:t>without coupons, in denominations of $2,000 in principal amount and integral multiples of</w:t>
            </w:r>
          </w:p>
        </w:tc>
      </w:tr>
      <w:tr>
        <w:trPr>
          <w:trHeight w:val="216"/>
        </w:trPr>
        <w:tc>
          <w:tcPr>
            <w:tcW w:w="3100" w:type="dxa"/>
            <w:vAlign w:val="bottom"/>
          </w:tcPr>
          <w:p>
            <w:pPr>
              <w:spacing w:after="0"/>
              <w:rPr>
                <w:sz w:val="18"/>
                <w:szCs w:val="18"/>
                <w:color w:val="auto"/>
              </w:rPr>
            </w:pPr>
          </w:p>
        </w:tc>
        <w:tc>
          <w:tcPr>
            <w:tcW w:w="7940" w:type="dxa"/>
            <w:vAlign w:val="bottom"/>
            <w:gridSpan w:val="4"/>
          </w:tcPr>
          <w:p>
            <w:pPr>
              <w:ind w:left="1120"/>
              <w:spacing w:after="0"/>
              <w:rPr>
                <w:sz w:val="20"/>
                <w:szCs w:val="20"/>
                <w:color w:val="auto"/>
              </w:rPr>
            </w:pPr>
            <w:r>
              <w:rPr>
                <w:rFonts w:ascii="Arial" w:cs="Arial" w:eastAsia="Arial" w:hAnsi="Arial"/>
                <w:sz w:val="18"/>
                <w:szCs w:val="18"/>
                <w:color w:val="auto"/>
                <w:w w:val="93"/>
              </w:rPr>
              <w:t>$1,000 in excess thereof. These global notes will be deposited with the trustee as custodian</w:t>
            </w:r>
          </w:p>
        </w:tc>
      </w:tr>
      <w:tr>
        <w:trPr>
          <w:trHeight w:val="216"/>
        </w:trPr>
        <w:tc>
          <w:tcPr>
            <w:tcW w:w="3100" w:type="dxa"/>
            <w:vAlign w:val="bottom"/>
          </w:tcPr>
          <w:p>
            <w:pPr>
              <w:spacing w:after="0"/>
              <w:rPr>
                <w:sz w:val="18"/>
                <w:szCs w:val="18"/>
                <w:color w:val="auto"/>
              </w:rPr>
            </w:pPr>
          </w:p>
        </w:tc>
        <w:tc>
          <w:tcPr>
            <w:tcW w:w="7940" w:type="dxa"/>
            <w:vAlign w:val="bottom"/>
            <w:gridSpan w:val="4"/>
          </w:tcPr>
          <w:p>
            <w:pPr>
              <w:ind w:left="1120"/>
              <w:spacing w:after="0"/>
              <w:rPr>
                <w:sz w:val="20"/>
                <w:szCs w:val="20"/>
                <w:color w:val="auto"/>
              </w:rPr>
            </w:pPr>
            <w:r>
              <w:rPr>
                <w:rFonts w:ascii="Arial" w:cs="Arial" w:eastAsia="Arial" w:hAnsi="Arial"/>
                <w:sz w:val="18"/>
                <w:szCs w:val="18"/>
                <w:color w:val="auto"/>
                <w:w w:val="96"/>
              </w:rPr>
              <w:t>for, and registered in the name of, a nominee of The Depository Trust Company, or DTC.</w:t>
            </w:r>
          </w:p>
        </w:tc>
      </w:tr>
      <w:tr>
        <w:trPr>
          <w:trHeight w:val="216"/>
        </w:trPr>
        <w:tc>
          <w:tcPr>
            <w:tcW w:w="3100" w:type="dxa"/>
            <w:vAlign w:val="bottom"/>
          </w:tcPr>
          <w:p>
            <w:pPr>
              <w:spacing w:after="0"/>
              <w:rPr>
                <w:sz w:val="18"/>
                <w:szCs w:val="18"/>
                <w:color w:val="auto"/>
              </w:rPr>
            </w:pPr>
          </w:p>
        </w:tc>
        <w:tc>
          <w:tcPr>
            <w:tcW w:w="7940" w:type="dxa"/>
            <w:vAlign w:val="bottom"/>
            <w:gridSpan w:val="4"/>
          </w:tcPr>
          <w:p>
            <w:pPr>
              <w:ind w:left="1120"/>
              <w:spacing w:after="0"/>
              <w:rPr>
                <w:sz w:val="20"/>
                <w:szCs w:val="20"/>
                <w:color w:val="auto"/>
              </w:rPr>
            </w:pPr>
            <w:r>
              <w:rPr>
                <w:rFonts w:ascii="Arial" w:cs="Arial" w:eastAsia="Arial" w:hAnsi="Arial"/>
                <w:sz w:val="18"/>
                <w:szCs w:val="18"/>
                <w:color w:val="auto"/>
                <w:w w:val="99"/>
              </w:rPr>
              <w:t>Except in the limited circumstances described under “Description of the Notes—Book-</w:t>
            </w:r>
          </w:p>
        </w:tc>
      </w:tr>
      <w:tr>
        <w:trPr>
          <w:trHeight w:val="216"/>
        </w:trPr>
        <w:tc>
          <w:tcPr>
            <w:tcW w:w="3100" w:type="dxa"/>
            <w:vAlign w:val="bottom"/>
          </w:tcPr>
          <w:p>
            <w:pPr>
              <w:spacing w:after="0"/>
              <w:rPr>
                <w:sz w:val="18"/>
                <w:szCs w:val="18"/>
                <w:color w:val="auto"/>
              </w:rPr>
            </w:pPr>
          </w:p>
        </w:tc>
        <w:tc>
          <w:tcPr>
            <w:tcW w:w="7940" w:type="dxa"/>
            <w:vAlign w:val="bottom"/>
            <w:gridSpan w:val="4"/>
          </w:tcPr>
          <w:p>
            <w:pPr>
              <w:ind w:left="1120"/>
              <w:spacing w:after="0"/>
              <w:rPr>
                <w:sz w:val="20"/>
                <w:szCs w:val="20"/>
                <w:color w:val="auto"/>
              </w:rPr>
            </w:pPr>
            <w:r>
              <w:rPr>
                <w:rFonts w:ascii="Arial" w:cs="Arial" w:eastAsia="Arial" w:hAnsi="Arial"/>
                <w:sz w:val="18"/>
                <w:szCs w:val="18"/>
                <w:color w:val="auto"/>
                <w:w w:val="99"/>
              </w:rPr>
              <w:t>Entry; Delivery and Form; Global Note,” Notes in certificated form will not be issued or</w:t>
            </w:r>
          </w:p>
        </w:tc>
      </w:tr>
      <w:tr>
        <w:trPr>
          <w:trHeight w:val="230"/>
        </w:trPr>
        <w:tc>
          <w:tcPr>
            <w:tcW w:w="3100" w:type="dxa"/>
            <w:vAlign w:val="bottom"/>
          </w:tcPr>
          <w:p>
            <w:pPr>
              <w:spacing w:after="0"/>
              <w:rPr>
                <w:sz w:val="20"/>
                <w:szCs w:val="20"/>
                <w:color w:val="auto"/>
              </w:rPr>
            </w:pPr>
          </w:p>
        </w:tc>
        <w:tc>
          <w:tcPr>
            <w:tcW w:w="5060" w:type="dxa"/>
            <w:vAlign w:val="bottom"/>
            <w:gridSpan w:val="3"/>
          </w:tcPr>
          <w:p>
            <w:pPr>
              <w:ind w:left="1120"/>
              <w:spacing w:after="0"/>
              <w:rPr>
                <w:sz w:val="20"/>
                <w:szCs w:val="20"/>
                <w:color w:val="auto"/>
              </w:rPr>
            </w:pPr>
            <w:r>
              <w:rPr>
                <w:rFonts w:ascii="Arial" w:cs="Arial" w:eastAsia="Arial" w:hAnsi="Arial"/>
                <w:sz w:val="18"/>
                <w:szCs w:val="18"/>
                <w:color w:val="auto"/>
              </w:rPr>
              <w:t>exchanged for interests in global securities.</w:t>
            </w:r>
          </w:p>
        </w:tc>
        <w:tc>
          <w:tcPr>
            <w:tcW w:w="2880" w:type="dxa"/>
            <w:vAlign w:val="bottom"/>
          </w:tcPr>
          <w:p>
            <w:pPr>
              <w:spacing w:after="0"/>
              <w:rPr>
                <w:sz w:val="20"/>
                <w:szCs w:val="20"/>
                <w:color w:val="auto"/>
              </w:rPr>
            </w:pPr>
          </w:p>
        </w:tc>
      </w:tr>
      <w:tr>
        <w:trPr>
          <w:trHeight w:val="459"/>
        </w:trPr>
        <w:tc>
          <w:tcPr>
            <w:tcW w:w="3100" w:type="dxa"/>
            <w:vAlign w:val="bottom"/>
          </w:tcPr>
          <w:p>
            <w:pPr>
              <w:ind w:left="180"/>
              <w:spacing w:after="0"/>
              <w:rPr>
                <w:sz w:val="20"/>
                <w:szCs w:val="20"/>
                <w:color w:val="auto"/>
              </w:rPr>
            </w:pPr>
            <w:r>
              <w:rPr>
                <w:rFonts w:ascii="Arial" w:cs="Arial" w:eastAsia="Arial" w:hAnsi="Arial"/>
                <w:sz w:val="18"/>
                <w:szCs w:val="18"/>
                <w:color w:val="auto"/>
              </w:rPr>
              <w:t>Governing Law</w:t>
            </w:r>
          </w:p>
        </w:tc>
        <w:tc>
          <w:tcPr>
            <w:tcW w:w="5060" w:type="dxa"/>
            <w:vAlign w:val="bottom"/>
            <w:gridSpan w:val="3"/>
          </w:tcPr>
          <w:p>
            <w:pPr>
              <w:ind w:left="1120"/>
              <w:spacing w:after="0"/>
              <w:rPr>
                <w:sz w:val="20"/>
                <w:szCs w:val="20"/>
                <w:color w:val="auto"/>
              </w:rPr>
            </w:pPr>
            <w:r>
              <w:rPr>
                <w:rFonts w:ascii="Arial" w:cs="Arial" w:eastAsia="Arial" w:hAnsi="Arial"/>
                <w:sz w:val="18"/>
                <w:szCs w:val="18"/>
                <w:color w:val="auto"/>
              </w:rPr>
              <w:t>The internal laws of the State of New York.</w:t>
            </w:r>
          </w:p>
        </w:tc>
        <w:tc>
          <w:tcPr>
            <w:tcW w:w="2880" w:type="dxa"/>
            <w:vAlign w:val="bottom"/>
          </w:tcPr>
          <w:p>
            <w:pPr>
              <w:spacing w:after="0"/>
              <w:rPr>
                <w:sz w:val="24"/>
                <w:szCs w:val="24"/>
                <w:color w:val="auto"/>
              </w:rPr>
            </w:pPr>
          </w:p>
        </w:tc>
      </w:tr>
      <w:tr>
        <w:trPr>
          <w:trHeight w:val="458"/>
        </w:trPr>
        <w:tc>
          <w:tcPr>
            <w:tcW w:w="3100" w:type="dxa"/>
            <w:vAlign w:val="bottom"/>
          </w:tcPr>
          <w:p>
            <w:pPr>
              <w:ind w:left="180"/>
              <w:spacing w:after="0"/>
              <w:rPr>
                <w:sz w:val="20"/>
                <w:szCs w:val="20"/>
                <w:color w:val="auto"/>
              </w:rPr>
            </w:pPr>
            <w:r>
              <w:rPr>
                <w:rFonts w:ascii="Arial" w:cs="Arial" w:eastAsia="Arial" w:hAnsi="Arial"/>
                <w:sz w:val="18"/>
                <w:szCs w:val="18"/>
                <w:color w:val="auto"/>
              </w:rPr>
              <w:t>Use of Proceeds</w:t>
            </w:r>
          </w:p>
        </w:tc>
        <w:tc>
          <w:tcPr>
            <w:tcW w:w="7940" w:type="dxa"/>
            <w:vAlign w:val="bottom"/>
            <w:gridSpan w:val="4"/>
          </w:tcPr>
          <w:p>
            <w:pPr>
              <w:ind w:left="1120"/>
              <w:spacing w:after="0"/>
              <w:rPr>
                <w:sz w:val="20"/>
                <w:szCs w:val="20"/>
                <w:color w:val="auto"/>
              </w:rPr>
            </w:pPr>
            <w:r>
              <w:rPr>
                <w:rFonts w:ascii="Arial" w:cs="Arial" w:eastAsia="Arial" w:hAnsi="Arial"/>
                <w:sz w:val="18"/>
                <w:szCs w:val="18"/>
                <w:color w:val="auto"/>
                <w:w w:val="92"/>
              </w:rPr>
              <w:t>We expect to use the net proceeds of this offering for general corporate purposes. See “Use</w:t>
            </w:r>
          </w:p>
        </w:tc>
      </w:tr>
      <w:tr>
        <w:trPr>
          <w:trHeight w:val="216"/>
        </w:trPr>
        <w:tc>
          <w:tcPr>
            <w:tcW w:w="3100" w:type="dxa"/>
            <w:vAlign w:val="bottom"/>
          </w:tcPr>
          <w:p>
            <w:pPr>
              <w:spacing w:after="0"/>
              <w:rPr>
                <w:sz w:val="18"/>
                <w:szCs w:val="18"/>
                <w:color w:val="auto"/>
              </w:rPr>
            </w:pPr>
          </w:p>
        </w:tc>
        <w:tc>
          <w:tcPr>
            <w:tcW w:w="7940" w:type="dxa"/>
            <w:vAlign w:val="bottom"/>
            <w:gridSpan w:val="4"/>
          </w:tcPr>
          <w:p>
            <w:pPr>
              <w:ind w:left="1120"/>
              <w:spacing w:after="0"/>
              <w:rPr>
                <w:sz w:val="20"/>
                <w:szCs w:val="20"/>
                <w:color w:val="auto"/>
              </w:rPr>
            </w:pPr>
            <w:r>
              <w:rPr>
                <w:rFonts w:ascii="Arial" w:cs="Arial" w:eastAsia="Arial" w:hAnsi="Arial"/>
                <w:sz w:val="18"/>
                <w:szCs w:val="18"/>
                <w:color w:val="auto"/>
                <w:w w:val="94"/>
              </w:rPr>
              <w:t>of Proceeds.” In connection with the issuance of the Notes, we may enter into interest rate</w:t>
            </w:r>
          </w:p>
        </w:tc>
      </w:tr>
      <w:tr>
        <w:trPr>
          <w:trHeight w:val="216"/>
        </w:trPr>
        <w:tc>
          <w:tcPr>
            <w:tcW w:w="3100" w:type="dxa"/>
            <w:vAlign w:val="bottom"/>
          </w:tcPr>
          <w:p>
            <w:pPr>
              <w:spacing w:after="0"/>
              <w:rPr>
                <w:sz w:val="18"/>
                <w:szCs w:val="18"/>
                <w:color w:val="auto"/>
              </w:rPr>
            </w:pPr>
          </w:p>
        </w:tc>
        <w:tc>
          <w:tcPr>
            <w:tcW w:w="7940" w:type="dxa"/>
            <w:vAlign w:val="bottom"/>
            <w:gridSpan w:val="4"/>
          </w:tcPr>
          <w:p>
            <w:pPr>
              <w:ind w:left="1120"/>
              <w:spacing w:after="0"/>
              <w:rPr>
                <w:sz w:val="20"/>
                <w:szCs w:val="20"/>
                <w:color w:val="auto"/>
              </w:rPr>
            </w:pPr>
            <w:r>
              <w:rPr>
                <w:rFonts w:ascii="Arial" w:cs="Arial" w:eastAsia="Arial" w:hAnsi="Arial"/>
                <w:sz w:val="18"/>
                <w:szCs w:val="18"/>
                <w:color w:val="auto"/>
              </w:rPr>
              <w:t>swap agreements with financial institutions, which may include one or more of the</w:t>
            </w:r>
          </w:p>
        </w:tc>
      </w:tr>
      <w:tr>
        <w:trPr>
          <w:trHeight w:val="227"/>
        </w:trPr>
        <w:tc>
          <w:tcPr>
            <w:tcW w:w="310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2"/>
          </w:tcPr>
          <w:p>
            <w:pPr>
              <w:ind w:left="1120"/>
              <w:spacing w:after="0"/>
              <w:rPr>
                <w:sz w:val="20"/>
                <w:szCs w:val="20"/>
                <w:color w:val="auto"/>
              </w:rPr>
            </w:pPr>
            <w:r>
              <w:rPr>
                <w:rFonts w:ascii="Arial" w:cs="Arial" w:eastAsia="Arial" w:hAnsi="Arial"/>
                <w:sz w:val="18"/>
                <w:szCs w:val="18"/>
                <w:color w:val="auto"/>
                <w:w w:val="92"/>
              </w:rPr>
              <w:t>underwriters or their affiliates.</w:t>
            </w:r>
          </w:p>
        </w:tc>
        <w:tc>
          <w:tcPr>
            <w:tcW w:w="174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spacing w:after="0"/>
              <w:rPr>
                <w:sz w:val="19"/>
                <w:szCs w:val="19"/>
                <w:color w:val="auto"/>
              </w:rPr>
            </w:pPr>
          </w:p>
        </w:tc>
      </w:tr>
      <w:tr>
        <w:trPr>
          <w:trHeight w:val="361"/>
        </w:trPr>
        <w:tc>
          <w:tcPr>
            <w:tcW w:w="3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80" w:type="dxa"/>
            <w:vAlign w:val="bottom"/>
          </w:tcPr>
          <w:p>
            <w:pPr>
              <w:ind w:left="640"/>
              <w:spacing w:after="0"/>
              <w:rPr>
                <w:sz w:val="20"/>
                <w:szCs w:val="20"/>
                <w:color w:val="auto"/>
              </w:rPr>
            </w:pPr>
            <w:r>
              <w:rPr>
                <w:rFonts w:ascii="Arial" w:cs="Arial" w:eastAsia="Arial" w:hAnsi="Arial"/>
                <w:sz w:val="18"/>
                <w:szCs w:val="18"/>
                <w:color w:val="auto"/>
              </w:rPr>
              <w:t>S-2</w:t>
            </w:r>
          </w:p>
        </w:tc>
        <w:tc>
          <w:tcPr>
            <w:tcW w:w="1740" w:type="dxa"/>
            <w:vAlign w:val="bottom"/>
          </w:tcPr>
          <w:p>
            <w:pPr>
              <w:spacing w:after="0"/>
              <w:rPr>
                <w:sz w:val="24"/>
                <w:szCs w:val="24"/>
                <w:color w:val="auto"/>
              </w:rPr>
            </w:pPr>
          </w:p>
        </w:tc>
        <w:tc>
          <w:tcPr>
            <w:tcW w:w="288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94"/>
        </w:trPr>
        <w:tc>
          <w:tcPr>
            <w:tcW w:w="298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Further Issuances</w:t>
            </w:r>
          </w:p>
        </w:tc>
        <w:tc>
          <w:tcPr>
            <w:tcW w:w="8060" w:type="dxa"/>
            <w:vAlign w:val="bottom"/>
            <w:tcBorders>
              <w:top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97"/>
              </w:rPr>
              <w:t>Texas Instruments Incorporated may create and issue further notes ranking equally and</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6"/>
              </w:rPr>
              <w:t>ratably with the Notes offered by this prospectus supplement in all respects, so that such</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7"/>
              </w:rPr>
              <w:t>further notes will be consolidated and form a single series with the Notes offered by this</w:t>
            </w:r>
          </w:p>
        </w:tc>
      </w:tr>
      <w:tr>
        <w:trPr>
          <w:trHeight w:val="230"/>
        </w:trPr>
        <w:tc>
          <w:tcPr>
            <w:tcW w:w="298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prospectus supplement.</w:t>
            </w:r>
          </w:p>
        </w:tc>
      </w:tr>
      <w:tr>
        <w:trPr>
          <w:trHeight w:val="459"/>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Sinking Fund</w:t>
            </w: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None.</w:t>
            </w:r>
          </w:p>
        </w:tc>
      </w:tr>
      <w:tr>
        <w:trPr>
          <w:trHeight w:val="458"/>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Optional Redemption</w:t>
            </w: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7"/>
              </w:rPr>
              <w:t>Texas Instruments Incorporated may redeem some or all of the Notes at any time at the</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redemption prices indicated under the heading “Description of the Notes—Optional</w:t>
            </w:r>
          </w:p>
        </w:tc>
      </w:tr>
      <w:tr>
        <w:trPr>
          <w:trHeight w:val="230"/>
        </w:trPr>
        <w:tc>
          <w:tcPr>
            <w:tcW w:w="298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Redemption.”</w:t>
            </w:r>
          </w:p>
        </w:tc>
      </w:tr>
      <w:tr>
        <w:trPr>
          <w:trHeight w:val="445"/>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Trading</w:t>
            </w: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8"/>
              </w:rPr>
              <w:t>The Notes are a new issue of securities with no established trading market. We do not</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5"/>
              </w:rPr>
              <w:t>intend to apply for listing of the Notes on any securities exchange. The underwriters have</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4"/>
              </w:rPr>
              <w:t>advised us that they intend to make a market in the Notes, but they are not obligated to do</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6"/>
              </w:rPr>
              <w:t>so and may discontinue market-making at any time without notice. See “Underwriting” in</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9"/>
              </w:rPr>
              <w:t>this prospectus supplement for more information about possible market-making by the</w:t>
            </w:r>
          </w:p>
        </w:tc>
      </w:tr>
      <w:tr>
        <w:trPr>
          <w:trHeight w:val="230"/>
        </w:trPr>
        <w:tc>
          <w:tcPr>
            <w:tcW w:w="298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underwriters.</w:t>
            </w:r>
          </w:p>
        </w:tc>
      </w:tr>
      <w:tr>
        <w:trPr>
          <w:trHeight w:val="459"/>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Trustee</w:t>
            </w: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U.S. Bank National Association.</w:t>
            </w:r>
          </w:p>
        </w:tc>
      </w:tr>
      <w:tr>
        <w:trPr>
          <w:trHeight w:val="458"/>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5"/>
              </w:rPr>
              <w:t>You should carefully consider all of the information in this prospectus supplement and the</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accompanying prospectus and the documents incorporated herein by reference. In</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4"/>
              </w:rPr>
              <w:t>particular, you should evaluate the information set forth under “Notice Regarding Forward-</w:t>
            </w:r>
          </w:p>
        </w:tc>
      </w:tr>
      <w:tr>
        <w:trPr>
          <w:trHeight w:val="227"/>
        </w:trPr>
        <w:tc>
          <w:tcPr>
            <w:tcW w:w="2980" w:type="dxa"/>
            <w:vAlign w:val="bottom"/>
            <w:tcBorders>
              <w:left w:val="single" w:sz="8" w:color="auto"/>
              <w:bottom w:val="single" w:sz="8" w:color="auto"/>
            </w:tcBorders>
          </w:tcPr>
          <w:p>
            <w:pPr>
              <w:spacing w:after="0"/>
              <w:rPr>
                <w:sz w:val="19"/>
                <w:szCs w:val="19"/>
                <w:color w:val="auto"/>
              </w:rPr>
            </w:pPr>
          </w:p>
        </w:tc>
        <w:tc>
          <w:tcPr>
            <w:tcW w:w="8060" w:type="dxa"/>
            <w:vAlign w:val="bottom"/>
            <w:tcBorders>
              <w:bottom w:val="single" w:sz="8" w:color="auto"/>
              <w:right w:val="single" w:sz="8" w:color="auto"/>
            </w:tcBorders>
          </w:tcPr>
          <w:p>
            <w:pPr>
              <w:ind w:left="1240"/>
              <w:spacing w:after="0"/>
              <w:rPr>
                <w:sz w:val="20"/>
                <w:szCs w:val="20"/>
                <w:color w:val="auto"/>
              </w:rPr>
            </w:pPr>
            <w:r>
              <w:rPr>
                <w:rFonts w:ascii="Arial" w:cs="Arial" w:eastAsia="Arial" w:hAnsi="Arial"/>
                <w:sz w:val="18"/>
                <w:szCs w:val="18"/>
                <w:color w:val="auto"/>
                <w:w w:val="97"/>
              </w:rPr>
              <w:t>Looking Statements” and “Risk Factors” before deciding whether to invest in the Notes.</w:t>
            </w:r>
          </w:p>
        </w:tc>
      </w:tr>
      <w:tr>
        <w:trPr>
          <w:trHeight w:val="361"/>
        </w:trPr>
        <w:tc>
          <w:tcPr>
            <w:tcW w:w="2980" w:type="dxa"/>
            <w:vAlign w:val="bottom"/>
          </w:tcPr>
          <w:p>
            <w:pPr>
              <w:spacing w:after="0"/>
              <w:rPr>
                <w:sz w:val="24"/>
                <w:szCs w:val="24"/>
                <w:color w:val="auto"/>
              </w:rPr>
            </w:pPr>
          </w:p>
        </w:tc>
        <w:tc>
          <w:tcPr>
            <w:tcW w:w="8060" w:type="dxa"/>
            <w:vAlign w:val="bottom"/>
          </w:tcPr>
          <w:p>
            <w:pPr>
              <w:ind w:left="240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i w:val="1"/>
          <w:iCs w:val="1"/>
          <w:color w:val="auto"/>
        </w:rPr>
        <w:t>In considering whether to purchase the Notes, you should carefully consider all the information contained or incorporated by reference into this prospectus supplement and the accompanying prospectus. In addition, you should carefully consider the risk factors described below, which are not exhaustive.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hereby incorporate by reference risk factors in Item 1A of our Annual Report on Form 10-K for the year ended December 31, 2018.</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the Offering</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An active trading market for the Notes may not develop.</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There is currently no public market for the Notes, and we do not currently plan to list the Notes on any national securities exchange. In addition, the liquidity of any trading market in the Notes, and the market price quoted for the Notes, may be adversely affected by changes in the overall market for these Notes, prevailing interest rates, ratings assigned to the Notes, time remaining to the maturity of the Notes, outstanding amount of the Notes, the market for similar securities, prospects for other companies in our industry and changes in our consolidated financial condition, results of operations or prospects. A liquid trading market in the Notes may not develop, which could decrease the amounts you would otherwise receive upon a sale or disposition of the Notes.</w:t>
      </w:r>
    </w:p>
    <w:p>
      <w:pPr>
        <w:spacing w:after="0" w:line="301" w:lineRule="exact"/>
        <w:rPr>
          <w:sz w:val="20"/>
          <w:szCs w:val="20"/>
          <w:color w:val="auto"/>
        </w:rPr>
      </w:pPr>
    </w:p>
    <w:p>
      <w:pPr>
        <w:ind w:left="420" w:right="160"/>
        <w:spacing w:after="0" w:line="264" w:lineRule="auto"/>
        <w:rPr>
          <w:sz w:val="20"/>
          <w:szCs w:val="20"/>
          <w:color w:val="auto"/>
        </w:rPr>
      </w:pPr>
      <w:r>
        <w:rPr>
          <w:rFonts w:ascii="Arial" w:cs="Arial" w:eastAsia="Arial" w:hAnsi="Arial"/>
          <w:sz w:val="18"/>
          <w:szCs w:val="18"/>
          <w:b w:val="1"/>
          <w:bCs w:val="1"/>
          <w:i w:val="1"/>
          <w:iCs w:val="1"/>
          <w:color w:val="auto"/>
        </w:rPr>
        <w:t>The Notes are the unsecured obligations of Texas Instruments Incorporated and not obligations of its subsidiaries and will be effectively subordinated to the claims of its subsidiaries’ creditors. Structural subordination increases the risk that Texas Instruments Incorporated will be unable to meet its obligations on the Notes when they mature.</w:t>
      </w:r>
    </w:p>
    <w:p>
      <w:pPr>
        <w:spacing w:after="0" w:line="73"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Notes are exclusively the obligations of Texas Instruments Incorporated and are not obligations of its subsidiaries. A substantial portion of Texas Instruments Incorporated operations are conducted through its subsidiaries. As a result, Texas Instruments Incorporated’s cash flow and ability to service its debt, including the Notes, depend upon the earnings of its subsidiaries and the distribution to it of earnings, loans or other payments by its subsidiaries.</w:t>
      </w:r>
    </w:p>
    <w:p>
      <w:pPr>
        <w:spacing w:after="0" w:line="187"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Texas Instruments Incorporated’s subsidiaries are separate and distinct legal entities. Its subsidiaries will not guarantee the Notes and are under no obligation to pay any amounts due on the Notes or to provide Texas Instruments Incorporated with funds for its payment obligations, whether by dividends, distributions, loans or other payments. Payments to Texas Instruments Incorporated by its subsidiaries will also be contingent upon such subsidiaries’ earnings and business considerations and may be subject to legal and contractual restrictions. As of June 30, 2019, we had approximately $8.9 billion of total liabilities on a consolidated basis. Of this amount, subsidiaries of Texas Instruments Incorporated had approximately $0.9 billion of liabilities (including trade payables and excluding intercompany debt) to which the Notes will be effectively subordinated.</w:t>
      </w:r>
    </w:p>
    <w:p>
      <w:pPr>
        <w:spacing w:after="0" w:line="165" w:lineRule="exact"/>
        <w:rPr>
          <w:sz w:val="20"/>
          <w:szCs w:val="20"/>
          <w:color w:val="auto"/>
        </w:rPr>
      </w:pPr>
    </w:p>
    <w:p>
      <w:pPr>
        <w:ind w:left="200" w:right="240" w:firstLine="441"/>
        <w:spacing w:after="0" w:line="293" w:lineRule="auto"/>
        <w:rPr>
          <w:sz w:val="20"/>
          <w:szCs w:val="20"/>
          <w:color w:val="auto"/>
        </w:rPr>
      </w:pPr>
      <w:r>
        <w:rPr>
          <w:rFonts w:ascii="Arial" w:cs="Arial" w:eastAsia="Arial" w:hAnsi="Arial"/>
          <w:sz w:val="16"/>
          <w:szCs w:val="16"/>
          <w:color w:val="auto"/>
        </w:rPr>
        <w:t>Texas Instruments Incorporated’s right to receive any assets of any of its subsidiaries upon their liquidation or reorganization, and therefore the right of the holders of the Notes to participate in those assets, will be effectively subordinated to the claims of that subsidiary’s creditors, including senior and subordinated debt holders and bank and trade creditors. The indenture governing the Notes does not limit the amount of additional indebtedness that Texas Instruments Incorporated’s subsidiaries may incur and permits these subsidiaries to incur secured debt without restriction. In addition, even if Texas Instruments Incorporated were a creditor of any of its subsidiaries, its rights as a creditor would be subordinate to any security interest in the assets of its subsidiaries and any indebtedness of its subsidiaries senior to that held by Texas Instruments Incorporated.</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00"/>
          </w:cols>
          <w:pgMar w:left="24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Notes will be subject to the prior claims of any future secured creditors.</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Notes are unsecured obligations, ranking effectively junior to any secured indebtedness Texas Instruments Incorporated may incur in the future. The indenture governing the Notes does not limit the amount of additional debt that Texas Instruments Incorporated may incur and permits Texas Instruments Incorporated to incur secured debt under specified circumstances. If Texas Instruments Incorporated incurs secured indebtedness, its assets securing any such indebtedness will be subject to prior claims by its secured creditors. In the event of Texas Instruments Incorporated’s bankruptcy, insolvency, liquidation, reorganization, dissolution or other winding up, or upon any acceleration of the Notes, Texas Instruments Incorporated’s assets that secure other indebtedness will be available to pay obligations on the Notes only after all other such debt secured by those assets has been repaid in full. Any remaining assets will be available to you ratably with all of Texas Instruments Incorporated’s other unsecured and unsubordinated creditors, including trade creditors. If there are not sufficient assets remaining to pay all these creditors, then all or a portion of the Notes then outstanding would remain unpaid.</w:t>
      </w:r>
    </w:p>
    <w:p>
      <w:pPr>
        <w:spacing w:after="0" w:line="290" w:lineRule="exact"/>
        <w:rPr>
          <w:sz w:val="20"/>
          <w:szCs w:val="20"/>
          <w:color w:val="auto"/>
        </w:rPr>
      </w:pPr>
    </w:p>
    <w:p>
      <w:pPr>
        <w:ind w:left="420"/>
        <w:spacing w:after="0" w:line="279" w:lineRule="auto"/>
        <w:rPr>
          <w:sz w:val="20"/>
          <w:szCs w:val="20"/>
          <w:color w:val="auto"/>
        </w:rPr>
      </w:pPr>
      <w:r>
        <w:rPr>
          <w:rFonts w:ascii="Arial" w:cs="Arial" w:eastAsia="Arial" w:hAnsi="Arial"/>
          <w:sz w:val="17"/>
          <w:szCs w:val="17"/>
          <w:b w:val="1"/>
          <w:bCs w:val="1"/>
          <w:i w:val="1"/>
          <w:iCs w:val="1"/>
          <w:color w:val="auto"/>
        </w:rPr>
        <w:t>The indenture governing the Notes contains negative covenants. The limitation on liens and sale/leaseback covenants do not apply to Texas Instruments Incorporated’s subsidiaries and contain exceptions that would allow Texas Instruments Incorporated and its subsidiaries to grant liens or security interests with respect to their assets, rendering the holders of the Notes structurally or contractually subordinated to new lenders. The indenture governing the Notes does not contain any financial covenants.</w:t>
      </w:r>
    </w:p>
    <w:p>
      <w:pPr>
        <w:spacing w:after="0" w:line="63"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indenture governing the Notes contains negative covenants. The limitation on liens and limitation on sale/leaseback covenants apply to Texas Instruments Incorporated, but not to its subsidiaries. As a result, such subsidiaries will not be restricted under the indenture from granting liens or security interests with respect to all or any of their assets without having to provide similar liens or security to the holders of the Notes, or from entering into sale/leaseback transactions. Exceptions within the limitation on liens covenant would allow Texas Instruments Incorporated to borrow substantial additional amounts, and to grant liens or security interests in connection with those borrowings. The indenture governing the Notes does not contain any financial covenants.</w:t>
      </w:r>
    </w:p>
    <w:p>
      <w:pPr>
        <w:spacing w:after="0" w:line="3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Increased leverage may harm our financial condition and results of operations.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an as adjusted basis after giving effect to this offering and the repayment at maturity of $750 million principal amount of our 1.65% Notes due</w:t>
      </w:r>
    </w:p>
    <w:p>
      <w:pPr>
        <w:spacing w:after="0" w:line="46" w:lineRule="exact"/>
        <w:rPr>
          <w:sz w:val="20"/>
          <w:szCs w:val="20"/>
          <w:color w:val="auto"/>
        </w:rPr>
      </w:pPr>
    </w:p>
    <w:p>
      <w:pPr>
        <w:ind w:left="200" w:right="300"/>
        <w:spacing w:after="0" w:line="261" w:lineRule="auto"/>
        <w:rPr>
          <w:sz w:val="20"/>
          <w:szCs w:val="20"/>
          <w:color w:val="auto"/>
        </w:rPr>
      </w:pPr>
      <w:r>
        <w:rPr>
          <w:rFonts w:ascii="Arial" w:cs="Arial" w:eastAsia="Arial" w:hAnsi="Arial"/>
          <w:sz w:val="18"/>
          <w:szCs w:val="18"/>
          <w:color w:val="auto"/>
        </w:rPr>
        <w:t>August 3, 2019, as of June 30, 2019, Texas Instruments Incorporated would have had approximately $ billion of total long-term indebtedness (including the Notes), all of which would have been unsecured and unsubordinated.</w:t>
      </w:r>
    </w:p>
    <w:p>
      <w:pPr>
        <w:spacing w:after="0" w:line="184"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Texas Instruments Incorporated and its subsidiaries may incur additional indebtedness in the future and the Notes do not restrict future incurrence of indebtedness. Any increase in its level of indebtedness will have several important effects on Texas Instruments Incorporated’s future operations, including, without limitation:</w:t>
      </w:r>
    </w:p>
    <w:p>
      <w:pPr>
        <w:spacing w:after="0" w:line="87" w:lineRule="exact"/>
        <w:rPr>
          <w:sz w:val="20"/>
          <w:szCs w:val="20"/>
          <w:color w:val="auto"/>
        </w:rPr>
      </w:pPr>
    </w:p>
    <w:p>
      <w:pPr>
        <w:ind w:left="860" w:right="840" w:hanging="224"/>
        <w:spacing w:after="0" w:line="277"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Texas Instruments Incorporated will have additional cash requirements in order to support the payment of interest on its outstanding indebtedness;</w:t>
      </w:r>
    </w:p>
    <w:p>
      <w:pPr>
        <w:spacing w:after="0" w:line="75" w:lineRule="exact"/>
        <w:rPr>
          <w:rFonts w:ascii="Arial" w:cs="Arial" w:eastAsia="Arial" w:hAnsi="Arial"/>
          <w:sz w:val="18"/>
          <w:szCs w:val="18"/>
          <w:color w:val="auto"/>
        </w:rPr>
      </w:pPr>
    </w:p>
    <w:p>
      <w:pPr>
        <w:ind w:left="860" w:right="480" w:hanging="224"/>
        <w:spacing w:after="0" w:line="277"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its outstanding indebtedness and leverage will increase its vulnerability to adverse changes in general economic and industry conditions, as well as to competitive pressure; and</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its ability to obtain additional financing for working capital, capital expenditures, general corporate and other purposes may be limited.</w:t>
      </w:r>
    </w:p>
    <w:p>
      <w:pPr>
        <w:spacing w:after="0" w:line="237" w:lineRule="exact"/>
        <w:rPr>
          <w:sz w:val="20"/>
          <w:szCs w:val="20"/>
          <w:color w:val="auto"/>
        </w:rPr>
      </w:pPr>
    </w:p>
    <w:p>
      <w:pPr>
        <w:jc w:val="both"/>
        <w:ind w:left="200" w:right="360" w:firstLine="441"/>
        <w:spacing w:after="0" w:line="264" w:lineRule="auto"/>
        <w:rPr>
          <w:sz w:val="20"/>
          <w:szCs w:val="20"/>
          <w:color w:val="auto"/>
        </w:rPr>
      </w:pPr>
      <w:r>
        <w:rPr>
          <w:rFonts w:ascii="Arial" w:cs="Arial" w:eastAsia="Arial" w:hAnsi="Arial"/>
          <w:sz w:val="18"/>
          <w:szCs w:val="18"/>
          <w:color w:val="auto"/>
        </w:rPr>
        <w:t>Texas Instruments Incorporated’s ability to make payments of principal and interest on its indebtedness depends upon its future performance, which will be subject to general economic conditions, industry cycles and financial, business and other factors affecting its consolidated operations, many of which are beyond its control.</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00"/>
          </w:cols>
          <w:pgMar w:left="24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If Texas Instruments Incorporated is unable to generate sufficient cash flow from operations in the future to service its debt, it may be required, among other things:</w:t>
      </w:r>
    </w:p>
    <w:p>
      <w:pPr>
        <w:spacing w:after="0" w:line="76" w:lineRule="exact"/>
        <w:rPr>
          <w:sz w:val="20"/>
          <w:szCs w:val="20"/>
          <w:color w:val="auto"/>
        </w:rPr>
      </w:pPr>
    </w:p>
    <w:p>
      <w:pPr>
        <w:ind w:left="860" w:hanging="224"/>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seek additional financing in the debt or equity markets;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refinance or restructure all or a portion of its indebtedness, including the Notes;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sell selected assets;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reduce or delay planned capital expenditures; or</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reduce or delay planned operating and investment expenditures.</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Such measures might not be sufficient to enable Texas Instruments Incorporated to service its debt. In addition, any such financing, refinancing or sale of assets might not be available on economically favorable terms.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terms of the Notes will not protect you in the event of highly leveraged transactions or a change of control.</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terms of the Notes will not afford you protection in the event of certain highly leveraged transactions or a change of control that may adversely affect you. As a result, Texas Instruments Incorporated could enter into any such transaction even though the transaction could increase the total amount of its outstanding indebtedness, adversely affect its capital structure or credit rating or otherwise adversely affect the holders of the Notes. If any such transaction were to occur, the value of your Notes could decline.</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Credit ratings of the Notes may change and affect the market price and marketability of the Notes.</w:t>
      </w:r>
    </w:p>
    <w:p>
      <w:pPr>
        <w:spacing w:after="0" w:line="117"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Credit ratings are limited in scope, and do not address all material risks relating to an investment in the Notes, but rather reflect only the view of each rating agency at the time the rating is issued. An explanation of the significance of such rating may be obtained from such rating agency. There is no assurance that such credit ratings will remain in effect for any given period of time or that such ratings will not be lowered, suspended or withdrawn entirely by the rating agencies, if, in each rating agency’s judgment, circumstances so warrant. It is also possible that such ratings may be lowered in connection with future events. Holders of Notes will have no recourse against Texas Instruments Incorporated or any other parties in the event of a change in or suspension or withdrawal of such ratings. Any lowering, suspension or withdrawal of such ratings may have an adverse effect on the market price or marketability of the Notes. In addition, any decline in the ratings of the Notes may make it more difficult for us to raise capital on acceptable terms.</w:t>
      </w:r>
    </w:p>
    <w:p>
      <w:pPr>
        <w:spacing w:after="0" w:line="1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60"/>
          </w:cols>
          <w:pgMar w:left="240" w:top="459" w:right="4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anticipate that we will receive net proceeds of approximately $ million from this offering after underwriting discounts and other estimated expenses. We expect to use the net proceeds of this offering for general corporate purposes. Initially we intend to invest the net proceeds of this offering in certificates of deposit, United States government securities and certain other interest-bearing securities.</w:t>
      </w:r>
    </w:p>
    <w:p>
      <w:pPr>
        <w:spacing w:after="0" w:line="11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0960"/>
          </w:cols>
          <w:pgMar w:left="240" w:top="459" w:right="6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following table sets forth a summary of our consolidated cash, cash equivalents and short-term investments and our capitalization on an actual and as adjusted basis as of June 30, 2019. Our consolidated capitalization, as adjusted, gives effect to the issuance of the Notes offered by this prospectus supplement and the repayment of $750 million aggregate principal amount of our 1.65% Notes due August 3, 2019 at maturity. This table should be read in conjunction with our consolidated financial statements and the related notes incorporated by reference into this prospectus supplement and the accompanying prospectus.</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8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(Millions of dollars, except share and per-share amounts)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5"/>
          </w:tcPr>
          <w:p>
            <w:pPr>
              <w:ind w:left="440"/>
              <w:spacing w:after="0"/>
              <w:rPr>
                <w:sz w:val="20"/>
                <w:szCs w:val="20"/>
                <w:color w:val="auto"/>
              </w:rPr>
            </w:pPr>
            <w:r>
              <w:rPr>
                <w:rFonts w:ascii="Arial" w:cs="Arial" w:eastAsia="Arial" w:hAnsi="Arial"/>
                <w:sz w:val="14"/>
                <w:szCs w:val="14"/>
                <w:b w:val="1"/>
                <w:bCs w:val="1"/>
                <w:color w:val="auto"/>
              </w:rPr>
              <w:t>As of June 30, 2019</w:t>
            </w:r>
          </w:p>
        </w:tc>
        <w:tc>
          <w:tcPr>
            <w:tcW w:w="0" w:type="dxa"/>
            <w:vAlign w:val="bottom"/>
          </w:tcPr>
          <w:p>
            <w:pPr>
              <w:spacing w:after="0"/>
              <w:rPr>
                <w:sz w:val="1"/>
                <w:szCs w:val="1"/>
                <w:color w:val="auto"/>
              </w:rPr>
            </w:pPr>
          </w:p>
        </w:tc>
      </w:tr>
      <w:tr>
        <w:trPr>
          <w:trHeight w:val="142"/>
        </w:trPr>
        <w:tc>
          <w:tcPr>
            <w:tcW w:w="86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w w:val="93"/>
              </w:rPr>
              <w:t>Actual</w:t>
            </w:r>
          </w:p>
        </w:tc>
        <w:tc>
          <w:tcPr>
            <w:tcW w:w="1180" w:type="dxa"/>
            <w:vAlign w:val="bottom"/>
            <w:tcBorders>
              <w:top w:val="single" w:sz="8" w:color="auto"/>
            </w:tcBorders>
            <w:gridSpan w:val="2"/>
          </w:tcPr>
          <w:p>
            <w:pPr>
              <w:ind w:left="280"/>
              <w:spacing w:after="0" w:line="142" w:lineRule="exact"/>
              <w:rPr>
                <w:sz w:val="20"/>
                <w:szCs w:val="20"/>
                <w:color w:val="auto"/>
              </w:rPr>
            </w:pPr>
            <w:r>
              <w:rPr>
                <w:rFonts w:ascii="Arial" w:cs="Arial" w:eastAsia="Arial" w:hAnsi="Arial"/>
                <w:sz w:val="14"/>
                <w:szCs w:val="14"/>
                <w:b w:val="1"/>
                <w:bCs w:val="1"/>
                <w:color w:val="auto"/>
                <w:w w:val="91"/>
              </w:rPr>
              <w:t>As Adjusted</w:t>
            </w:r>
            <w:r>
              <w:rPr>
                <w:rFonts w:ascii="Arial" w:cs="Arial" w:eastAsia="Arial" w:hAnsi="Arial"/>
                <w:sz w:val="12"/>
                <w:szCs w:val="12"/>
                <w:b w:val="1"/>
                <w:bCs w:val="1"/>
                <w:color w:val="auto"/>
                <w:w w:val="91"/>
              </w:rPr>
              <w:t>(1)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cash equivalents and short-term investments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4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gridSpan w:val="3"/>
            <w:vMerge w:val="restart"/>
          </w:tcPr>
          <w:p>
            <w:pPr>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Notes offered hereby</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gridSpan w:val="2"/>
          </w:tcPr>
          <w:p>
            <w:pPr>
              <w:ind w:left="340"/>
              <w:spacing w:after="0"/>
              <w:rPr>
                <w:sz w:val="20"/>
                <w:szCs w:val="20"/>
                <w:color w:val="auto"/>
              </w:rPr>
            </w:pPr>
            <w:r>
              <w:rPr>
                <w:rFonts w:ascii="Arial" w:cs="Arial" w:eastAsia="Arial" w:hAnsi="Arial"/>
                <w:sz w:val="18"/>
                <w:szCs w:val="18"/>
                <w:color w:val="auto"/>
              </w:rPr>
              <w:t>Other long-term debt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4,558</w:t>
            </w:r>
            <w:r>
              <w:rPr>
                <w:rFonts w:ascii="Arial" w:cs="Arial" w:eastAsia="Arial" w:hAnsi="Arial"/>
                <w:sz w:val="15"/>
                <w:szCs w:val="15"/>
                <w:color w:val="auto"/>
              </w:rPr>
              <w:t>(2)</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long-term debt</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4,558</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Preferred stock, $25 par value. Authorized—10,000,000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ind w:left="700"/>
              <w:spacing w:after="0"/>
              <w:rPr>
                <w:sz w:val="20"/>
                <w:szCs w:val="20"/>
                <w:color w:val="auto"/>
              </w:rPr>
            </w:pPr>
            <w:r>
              <w:rPr>
                <w:rFonts w:ascii="Arial" w:cs="Arial" w:eastAsia="Arial" w:hAnsi="Arial"/>
                <w:sz w:val="18"/>
                <w:szCs w:val="18"/>
                <w:color w:val="auto"/>
              </w:rPr>
              <w:t>Participating cumulative preferred. None issued.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Common stock, $1 par value. Authorized—2,400,000,000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ind w:left="700"/>
              <w:spacing w:after="0"/>
              <w:rPr>
                <w:sz w:val="20"/>
                <w:szCs w:val="20"/>
                <w:color w:val="auto"/>
              </w:rPr>
            </w:pPr>
            <w:r>
              <w:rPr>
                <w:rFonts w:ascii="Arial" w:cs="Arial" w:eastAsia="Arial" w:hAnsi="Arial"/>
                <w:sz w:val="18"/>
                <w:szCs w:val="18"/>
                <w:color w:val="auto"/>
              </w:rPr>
              <w:t>Shares issued—1,740,815,939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1,741</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ind w:left="34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38,974</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Treasury common stock at cost (806,251,136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(33,775)</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gridSpan w:val="2"/>
          </w:tcPr>
          <w:p>
            <w:pPr>
              <w:ind w:left="340"/>
              <w:spacing w:after="0"/>
              <w:rPr>
                <w:sz w:val="20"/>
                <w:szCs w:val="20"/>
                <w:color w:val="auto"/>
              </w:rPr>
            </w:pPr>
            <w:r>
              <w:rPr>
                <w:rFonts w:ascii="Arial" w:cs="Arial" w:eastAsia="Arial" w:hAnsi="Arial"/>
                <w:sz w:val="18"/>
                <w:szCs w:val="18"/>
                <w:color w:val="auto"/>
              </w:rPr>
              <w:t>Accumulated other comprehensive income (loss), net of taxes (AOCI)</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(457)</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8,486</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gridSpan w:val="2"/>
          </w:tcPr>
          <w:p>
            <w:pPr>
              <w:ind w:left="1060"/>
              <w:spacing w:after="0"/>
              <w:rPr>
                <w:sz w:val="20"/>
                <w:szCs w:val="20"/>
                <w:color w:val="auto"/>
              </w:rPr>
            </w:pPr>
            <w:r>
              <w:rPr>
                <w:rFonts w:ascii="Arial" w:cs="Arial" w:eastAsia="Arial" w:hAnsi="Arial"/>
                <w:sz w:val="18"/>
                <w:szCs w:val="18"/>
                <w:color w:val="auto"/>
              </w:rPr>
              <w:t>Total capitalization</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13,044</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7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hanging="436"/>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Notes offered hereby are shown at the amount of the public offering price, less offering expenses (including underwriting discounts).</w:t>
      </w:r>
    </w:p>
    <w:p>
      <w:pPr>
        <w:spacing w:after="0" w:line="34" w:lineRule="exact"/>
        <w:rPr>
          <w:rFonts w:ascii="Arial" w:cs="Arial" w:eastAsia="Arial" w:hAnsi="Arial"/>
          <w:sz w:val="17"/>
          <w:szCs w:val="17"/>
          <w:color w:val="auto"/>
        </w:rPr>
      </w:pPr>
    </w:p>
    <w:p>
      <w:pPr>
        <w:ind w:left="640" w:right="300" w:hanging="436"/>
        <w:spacing w:after="0" w:line="261"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Consists of $5.9 billion of our existing outstanding notes less net unamortized discounts, premiums and debt issuance costs of $43 million, less $1.2 billion representing the current portion of long-term debt.</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40"/>
          </w:cols>
          <w:pgMar w:left="240" w:top="459" w:right="4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THE NOTES</w:t>
      </w:r>
    </w:p>
    <w:p>
      <w:pPr>
        <w:spacing w:after="0" w:line="229"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i w:val="1"/>
          <w:iCs w:val="1"/>
          <w:color w:val="auto"/>
        </w:rPr>
        <w:t>The summary herein of certain provisions of the indenture does not purport to be complete and is subject to, and is qualified in its entirety by reference to, all the provisions of the indenture, which has been filed as an exhibit to the current report on Form 8-K filed by TI on May 23, 2011. The following description of the particular terms of the Notes supplements the description of the general terms and provisions of the debt securities set forth under “Description of Debt Securities” beginning on page 7 of the accompanying prospectus.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100" w:firstLine="441"/>
        <w:spacing w:after="0" w:line="254" w:lineRule="auto"/>
        <w:rPr>
          <w:sz w:val="20"/>
          <w:szCs w:val="20"/>
          <w:color w:val="auto"/>
        </w:rPr>
      </w:pPr>
      <w:r>
        <w:rPr>
          <w:rFonts w:ascii="Arial" w:cs="Arial" w:eastAsia="Arial" w:hAnsi="Arial"/>
          <w:sz w:val="18"/>
          <w:szCs w:val="18"/>
          <w:color w:val="auto"/>
        </w:rPr>
        <w:t>The Notes will mature on , 20 . The Notes will be issued in book-entry form only, in denominations of $2,000 and multiples of $1,000 in excess thereof. Interest on the Notes will accrue from , 2019 at the rate per annum shown on the cover of this prospectus supplement. Interest on the Notes will be payable semi-annually on and , commencing on , 2020 to the persons in whose names the Notes are registered at the close of business on the preceding or , as the case may be. Interest on the Notes</w:t>
      </w:r>
    </w:p>
    <w:p>
      <w:pPr>
        <w:spacing w:after="0" w:line="2" w:lineRule="exact"/>
        <w:rPr>
          <w:sz w:val="20"/>
          <w:szCs w:val="20"/>
          <w:color w:val="auto"/>
        </w:rPr>
      </w:pPr>
    </w:p>
    <w:p>
      <w:pPr>
        <w:ind w:left="200" w:right="380"/>
        <w:spacing w:after="0" w:line="261" w:lineRule="auto"/>
        <w:rPr>
          <w:sz w:val="20"/>
          <w:szCs w:val="20"/>
          <w:color w:val="auto"/>
        </w:rPr>
      </w:pPr>
      <w:r>
        <w:rPr>
          <w:rFonts w:ascii="Arial" w:cs="Arial" w:eastAsia="Arial" w:hAnsi="Arial"/>
          <w:sz w:val="18"/>
          <w:szCs w:val="18"/>
          <w:color w:val="auto"/>
        </w:rPr>
        <w:t>will be paid to but excluding the relevant interest payment date. Interest on the Notes will be calculated on the basis of a 360-day year comprised of twelve 30-day months.</w:t>
      </w:r>
    </w:p>
    <w:p>
      <w:pPr>
        <w:spacing w:after="0" w:line="184"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Notes will be issued under the indenture dated May 23, 2011 by and between Texas Instruments Incorporated and U.S. Bank National Association, as may be further supplemented from time to time. U.S. Bank National Association is the trustee for any and all securities issued under the indenture, as amended, including the Notes, and is referred to herein as the “trustee.” Texas Instruments Incorporated will be the sole obligor on the Notes.</w:t>
      </w:r>
    </w:p>
    <w:p>
      <w:pPr>
        <w:spacing w:after="0" w:line="18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The indenture does not limit the ability of Texas Instruments Incorporated or its subsidiaries to incur additional unsecured indebtedness. The Notes will be the unsecured and unsubordinated obligations of Texas Instruments Incorporated and will rank pari passu with its other unsecured and unsubordinated indebtedness from time to time outstanding. The Notes will be effectively subordinated to all indebtedness and liabilities (including trade payables and preferred stock obligations) of Texas Instruments Incorporated’s subsidiaries and will be effectively subordinated to its secured indebtedness, if any, and that of its subsidiaries, if any. As of June 30, 2019, Texas Instruments Incorporated had approximately $5.8 billion of outstanding indebtedness. As of June 30, 2019, we had approximately $8.9 billion of total liabilities on a consolidated basis. Of this amount, subsidiaries of Texas Instruments Incorporated had approximately $0.9 billion of liabilities (including trade payables and excluding intercompany debt) to which the Notes will be effectively subordinated.</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an as adjusted basis after giving effect to this offering and the repayment at maturity of our 1.65% Notes due August 3, 2019, as of June 30,</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2019:</w:t>
      </w:r>
    </w:p>
    <w:p>
      <w:pPr>
        <w:sectPr>
          <w:pgSz w:w="11900" w:h="16838" w:orient="portrait"/>
          <w:cols w:equalWidth="0" w:num="1">
            <w:col w:w="11220"/>
          </w:cols>
          <w:pgMar w:left="240" w:top="459" w:right="439" w:bottom="1440" w:gutter="0" w:footer="0" w:header="0"/>
        </w:sectPr>
      </w:pPr>
    </w:p>
    <w:p>
      <w:pPr>
        <w:spacing w:after="0" w:line="116" w:lineRule="exact"/>
        <w:rPr>
          <w:sz w:val="20"/>
          <w:szCs w:val="20"/>
          <w:color w:val="auto"/>
        </w:rPr>
      </w:pPr>
    </w:p>
    <w:p>
      <w:pPr>
        <w:jc w:val="both"/>
        <w:ind w:left="860" w:hanging="219"/>
        <w:spacing w:after="0" w:line="342" w:lineRule="auto"/>
        <w:tabs>
          <w:tab w:leader="none" w:pos="840" w:val="left"/>
        </w:tabs>
        <w:rPr>
          <w:sz w:val="20"/>
          <w:szCs w:val="20"/>
          <w:color w:val="auto"/>
        </w:rPr>
      </w:pPr>
      <w:r>
        <w:rPr>
          <w:rFonts w:ascii="Arial" w:cs="Arial" w:eastAsia="Arial" w:hAnsi="Arial"/>
          <w:sz w:val="16"/>
          <w:szCs w:val="16"/>
          <w:color w:val="auto"/>
        </w:rPr>
        <w:t>•</w:t>
        <w:tab/>
        <w:t>Texas Instruments Incorporated would have had approximately $ which would constitute senior and unsubordinated indebtedness;</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billion of total long-term indebtedness (including the Notes), all of</w:t>
      </w:r>
    </w:p>
    <w:p>
      <w:pPr>
        <w:spacing w:after="0" w:line="369" w:lineRule="exact"/>
        <w:rPr>
          <w:sz w:val="20"/>
          <w:szCs w:val="20"/>
          <w:color w:val="auto"/>
        </w:rPr>
      </w:pPr>
    </w:p>
    <w:p>
      <w:pPr>
        <w:sectPr>
          <w:pgSz w:w="11900" w:h="16838" w:orient="portrait"/>
          <w:cols w:equalWidth="0" w:num="2">
            <w:col w:w="5540" w:space="580"/>
            <w:col w:w="5100"/>
          </w:cols>
          <w:pgMar w:left="240" w:top="459" w:right="439" w:bottom="1440" w:gutter="0" w:footer="0" w:header="0"/>
          <w:type w:val="continuous"/>
        </w:sectPr>
      </w:pPr>
    </w:p>
    <w:p>
      <w:pPr>
        <w:jc w:val="center"/>
        <w:ind w:left="640"/>
        <w:spacing w:after="0"/>
        <w:tabs>
          <w:tab w:leader="none" w:pos="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we would have had approximately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billion of total liabilities on a consolidated basis;</w:t>
      </w:r>
    </w:p>
    <w:p>
      <w:pPr>
        <w:spacing w:after="0" w:line="153" w:lineRule="exact"/>
        <w:rPr>
          <w:sz w:val="20"/>
          <w:szCs w:val="20"/>
          <w:color w:val="auto"/>
        </w:rPr>
      </w:pPr>
    </w:p>
    <w:p>
      <w:pPr>
        <w:sectPr>
          <w:pgSz w:w="11900" w:h="16838" w:orient="portrait"/>
          <w:cols w:equalWidth="0" w:num="2">
            <w:col w:w="3460" w:space="600"/>
            <w:col w:w="7160"/>
          </w:cols>
          <w:pgMar w:left="240" w:top="459" w:right="439" w:bottom="1440" w:gutter="0" w:footer="0" w:header="0"/>
          <w:type w:val="continuous"/>
        </w:sectPr>
      </w:pPr>
    </w:p>
    <w:p>
      <w:pPr>
        <w:ind w:left="860" w:right="260" w:hanging="224"/>
        <w:spacing w:after="0" w:line="277"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Texas Instruments Incorporated would not have had any secured indebtedness to which the Notes would have been effectively subordinated; and</w:t>
      </w:r>
    </w:p>
    <w:p>
      <w:pPr>
        <w:spacing w:after="0" w:line="76" w:lineRule="exact"/>
        <w:rPr>
          <w:sz w:val="20"/>
          <w:szCs w:val="20"/>
          <w:color w:val="auto"/>
        </w:rPr>
      </w:pPr>
    </w:p>
    <w:p>
      <w:pPr>
        <w:ind w:left="860" w:right="560" w:hanging="219"/>
        <w:spacing w:after="0" w:line="277" w:lineRule="auto"/>
        <w:tabs>
          <w:tab w:leader="none" w:pos="840" w:val="left"/>
        </w:tabs>
        <w:rPr>
          <w:sz w:val="20"/>
          <w:szCs w:val="20"/>
          <w:color w:val="auto"/>
        </w:rPr>
      </w:pPr>
      <w:r>
        <w:rPr>
          <w:rFonts w:ascii="Arial" w:cs="Arial" w:eastAsia="Arial" w:hAnsi="Arial"/>
          <w:sz w:val="18"/>
          <w:szCs w:val="18"/>
          <w:color w:val="auto"/>
        </w:rPr>
        <w:t>•</w:t>
        <w:tab/>
        <w:t>Texas Instruments Incorporated’s subsidiaries would have had approximately $ billion of liabilities (including trade payables but excluding intercompany debt) to which the Notes would have been structurally subordinated.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Issuance of Additional Notes</w:t>
      </w:r>
    </w:p>
    <w:p>
      <w:pPr>
        <w:spacing w:after="0" w:line="12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Texas Instruments Incorporated may, without the consent of the holders, increase the principal amount of Notes by issuing additional Notes in the future on the same terms and conditions, except for any differences in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20"/>
          </w:cols>
          <w:pgMar w:left="240" w:top="459" w:right="4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 xml:space="preserve">the issue price and interest accrued prior to the issue date of the additional Notes. The additional Notes will have the same CUSIP number as the Notes;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any additional Notes that are not fungible with the Notes for U.S. federal income tax purposes will be issued under a separate CUSIP</w:t>
      </w:r>
      <w:r>
        <w:rPr>
          <w:rFonts w:ascii="Arial" w:cs="Arial" w:eastAsia="Arial" w:hAnsi="Arial"/>
          <w:sz w:val="18"/>
          <w:szCs w:val="18"/>
          <w:i w:val="1"/>
          <w:iCs w:val="1"/>
          <w:color w:val="auto"/>
        </w:rPr>
        <w:t xml:space="preserve"> </w:t>
      </w:r>
      <w:r>
        <w:rPr>
          <w:rFonts w:ascii="Arial" w:cs="Arial" w:eastAsia="Arial" w:hAnsi="Arial"/>
          <w:sz w:val="18"/>
          <w:szCs w:val="18"/>
          <w:color w:val="auto"/>
        </w:rPr>
        <w:t>number. Texas Instruments Incorporated also may, without the consent of the holders, issue other series of debt securities under the indenture in the future on terms and conditions different from the series of Notes offered hereby.</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640"/>
        <w:spacing w:after="0"/>
        <w:tabs>
          <w:tab w:leader="none" w:pos="2160" w:val="left"/>
          <w:tab w:leader="none" w:pos="2660" w:val="left"/>
          <w:tab w:leader="none" w:pos="4740" w:val="left"/>
        </w:tabs>
        <w:rPr>
          <w:sz w:val="20"/>
          <w:szCs w:val="20"/>
          <w:color w:val="auto"/>
        </w:rPr>
      </w:pPr>
      <w:r>
        <w:rPr>
          <w:rFonts w:ascii="Arial" w:cs="Arial" w:eastAsia="Arial" w:hAnsi="Arial"/>
          <w:sz w:val="18"/>
          <w:szCs w:val="18"/>
          <w:color w:val="auto"/>
        </w:rPr>
        <w:t>Prior to</w:t>
      </w:r>
      <w:r>
        <w:rPr>
          <w:sz w:val="20"/>
          <w:szCs w:val="20"/>
          <w:color w:val="auto"/>
        </w:rPr>
        <w:tab/>
      </w:r>
      <w:r>
        <w:rPr>
          <w:rFonts w:ascii="Arial" w:cs="Arial" w:eastAsia="Arial" w:hAnsi="Arial"/>
          <w:sz w:val="18"/>
          <w:szCs w:val="18"/>
          <w:color w:val="auto"/>
        </w:rPr>
        <w:t>, 20</w:t>
        <w:tab/>
        <w:t>(the date that is</w:t>
      </w:r>
      <w:r>
        <w:rPr>
          <w:sz w:val="20"/>
          <w:szCs w:val="20"/>
          <w:color w:val="auto"/>
        </w:rPr>
        <w:tab/>
      </w:r>
      <w:r>
        <w:rPr>
          <w:rFonts w:ascii="Arial" w:cs="Arial" w:eastAsia="Arial" w:hAnsi="Arial"/>
          <w:sz w:val="16"/>
          <w:szCs w:val="16"/>
          <w:color w:val="auto"/>
        </w:rPr>
        <w:t>months prior to the maturity date of the Notes), the Notes will be redeemable, in whole</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or in part at any time, or from time to time, at Texas Instruments Incorporated’s option, at a “make-whole premium” redemption price calculated by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Texas Instruments Incorporated equal to the greater of:</w:t>
      </w:r>
    </w:p>
    <w:p>
      <w:pPr>
        <w:spacing w:after="0" w:line="103" w:lineRule="exact"/>
        <w:rPr>
          <w:sz w:val="20"/>
          <w:szCs w:val="20"/>
          <w:color w:val="auto"/>
        </w:rPr>
      </w:pPr>
    </w:p>
    <w:p>
      <w:pPr>
        <w:ind w:left="1280" w:hanging="212"/>
        <w:spacing w:after="0"/>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23" w:lineRule="exact"/>
        <w:rPr>
          <w:rFonts w:ascii="Arial" w:cs="Arial" w:eastAsia="Arial" w:hAnsi="Arial"/>
          <w:sz w:val="18"/>
          <w:szCs w:val="18"/>
          <w:color w:val="auto"/>
        </w:rPr>
      </w:pPr>
    </w:p>
    <w:p>
      <w:pPr>
        <w:ind w:left="1340" w:hanging="272"/>
        <w:spacing w:after="0" w:line="190" w:lineRule="auto"/>
        <w:tabs>
          <w:tab w:leader="none" w:pos="134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sum of the present values of the principal amount of such Notes and the scheduled payments of interest thereon (not including any</w:t>
      </w:r>
    </w:p>
    <w:p>
      <w:pPr>
        <w:spacing w:after="0" w:line="201" w:lineRule="exact"/>
        <w:rPr>
          <w:sz w:val="20"/>
          <w:szCs w:val="20"/>
          <w:color w:val="auto"/>
        </w:rPr>
      </w:pPr>
    </w:p>
    <w:p>
      <w:pPr>
        <w:ind w:left="640" w:right="20"/>
        <w:spacing w:after="0" w:line="264" w:lineRule="auto"/>
        <w:rPr>
          <w:sz w:val="20"/>
          <w:szCs w:val="20"/>
          <w:color w:val="auto"/>
        </w:rPr>
      </w:pPr>
      <w:r>
        <w:rPr>
          <w:rFonts w:ascii="Arial" w:cs="Arial" w:eastAsia="Arial" w:hAnsi="Arial"/>
          <w:sz w:val="18"/>
          <w:szCs w:val="18"/>
          <w:color w:val="auto"/>
        </w:rPr>
        <w:t>portion of such payments of interest accrued as of the date of redemption) from the date of redemption to , 20 (the date that is months prior to the maturity date of the Notes), in each case discounted to the date of redemption on a semi-annual basis (assuming a 360-day year consisting of twelve 30-day months) at the Treasury Rate (as defined below), plus basis points;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plus, in each case, accrued interest thereon to the date of redemption.</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At any time on or after , 20 (the date that is months prior to the maturity date of the Notes), the Notes will be redeemable, in whole or in part at any time and from time to time, at Texas Instruments Incorporated’s option at a redemption price equal to 100% of the principal amount of the Notes to be redeemed plus accrued interest thereon to the date of redemption.</w:t>
      </w:r>
    </w:p>
    <w:p>
      <w:pPr>
        <w:spacing w:after="0" w:line="18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as set forth in the Notes and the indenture.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purposes of the foregoing discussion of an Optional Redemption, the following definitions are applicable:</w:t>
      </w:r>
    </w:p>
    <w:p>
      <w:pPr>
        <w:spacing w:after="0" w:line="225"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“Comparable Treasury Issue”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166"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“Comparable Treasury Price” means, with respect to any redemption date, (i) the average of three Reference Treasury Dealer Quotations for such redemption date, after excluding the highest and lowest such Reference Treasury Dealer Quotations, or (ii) if the Quotation Agent obtains fewer than three such Reference Treasury Dealer Quotations, the average of all such quotations, or (iii) if only one Reference Treasury Dealer Quotation is received, such quotation.</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“Quotation Agent” means the Reference Treasury Dealer appointed by Texas Instruments Incorporated.</w:t>
      </w:r>
    </w:p>
    <w:p>
      <w:pPr>
        <w:spacing w:after="0" w:line="225"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“Reference Treasury Dealer” means (i) Barclays Capital Inc., BofA Securities, Inc. or J.P. Morgan Securities LLC (or their respective affiliates that are Primary Treasury Dealers) and their respective successors;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200"/>
          </w:cols>
          <w:pgMar w:left="24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provided, however, that if any of the foregoing shall cease to be a primary U.S. Government securities dealer in New York City (a “Primary Treasury Dealer”), Texas Instruments Incorporated will substitute therefor another Primary Treasury Dealer, and (ii) any other Primary Treasury Dealer selected by Texas Instruments Incorporated.</w:t>
      </w:r>
    </w:p>
    <w:p>
      <w:pPr>
        <w:spacing w:after="0" w:line="18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187" w:lineRule="exact"/>
        <w:rPr>
          <w:sz w:val="20"/>
          <w:szCs w:val="20"/>
          <w:color w:val="auto"/>
        </w:rPr>
      </w:pPr>
    </w:p>
    <w:p>
      <w:pPr>
        <w:ind w:left="200" w:right="500" w:firstLine="441"/>
        <w:spacing w:after="0" w:line="264"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8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Notice of any redemption will be mailed at least 15 days but not more than 60 days before the redemption date to each holder of the Notes to be redeemed. Unless Texas Instruments Incorporated defaults in payment of the redemption price, on and after the redemption date, interest will cease to accrue on the Notes or portions thereof called for redemption. If less than all of the Notes are to be redeemed, the Notes to be redeemed shall be selected by lot by The Depository Trust Company, in the case of Notes represented by a global note, or by the trustee by a method the trustee deems to be fair and appropriate, in the case of Notes that are not represented by a global note. No Notes of a principal amount of $2,000 or less will be redeemed in part. In addition, at any time we may repurchase Notes in the open market and may hold or surrender such Notes to the trustee for cancellation.</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Sinking Fund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Notes will not be entitled to any sinking fund.</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 event of default for the Notes is defined under the indenture as being:</w:t>
      </w:r>
    </w:p>
    <w:p>
      <w:pPr>
        <w:spacing w:after="0" w:line="131" w:lineRule="exact"/>
        <w:rPr>
          <w:sz w:val="20"/>
          <w:szCs w:val="20"/>
          <w:color w:val="auto"/>
        </w:rPr>
      </w:pPr>
    </w:p>
    <w:p>
      <w:pPr>
        <w:ind w:left="860" w:right="20" w:hanging="224"/>
        <w:spacing w:after="0" w:line="342" w:lineRule="auto"/>
        <w:tabs>
          <w:tab w:leader="none" w:pos="8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Texas Instruments Incorporated’s default in the payment of principal on the Notes when due and payable whether at maturity, upon redemption, by declaration or otherwise, but, in the case of technical or administrative difficulties, only if that default continues for a period of two days;</w:t>
      </w:r>
    </w:p>
    <w:p>
      <w:pPr>
        <w:spacing w:after="0" w:line="29" w:lineRule="exact"/>
        <w:rPr>
          <w:rFonts w:ascii="Arial" w:cs="Arial" w:eastAsia="Arial" w:hAnsi="Arial"/>
          <w:sz w:val="16"/>
          <w:szCs w:val="16"/>
          <w:color w:val="auto"/>
        </w:rPr>
      </w:pPr>
    </w:p>
    <w:p>
      <w:pPr>
        <w:ind w:left="860" w:right="60" w:hanging="224"/>
        <w:spacing w:after="0" w:line="277"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Texas Instruments Incorporated’s default in the payment of interest on the Notes when due and payable, if that default continues for a period of 30 days;</w:t>
      </w:r>
    </w:p>
    <w:p>
      <w:pPr>
        <w:spacing w:after="0" w:line="75" w:lineRule="exact"/>
        <w:rPr>
          <w:rFonts w:ascii="Arial" w:cs="Arial" w:eastAsia="Arial" w:hAnsi="Arial"/>
          <w:sz w:val="18"/>
          <w:szCs w:val="18"/>
          <w:color w:val="auto"/>
        </w:rPr>
      </w:pPr>
    </w:p>
    <w:p>
      <w:pPr>
        <w:ind w:left="860" w:hanging="224"/>
        <w:spacing w:after="0" w:line="302" w:lineRule="auto"/>
        <w:tabs>
          <w:tab w:leader="none" w:pos="8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Texas Instruments Incorporated’s default in the performance of or breach of any of its other covenants or agreements in the indenture applicable to the Notes, other than a covenant the default in performance or breach of which is specifically dealt with elsewhere in the indenture, and that default or breach continues for a period of 90 days after Texas Instruments Incorporated receives written notice from the trustee or from the holders of 25% or more in aggregate principal amount of the Notes and any other series of debt securities affected thereby then outstanding;</w:t>
      </w:r>
    </w:p>
    <w:p>
      <w:pPr>
        <w:spacing w:after="0" w:line="59" w:lineRule="exact"/>
        <w:rPr>
          <w:rFonts w:ascii="Arial" w:cs="Arial" w:eastAsia="Arial" w:hAnsi="Arial"/>
          <w:sz w:val="16"/>
          <w:szCs w:val="16"/>
          <w:color w:val="auto"/>
        </w:rPr>
      </w:pPr>
    </w:p>
    <w:p>
      <w:pPr>
        <w:ind w:left="860" w:hanging="224"/>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30" w:lineRule="exact"/>
        <w:rPr>
          <w:rFonts w:ascii="Arial" w:cs="Arial" w:eastAsia="Arial" w:hAnsi="Arial"/>
          <w:sz w:val="18"/>
          <w:szCs w:val="18"/>
          <w:color w:val="auto"/>
        </w:rPr>
      </w:pPr>
    </w:p>
    <w:p>
      <w:pPr>
        <w:ind w:left="1620" w:right="440" w:hanging="430"/>
        <w:spacing w:after="0" w:line="277"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relief in respect of Texas Instruments Incorporated in an involuntary case under any applicable bankruptcy, insolvency, or other similar law now or hereafter in effect,</w:t>
      </w:r>
    </w:p>
    <w:p>
      <w:pPr>
        <w:spacing w:after="0" w:line="75" w:lineRule="exact"/>
        <w:rPr>
          <w:rFonts w:ascii="Arial" w:cs="Arial" w:eastAsia="Arial" w:hAnsi="Arial"/>
          <w:sz w:val="18"/>
          <w:szCs w:val="18"/>
          <w:color w:val="auto"/>
        </w:rPr>
      </w:pPr>
    </w:p>
    <w:p>
      <w:pPr>
        <w:ind w:left="1620" w:right="120" w:hanging="430"/>
        <w:spacing w:after="0" w:line="277"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Texas Instruments Incorporated or for all or substantially all of its property, or</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winding up or liquidation of Texas Instruments Incorporated’s affairs,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and such decree or order shall remain unstayed and in effect for a period of 60 consecutive days; or</w:t>
      </w:r>
    </w:p>
    <w:p>
      <w:pPr>
        <w:spacing w:after="0" w:line="131" w:lineRule="exact"/>
        <w:rPr>
          <w:sz w:val="20"/>
          <w:szCs w:val="20"/>
          <w:color w:val="auto"/>
        </w:rPr>
      </w:pPr>
    </w:p>
    <w:p>
      <w:pPr>
        <w:ind w:left="860" w:hanging="224"/>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Texas Instruments Incorporated:</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commences a voluntary case under any applicable bankruptcy, insolvency, or other similar law now or hereafter in effect,</w:t>
      </w:r>
    </w:p>
    <w:p>
      <w:pPr>
        <w:spacing w:after="0" w:line="142" w:lineRule="exact"/>
        <w:rPr>
          <w:rFonts w:ascii="Arial" w:cs="Arial" w:eastAsia="Arial" w:hAnsi="Arial"/>
          <w:sz w:val="17"/>
          <w:szCs w:val="17"/>
          <w:color w:val="auto"/>
        </w:rPr>
      </w:pPr>
    </w:p>
    <w:p>
      <w:pPr>
        <w:ind w:left="1620" w:hanging="430"/>
        <w:spacing w:after="0"/>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consents to the entry of an order for relief in an involuntary case under any such law,</w:t>
      </w:r>
    </w:p>
    <w:p>
      <w:pPr>
        <w:spacing w:after="0" w:line="130" w:lineRule="exact"/>
        <w:rPr>
          <w:rFonts w:ascii="Arial" w:cs="Arial" w:eastAsia="Arial" w:hAnsi="Arial"/>
          <w:sz w:val="18"/>
          <w:szCs w:val="18"/>
          <w:color w:val="auto"/>
        </w:rPr>
      </w:pPr>
    </w:p>
    <w:p>
      <w:pPr>
        <w:ind w:left="1620" w:right="340" w:hanging="430"/>
        <w:spacing w:after="0" w:line="277" w:lineRule="auto"/>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consents to the appointment of or taking possession by a receiver, liquidator, assignee, custodian, trustee, sequestrator, or similar official of Texas Instruments Incorporated or for any substantial part of its property, or</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effects any general assignment for the benefit of creditors.</w:t>
      </w:r>
    </w:p>
    <w:p>
      <w:pPr>
        <w:spacing w:after="0" w:line="225"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default by Texas Instruments Incorporated under any other debt, including any other series of debt securities under the indenture, is not a default with respect to the Notes.</w:t>
      </w:r>
    </w:p>
    <w:p>
      <w:pPr>
        <w:spacing w:after="0" w:line="170"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If an event of default other than an event of default specified in the last two bullet points above occurs with respect to the Notes and is continuing under the indenture, then, and in each and every such case, either the trustee or the holders of not less than 25% in aggregate principal amount of the Notes then outstanding under the indenture by written notice to Texas Instruments Incorporated and to the trustee, if such notice is given by the holders, may, and the trustee at the request of such holders shall, declare the principal amount of and accrued interest, if any, on the Notes to be immediately due and payable.</w:t>
      </w:r>
    </w:p>
    <w:p>
      <w:pPr>
        <w:spacing w:after="0" w:line="18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If an event of default specified in the last two bullet points above occurs with respect to Texas Instruments Incorporated and is continuing, then the entire principal amount of the outstanding debt securities, including the Notes, will automatically become due immediately and payable without any declaration or other act on the part of the trustee or any holder.</w:t>
      </w:r>
    </w:p>
    <w:p>
      <w:pPr>
        <w:spacing w:after="0" w:line="181"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w:t>
      </w:r>
    </w:p>
    <w:p>
      <w:pPr>
        <w:spacing w:after="0" w:line="170"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Upon certain conditions declarations of acceleration may be rescinded and annulled and past defaults may be waived by the holders of a majority in aggregate principal amount of the securities of the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 of each such debt security.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“Description of Debt Securities—Modification and Waiver” in the accompanying prospectus.</w:t>
      </w:r>
    </w:p>
    <w:p>
      <w:pPr>
        <w:spacing w:after="0" w:line="167"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The holders of at least a majority in aggregate principal amount of the Notes may direct the time, method, and place of conducting any proceeding for any remedy available to the trustee or exercising any trust or power conferred on the trustee with respect to the Notes. However, the trustee may refuse to follow any direction that conflicts with law or the indenture, that may involve the trustee in personal liability, or that the trustee determines in good faith may be unduly prejudicial to the rights of holders of all series of debt securities affected thereby and not joining in the giving of such direction and may take any other action it deems proper that is not inconsistent with any such direction received from holders of debt securities. No holder of Notes may pursue any remedy with respect to the indenture or the Notes unless:</w:t>
      </w:r>
    </w:p>
    <w:p>
      <w:pPr>
        <w:spacing w:after="0" w:line="84" w:lineRule="exact"/>
        <w:rPr>
          <w:sz w:val="20"/>
          <w:szCs w:val="20"/>
          <w:color w:val="auto"/>
        </w:rPr>
      </w:pPr>
    </w:p>
    <w:p>
      <w:pPr>
        <w:ind w:left="5540" w:right="5020" w:hanging="4904"/>
        <w:spacing w:after="0" w:line="536" w:lineRule="auto"/>
        <w:tabs>
          <w:tab w:leader="none" w:pos="84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holder gives the trustee written notice of a continuing event of default; S-12</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0" w:right="120" w:hanging="224"/>
        <w:spacing w:after="0" w:line="277"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Notes make a written request to the trustee to pursue the remedy in respect of such event of default;</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30" w:lineRule="exact"/>
        <w:rPr>
          <w:rFonts w:ascii="Arial" w:cs="Arial" w:eastAsia="Arial" w:hAnsi="Arial"/>
          <w:sz w:val="18"/>
          <w:szCs w:val="18"/>
          <w:color w:val="auto"/>
        </w:rPr>
      </w:pPr>
    </w:p>
    <w:p>
      <w:pPr>
        <w:ind w:left="860" w:right="500" w:hanging="224"/>
        <w:spacing w:after="0" w:line="277"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the Notes do not give the trustee a direction that is inconsistent with the request.</w:t>
      </w:r>
    </w:p>
    <w:p>
      <w:pPr>
        <w:spacing w:after="0" w:line="170"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81"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The indenture requires certain of Texas Instruments Incorporated’s officers to certify, on or before a fixed date in each year in which any security is outstanding, as to their knowledge of Texas Instruments Incorporated’s compliance with all conditions and covenants under the indenture.</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Book-Entry; Delivery and Form; Global Note</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Notes sold in the United States will be issued in the form of one or more fully registered global notes without interest coupons which will be deposited with, or on behalf of, The Depository Trust Company (“DTC”), New York, New York, and registered in the name of Cede &amp; Co., as nominee of DTC, for the accounts of participants in DTC. Unless and until exchanged, in whole or in part, for Notes in definitive registered form, a global note may not be transferred except as a whole (i) by the depositary for such global note to a nominee of such depositary, (ii) by a nominee of such depositary to such depositary or another nominee of such depositary or (iii) by such depositary or any such nominee to a successor of such depositary or a nominee of such successor.</w:t>
      </w:r>
    </w:p>
    <w:p>
      <w:pPr>
        <w:spacing w:after="0" w:line="193"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 xml:space="preserve">Ownership of beneficial interests in a registered global note will be limited to persons, called participants, that have accounts with the depositary (currently DTC) or persons that may hold interests through participants in DTC. Investors may hold their interests in a global note directly through Euroclear Bank S.A./N.V., as operator of the Euroclear System (“Euroclear”), and Clearstream Banking, </w:t>
      </w:r>
      <w:r>
        <w:rPr>
          <w:rFonts w:ascii="Arial" w:cs="Arial" w:eastAsia="Arial" w:hAnsi="Arial"/>
          <w:sz w:val="17"/>
          <w:szCs w:val="17"/>
          <w:i w:val="1"/>
          <w:iCs w:val="1"/>
          <w:color w:val="auto"/>
        </w:rPr>
        <w:t>société anonyme</w:t>
      </w:r>
      <w:r>
        <w:rPr>
          <w:rFonts w:ascii="Arial" w:cs="Arial" w:eastAsia="Arial" w:hAnsi="Arial"/>
          <w:sz w:val="17"/>
          <w:szCs w:val="17"/>
          <w:color w:val="auto"/>
        </w:rPr>
        <w:t xml:space="preserve"> (“Clearstream”), if they are participants in such systems, or indirectly through organizations that are participants in such systems. Euroclear and Clearstream will hold interests in a global note on behalf of their participants through their respective depositaries, which in turn will hold such interests in the global note in customers’ securities accounts in the depositaries’ names on the books of DTC.</w:t>
      </w:r>
    </w:p>
    <w:p>
      <w:pPr>
        <w:spacing w:after="0" w:line="178"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Upon transfer of a definitive note, the definitive note will be exchanged for an interest in a global note, and the transferee will be required to hold its interest through a participant in DTC, Euroclear or Clearstream, as applicable.</w:t>
      </w:r>
    </w:p>
    <w:p>
      <w:pPr>
        <w:spacing w:after="0" w:line="170"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Upon the issuance of a registered global note, the depositary will credit, on its book-entry registration and transfer system, the participants’ accounts with the respective principal or face amounts of the Notes beneficially owned by the participants. Any dealers, underwriters or agents participating in the distribution of the Notes will designate the accounts to be credited. Ownership of beneficial interests in a registered global note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73"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So long as the depositary, or its nominee, is the registered owner of a registered global note, that depositary or its nominee, as the case may be, will be considered the sole owner or holder of the Notes represented by the</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60"/>
          </w:cols>
          <w:pgMar w:left="240" w:top="459" w:right="4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2" w:lineRule="auto"/>
        <w:rPr>
          <w:sz w:val="20"/>
          <w:szCs w:val="20"/>
          <w:color w:val="auto"/>
        </w:rPr>
      </w:pPr>
      <w:r>
        <w:rPr>
          <w:rFonts w:ascii="Arial" w:cs="Arial" w:eastAsia="Arial" w:hAnsi="Arial"/>
          <w:sz w:val="17"/>
          <w:szCs w:val="17"/>
          <w:color w:val="auto"/>
        </w:rPr>
        <w:t>registered global note for all purposes under the indenture. Except as described below, owners of beneficial interests in a registered global note will not be entitled to have the Notes represented by the registered global note registered in their names, will not receive or be entitled to receive physical delivery of the Notes in definitive form and will not be considered the owners or holders of the Notes under the indenture. Accordingly, each person owning a beneficial interest in a registered global note must rely on the procedures of the depositary for that registered global note and, if that person is not a participant, on the procedures of the participant through which the person owns its interest, to exercise any rights of a holder under the indenture. The laws of some states may require that some purchasers of Notes take physical delivery of these Notes in definitive form. Such laws may impair the ability to transfer beneficial interests in a global note.</w:t>
      </w:r>
    </w:p>
    <w:p>
      <w:pPr>
        <w:spacing w:after="0" w:line="17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To facilitate subsequent transfers, all Notes deposited by participants with DTC will be registered in the name of DTC’s nominee, Cede &amp; Co. The deposit of the Notes with DTC and their registration in the name of Cede &amp; Co. effect no change in beneficial ownership. DTC will have no knowledge of the actual beneficial owners of the Notes. DTC’s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88"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Texas Instruments Incorporated will make payments due on the Notes to Cede &amp; Co., as nominee of DTC, in immediately available funds. DTC’s practice upon receipt of any payment of principal, premium, interest or other distribution of underlying securities or other property to holders on that registered global note, is to immediately credit participants’ accounts in amounts proportionate to their respective beneficial interests in that registered global note as shown on the records of the depositary. Payments by participants to owners of beneficial interests in a registered global note held through participants will be governed by standing customer instructions and customary practices, as is now the case with the securities held for the accounts of customers in bearer form or registered in “street name,” and will be the responsibility of those participants. Payment to Cede &amp; Co. is the responsibility of Texas Instruments Incorporated. Disbursement of such payments to direct participants is the responsibility of Cede &amp; Co. Disbursement of such payments to the beneficial owners is the responsibility of direct and indirect participants. None of Texas Instruments Incorporated, the trustee or any other agent of ours or any agent of the trustee will have any responsibility or liability for any aspect of the records relating to payments made on account of beneficial ownership interests in the registered global note or for maintaining, supervising or reviewing any records relating to those beneficial ownership interests.</w:t>
      </w:r>
    </w:p>
    <w:p>
      <w:pPr>
        <w:spacing w:after="0" w:line="183" w:lineRule="exact"/>
        <w:rPr>
          <w:sz w:val="20"/>
          <w:szCs w:val="20"/>
          <w:color w:val="auto"/>
        </w:rPr>
      </w:pPr>
    </w:p>
    <w:p>
      <w:pPr>
        <w:jc w:val="both"/>
        <w:ind w:left="200" w:right="320" w:firstLine="441"/>
        <w:spacing w:after="0" w:line="259" w:lineRule="auto"/>
        <w:rPr>
          <w:sz w:val="20"/>
          <w:szCs w:val="20"/>
          <w:color w:val="auto"/>
        </w:rPr>
      </w:pPr>
      <w:r>
        <w:rPr>
          <w:rFonts w:ascii="Arial" w:cs="Arial" w:eastAsia="Arial" w:hAnsi="Arial"/>
          <w:sz w:val="18"/>
          <w:szCs w:val="18"/>
          <w:color w:val="auto"/>
        </w:rPr>
        <w:t>Transfers between participants in Euroclear and Clearstream will be effected in the ordinary way in accordance with their respective rules and operating procedures. If a holder requires physical delivery of a definitive note for any reason, including to sell Notes to persons in jurisdictions that require such delivery of such Notes or to pledge such Notes, such holder must transfer its interest in the relevant global note in accordance with the normal procedures of DTC and the procedures set forth in the indenture.</w:t>
      </w:r>
    </w:p>
    <w:p>
      <w:pPr>
        <w:spacing w:after="0" w:line="18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Cross-market transfers between DTC, on the one hand, and directly or indirectly through Euroclear or Clearstream participants, on the other, will be effected by DTC in accordance with DTC rules on behalf of Euroclear or Clearstream, as the case may be, by its respective depositary; however, such cross-market transactions will require delivery of instructions to Euroclear or Clearstream, as the case may be, by the counterparty in such system in accordance with its rules and procedures and within its established deadlines (Brussels time). Euroclear or Clearstream, as the case may be, will, if the transaction meets its settlement requirements, deliver instructions to its respective depositary to take action to effect final settlement on its behalf by delivering or receiving interests in the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92"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Because of the time zone differences, the securities account of a Euroclear or Clearstream participant purchasing an interest in the global note from a DTC participant will be credited during the securities settlement processing day (which must be a business day for Euroclear or Clearstream, as the case may be) immediately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302" w:lineRule="auto"/>
        <w:rPr>
          <w:sz w:val="20"/>
          <w:szCs w:val="20"/>
          <w:color w:val="auto"/>
        </w:rPr>
      </w:pPr>
      <w:r>
        <w:rPr>
          <w:rFonts w:ascii="Arial" w:cs="Arial" w:eastAsia="Arial" w:hAnsi="Arial"/>
          <w:sz w:val="16"/>
          <w:szCs w:val="16"/>
          <w:color w:val="auto"/>
        </w:rPr>
        <w:t>following the DTC settlement date, and such credit of any transaction’s interests in the global note settled during such processing day will be reported to the relevant Euroclear or Clearstream participant on such day. Cash received in Euroclear or Clearstream as a result of sales of interests in a global note by or through a Euroclear or Clearstream participant to a DTC participant will be received with value on the DTC settlement date, but will be available in the relevant Euroclear or Clearstream cash account only as of the business day following settlement in DTC.</w:t>
      </w:r>
    </w:p>
    <w:p>
      <w:pPr>
        <w:spacing w:after="0" w:line="154"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Texas Instruments Incorporated expects that DTC will take any action permitted to be taken by a holder of Notes only at the direction of one or more participants to whose account the DTC interests in a global note are credited and only in respect of such portion of the aggregate principal amount of the Notes as to which such participant or participants has or have given such direction. However, if there is an event of default under the Notes, DTC will exchange each global note for definitive notes, which it will distribute to its participants.</w:t>
      </w:r>
    </w:p>
    <w:p>
      <w:pPr>
        <w:spacing w:after="0" w:line="17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Although Texas Instruments Incorporated expects that DTC, Euroclear and Clearstream will agree to the foregoing procedures in order to facilitate transfers of interests in each global note among participants of DTC, Euroclear and Clearstream, DTC, Euroclear and Clearstream are under no obligation to perform or continue to perform such procedures, and such procedures may be discontinued at any time. Neither Texas Instruments Incorporated nor the trustee will have any responsibility for the performance by DTC, Euroclear or Clearstream or their participants or indirect participants of their respective obligations under the rules and procedures governing their operations.</w:t>
      </w:r>
    </w:p>
    <w:p>
      <w:pPr>
        <w:spacing w:after="0" w:line="173"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If the depositary for any of the Notes represented by a registered global note is at any time unwilling or unable to continue as depositary or ceases to be a clearing agency registered under the Securities Exchange Act of 1934, as amended (the “Exchange Act”), and a successor depositary registered as a clearing agency under the Exchange Act is not appointed by Texas Instruments Incorporated within 90 days, Texas Instruments Incorporated will issue Notes in definitive form in exchange for the registered global note that had been held by the depositary. Any Notes issued in definitive form in exchange for a registered global note will be registered in the name or names that the depositary gives to the trustee. It is expected that the depositary’s instructions will be based upon directions received by the depositary from participants with respect to ownership of beneficial interests in the registered global note that had been held by the depositary. In addition, Texas Instruments Incorporated may at any time determine that the Notes shall no longer be represented by a global note and will issue Notes in definitive form in exchange for such global note pursuant to the procedure described above.</w:t>
      </w:r>
    </w:p>
    <w:p>
      <w:pPr>
        <w:spacing w:after="0" w:line="166" w:lineRule="exact"/>
        <w:rPr>
          <w:sz w:val="20"/>
          <w:szCs w:val="20"/>
          <w:color w:val="auto"/>
        </w:rPr>
      </w:pPr>
    </w:p>
    <w:p>
      <w:pPr>
        <w:ind w:left="200" w:right="80" w:firstLine="441"/>
        <w:spacing w:after="0" w:line="253" w:lineRule="auto"/>
        <w:rPr>
          <w:sz w:val="20"/>
          <w:szCs w:val="20"/>
          <w:color w:val="auto"/>
        </w:rPr>
      </w:pPr>
      <w:r>
        <w:rPr>
          <w:rFonts w:ascii="Arial" w:cs="Arial" w:eastAsia="Arial" w:hAnsi="Arial"/>
          <w:sz w:val="18"/>
          <w:szCs w:val="18"/>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its participants and to facilitate the clearance and settlement of securities transactions, such as transfers and pledges, among its participants in such securities through electronic computerized book-entry changes in accounts of the participants, thereby eliminating the need for physical movement of securities certificates. DTC’s participants include securities brokers and dealers, banks, trust companies, clearing corporations and certain other organizations, some of whom own DTC. Access to DTC’s book-entry system is also available to others, such as banks, brokers, dealers and trust companies that clear through or maintain a custodial relationship with a participant, either directly or indirectly. The rules applicable to DTC and its participants are on file with the SEC.</w:t>
      </w:r>
    </w:p>
    <w:p>
      <w:pPr>
        <w:spacing w:after="0" w:line="19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Euroclear and Clearstream hold securities for participating organizations. They also facilitate the clearance and settlement of securities transactions between their respective participants through electronic book-entry changes in the accounts of such participants. Euroclear and Clearstream provide various services to their participants, including the safekeeping, administration, clearance, settlement, lending and borrowing of internationally traded securities. Euroclear and Clearstream interface with domestic securities markets. Euroclear and Clearstream participants are financial institutions such as underwriters, securities brokers and dealers, banks, trust companies and certain other organizations. Indirect access to Euroclear or Clearstream is also available to</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80"/>
        <w:spacing w:after="0" w:line="277" w:lineRule="auto"/>
        <w:rPr>
          <w:sz w:val="20"/>
          <w:szCs w:val="20"/>
          <w:color w:val="auto"/>
        </w:rPr>
      </w:pPr>
      <w:r>
        <w:rPr>
          <w:rFonts w:ascii="Arial" w:cs="Arial" w:eastAsia="Arial" w:hAnsi="Arial"/>
          <w:sz w:val="18"/>
          <w:szCs w:val="18"/>
          <w:color w:val="auto"/>
        </w:rPr>
        <w:t>others such as banks, brokers, dealers and trust companies that clear through or maintain a custodial relationship with a Euroclear or Clearstream participant, either directly or indirectly.</w:t>
      </w:r>
    </w:p>
    <w:p>
      <w:pPr>
        <w:spacing w:after="0" w:line="170"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information in this section concerning DTC and DTC’s book-entry system, as well as information regarding Euroclear and Clearstream, has been obtained from sources that Texas Instruments Incorporated believes to be reliable, but Texas Instruments Incorporated takes no responsibility for its accuracy or completeness. Texas Instruments Incorporated assumes no responsibility for the performance by DTC, Euroclear, Clearstream or their respective participants of their respective obligations, including obligations that they have under the rules and procedures that govern their operations.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Notices to holders of the Notes will be made by first class mail, postage prepaid, to the addresses that appear on the security register for the Notes.</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Concerning Our Relationship with the Trustee</w:t>
      </w:r>
    </w:p>
    <w:p>
      <w:pPr>
        <w:spacing w:after="0" w:line="121"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We maintain ordinary banking relationships with the trustee and its affiliates and in the future may enter into additional such relationships. An affiliate of the trustee is a lender under our credit facility.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29"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i w:val="1"/>
          <w:iCs w:val="1"/>
          <w:color w:val="auto"/>
        </w:rPr>
        <w:t>The following are the material U.S. federal income tax consequences of owning and disposing of Notes purchased in this offering at the “issue price,” which we assume will be the applicable public offering price indicated on the cover of this prospectus supplement, and held as capital assets for U.S. federal income tax purposes.</w:t>
      </w:r>
    </w:p>
    <w:p>
      <w:pPr>
        <w:spacing w:after="0" w:line="181" w:lineRule="exact"/>
        <w:rPr>
          <w:sz w:val="20"/>
          <w:szCs w:val="20"/>
          <w:color w:val="auto"/>
        </w:rPr>
      </w:pPr>
    </w:p>
    <w:p>
      <w:pPr>
        <w:ind w:left="200" w:right="480" w:firstLine="441"/>
        <w:spacing w:after="0" w:line="308" w:lineRule="auto"/>
        <w:rPr>
          <w:sz w:val="20"/>
          <w:szCs w:val="20"/>
          <w:color w:val="auto"/>
        </w:rPr>
      </w:pPr>
      <w:r>
        <w:rPr>
          <w:rFonts w:ascii="Arial" w:cs="Arial" w:eastAsia="Arial" w:hAnsi="Arial"/>
          <w:sz w:val="17"/>
          <w:szCs w:val="17"/>
          <w:color w:val="auto"/>
        </w:rPr>
        <w:t>This discussion does not describe all of the tax consequences that may be relevant to you in light of your particular circumstances, including alternative minimum tax consequences and differing tax consequences that may apply to you if you are, for instance:</w:t>
      </w:r>
    </w:p>
    <w:p>
      <w:pPr>
        <w:spacing w:after="0" w:line="52" w:lineRule="exact"/>
        <w:rPr>
          <w:sz w:val="20"/>
          <w:szCs w:val="20"/>
          <w:color w:val="auto"/>
        </w:rPr>
      </w:pPr>
    </w:p>
    <w:p>
      <w:pPr>
        <w:ind w:left="860" w:hanging="224"/>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financial institution;</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insurance company;</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regulated investment company;</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dealer or trader in securities that uses a mark-to-market method of tax accounting;</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person holding Notes as part of a “straddle” or integrated transaction;</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U.S. Holder (as defined below) whose functional currency is not the U.S. dollar;</w:t>
      </w:r>
    </w:p>
    <w:p>
      <w:pPr>
        <w:spacing w:after="0" w:line="130" w:lineRule="exact"/>
        <w:rPr>
          <w:rFonts w:ascii="Arial" w:cs="Arial" w:eastAsia="Arial" w:hAnsi="Arial"/>
          <w:sz w:val="18"/>
          <w:szCs w:val="18"/>
          <w:color w:val="auto"/>
        </w:rPr>
      </w:pPr>
    </w:p>
    <w:p>
      <w:pPr>
        <w:ind w:left="860" w:right="500" w:hanging="224"/>
        <w:spacing w:after="0" w:line="277"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person required for U.S. federal income tax purposes to conform the timing of income accruals with respect to the Notes to its financial statements under Section 451 of the Internal Revenue Code of 1986, as amended (the “Code”);</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partnership for U.S. federal income tax purposes; or</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225"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If you are a partnership for U.S. federal income tax purposes, the U.S. federal income tax treatment of each of your partners will generally depend on the status of the partner and your activities.</w:t>
      </w:r>
    </w:p>
    <w:p>
      <w:pPr>
        <w:spacing w:after="0" w:line="170"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This summary is based on the Code, administrative pronouncements, judicial decisions and final, temporary and proposed Treasury Regulations, changes to any of which after the date of this prospectus supplement may affect the tax consequences described herein, possibly on a retroactive basis. This summary does not discuss any aspect of state, local, or non-U.S. taxation, any federal taxes other than U.S. federal income taxes, or the potential application of the Medicare contribution tax. If you are considering the purchase of Notes, you should consult your tax adviser with regard to the application of the U.S. federal tax laws to your particular situation, as well as any tax consequences arising under the laws of any state, local or non-U.S. taxing jurisdiction.</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 Consequences to U.S. Holders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This section applies to you if you are a U.S. Holder. You are a U.S. Holder if for U.S. federal income tax purposes you are a beneficial owner of a</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 and are:</w:t>
      </w:r>
    </w:p>
    <w:p>
      <w:pPr>
        <w:spacing w:after="0" w:line="116" w:lineRule="exact"/>
        <w:rPr>
          <w:sz w:val="20"/>
          <w:szCs w:val="20"/>
          <w:color w:val="auto"/>
        </w:rPr>
      </w:pPr>
    </w:p>
    <w:p>
      <w:pPr>
        <w:ind w:left="860" w:hanging="224"/>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860" w:right="320" w:hanging="224"/>
        <w:spacing w:after="0" w:line="277" w:lineRule="auto"/>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Payments of Interest</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Stated interest on a Note will be taxable to you as ordinary interest income at the time it accrues or is received, in accordance with your method of accounting for U.S. federal income tax purposes. It is expected, and this discussion assumes, that the Notes will be issued without original issue discount for U.S. federal income tax purposes.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Upon the sale or other taxable disposition of a Note, you will recognize taxable gain or loss equal to the difference between the amount realized on the sale or other taxable disposition and your adjusted tax basis in the Note. Your adjusted tax basis in a Note will equal the cost of your Note. For these purposes, the amount realized does not include any amount attributable to accrued but unpaid interest, which is treated as described under “—Payments of Interest” above. Gain or loss realized on the sale or other taxable disposition of a Note will generally be capital gain or loss and will be long-term capital gain or loss if at the time of sale or other taxable disposition you have held the Note for more than one year. Long-term capital gains recognized by non-corporate U.S. Holders may be subject to reduced tax rates. The deductibility of capital losses is subject to limitations.</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Information returns are required to be filed with the Internal Revenue Service (“IRS”) in connection with payments on the Notes and the proceeds from a sale or other disposition of the Notes unless you are an exempt recipient. You may also be subject to backup withholding on these payments in respect of your Notes unless you provide your taxpayer identification number and otherwise comply with applicable requirements of the backup withholding rules or you provide proof of an applicable exemption. Amounts withheld under the backup withholding rules are not additional taxes and may be refunded or credited against your U.S. federal income tax liability, provided the required information is timely furnished to the IRS.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 Consequences to Non-U.S. Holders</w:t>
      </w:r>
    </w:p>
    <w:p>
      <w:pPr>
        <w:spacing w:after="0" w:line="12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This section applies to you if are a Non-U.S. Holder. You are a Non-U.S. Holder if for U.S. federal income tax purposes you are a beneficial owner of a Note and are:</w:t>
      </w:r>
    </w:p>
    <w:p>
      <w:pPr>
        <w:spacing w:after="0" w:line="76" w:lineRule="exact"/>
        <w:rPr>
          <w:sz w:val="20"/>
          <w:szCs w:val="20"/>
          <w:color w:val="auto"/>
        </w:rPr>
      </w:pPr>
    </w:p>
    <w:p>
      <w:pPr>
        <w:ind w:left="860" w:hanging="224"/>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225"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You are not a Non-U.S. Holder if you are a nonresident alien individual present in the United States for 183 days or more in the taxable year of disposition of a Note, or if you are a former citizen or former resident of the United States, in which case you should consult your tax adviser regarding the U.S. federal income tax consequences of owning and disposing of a Note.</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Payments on the Notes</w:t>
      </w:r>
    </w:p>
    <w:p>
      <w:pPr>
        <w:spacing w:after="0" w:line="117" w:lineRule="exact"/>
        <w:rPr>
          <w:sz w:val="20"/>
          <w:szCs w:val="20"/>
          <w:color w:val="auto"/>
        </w:rPr>
      </w:pPr>
    </w:p>
    <w:p>
      <w:pPr>
        <w:ind w:left="200" w:right="100" w:firstLine="441"/>
        <w:spacing w:after="0" w:line="308" w:lineRule="auto"/>
        <w:rPr>
          <w:sz w:val="20"/>
          <w:szCs w:val="20"/>
          <w:color w:val="auto"/>
        </w:rPr>
      </w:pPr>
      <w:r>
        <w:rPr>
          <w:rFonts w:ascii="Arial" w:cs="Arial" w:eastAsia="Arial" w:hAnsi="Arial"/>
          <w:sz w:val="17"/>
          <w:szCs w:val="17"/>
          <w:color w:val="auto"/>
        </w:rPr>
        <w:t>Subject to the discussion below under “—Backup Withholding and Information Reporting” and “FATCA Legislation,” payments of principal and interest on the Notes to you will not be subject to U.S. federal income or withholding tax, provided that, in the case of interest,</w:t>
      </w:r>
    </w:p>
    <w:p>
      <w:pPr>
        <w:spacing w:after="0" w:line="52" w:lineRule="exact"/>
        <w:rPr>
          <w:sz w:val="20"/>
          <w:szCs w:val="20"/>
          <w:color w:val="auto"/>
        </w:rPr>
      </w:pPr>
    </w:p>
    <w:p>
      <w:pPr>
        <w:ind w:left="860" w:hanging="224"/>
        <w:spacing w:after="0"/>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you do not own, actually or constructively, ten percent or more of the total combined voting power of all classes of our stock entitled to vote;</w:t>
      </w:r>
    </w:p>
    <w:p>
      <w:pPr>
        <w:spacing w:after="0" w:line="153" w:lineRule="exact"/>
        <w:rPr>
          <w:rFonts w:ascii="Arial" w:cs="Arial" w:eastAsia="Arial" w:hAnsi="Arial"/>
          <w:sz w:val="16"/>
          <w:szCs w:val="16"/>
          <w:color w:val="auto"/>
        </w:rPr>
      </w:pPr>
    </w:p>
    <w:p>
      <w:pPr>
        <w:ind w:left="860" w:hanging="224"/>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you are not a controlled foreign corporation related, directly or indirectly, to us through stock ownership;</w:t>
      </w:r>
    </w:p>
    <w:p>
      <w:pPr>
        <w:spacing w:after="0" w:line="130" w:lineRule="exact"/>
        <w:rPr>
          <w:rFonts w:ascii="Arial" w:cs="Arial" w:eastAsia="Arial" w:hAnsi="Arial"/>
          <w:sz w:val="18"/>
          <w:szCs w:val="18"/>
          <w:color w:val="auto"/>
        </w:rPr>
      </w:pPr>
    </w:p>
    <w:p>
      <w:pPr>
        <w:ind w:left="860" w:right="160" w:hanging="224"/>
        <w:spacing w:after="0" w:line="342" w:lineRule="auto"/>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you certify on a properly executed IRS Form W-8BEN or W-8BEN-E (or other applicable form), under penalties of perjury, that you are not a United States person or you otherwise satisfy certification requirements applicable to Notes held through certain intermediaries; and</w:t>
      </w:r>
    </w:p>
    <w:p>
      <w:pPr>
        <w:spacing w:after="0" w:line="29" w:lineRule="exact"/>
        <w:rPr>
          <w:rFonts w:ascii="Arial" w:cs="Arial" w:eastAsia="Arial" w:hAnsi="Arial"/>
          <w:sz w:val="16"/>
          <w:szCs w:val="16"/>
          <w:color w:val="auto"/>
        </w:rPr>
      </w:pPr>
    </w:p>
    <w:p>
      <w:pPr>
        <w:ind w:left="860" w:hanging="224"/>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is not effectively connected with your conduct of a trade or business in the United States as described below.</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If you cannot satisfy any of the first three requirements described above and interest on the Notes is not subject to net income tax as described below under “—Effectively Connected Income,” payments of interest on the Notes will generally be subject to withholding tax at a rate of 30%, subject to an applicable treaty providing otherwise.</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Subject to the discussion below under “—Backup Withholding and Information Reporting” and “FATCA Legislation,” you generally will not be subject to U.S. federal income or withholding tax on gain realized on a sale, redemption or other taxable disposition of Notes, unless the gain is effectively connected with your conduct of a trade or business in the United States as described below; provided, however, that any amounts attributable to accrued interest will be treated as described above under “—Payments on the Notes.”</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Effectively Connected Income</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If interest or gain on a Note is effectively connected with your conduct of a trade or business in the United States (and, if required by an applicable income tax treaty, is attributable to a U.S. permanent establishment or fixed base maintained by you), you will generally be subject to net income tax on such amounts in the same manner as a U.S. Holder (see “Tax Consequences to U.S. Holders” above). In this case, you will be exempt from the withholding tax on interest discussed above, although you will be required to provide a properly executed IRS Form W-8ECI in order to claim an exemption from withholding. You are urged to consult your tax adviser with respect to other U.S. tax consequences of the ownership and disposition of Notes, including the possible imposition of a branch profits tax at a rate of 30% (or a lower treaty rate) if you are a corporation.</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Information returns are required to be filed with the IRS in connection with payments of interest on the Notes. Unless you comply with certification procedures to establish that you are not a United States person, information returns may also be filed with the IRS in connection with the proceeds from a sale or other disposition of a Note. You may be subject to backup withholding on payments on the Notes or on the proceeds from a sale or other disposition of the Notes unless you comply with certification procedures to establish that you are not a United States person or otherwise establish an exemption. Compliance with the certification procedures required to claim the exemption from withholding tax on interest described above will satisfy the certification requirements necessary to avoid backup withholding as well. Amounts withheld under the backup withholding rules are not additional taxes and may be refunded or credited against your U.S. federal income tax liability, provided that the required information is timely furnished to the IRS.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FATCA Legislation</w:t>
      </w:r>
    </w:p>
    <w:p>
      <w:pPr>
        <w:spacing w:after="0" w:line="121"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Provisions commonly referred to as “FATCA” impose withholding of 30% on payments of interest on the Notes, as well as of gross proceeds of sales or redemptions of the Notes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the non-U.S. entity’s jurisdiction may modify these requirements. In addition, regulations proposed by the U.S. Treasury Department would eliminate the requirement under FATCA of withholding on gross proceeds (other than payments of interest) of the disposition of the notes. The U.S. Treasury Department has stated that taxpayers may rely on these proposed regulations pending their finalization. If FATCA withholding is imposed, a beneficial owner that is not a foreign financial institution generally will be entitled to a refund of any amounts withheld by filing a U.S. federal income tax return (which may entail significant administrative burden). You should consult your tax adviser regarding the effects of FATCA on your investment in the Notes.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200"/>
          </w:cols>
          <w:pgMar w:left="24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Barclays Capital Inc., BofA Securities, Inc. and J.P. Morgan Securities LLC are acting as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principal amount of the Notes set forth opposite the underwriter’s name.</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9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Underwriter</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w w:val="97"/>
              </w:rPr>
              <w:t>Principal Amount of</w:t>
            </w:r>
          </w:p>
        </w:tc>
        <w:tc>
          <w:tcPr>
            <w:tcW w:w="0" w:type="dxa"/>
            <w:vAlign w:val="bottom"/>
          </w:tcPr>
          <w:p>
            <w:pPr>
              <w:spacing w:after="0"/>
              <w:rPr>
                <w:sz w:val="1"/>
                <w:szCs w:val="1"/>
                <w:color w:val="auto"/>
              </w:rPr>
            </w:pPr>
          </w:p>
        </w:tc>
      </w:tr>
      <w:tr>
        <w:trPr>
          <w:trHeight w:val="158"/>
        </w:trPr>
        <w:tc>
          <w:tcPr>
            <w:tcW w:w="972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gridSpan w:val="2"/>
          </w:tcPr>
          <w:p>
            <w:pPr>
              <w:ind w:left="440"/>
              <w:spacing w:after="0" w:line="158" w:lineRule="exact"/>
              <w:rPr>
                <w:sz w:val="20"/>
                <w:szCs w:val="20"/>
                <w:color w:val="auto"/>
              </w:rPr>
            </w:pPr>
            <w:r>
              <w:rPr>
                <w:rFonts w:ascii="Arial" w:cs="Arial" w:eastAsia="Arial" w:hAnsi="Arial"/>
                <w:sz w:val="14"/>
                <w:szCs w:val="14"/>
                <w:b w:val="1"/>
                <w:bCs w:val="1"/>
                <w:color w:val="auto"/>
              </w:rPr>
              <w:t>Notes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89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7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Barclays Capital Inc.</w:t>
            </w:r>
          </w:p>
        </w:tc>
        <w:tc>
          <w:tcPr>
            <w:tcW w:w="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BofA Securities, Inc.</w:t>
            </w: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0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20" w:firstLine="441"/>
        <w:spacing w:after="0" w:line="342" w:lineRule="auto"/>
        <w:rPr>
          <w:sz w:val="20"/>
          <w:szCs w:val="20"/>
          <w:color w:val="auto"/>
        </w:rPr>
      </w:pPr>
      <w:r>
        <w:rPr>
          <w:rFonts w:ascii="Arial" w:cs="Arial" w:eastAsia="Arial" w:hAnsi="Arial"/>
          <w:sz w:val="16"/>
          <w:szCs w:val="16"/>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124"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Notes sold by the underwriters to the public will initially be offered at the initial public offering price set forth on the cover of this prospectus supplement. Any Notes sold by the underwriters to securities dealers may be sold at a discount from the initial public offering price not to exceed % per Note. Any such securities dealers may resell any Notes purchased from the underwriters to certain other brokers or dealers at a discount from the initial public offering price not to exceed % per Note. If all the Notes are not sold at the initial offering price, the underwriters may change the offering price and the other selling terms.</w:t>
      </w:r>
    </w:p>
    <w:p>
      <w:pPr>
        <w:spacing w:after="0" w:line="188"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The following table shows the underwriting discounts that we are to pay to the underwriters in connection with this offering (expressed as a percentage of the principal amount of the Notes).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4760" w:type="dxa"/>
            <w:vAlign w:val="bottom"/>
            <w:gridSpan w:val="3"/>
          </w:tcPr>
          <w:p>
            <w:pPr>
              <w:jc w:val="center"/>
              <w:ind w:left="3399"/>
              <w:spacing w:after="0"/>
              <w:rPr>
                <w:sz w:val="20"/>
                <w:szCs w:val="20"/>
                <w:color w:val="auto"/>
              </w:rPr>
            </w:pPr>
            <w:r>
              <w:rPr>
                <w:rFonts w:ascii="Arial" w:cs="Arial" w:eastAsia="Arial" w:hAnsi="Arial"/>
                <w:sz w:val="14"/>
                <w:szCs w:val="14"/>
                <w:b w:val="1"/>
                <w:bCs w:val="1"/>
                <w:color w:val="auto"/>
                <w:w w:val="89"/>
              </w:rPr>
              <w:t>Paid by Texas</w:t>
            </w: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60" w:type="dxa"/>
            <w:vAlign w:val="bottom"/>
            <w:gridSpan w:val="2"/>
          </w:tcPr>
          <w:p>
            <w:pPr>
              <w:jc w:val="center"/>
              <w:ind w:right="130"/>
              <w:spacing w:after="0" w:line="149" w:lineRule="exact"/>
              <w:rPr>
                <w:sz w:val="20"/>
                <w:szCs w:val="20"/>
                <w:color w:val="auto"/>
              </w:rPr>
            </w:pPr>
            <w:r>
              <w:rPr>
                <w:rFonts w:ascii="Arial" w:cs="Arial" w:eastAsia="Arial" w:hAnsi="Arial"/>
                <w:sz w:val="14"/>
                <w:szCs w:val="14"/>
                <w:b w:val="1"/>
                <w:bCs w:val="1"/>
                <w:color w:val="auto"/>
                <w:w w:val="94"/>
              </w:rPr>
              <w:t>Instruments</w:t>
            </w: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6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95"/>
              </w:rPr>
              <w:t>Incorporated</w:t>
            </w: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Note</w:t>
            </w:r>
          </w:p>
        </w:tc>
        <w:tc>
          <w:tcPr>
            <w:tcW w:w="37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432"/>
        </w:trPr>
        <w:tc>
          <w:tcPr>
            <w:tcW w:w="20" w:type="dxa"/>
            <w:vAlign w:val="bottom"/>
          </w:tcPr>
          <w:p>
            <w:pPr>
              <w:spacing w:after="0"/>
              <w:rPr>
                <w:sz w:val="24"/>
                <w:szCs w:val="24"/>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w w:val="97"/>
              </w:rPr>
              <w:t>We estimate that our total expenses for this offering will be approximately $</w:t>
            </w:r>
          </w:p>
        </w:tc>
        <w:tc>
          <w:tcPr>
            <w:tcW w:w="4760" w:type="dxa"/>
            <w:vAlign w:val="bottom"/>
            <w:gridSpan w:val="3"/>
          </w:tcPr>
          <w:p>
            <w:pPr>
              <w:jc w:val="right"/>
              <w:ind w:right="1270"/>
              <w:spacing w:after="0"/>
              <w:rPr>
                <w:sz w:val="20"/>
                <w:szCs w:val="20"/>
                <w:color w:val="auto"/>
              </w:rPr>
            </w:pPr>
            <w:r>
              <w:rPr>
                <w:rFonts w:ascii="Arial" w:cs="Arial" w:eastAsia="Arial" w:hAnsi="Arial"/>
                <w:sz w:val="18"/>
                <w:szCs w:val="18"/>
                <w:color w:val="auto"/>
              </w:rPr>
              <w:t>million, including underwriting discounts.</w:t>
            </w:r>
          </w:p>
        </w:tc>
      </w:tr>
    </w:tbl>
    <w:p>
      <w:pPr>
        <w:spacing w:after="0" w:line="202" w:lineRule="exact"/>
        <w:rPr>
          <w:sz w:val="20"/>
          <w:szCs w:val="20"/>
          <w:color w:val="auto"/>
        </w:rPr>
      </w:pPr>
    </w:p>
    <w:p>
      <w:pPr>
        <w:jc w:val="both"/>
        <w:ind w:left="200" w:right="80" w:firstLine="441"/>
        <w:spacing w:after="0" w:line="277" w:lineRule="auto"/>
        <w:rPr>
          <w:sz w:val="20"/>
          <w:szCs w:val="20"/>
          <w:color w:val="auto"/>
        </w:rPr>
      </w:pPr>
      <w:r>
        <w:rPr>
          <w:rFonts w:ascii="Arial" w:cs="Arial" w:eastAsia="Arial" w:hAnsi="Arial"/>
          <w:sz w:val="18"/>
          <w:szCs w:val="18"/>
          <w:color w:val="auto"/>
        </w:rPr>
        <w:t>In connection with the offering, the underwriters may purchase and sell the Notes in the open market. Purchases and sales in the open market may include short sales, purchases to cover short positions and stabilizing purchases.</w:t>
      </w:r>
    </w:p>
    <w:p>
      <w:pPr>
        <w:spacing w:after="0" w:line="76" w:lineRule="exact"/>
        <w:rPr>
          <w:sz w:val="20"/>
          <w:szCs w:val="20"/>
          <w:color w:val="auto"/>
        </w:rPr>
      </w:pPr>
    </w:p>
    <w:p>
      <w:pPr>
        <w:ind w:left="860" w:right="500" w:hanging="224"/>
        <w:spacing w:after="0" w:line="277"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Short sales involve secondary market sales by the underwriters of a greater number of the Notes than they are required to purchase in this offering.</w:t>
      </w:r>
    </w:p>
    <w:p>
      <w:pPr>
        <w:spacing w:after="0" w:line="75" w:lineRule="exact"/>
        <w:rPr>
          <w:rFonts w:ascii="Arial" w:cs="Arial" w:eastAsia="Arial" w:hAnsi="Arial"/>
          <w:sz w:val="18"/>
          <w:szCs w:val="18"/>
          <w:color w:val="auto"/>
        </w:rPr>
      </w:pPr>
    </w:p>
    <w:p>
      <w:pPr>
        <w:ind w:left="860" w:right="540" w:hanging="224"/>
        <w:spacing w:after="0" w:line="277"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Covering transactions involve purchases of the Notes in the open market after the distribution has been completed in order to cover short positions.</w:t>
      </w:r>
    </w:p>
    <w:p>
      <w:pPr>
        <w:spacing w:after="0" w:line="75" w:lineRule="exact"/>
        <w:rPr>
          <w:rFonts w:ascii="Arial" w:cs="Arial" w:eastAsia="Arial" w:hAnsi="Arial"/>
          <w:sz w:val="18"/>
          <w:szCs w:val="18"/>
          <w:color w:val="auto"/>
        </w:rPr>
      </w:pPr>
    </w:p>
    <w:p>
      <w:pPr>
        <w:ind w:left="860" w:right="280" w:hanging="224"/>
        <w:spacing w:after="0" w:line="264"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the Notes so long as the stabilizing bids do not exceed a specified maximum. Purchases to cover short positions and stabilizing purchases, as well as other purchases by the underwriters for their own accounts, may have the effect of preventing or retarding a decline in the market price of the Notes.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240"/>
          </w:cols>
          <w:pgMar w:left="240" w:top="459" w:right="4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color w:val="auto"/>
        </w:rPr>
        <w:t>Purchases to cover short positions and stabilizing purchases, as well as other purchases by the underwriters for their own accounts, may have the effect of preventing or retarding a decline in the market price of the Notes. 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We expect to deliver the Notes against payment for the Notes on or about the date specified in the last paragraph of the cover page of this</w:t>
      </w:r>
    </w:p>
    <w:p>
      <w:pPr>
        <w:spacing w:after="0" w:line="23" w:lineRule="exact"/>
        <w:rPr>
          <w:sz w:val="20"/>
          <w:szCs w:val="20"/>
          <w:color w:val="auto"/>
        </w:rPr>
      </w:pPr>
    </w:p>
    <w:p>
      <w:pPr>
        <w:ind w:left="200" w:right="100"/>
        <w:spacing w:after="0" w:line="273" w:lineRule="auto"/>
        <w:rPr>
          <w:sz w:val="20"/>
          <w:szCs w:val="20"/>
          <w:color w:val="auto"/>
        </w:rPr>
      </w:pPr>
      <w:r>
        <w:rPr>
          <w:rFonts w:ascii="Arial" w:cs="Arial" w:eastAsia="Arial" w:hAnsi="Arial"/>
          <w:sz w:val="17"/>
          <w:szCs w:val="17"/>
          <w:color w:val="auto"/>
        </w:rPr>
        <w:t>prospectus supplement, which will be the business day following the date of the pricing of the Notes. Under Rule 15c6-1 of the Exchange Act, trades in the secondary market generally are required to settle in two business days, unless the parties to a trade expressly agree otherwise. Accordingly, purchasers who wish to trade Notes prior to the second business day before the delivery of the Notes hereunder will be required, by virtue of the fact that the Notes initially will settle in T+ , to specify alternative settlement arrangements to prevent a failed settlement.</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instruments) and financial instruments (which may include bank loans and/or credit default swaps) for their own account and for the accounts of their customers. Such investment and securities activities may involve our securities and instruments.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Affiliates of some of the underwriters are lenders, and in some cases agents or managers for the lenders, under our credit facility.</w:t>
      </w:r>
    </w:p>
    <w:p>
      <w:pPr>
        <w:spacing w:after="0" w:line="178"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jc w:val="both"/>
        <w:ind w:left="200" w:right="160" w:firstLine="441"/>
        <w:spacing w:after="0" w:line="288" w:lineRule="auto"/>
        <w:rPr>
          <w:sz w:val="20"/>
          <w:szCs w:val="20"/>
          <w:color w:val="auto"/>
        </w:rPr>
      </w:pPr>
      <w:r>
        <w:rPr>
          <w:rFonts w:ascii="Arial" w:cs="Arial" w:eastAsia="Arial" w:hAnsi="Arial"/>
          <w:sz w:val="16"/>
          <w:szCs w:val="16"/>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w:t>
      </w:r>
    </w:p>
    <w:p>
      <w:pPr>
        <w:ind w:left="200" w:right="480"/>
        <w:spacing w:after="0" w:line="261" w:lineRule="auto"/>
        <w:rPr>
          <w:sz w:val="20"/>
          <w:szCs w:val="20"/>
          <w:color w:val="auto"/>
        </w:rPr>
      </w:pPr>
      <w:r>
        <w:rPr>
          <w:rFonts w:ascii="Arial" w:cs="Arial" w:eastAsia="Arial" w:hAnsi="Arial"/>
          <w:sz w:val="18"/>
          <w:szCs w:val="18"/>
          <w:color w:val="auto"/>
        </w:rPr>
        <w:t>2016/97, where that customer would not qualify as a professional client as defined in point (10) of Article 4(1) of MiFID II; or (iii) not a qualified investor as defined in Regulation (EU) 2017/1129 (as amended or superseded,</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200"/>
          </w:cols>
          <w:pgMar w:left="24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has been prepared on the basis that any offer of Notes in any Member State of the EEA will be made pursuant to an exemption under the Prospectus Regulation from the requirement to publish a prospectus for offers of Notes. This prospectus is not a prospectus for the purposes of the Prospectus Regulation.</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In addition, in the United Kingdom, this document is being distributed only to, and is directed only at, and any offer subsequently made may only be directed at persons who are “qualified investors” (as defined in the Prospectus Directive) who are (i) persons having professional experience in matters relating to investments falling within Article 19(5) of the Financial Services and Markets Act 2000 (Financial Promotion) Order 2005, as amended (the “Order”), or (ii) high net worth entities, companies or persons to whom it may otherwise be lawfully communicated, falling within Article 49(2)(a) to (d) of the Order, or (iii) persons to whom it would otherwise be lawful to distribute it, all such persons collectively being referred to as “relevant persons”. This document must not be acted on or relied on in the United Kingdom by persons who are not relevant persons. In the United Kingdom, any investment or investment activity to which this document relates is only available to, and any invitation, offer or agreement to subscribe, purchase or otherwise acquire such Notes will be engaged in only with, relevant persons. Any person in the United Kingdom that is not a relevant person should not act or rely on this document or its contents.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This document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document or on the merits of the Notes and any representation to the contrary is an offence.</w:t>
      </w:r>
    </w:p>
    <w:p>
      <w:pPr>
        <w:spacing w:after="0" w:line="291" w:lineRule="exact"/>
        <w:rPr>
          <w:sz w:val="20"/>
          <w:szCs w:val="20"/>
          <w:color w:val="auto"/>
        </w:rPr>
      </w:pPr>
    </w:p>
    <w:p>
      <w:pPr>
        <w:ind w:left="200"/>
        <w:spacing w:after="0" w:line="261" w:lineRule="auto"/>
        <w:rPr>
          <w:sz w:val="20"/>
          <w:szCs w:val="20"/>
          <w:color w:val="auto"/>
        </w:rPr>
      </w:pPr>
      <w:r>
        <w:rPr>
          <w:rFonts w:ascii="Arial" w:cs="Arial" w:eastAsia="Arial" w:hAnsi="Arial"/>
          <w:sz w:val="18"/>
          <w:szCs w:val="18"/>
          <w:b w:val="1"/>
          <w:bCs w:val="1"/>
          <w:color w:val="auto"/>
        </w:rPr>
        <w:t xml:space="preserve">Canadian investors are advised that this document has been prepared in reliance on section 3A.3 of National Instrument 33-105 </w:t>
      </w:r>
      <w:r>
        <w:rPr>
          <w:rFonts w:ascii="Arial" w:cs="Arial" w:eastAsia="Arial" w:hAnsi="Arial"/>
          <w:sz w:val="18"/>
          <w:szCs w:val="18"/>
          <w:b w:val="1"/>
          <w:bCs w:val="1"/>
          <w:i w:val="1"/>
          <w:iCs w:val="1"/>
          <w:color w:val="auto"/>
        </w:rPr>
        <w:t>Underwriting</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Conflicts </w:t>
      </w:r>
      <w:r>
        <w:rPr>
          <w:rFonts w:ascii="Arial" w:cs="Arial" w:eastAsia="Arial" w:hAnsi="Arial"/>
          <w:sz w:val="18"/>
          <w:szCs w:val="18"/>
          <w:b w:val="1"/>
          <w:bCs w:val="1"/>
          <w:color w:val="auto"/>
        </w:rPr>
        <w:t>(“NI 33-105”). Pursuant to section 3A.3 of NI 33-105, this document is exempt from the requirement to provide investors with certain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conflicts of interest disclosure pertaining to “connected issuer” and/or “related issuer” relationships as would otherwise be required pursuant to subsection 2.1(1) of NI 33-105.</w:t>
      </w:r>
    </w:p>
    <w:p>
      <w:pPr>
        <w:spacing w:after="0" w:line="29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The offer and sale of the Notes in Canada is being made on a private placement basis only and is exempt from the requirement to prepare and file a prospectus under applicable Canadian securities laws. Any resale of Notes acquired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Representations of Purchasers</w:t>
      </w:r>
    </w:p>
    <w:p>
      <w:pPr>
        <w:spacing w:after="0" w:line="117"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Each Canadian investor who purchases the Notes will be deemed to have represented to the issuer and to each dealer from whom a purchase confirmation is received, as applicable, that the investor (i) is purchasing as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80"/>
        <w:spacing w:after="0" w:line="279" w:lineRule="auto"/>
        <w:rPr>
          <w:sz w:val="20"/>
          <w:szCs w:val="20"/>
          <w:color w:val="auto"/>
        </w:rPr>
      </w:pPr>
      <w:r>
        <w:rPr>
          <w:rFonts w:ascii="Arial" w:cs="Arial" w:eastAsia="Arial" w:hAnsi="Arial"/>
          <w:sz w:val="17"/>
          <w:szCs w:val="17"/>
          <w:color w:val="auto"/>
        </w:rPr>
        <w:t xml:space="preserve">principal, or is deemed to be purchasing as principal in accordance with applicable Canadian securities laws, for investment only and not with a view to resale or redistribution; (ii) is an “accredited investor” as such term is defined in section 1.1 of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(“NI 45-106”) or, in Ontario, as such term is defined in section 73.3(1)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(iii) is a “permitted client” as such term is defined in section 1.1 of National Instrument 31-103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Any discussion of taxation and related matters contained in this document does not purport to be a comprehensive description of all of the tax considerations that may be relevant to a Canadian investor when 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Rights of Action for Damages or Rescission</w:t>
      </w:r>
    </w:p>
    <w:p>
      <w:pPr>
        <w:spacing w:after="0" w:line="117" w:lineRule="exact"/>
        <w:rPr>
          <w:sz w:val="20"/>
          <w:szCs w:val="20"/>
          <w:color w:val="auto"/>
        </w:rPr>
      </w:pPr>
    </w:p>
    <w:p>
      <w:pPr>
        <w:ind w:left="200" w:right="120" w:firstLine="441"/>
        <w:spacing w:after="0" w:line="290" w:lineRule="auto"/>
        <w:rPr>
          <w:sz w:val="20"/>
          <w:szCs w:val="20"/>
          <w:color w:val="auto"/>
        </w:rPr>
      </w:pPr>
      <w:r>
        <w:rPr>
          <w:rFonts w:ascii="Arial" w:cs="Arial" w:eastAsia="Arial" w:hAnsi="Arial"/>
          <w:sz w:val="16"/>
          <w:szCs w:val="16"/>
          <w:color w:val="auto"/>
        </w:rPr>
        <w:t xml:space="preserve">Securities legislation in certain of the Canadian jurisdictions provides certain purchasers of securities pursuant to an offering memorandum, including where the distribution involves an “eligible foreign security” as such term is defined in Ontario Securities Commission Rule 45-501 </w:t>
      </w:r>
      <w:r>
        <w:rPr>
          <w:rFonts w:ascii="Arial" w:cs="Arial" w:eastAsia="Arial" w:hAnsi="Arial"/>
          <w:sz w:val="16"/>
          <w:szCs w:val="16"/>
          <w:i w:val="1"/>
          <w:iCs w:val="1"/>
          <w:color w:val="auto"/>
        </w:rPr>
        <w:t>Ontario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Prospectus and Registration Exemptions </w:t>
      </w:r>
      <w:r>
        <w:rPr>
          <w:rFonts w:ascii="Arial" w:cs="Arial" w:eastAsia="Arial" w:hAnsi="Arial"/>
          <w:sz w:val="16"/>
          <w:szCs w:val="16"/>
          <w:color w:val="auto"/>
        </w:rPr>
        <w:t>and in Multilateral Instrument 45-107</w:t>
      </w:r>
      <w:r>
        <w:rPr>
          <w:rFonts w:ascii="Arial" w:cs="Arial" w:eastAsia="Arial" w:hAnsi="Arial"/>
          <w:sz w:val="16"/>
          <w:szCs w:val="16"/>
          <w:i w:val="1"/>
          <w:iCs w:val="1"/>
          <w:color w:val="auto"/>
        </w:rPr>
        <w:t xml:space="preserve"> Listing Representation and Statutory Rights of Action Disclosure Exemptions</w:t>
      </w:r>
      <w:r>
        <w:rPr>
          <w:rFonts w:ascii="Arial" w:cs="Arial" w:eastAsia="Arial" w:hAnsi="Arial"/>
          <w:sz w:val="16"/>
          <w:szCs w:val="16"/>
          <w:color w:val="auto"/>
        </w:rPr>
        <w:t>, as applicable, with a remedy for damages or rescission, or both, in addition to any other rights they may have at law, where the offering</w:t>
      </w:r>
      <w:r>
        <w:rPr>
          <w:rFonts w:ascii="Arial" w:cs="Arial" w:eastAsia="Arial" w:hAnsi="Arial"/>
          <w:sz w:val="16"/>
          <w:szCs w:val="16"/>
          <w:i w:val="1"/>
          <w:iCs w:val="1"/>
          <w:color w:val="auto"/>
        </w:rPr>
        <w:t xml:space="preserve"> </w:t>
      </w:r>
      <w:r>
        <w:rPr>
          <w:rFonts w:ascii="Arial" w:cs="Arial" w:eastAsia="Arial" w:hAnsi="Arial"/>
          <w:sz w:val="16"/>
          <w:szCs w:val="16"/>
          <w:color w:val="auto"/>
        </w:rPr>
        <w:t>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Language of Documents</w:t>
      </w:r>
    </w:p>
    <w:p>
      <w:pPr>
        <w:spacing w:after="0" w:line="11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 xml:space="preserve">Upon receipt of this document, each Canadian investor hereby confirms that it has expressly requested that all documents evidencing or relating in any way to the sale of the Notes described herein (including for greater certainty any purchase confirmation or any notice) be drawn up in the English language only. </w:t>
      </w:r>
      <w:r>
        <w:rPr>
          <w:rFonts w:ascii="Arial" w:cs="Arial" w:eastAsia="Arial" w:hAnsi="Arial"/>
          <w:sz w:val="17"/>
          <w:szCs w:val="17"/>
          <w:i w:val="1"/>
          <w:iCs w:val="1"/>
          <w:color w:val="auto"/>
        </w:rPr>
        <w:t>Par la réception de ce document, chaque investisseur canadien confirme par les présentes qu’il a expressément exigé que tous les</w:t>
      </w:r>
      <w:r>
        <w:rPr>
          <w:rFonts w:ascii="Arial" w:cs="Arial" w:eastAsia="Arial" w:hAnsi="Arial"/>
          <w:sz w:val="17"/>
          <w:szCs w:val="17"/>
          <w:color w:val="auto"/>
        </w:rPr>
        <w:t xml:space="preserve"> </w:t>
      </w:r>
      <w:r>
        <w:rPr>
          <w:rFonts w:ascii="Arial" w:cs="Arial" w:eastAsia="Arial" w:hAnsi="Arial"/>
          <w:sz w:val="17"/>
          <w:szCs w:val="17"/>
          <w:i w:val="1"/>
          <w:iCs w:val="1"/>
          <w:color w:val="auto"/>
        </w:rPr>
        <w:t>documents faisant foi ou se rapportant de quelque manière que ce soit à la vente des valeurs mobilières décrites aux présentes (incluant, pour plus de certitude, toute confirmation d’achat ou tout avis) soient rédigés en anglais seulement.</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121"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 xml:space="preserve">Neither this prospectus supplement nor any other offering material relating to the Notes described in this prospectus supplement has been submitted to the clearance procedures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or of the competent authority of another member state of the European Economic Area and notified to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The Notes have not been offered or sold and will not be offered or sold, directly or indirectly, to the public in France. Neither this prospectus supplement nor any other offering material relating to the Notes has been or will be:</w:t>
      </w:r>
    </w:p>
    <w:p>
      <w:pPr>
        <w:spacing w:after="0" w:line="60" w:lineRule="exact"/>
        <w:rPr>
          <w:sz w:val="20"/>
          <w:szCs w:val="20"/>
          <w:color w:val="auto"/>
        </w:rPr>
      </w:pPr>
    </w:p>
    <w:p>
      <w:pPr>
        <w:ind w:left="860" w:hanging="224"/>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Notes to the public in France.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131" w:lineRule="exact"/>
        <w:rPr>
          <w:sz w:val="20"/>
          <w:szCs w:val="20"/>
          <w:color w:val="auto"/>
        </w:rPr>
      </w:pPr>
    </w:p>
    <w:p>
      <w:pPr>
        <w:ind w:left="860" w:right="40" w:hanging="224"/>
        <w:spacing w:after="0" w:line="264" w:lineRule="auto"/>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xml:space="preserve">), in each case investing for their own account, all as defined in, and in accordance with, articles L.411-2, D.411-1, D.411-2, D.734-1, D.744-1, D.754-1 and D.764-1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860" w:hanging="224"/>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30" w:lineRule="exact"/>
        <w:rPr>
          <w:rFonts w:ascii="Arial" w:cs="Arial" w:eastAsia="Arial" w:hAnsi="Arial"/>
          <w:sz w:val="18"/>
          <w:szCs w:val="18"/>
          <w:color w:val="auto"/>
        </w:rPr>
      </w:pPr>
    </w:p>
    <w:p>
      <w:pPr>
        <w:ind w:left="860" w:right="60" w:hanging="224"/>
        <w:spacing w:after="0" w:line="342" w:lineRule="auto"/>
        <w:tabs>
          <w:tab w:leader="none" w:pos="8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in a transaction that, in accordance with article L.411-2-II-1° -or-2° -or 3° of the French </w:t>
      </w:r>
      <w:r>
        <w:rPr>
          <w:rFonts w:ascii="Arial" w:cs="Arial" w:eastAsia="Arial" w:hAnsi="Arial"/>
          <w:sz w:val="16"/>
          <w:szCs w:val="16"/>
          <w:i w:val="1"/>
          <w:iCs w:val="1"/>
          <w:color w:val="auto"/>
        </w:rPr>
        <w:t>Code monétaire et financier</w:t>
      </w:r>
      <w:r>
        <w:rPr>
          <w:rFonts w:ascii="Arial" w:cs="Arial" w:eastAsia="Arial" w:hAnsi="Arial"/>
          <w:sz w:val="16"/>
          <w:szCs w:val="16"/>
          <w:color w:val="auto"/>
        </w:rPr>
        <w:t xml:space="preserve"> and article 211-2 of the General Regulations (</w:t>
      </w:r>
      <w:r>
        <w:rPr>
          <w:rFonts w:ascii="Arial" w:cs="Arial" w:eastAsia="Arial" w:hAnsi="Arial"/>
          <w:sz w:val="16"/>
          <w:szCs w:val="16"/>
          <w:i w:val="1"/>
          <w:iCs w:val="1"/>
          <w:color w:val="auto"/>
        </w:rPr>
        <w:t>Règlement Général</w:t>
      </w:r>
      <w:r>
        <w:rPr>
          <w:rFonts w:ascii="Arial" w:cs="Arial" w:eastAsia="Arial" w:hAnsi="Arial"/>
          <w:sz w:val="16"/>
          <w:szCs w:val="16"/>
          <w:color w:val="auto"/>
        </w:rPr>
        <w:t xml:space="preserve">)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does not constitute a public offer (</w:t>
      </w:r>
      <w:r>
        <w:rPr>
          <w:rFonts w:ascii="Arial" w:cs="Arial" w:eastAsia="Arial" w:hAnsi="Arial"/>
          <w:sz w:val="16"/>
          <w:szCs w:val="16"/>
          <w:i w:val="1"/>
          <w:iCs w:val="1"/>
          <w:color w:val="auto"/>
        </w:rPr>
        <w:t>appel public àl’épargne</w:t>
      </w:r>
      <w:r>
        <w:rPr>
          <w:rFonts w:ascii="Arial" w:cs="Arial" w:eastAsia="Arial" w:hAnsi="Arial"/>
          <w:sz w:val="16"/>
          <w:szCs w:val="16"/>
          <w:color w:val="auto"/>
        </w:rPr>
        <w:t>).</w:t>
      </w:r>
    </w:p>
    <w:p>
      <w:pPr>
        <w:spacing w:after="0" w:line="124"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 xml:space="preserve">The Notes may be resold directly or indirectly, only in compliance with articles L.411-1, L.411-2, L.412-1 and L.621-8 through L.621-8-3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Notes offered in this prospectus supplement have not been registered under the Securities and Exchange Law of Japan. The Notes have not been offered or sold and will not be offered or sold, directly or indirectly, in Japan or to or for the account of any resident of Japan, except (i) pursuant to an exemption from the registration requirements of the Securities and Exchange Law and (ii) in compliance with any other applicable requirements of Japanese law.</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 the Notes are subscribed or purchased under Section 275 of the SFA by a relevant person which is:</w:t>
      </w:r>
    </w:p>
    <w:p>
      <w:pPr>
        <w:spacing w:after="0" w:line="131" w:lineRule="exact"/>
        <w:rPr>
          <w:sz w:val="20"/>
          <w:szCs w:val="20"/>
          <w:color w:val="auto"/>
        </w:rPr>
      </w:pPr>
    </w:p>
    <w:p>
      <w:pPr>
        <w:ind w:left="860" w:right="100" w:hanging="224"/>
        <w:spacing w:after="0" w:line="308" w:lineRule="auto"/>
        <w:tabs>
          <w:tab w:leader="none" w:pos="8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200"/>
          </w:cols>
          <w:pgMar w:left="24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0" w:right="640" w:hanging="224"/>
        <w:spacing w:after="0" w:line="277" w:lineRule="auto"/>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shares, debentures 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87" w:lineRule="exact"/>
        <w:rPr>
          <w:sz w:val="20"/>
          <w:szCs w:val="20"/>
          <w:color w:val="auto"/>
        </w:rPr>
      </w:pPr>
    </w:p>
    <w:p>
      <w:pPr>
        <w:ind w:left="860" w:hanging="224"/>
        <w:spacing w:after="0" w:line="257" w:lineRule="auto"/>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 or</w:t>
      </w:r>
    </w:p>
    <w:p>
      <w:pPr>
        <w:spacing w:after="0" w:line="93" w:lineRule="exact"/>
        <w:rPr>
          <w:rFonts w:ascii="Arial" w:cs="Arial" w:eastAsia="Arial" w:hAnsi="Arial"/>
          <w:sz w:val="18"/>
          <w:szCs w:val="18"/>
          <w:color w:val="auto"/>
        </w:rPr>
      </w:pPr>
    </w:p>
    <w:p>
      <w:pPr>
        <w:ind w:left="860" w:hanging="224"/>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248"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b w:val="1"/>
          <w:bCs w:val="1"/>
          <w:i w:val="1"/>
          <w:iCs w:val="1"/>
          <w:color w:val="auto"/>
        </w:rPr>
        <w:t xml:space="preserve">Singapore Securities and Futures Act Product Classification </w:t>
      </w:r>
      <w:r>
        <w:rPr>
          <w:rFonts w:ascii="Arial" w:cs="Arial" w:eastAsia="Arial" w:hAnsi="Arial"/>
          <w:sz w:val="17"/>
          <w:szCs w:val="17"/>
          <w:color w:val="auto"/>
        </w:rPr>
        <w:t>– Solely for the purposes of its obligations pursuant to sections 309B(1)(a)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309B(1)(c) of the Securities and Futures Act (Chapter 289 of Singapore)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This prospectus supplement and the accompanying prospectus do not constitute an issue prospectus pursuant to Article 652a or Article 1156 of the Swiss Code of Obligations and the Notes will not be listed on the SIX Swiss Exchange. Therefore, this prospectus supplement and the accompanying prospectus may not comply with the disclosure standards of the listing rules (including any additional listing rules or prospectus schemes) of the SIX Swiss Exchange.</w:t>
      </w:r>
    </w:p>
    <w:p>
      <w:pPr>
        <w:spacing w:after="0" w:line="187" w:lineRule="exact"/>
        <w:rPr>
          <w:sz w:val="20"/>
          <w:szCs w:val="20"/>
          <w:color w:val="auto"/>
        </w:rPr>
      </w:pPr>
    </w:p>
    <w:p>
      <w:pPr>
        <w:ind w:left="200" w:right="200" w:firstLine="441"/>
        <w:spacing w:after="0" w:line="308" w:lineRule="auto"/>
        <w:rPr>
          <w:sz w:val="20"/>
          <w:szCs w:val="20"/>
          <w:color w:val="auto"/>
        </w:rPr>
      </w:pPr>
      <w:r>
        <w:rPr>
          <w:rFonts w:ascii="Arial" w:cs="Arial" w:eastAsia="Arial" w:hAnsi="Arial"/>
          <w:sz w:val="17"/>
          <w:szCs w:val="17"/>
          <w:color w:val="auto"/>
        </w:rPr>
        <w:t>Accordingly, the Notes may not be offered to the public in or from Switzerland, but only to a selected and limited circle of investors who do not subscribe to the Notes with a view to distribution. Any such investors will be individually approached by the underwriters from time to time.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Taiwan</w:t>
      </w:r>
    </w:p>
    <w:p>
      <w:pPr>
        <w:spacing w:after="0" w:line="121"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The Notes have not been, and will not be, registered with the Financial Supervisory Commission of Taiwan, the Republic of China (“Taiwan”) pursuant to applicable securities laws and regulations. No person or entity in Taiwan is authorized to distribute or otherwise intermediate the offering of the Notes or the provision of information relating to the offering of the Notes, including, but not limited to, this prospectus supplement and the accompanying prospectus. The Notes may be made available for purchase outside Taiwan by investors residing in Taiwan (either directly or through properly licensed Taiwan intermediaries acting on behalf of such investors), but may not be issued, offered or sold in Taiwan.</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200"/>
          </w:cols>
          <w:pgMar w:left="24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Plan Investors</w:t>
      </w:r>
    </w:p>
    <w:p>
      <w:pPr>
        <w:spacing w:after="0" w:line="121"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auto"/>
        </w:rPr>
        <w:t>Each purchaser of the Notes that is (1) an employee benefit plan subject to Title I of the Employee Retirement Income Security Act of 1974, as amended (“ERISA”), (2) a plan or account subject to Section 4975 of the Internal Revenue Code of 1986, as amended (the “Code”), or (3) an entity deemed to hold “plan assets” of any such employee benefit plan, plan or account, by acceptance of a Note, will be deemed to have represented and warranted that a fiduciary acting on its behalf is causing it to purchase the Notes and that such fiduciary:</w:t>
      </w:r>
    </w:p>
    <w:p>
      <w:pPr>
        <w:spacing w:after="0" w:line="77" w:lineRule="exact"/>
        <w:rPr>
          <w:sz w:val="20"/>
          <w:szCs w:val="20"/>
          <w:color w:val="auto"/>
        </w:rPr>
      </w:pPr>
    </w:p>
    <w:p>
      <w:pPr>
        <w:ind w:left="1180" w:hanging="544"/>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 independent of the issuer, each underwriter and their respective affiliates (the “Transaction Parties”);</w:t>
      </w:r>
    </w:p>
    <w:p>
      <w:pPr>
        <w:spacing w:after="0" w:line="130" w:lineRule="exact"/>
        <w:rPr>
          <w:rFonts w:ascii="Arial" w:cs="Arial" w:eastAsia="Arial" w:hAnsi="Arial"/>
          <w:sz w:val="18"/>
          <w:szCs w:val="18"/>
          <w:color w:val="auto"/>
        </w:rPr>
      </w:pPr>
    </w:p>
    <w:p>
      <w:pPr>
        <w:ind w:left="1180" w:right="660" w:hanging="544"/>
        <w:spacing w:after="0" w:line="277"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 capable of evaluating investment risks independently, both in general and with regard to particular transactions and investment strategies, including the purchaser’s transactions with the Transaction Parties hereunder;</w:t>
      </w:r>
    </w:p>
    <w:p>
      <w:pPr>
        <w:spacing w:after="0" w:line="75" w:lineRule="exact"/>
        <w:rPr>
          <w:rFonts w:ascii="Arial" w:cs="Arial" w:eastAsia="Arial" w:hAnsi="Arial"/>
          <w:sz w:val="18"/>
          <w:szCs w:val="18"/>
          <w:color w:val="auto"/>
        </w:rPr>
      </w:pPr>
    </w:p>
    <w:p>
      <w:pPr>
        <w:ind w:left="1180" w:hanging="544"/>
        <w:spacing w:after="0" w:line="264"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Has been advised that none of the Transaction Parties has undertaken or will undertake to provide impartial investment advice, or has given or will give advice in a fiduciary capacity, in connection with the purchaser’s transactions with the Transaction Parties contemplated hereby;</w:t>
      </w:r>
    </w:p>
    <w:p>
      <w:pPr>
        <w:spacing w:after="0" w:line="86" w:lineRule="exact"/>
        <w:rPr>
          <w:rFonts w:ascii="Arial" w:cs="Arial" w:eastAsia="Arial" w:hAnsi="Arial"/>
          <w:sz w:val="18"/>
          <w:szCs w:val="18"/>
          <w:color w:val="auto"/>
        </w:rPr>
      </w:pPr>
    </w:p>
    <w:p>
      <w:pPr>
        <w:ind w:left="1180" w:right="320" w:hanging="544"/>
        <w:spacing w:after="0" w:line="264"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 a “fiduciary” under Section 3(21)(a) of ERISA or Section 4975(e)(3) of the Code, or both, as applicable, with respect to, and is responsible for exercising independent judgment in evaluating, the purchaser’s transactions with the Transaction Parties contemplated hereby; and</w:t>
      </w:r>
    </w:p>
    <w:p>
      <w:pPr>
        <w:spacing w:after="0" w:line="86" w:lineRule="exact"/>
        <w:rPr>
          <w:rFonts w:ascii="Arial" w:cs="Arial" w:eastAsia="Arial" w:hAnsi="Arial"/>
          <w:sz w:val="18"/>
          <w:szCs w:val="18"/>
          <w:color w:val="auto"/>
        </w:rPr>
      </w:pPr>
    </w:p>
    <w:p>
      <w:pPr>
        <w:ind w:left="1180" w:hanging="544"/>
        <w:spacing w:after="0" w:line="293" w:lineRule="auto"/>
        <w:tabs>
          <w:tab w:leader="none" w:pos="11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Understands and acknowledges the existence and nature of the underwriting discounts, commissions and fees, and any other related fees, compensation arrangements or financial interests described in this prospectus supplement; and understands, acknowledges and agrees that no such fee or other compensation is a fee or other compensation for the provision of investment advice, and that none of the Transaction Parties, nor any of their respective directors, officers, members, partners, employees, principals or agents has received or will receive a fee or other compensation from the purchaser or such fiduciary for the provision of investment advice (rather than other services) in connection with the purchaser’s transactions with the Transaction Parties contemplated hereby.</w:t>
      </w:r>
    </w:p>
    <w:p>
      <w:pPr>
        <w:spacing w:after="0" w:line="9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40"/>
          </w:cols>
          <w:pgMar w:left="240" w:top="459" w:right="5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VALIDITY OF SECURITIES</w:t>
      </w:r>
    </w:p>
    <w:p>
      <w:pPr>
        <w:spacing w:after="0" w:line="229"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legality of the Notes offered hereby will be passed upon for us by Davis Polk &amp; Wardwell LLP, Menlo Park, California. Certain legal matters will be passed upon for the underwriters by Simpson Thacher &amp; Bartlett LLP, New York, New York.</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included in our Annual Report on Form 10-K for the year ended December 31, 2018, and the effectiveness of our internal control over financial reporting as of December 31, 2018, as set forth in their reports, which are incorporated by reference herein. Our financial statements are incorporated by reference in reliance on Ernst &amp; Young LLP’s reports, given on their authority as experts in accounting and auditing.</w:t>
      </w: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file annual, quarterly and current reports, proxy statements and other information with the SEC. The SEC maintains a website at www.sec.gov, from which interested persons can electronically access our SEC filings, including the registration statement of which this prospectus forms a part and the exhibits and schedules thereto.</w:t>
      </w:r>
    </w:p>
    <w:p>
      <w:pPr>
        <w:spacing w:after="0" w:line="181" w:lineRule="exact"/>
        <w:rPr>
          <w:sz w:val="20"/>
          <w:szCs w:val="20"/>
          <w:color w:val="auto"/>
        </w:rPr>
      </w:pPr>
    </w:p>
    <w:p>
      <w:pPr>
        <w:ind w:left="200" w:right="20" w:firstLine="441"/>
        <w:spacing w:after="0" w:line="289" w:lineRule="auto"/>
        <w:rPr>
          <w:rFonts w:ascii="Arial" w:cs="Arial" w:eastAsia="Arial" w:hAnsi="Arial"/>
          <w:sz w:val="16"/>
          <w:szCs w:val="16"/>
          <w:color w:val="auto"/>
        </w:rPr>
      </w:pPr>
      <w:r>
        <w:rPr>
          <w:rFonts w:ascii="Arial" w:cs="Arial" w:eastAsia="Arial" w:hAnsi="Arial"/>
          <w:sz w:val="16"/>
          <w:szCs w:val="16"/>
          <w:color w:val="auto"/>
        </w:rPr>
        <w:t xml:space="preserve">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the Annual Report on </w:t>
      </w:r>
      <w:hyperlink r:id="rId49">
        <w:r>
          <w:rPr>
            <w:rFonts w:ascii="Arial" w:cs="Arial" w:eastAsia="Arial" w:hAnsi="Arial"/>
            <w:sz w:val="16"/>
            <w:szCs w:val="16"/>
            <w:u w:val="single" w:color="auto"/>
            <w:color w:val="0000EE"/>
          </w:rPr>
          <w:t>Form 10-K</w:t>
        </w:r>
      </w:hyperlink>
      <w:r>
        <w:rPr>
          <w:rFonts w:ascii="Arial" w:cs="Arial" w:eastAsia="Arial" w:hAnsi="Arial"/>
          <w:sz w:val="16"/>
          <w:szCs w:val="16"/>
          <w:color w:val="auto"/>
        </w:rPr>
        <w:t xml:space="preserve"> for the year ended December 31, 2018, filed on February 22, 2019, the sections of the Definitive Proxy Statement on </w:t>
      </w:r>
      <w:hyperlink r:id="rId50">
        <w:r>
          <w:rPr>
            <w:rFonts w:ascii="Arial" w:cs="Arial" w:eastAsia="Arial" w:hAnsi="Arial"/>
            <w:sz w:val="16"/>
            <w:szCs w:val="16"/>
            <w:u w:val="single" w:color="auto"/>
            <w:color w:val="0000EE"/>
          </w:rPr>
          <w:t>Schedule 14A</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for the 2019 annual meeting of stockholders, filed on March 12, 2019 and incorporated by reference in the Annual Report on </w:t>
      </w:r>
      <w:hyperlink r:id="rId49">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for the year ended December 31, 2018, the Quarterly Reports on Form 10-Q for the periods ended </w:t>
      </w:r>
      <w:hyperlink r:id="rId51">
        <w:r>
          <w:rPr>
            <w:rFonts w:ascii="Arial" w:cs="Arial" w:eastAsia="Arial" w:hAnsi="Arial"/>
            <w:sz w:val="16"/>
            <w:szCs w:val="16"/>
            <w:u w:val="single" w:color="auto"/>
            <w:color w:val="0000EE"/>
          </w:rPr>
          <w:t>March 31, 2019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r:id="rId52">
        <w:r>
          <w:rPr>
            <w:rFonts w:ascii="Arial" w:cs="Arial" w:eastAsia="Arial" w:hAnsi="Arial"/>
            <w:sz w:val="16"/>
            <w:szCs w:val="16"/>
            <w:u w:val="single" w:color="auto"/>
            <w:color w:val="0000EE"/>
          </w:rPr>
          <w:t>June 30, 2019</w:t>
        </w:r>
      </w:hyperlink>
      <w:r>
        <w:rPr>
          <w:rFonts w:ascii="Arial" w:cs="Arial" w:eastAsia="Arial" w:hAnsi="Arial"/>
          <w:sz w:val="16"/>
          <w:szCs w:val="16"/>
          <w:color w:val="auto"/>
        </w:rPr>
        <w:t xml:space="preserve">, filed on April 30, 2019 and July 31, 2019, respectively, the Current Reports on Form 8-K filed on </w:t>
      </w:r>
      <w:hyperlink r:id="rId53">
        <w:r>
          <w:rPr>
            <w:rFonts w:ascii="Arial" w:cs="Arial" w:eastAsia="Arial" w:hAnsi="Arial"/>
            <w:sz w:val="16"/>
            <w:szCs w:val="16"/>
            <w:u w:val="single" w:color="auto"/>
            <w:color w:val="0000EE"/>
          </w:rPr>
          <w:t>March 11, 2019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r:id="rId54">
        <w:r>
          <w:rPr>
            <w:rFonts w:ascii="Arial" w:cs="Arial" w:eastAsia="Arial" w:hAnsi="Arial"/>
            <w:sz w:val="16"/>
            <w:szCs w:val="16"/>
            <w:u w:val="single" w:color="auto"/>
            <w:color w:val="0000EE"/>
          </w:rPr>
          <w:t>April 29, 2019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and all documents subsequently filed with the SEC pursuant to Section 13(a), 13(c), 14, or 15(d) of the Exchange Act (other than those documents or the portions of those documents furnished, including pursuant to Items 2.02 or 7.01 of any Current Report on Form 8-K) prior to the termination of the offering under this prospectus supplement.</w:t>
      </w:r>
    </w:p>
    <w:p>
      <w:pPr>
        <w:spacing w:after="0" w:line="167" w:lineRule="exact"/>
        <w:rPr>
          <w:rFonts w:ascii="Arial" w:cs="Arial" w:eastAsia="Arial" w:hAnsi="Arial"/>
          <w:sz w:val="16"/>
          <w:szCs w:val="16"/>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w:t>
      </w:r>
    </w:p>
    <w:p>
      <w:pPr>
        <w:spacing w:after="0" w:line="181" w:lineRule="exact"/>
        <w:rPr>
          <w:rFonts w:ascii="Arial" w:cs="Arial" w:eastAsia="Arial" w:hAnsi="Arial"/>
          <w:sz w:val="16"/>
          <w:szCs w:val="16"/>
          <w:color w:val="auto"/>
        </w:rPr>
      </w:pPr>
    </w:p>
    <w:p>
      <w:pPr>
        <w:ind w:left="200" w:firstLine="441"/>
        <w:spacing w:after="0" w:line="312" w:lineRule="auto"/>
        <w:rPr>
          <w:sz w:val="20"/>
          <w:szCs w:val="20"/>
          <w:color w:val="auto"/>
        </w:rPr>
      </w:pPr>
      <w:r>
        <w:rPr>
          <w:rFonts w:ascii="Arial" w:cs="Arial" w:eastAsia="Arial" w:hAnsi="Arial"/>
          <w:sz w:val="16"/>
          <w:szCs w:val="16"/>
          <w:color w:val="auto"/>
        </w:rPr>
        <w:t>You may request a copy of these filings at no cost, by writing or telephoning us at: P.O. Box 660199, MS 8657, Dallas, Texas 75266-0199, Attention: Manager of Investor Relations, (214) 479-3773. Information about us, including our SEC filings, is also available at our website at www.ti.com. However, the information on or accessible through our website is not a part of this prospectus supplement or the accompanying prospectus.</w:t>
      </w:r>
    </w:p>
    <w:p>
      <w:pPr>
        <w:spacing w:after="0" w:line="79" w:lineRule="exact"/>
        <w:rPr>
          <w:rFonts w:ascii="Arial" w:cs="Arial" w:eastAsia="Arial" w:hAnsi="Arial"/>
          <w:sz w:val="16"/>
          <w:szCs w:val="16"/>
          <w:color w:val="auto"/>
        </w:rPr>
      </w:pPr>
    </w:p>
    <w:p>
      <w:pPr>
        <w:jc w:val="center"/>
        <w:ind w:right="-2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200"/>
          </w:cols>
          <w:pgMar w:left="24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172085</wp:posOffset>
            </wp:positionV>
            <wp:extent cx="2864485" cy="660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286448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19"/>
        <w:spacing w:after="0"/>
        <w:rPr>
          <w:sz w:val="20"/>
          <w:szCs w:val="20"/>
          <w:color w:val="auto"/>
        </w:rPr>
      </w:pPr>
      <w:r>
        <w:rPr>
          <w:rFonts w:ascii="Arial" w:cs="Arial" w:eastAsia="Arial" w:hAnsi="Arial"/>
          <w:sz w:val="43"/>
          <w:szCs w:val="43"/>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262255</wp:posOffset>
            </wp:positionV>
            <wp:extent cx="14662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following are types of securities that may be offered and sold by Texas Instruments Incorporated or by selling security holders under this prospectus from time to time:</w:t>
      </w:r>
    </w:p>
    <w:p>
      <w:pPr>
        <w:sectPr>
          <w:pgSz w:w="11900" w:h="16838" w:orient="portrait"/>
          <w:cols w:equalWidth="0" w:num="1">
            <w:col w:w="11220"/>
          </w:cols>
          <w:pgMar w:left="240" w:top="459" w:right="439" w:bottom="1440" w:gutter="0" w:footer="0" w:header="0"/>
        </w:sectPr>
      </w:pPr>
    </w:p>
    <w:p>
      <w:pPr>
        <w:spacing w:after="0" w:line="7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Common stock</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Warrants</w:t>
      </w:r>
    </w:p>
    <w:p>
      <w:pPr>
        <w:spacing w:after="0" w:line="151" w:lineRule="exact"/>
        <w:rPr>
          <w:sz w:val="20"/>
          <w:szCs w:val="20"/>
          <w:color w:val="auto"/>
        </w:rPr>
      </w:pPr>
    </w:p>
    <w:p>
      <w:pPr>
        <w:sectPr>
          <w:pgSz w:w="11900" w:h="16838" w:orient="portrait"/>
          <w:cols w:equalWidth="0" w:num="4">
            <w:col w:w="260" w:space="280"/>
            <w:col w:w="4580" w:space="720"/>
            <w:col w:w="60" w:space="280"/>
            <w:col w:w="504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Preferred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Units</w:t>
      </w:r>
    </w:p>
    <w:p>
      <w:pPr>
        <w:spacing w:after="0" w:line="140" w:lineRule="exact"/>
        <w:rPr>
          <w:sz w:val="20"/>
          <w:szCs w:val="20"/>
          <w:color w:val="auto"/>
        </w:rPr>
      </w:pPr>
    </w:p>
    <w:p>
      <w:pPr>
        <w:sectPr>
          <w:pgSz w:w="11900" w:h="16838" w:orient="portrait"/>
          <w:cols w:equalWidth="0" w:num="4">
            <w:col w:w="260" w:space="280"/>
            <w:col w:w="4580" w:space="720"/>
            <w:col w:w="60" w:space="280"/>
            <w:col w:w="5040"/>
          </w:cols>
          <w:pgMar w:left="240" w:top="459" w:right="439" w:bottom="1440" w:gutter="0" w:footer="0" w:header="0"/>
          <w:type w:val="continuous"/>
        </w:sectPr>
      </w:pPr>
    </w:p>
    <w:p>
      <w:pPr>
        <w:ind w:left="540" w:hanging="336"/>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225"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The securities may be offered by us or by selling security holders in amounts, at prices and on terms determined at the time of the offering. The securities may be sold directly to you, through agents, or through underwriters and dealers. If agents, underwriters or dealers are used to sell the securities, we will name them and describe their compensation in a prospectus supplement. You should read this prospectus and any prospectus supplement carefully before you invest.</w:t>
      </w:r>
    </w:p>
    <w:p>
      <w:pPr>
        <w:spacing w:after="0" w:line="187"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76"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Maturity</w:t>
            </w:r>
          </w:p>
        </w:tc>
        <w:tc>
          <w:tcPr>
            <w:tcW w:w="1660" w:type="dxa"/>
            <w:vAlign w:val="bottom"/>
          </w:tcPr>
          <w:p>
            <w:pPr>
              <w:ind w:left="1460"/>
              <w:spacing w:after="0"/>
              <w:rPr>
                <w:sz w:val="20"/>
                <w:szCs w:val="20"/>
                <w:color w:val="auto"/>
              </w:rPr>
            </w:pPr>
            <w:r>
              <w:rPr>
                <w:rFonts w:ascii="Arial" w:cs="Arial" w:eastAsia="Arial" w:hAnsi="Arial"/>
                <w:sz w:val="18"/>
                <w:szCs w:val="18"/>
                <w:color w:val="auto"/>
              </w:rPr>
              <w:t>•</w:t>
            </w:r>
          </w:p>
        </w:tc>
        <w:tc>
          <w:tcPr>
            <w:tcW w:w="3180" w:type="dxa"/>
            <w:vAlign w:val="bottom"/>
          </w:tcPr>
          <w:p>
            <w:pPr>
              <w:ind w:left="140"/>
              <w:spacing w:after="0"/>
              <w:rPr>
                <w:sz w:val="20"/>
                <w:szCs w:val="20"/>
                <w:color w:val="auto"/>
              </w:rPr>
            </w:pPr>
            <w:r>
              <w:rPr>
                <w:rFonts w:ascii="Arial" w:cs="Arial" w:eastAsia="Arial" w:hAnsi="Arial"/>
                <w:sz w:val="18"/>
                <w:szCs w:val="18"/>
                <w:color w:val="auto"/>
              </w:rPr>
              <w:t>Redemption terms</w:t>
            </w:r>
          </w:p>
        </w:tc>
        <w:tc>
          <w:tcPr>
            <w:tcW w:w="1060" w:type="dxa"/>
            <w:vAlign w:val="bottom"/>
          </w:tcPr>
          <w:p>
            <w:pPr>
              <w:ind w:left="860"/>
              <w:spacing w:after="0"/>
              <w:rPr>
                <w:sz w:val="20"/>
                <w:szCs w:val="20"/>
                <w:color w:val="auto"/>
              </w:rPr>
            </w:pPr>
            <w:r>
              <w:rPr>
                <w:rFonts w:ascii="Arial" w:cs="Arial" w:eastAsia="Arial" w:hAnsi="Arial"/>
                <w:sz w:val="18"/>
                <w:szCs w:val="18"/>
                <w:color w:val="auto"/>
              </w:rPr>
              <w:t>•</w:t>
            </w:r>
          </w:p>
        </w:tc>
        <w:tc>
          <w:tcPr>
            <w:tcW w:w="1720" w:type="dxa"/>
            <w:vAlign w:val="bottom"/>
          </w:tcPr>
          <w:p>
            <w:pPr>
              <w:ind w:left="140"/>
              <w:spacing w:after="0"/>
              <w:rPr>
                <w:sz w:val="20"/>
                <w:szCs w:val="20"/>
                <w:color w:val="auto"/>
              </w:rPr>
            </w:pPr>
            <w:r>
              <w:rPr>
                <w:rFonts w:ascii="Arial" w:cs="Arial" w:eastAsia="Arial" w:hAnsi="Arial"/>
                <w:sz w:val="18"/>
                <w:szCs w:val="18"/>
                <w:color w:val="auto"/>
              </w:rPr>
              <w:t>Liquidation amount</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Interest rate</w:t>
            </w:r>
          </w:p>
        </w:tc>
        <w:tc>
          <w:tcPr>
            <w:tcW w:w="1660" w:type="dxa"/>
            <w:vAlign w:val="bottom"/>
          </w:tcPr>
          <w:p>
            <w:pPr>
              <w:ind w:left="1460"/>
              <w:spacing w:after="0"/>
              <w:rPr>
                <w:sz w:val="20"/>
                <w:szCs w:val="20"/>
                <w:color w:val="auto"/>
              </w:rPr>
            </w:pPr>
            <w:r>
              <w:rPr>
                <w:rFonts w:ascii="Arial" w:cs="Arial" w:eastAsia="Arial" w:hAnsi="Arial"/>
                <w:sz w:val="18"/>
                <w:szCs w:val="18"/>
                <w:color w:val="auto"/>
              </w:rPr>
              <w:t>•</w:t>
            </w:r>
          </w:p>
        </w:tc>
        <w:tc>
          <w:tcPr>
            <w:tcW w:w="3180" w:type="dxa"/>
            <w:vAlign w:val="bottom"/>
          </w:tcPr>
          <w:p>
            <w:pPr>
              <w:ind w:left="140"/>
              <w:spacing w:after="0"/>
              <w:rPr>
                <w:sz w:val="20"/>
                <w:szCs w:val="20"/>
                <w:color w:val="auto"/>
              </w:rPr>
            </w:pPr>
            <w:r>
              <w:rPr>
                <w:rFonts w:ascii="Arial" w:cs="Arial" w:eastAsia="Arial" w:hAnsi="Arial"/>
                <w:sz w:val="18"/>
                <w:szCs w:val="18"/>
                <w:color w:val="auto"/>
              </w:rPr>
              <w:t>Listing on a security exchange</w:t>
            </w:r>
          </w:p>
        </w:tc>
        <w:tc>
          <w:tcPr>
            <w:tcW w:w="1060" w:type="dxa"/>
            <w:vAlign w:val="bottom"/>
          </w:tcPr>
          <w:p>
            <w:pPr>
              <w:ind w:left="860"/>
              <w:spacing w:after="0"/>
              <w:rPr>
                <w:sz w:val="20"/>
                <w:szCs w:val="20"/>
                <w:color w:val="auto"/>
              </w:rPr>
            </w:pPr>
            <w:r>
              <w:rPr>
                <w:rFonts w:ascii="Arial" w:cs="Arial" w:eastAsia="Arial" w:hAnsi="Arial"/>
                <w:sz w:val="18"/>
                <w:szCs w:val="18"/>
                <w:color w:val="auto"/>
              </w:rPr>
              <w:t>•</w:t>
            </w:r>
          </w:p>
        </w:tc>
        <w:tc>
          <w:tcPr>
            <w:tcW w:w="1720" w:type="dxa"/>
            <w:vAlign w:val="bottom"/>
          </w:tcPr>
          <w:p>
            <w:pPr>
              <w:ind w:left="140"/>
              <w:spacing w:after="0"/>
              <w:rPr>
                <w:sz w:val="20"/>
                <w:szCs w:val="20"/>
                <w:color w:val="auto"/>
              </w:rPr>
            </w:pPr>
            <w:r>
              <w:rPr>
                <w:rFonts w:ascii="Arial" w:cs="Arial" w:eastAsia="Arial" w:hAnsi="Arial"/>
                <w:sz w:val="18"/>
                <w:szCs w:val="18"/>
                <w:color w:val="auto"/>
                <w:w w:val="87"/>
              </w:rPr>
              <w:t>Subsidiary guarantees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Currency of payments</w:t>
            </w:r>
          </w:p>
        </w:tc>
        <w:tc>
          <w:tcPr>
            <w:tcW w:w="1660" w:type="dxa"/>
            <w:vAlign w:val="bottom"/>
          </w:tcPr>
          <w:p>
            <w:pPr>
              <w:ind w:left="1460"/>
              <w:spacing w:after="0"/>
              <w:rPr>
                <w:sz w:val="20"/>
                <w:szCs w:val="20"/>
                <w:color w:val="auto"/>
              </w:rPr>
            </w:pPr>
            <w:r>
              <w:rPr>
                <w:rFonts w:ascii="Arial" w:cs="Arial" w:eastAsia="Arial" w:hAnsi="Arial"/>
                <w:sz w:val="18"/>
                <w:szCs w:val="18"/>
                <w:color w:val="auto"/>
              </w:rPr>
              <w:t>•</w:t>
            </w:r>
          </w:p>
        </w:tc>
        <w:tc>
          <w:tcPr>
            <w:tcW w:w="3180" w:type="dxa"/>
            <w:vAlign w:val="bottom"/>
          </w:tcPr>
          <w:p>
            <w:pPr>
              <w:ind w:left="120"/>
              <w:spacing w:after="0"/>
              <w:rPr>
                <w:sz w:val="20"/>
                <w:szCs w:val="20"/>
                <w:color w:val="auto"/>
              </w:rPr>
            </w:pPr>
            <w:r>
              <w:rPr>
                <w:rFonts w:ascii="Arial" w:cs="Arial" w:eastAsia="Arial" w:hAnsi="Arial"/>
                <w:sz w:val="18"/>
                <w:szCs w:val="18"/>
                <w:color w:val="auto"/>
              </w:rPr>
              <w:t>Amount payable at maturity</w:t>
            </w:r>
          </w:p>
        </w:tc>
        <w:tc>
          <w:tcPr>
            <w:tcW w:w="1060" w:type="dxa"/>
            <w:vAlign w:val="bottom"/>
          </w:tcPr>
          <w:p>
            <w:pPr>
              <w:ind w:left="860"/>
              <w:spacing w:after="0"/>
              <w:rPr>
                <w:sz w:val="20"/>
                <w:szCs w:val="20"/>
                <w:color w:val="auto"/>
              </w:rPr>
            </w:pPr>
            <w:r>
              <w:rPr>
                <w:rFonts w:ascii="Arial" w:cs="Arial" w:eastAsia="Arial" w:hAnsi="Arial"/>
                <w:sz w:val="18"/>
                <w:szCs w:val="18"/>
                <w:color w:val="auto"/>
              </w:rPr>
              <w:t>•</w:t>
            </w:r>
          </w:p>
        </w:tc>
        <w:tc>
          <w:tcPr>
            <w:tcW w:w="1720" w:type="dxa"/>
            <w:vAlign w:val="bottom"/>
          </w:tcPr>
          <w:p>
            <w:pPr>
              <w:ind w:left="140"/>
              <w:spacing w:after="0"/>
              <w:rPr>
                <w:sz w:val="20"/>
                <w:szCs w:val="20"/>
                <w:color w:val="auto"/>
              </w:rPr>
            </w:pPr>
            <w:r>
              <w:rPr>
                <w:rFonts w:ascii="Arial" w:cs="Arial" w:eastAsia="Arial" w:hAnsi="Arial"/>
                <w:sz w:val="18"/>
                <w:szCs w:val="18"/>
                <w:color w:val="auto"/>
              </w:rPr>
              <w:t>Sinking fund terms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Dividends</w:t>
            </w:r>
          </w:p>
        </w:tc>
        <w:tc>
          <w:tcPr>
            <w:tcW w:w="1660" w:type="dxa"/>
            <w:vAlign w:val="bottom"/>
          </w:tcPr>
          <w:p>
            <w:pPr>
              <w:ind w:left="1460"/>
              <w:spacing w:after="0"/>
              <w:rPr>
                <w:sz w:val="20"/>
                <w:szCs w:val="20"/>
                <w:color w:val="auto"/>
              </w:rPr>
            </w:pPr>
            <w:r>
              <w:rPr>
                <w:rFonts w:ascii="Arial" w:cs="Arial" w:eastAsia="Arial" w:hAnsi="Arial"/>
                <w:sz w:val="18"/>
                <w:szCs w:val="18"/>
                <w:color w:val="auto"/>
              </w:rPr>
              <w:t>•</w:t>
            </w:r>
          </w:p>
        </w:tc>
        <w:tc>
          <w:tcPr>
            <w:tcW w:w="3180" w:type="dxa"/>
            <w:vAlign w:val="bottom"/>
          </w:tcPr>
          <w:p>
            <w:pPr>
              <w:ind w:left="140"/>
              <w:spacing w:after="0"/>
              <w:rPr>
                <w:sz w:val="20"/>
                <w:szCs w:val="20"/>
                <w:color w:val="auto"/>
              </w:rPr>
            </w:pPr>
            <w:r>
              <w:rPr>
                <w:rFonts w:ascii="Arial" w:cs="Arial" w:eastAsia="Arial" w:hAnsi="Arial"/>
                <w:sz w:val="18"/>
                <w:szCs w:val="18"/>
                <w:color w:val="auto"/>
              </w:rPr>
              <w:t>Conversion or exchange rights</w:t>
            </w:r>
          </w:p>
        </w:tc>
        <w:tc>
          <w:tcPr>
            <w:tcW w:w="106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02"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Our common stock is quoted on The Nasdaq Global Select Market under the ticker symbol TXN. On February 21, 2019, the reported last sale price on The Nasdaq Global Select Market for our common stock was $106.64.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203200</wp:posOffset>
            </wp:positionV>
            <wp:extent cx="14662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both"/>
        <w:ind w:left="200" w:right="720" w:firstLine="441"/>
        <w:spacing w:after="0" w:line="335" w:lineRule="auto"/>
        <w:rPr>
          <w:sz w:val="20"/>
          <w:szCs w:val="20"/>
          <w:color w:val="auto"/>
        </w:rPr>
      </w:pPr>
      <w:r>
        <w:rPr>
          <w:rFonts w:ascii="Arial" w:cs="Arial" w:eastAsia="Arial" w:hAnsi="Arial"/>
          <w:sz w:val="19"/>
          <w:szCs w:val="19"/>
          <w:b w:val="1"/>
          <w:bCs w:val="1"/>
          <w:color w:val="auto"/>
        </w:rPr>
        <w:t>Investing in these securities involves certain risks. See “Item 1A—Risk Factors” beginning on page 8 of our Annual Report on Form 10-K for the year ended December 31, 2018,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161925</wp:posOffset>
            </wp:positionV>
            <wp:extent cx="14662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200" w:right="300" w:firstLine="441"/>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date of this prospectus is February 22, 2019</w:t>
      </w:r>
    </w:p>
    <w:p>
      <w:pPr>
        <w:sectPr>
          <w:pgSz w:w="11900" w:h="16838" w:orient="portrait"/>
          <w:cols w:equalWidth="0" w:num="1">
            <w:col w:w="11220"/>
          </w:cols>
          <w:pgMar w:left="240" w:top="459" w:right="4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We are responsible for the information contained in or incorporated by reference into this prospectus and the applicable prospectus supplement and any free 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or the applicable prospectus supplement is accurate as of any date other than its date. The terms “Texas Instruments,” “TI,” “we,” “us” and “our” refer to Texas Instruments Incorporated and its consolidated subsidiaries except where expressly indicated or the context otherwise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223520</wp:posOffset>
            </wp:positionV>
            <wp:extent cx="14662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980" w:type="dxa"/>
            <w:vAlign w:val="bottom"/>
            <w:gridSpan w:val="2"/>
          </w:tcPr>
          <w:p>
            <w:pPr>
              <w:jc w:val="right"/>
              <w:ind w:right="442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4000" w:type="dxa"/>
            <w:vAlign w:val="bottom"/>
            <w:gridSpan w:val="13"/>
            <w:vMerge w:val="restart"/>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The Company</w:t>
              </w:r>
            </w:hyperlink>
          </w:p>
        </w:tc>
        <w:tc>
          <w:tcPr>
            <w:tcW w:w="6980" w:type="dxa"/>
            <w:vAlign w:val="bottom"/>
            <w:gridSpan w:val="2"/>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56"/>
        </w:trPr>
        <w:tc>
          <w:tcPr>
            <w:tcW w:w="4000" w:type="dxa"/>
            <w:vAlign w:val="bottom"/>
            <w:gridSpan w:val="13"/>
            <w:vMerge w:val="continue"/>
          </w:tcPr>
          <w:p>
            <w:pPr>
              <w:spacing w:after="0"/>
              <w:rPr>
                <w:sz w:val="13"/>
                <w:szCs w:val="13"/>
                <w:color w:val="auto"/>
              </w:rPr>
            </w:pPr>
          </w:p>
        </w:tc>
        <w:tc>
          <w:tcPr>
            <w:tcW w:w="6700" w:type="dxa"/>
            <w:vAlign w:val="bottom"/>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gridSpan w:val="1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About this Prospectus</w:t>
              </w:r>
            </w:hyperlink>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36">
              <w:r>
                <w:rPr>
                  <w:rFonts w:ascii="Arial" w:cs="Arial" w:eastAsia="Arial" w:hAnsi="Arial"/>
                  <w:sz w:val="18"/>
                  <w:szCs w:val="18"/>
                  <w:color w:val="0000EE"/>
                  <w:w w:val="92"/>
                </w:rPr>
                <w:t>Where You Can Find More Information</w:t>
              </w:r>
            </w:hyperlink>
          </w:p>
        </w:tc>
        <w:tc>
          <w:tcPr>
            <w:tcW w:w="1120" w:type="dxa"/>
            <w:vAlign w:val="bottom"/>
            <w:gridSpan w:val="2"/>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344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Notice Regarding Forward-Looking Statements</w:t>
              </w:r>
            </w:hyperlink>
          </w:p>
        </w:tc>
        <w:tc>
          <w:tcPr>
            <w:tcW w:w="560" w:type="dxa"/>
            <w:vAlign w:val="bottom"/>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Use of Proceeds</w:t>
              </w:r>
            </w:hyperlink>
          </w:p>
        </w:tc>
        <w:tc>
          <w:tcPr>
            <w:tcW w:w="2820" w:type="dxa"/>
            <w:vAlign w:val="bottom"/>
            <w:gridSpan w:val="10"/>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6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39">
              <w:r>
                <w:rPr>
                  <w:rFonts w:ascii="Arial" w:cs="Arial" w:eastAsia="Arial" w:hAnsi="Arial"/>
                  <w:sz w:val="18"/>
                  <w:szCs w:val="18"/>
                  <w:color w:val="0000EE"/>
                  <w:w w:val="92"/>
                </w:rPr>
                <w:t>Description of Capital Stock</w:t>
              </w:r>
            </w:hyperlink>
          </w:p>
        </w:tc>
        <w:tc>
          <w:tcPr>
            <w:tcW w:w="1940" w:type="dxa"/>
            <w:vAlign w:val="bottom"/>
            <w:gridSpan w:val="4"/>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000" w:type="dxa"/>
            <w:vAlign w:val="bottom"/>
            <w:gridSpan w:val="13"/>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Description of Debt Securities</w:t>
              </w:r>
            </w:hyperlink>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1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Description of Warrants</w:t>
              </w:r>
            </w:hyperlink>
          </w:p>
        </w:tc>
        <w:tc>
          <w:tcPr>
            <w:tcW w:w="1820" w:type="dxa"/>
            <w:vAlign w:val="bottom"/>
            <w:gridSpan w:val="3"/>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4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3"/>
              </w:rPr>
            </w:pPr>
            <w:hyperlink w:anchor="page51">
              <w:r>
                <w:rPr>
                  <w:rFonts w:ascii="Arial" w:cs="Arial" w:eastAsia="Arial" w:hAnsi="Arial"/>
                  <w:sz w:val="18"/>
                  <w:szCs w:val="18"/>
                  <w:color w:val="0000EE"/>
                  <w:w w:val="93"/>
                </w:rPr>
                <w:t>Description of Units</w:t>
              </w:r>
            </w:hyperlink>
          </w:p>
        </w:tc>
        <w:tc>
          <w:tcPr>
            <w:tcW w:w="240" w:type="dxa"/>
            <w:vAlign w:val="bottom"/>
            <w:tcBorders>
              <w:top w:val="single" w:sz="8" w:color="0000EE"/>
            </w:tcBorders>
            <w:gridSpan w:val="2"/>
          </w:tcPr>
          <w:p>
            <w:pPr>
              <w:spacing w:after="0"/>
              <w:rPr>
                <w:sz w:val="17"/>
                <w:szCs w:val="17"/>
                <w:color w:val="auto"/>
              </w:rPr>
            </w:pPr>
          </w:p>
        </w:tc>
        <w:tc>
          <w:tcPr>
            <w:tcW w:w="2280" w:type="dxa"/>
            <w:vAlign w:val="bottom"/>
            <w:gridSpan w:val="5"/>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4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Forms of Securities</w:t>
              </w:r>
            </w:hyperlink>
          </w:p>
        </w:tc>
        <w:tc>
          <w:tcPr>
            <w:tcW w:w="2580" w:type="dxa"/>
            <w:vAlign w:val="bottom"/>
            <w:gridSpan w:val="9"/>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54">
              <w:r>
                <w:rPr>
                  <w:rFonts w:ascii="Arial" w:cs="Arial" w:eastAsia="Arial" w:hAnsi="Arial"/>
                  <w:sz w:val="18"/>
                  <w:szCs w:val="18"/>
                  <w:color w:val="0000EE"/>
                  <w:w w:val="93"/>
                </w:rPr>
                <w:t>Plan of Distribution</w:t>
              </w:r>
            </w:hyperlink>
          </w:p>
        </w:tc>
        <w:tc>
          <w:tcPr>
            <w:tcW w:w="2560" w:type="dxa"/>
            <w:vAlign w:val="bottom"/>
            <w:gridSpan w:val="8"/>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000" w:type="dxa"/>
            <w:vAlign w:val="bottom"/>
            <w:gridSpan w:val="13"/>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Validity of Securities</w:t>
              </w:r>
            </w:hyperlink>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55">
              <w:r>
                <w:rPr>
                  <w:rFonts w:ascii="Arial" w:cs="Arial" w:eastAsia="Arial" w:hAnsi="Arial"/>
                  <w:sz w:val="18"/>
                  <w:szCs w:val="18"/>
                  <w:color w:val="0000EE"/>
                  <w:w w:val="88"/>
                </w:rPr>
                <w:t>Experts</w:t>
              </w:r>
            </w:hyperlink>
          </w:p>
        </w:tc>
        <w:tc>
          <w:tcPr>
            <w:tcW w:w="1020" w:type="dxa"/>
            <w:vAlign w:val="bottom"/>
            <w:tcBorders>
              <w:top w:val="single" w:sz="8" w:color="0000EE"/>
            </w:tcBorders>
            <w:gridSpan w:val="6"/>
          </w:tcPr>
          <w:p>
            <w:pPr>
              <w:spacing w:after="0"/>
              <w:rPr>
                <w:sz w:val="17"/>
                <w:szCs w:val="17"/>
                <w:color w:val="auto"/>
              </w:rPr>
            </w:pPr>
          </w:p>
        </w:tc>
        <w:tc>
          <w:tcPr>
            <w:tcW w:w="2420" w:type="dxa"/>
            <w:vAlign w:val="bottom"/>
            <w:gridSpan w:val="6"/>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4429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002145" cy="34429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380" w:right="400" w:firstLine="426"/>
        <w:spacing w:after="0" w:line="264" w:lineRule="auto"/>
        <w:rPr>
          <w:sz w:val="20"/>
          <w:szCs w:val="20"/>
          <w:color w:val="auto"/>
        </w:rPr>
      </w:pPr>
      <w:r>
        <w:rPr>
          <w:rFonts w:ascii="Arial" w:cs="Arial" w:eastAsia="Arial" w:hAnsi="Arial"/>
          <w:sz w:val="18"/>
          <w:szCs w:val="18"/>
          <w:color w:val="auto"/>
        </w:rPr>
        <w:t>We design and make semiconductors that we sell to electronics designers and manufacturers all over the world. We began operations in 1930. We are incorporated in Delaware, headquartered in Dallas, Texas, and have design, manufacturing or sales operations in more than 30 countries.</w:t>
      </w:r>
    </w:p>
    <w:p>
      <w:pPr>
        <w:spacing w:after="0" w:line="181" w:lineRule="exact"/>
        <w:rPr>
          <w:sz w:val="20"/>
          <w:szCs w:val="20"/>
          <w:color w:val="auto"/>
        </w:rPr>
      </w:pPr>
    </w:p>
    <w:p>
      <w:pPr>
        <w:jc w:val="both"/>
        <w:ind w:left="380" w:right="200" w:firstLine="426"/>
        <w:spacing w:after="0" w:line="264" w:lineRule="auto"/>
        <w:rPr>
          <w:sz w:val="20"/>
          <w:szCs w:val="20"/>
          <w:color w:val="auto"/>
        </w:rPr>
      </w:pPr>
      <w:r>
        <w:rPr>
          <w:rFonts w:ascii="Arial" w:cs="Arial" w:eastAsia="Arial" w:hAnsi="Arial"/>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w:t>
      </w:r>
    </w:p>
    <w:p>
      <w:pPr>
        <w:spacing w:after="0" w:line="181" w:lineRule="exact"/>
        <w:rPr>
          <w:sz w:val="20"/>
          <w:szCs w:val="20"/>
          <w:color w:val="auto"/>
        </w:rPr>
      </w:pPr>
    </w:p>
    <w:p>
      <w:pPr>
        <w:ind w:left="380" w:right="20" w:firstLine="426"/>
        <w:spacing w:after="0" w:line="286" w:lineRule="auto"/>
        <w:rPr>
          <w:sz w:val="20"/>
          <w:szCs w:val="20"/>
          <w:color w:val="auto"/>
        </w:rPr>
      </w:pPr>
      <w:r>
        <w:rPr>
          <w:rFonts w:ascii="Arial" w:cs="Arial" w:eastAsia="Arial" w:hAnsi="Arial"/>
          <w:sz w:val="17"/>
          <w:szCs w:val="17"/>
          <w:color w:val="auto"/>
        </w:rPr>
        <w:t>For a description of our business, financial condition, results of operations and other important information regarding us, see our filings with the Securities and Exchange Commission (the “SEC”) incorporated by reference into this prospectus. For instructions on how to find copies of these and our other filings incorporated by reference into this prospectus, see “Where You Can Find More Information.”</w:t>
      </w:r>
    </w:p>
    <w:p>
      <w:pPr>
        <w:spacing w:after="0" w:line="378"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380" w:firstLine="426"/>
        <w:spacing w:after="0" w:line="273" w:lineRule="auto"/>
        <w:rPr>
          <w:sz w:val="20"/>
          <w:szCs w:val="20"/>
          <w:color w:val="auto"/>
        </w:rPr>
      </w:pPr>
      <w:r>
        <w:rPr>
          <w:rFonts w:ascii="Arial" w:cs="Arial" w:eastAsia="Arial" w:hAnsi="Arial"/>
          <w:sz w:val="17"/>
          <w:szCs w:val="17"/>
          <w:color w:val="auto"/>
        </w:rPr>
        <w:t>This prospectus is part of a registration statement that we filed with the SEC utilizing a “shelf” registration process. Under this shelf process, we or selling security holders may sell any combination of the securities described in this prospectus in one or more offerings. This prospectus provides you with a general description of the securities we or selling security holders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0"/>
          </w:cols>
          <w:pgMar w:left="240" w:top="459" w:right="6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on the SEC’s website www.sec.gov.</w:t>
      </w:r>
    </w:p>
    <w:p>
      <w:pPr>
        <w:spacing w:after="0" w:line="170" w:lineRule="exact"/>
        <w:rPr>
          <w:sz w:val="20"/>
          <w:szCs w:val="20"/>
          <w:color w:val="auto"/>
        </w:rPr>
      </w:pPr>
    </w:p>
    <w:p>
      <w:pPr>
        <w:ind w:left="200" w:right="40" w:firstLine="441"/>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Annual Report on </w:t>
      </w:r>
      <w:hyperlink r:id="rId49">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for the year ended December 31, 2018, filed on February 22, 2019, the description of our common stock contained in our registration statement on </w:t>
      </w:r>
      <w:hyperlink r:id="rId65">
        <w:r>
          <w:rPr>
            <w:rFonts w:ascii="Arial" w:cs="Arial" w:eastAsia="Arial" w:hAnsi="Arial"/>
            <w:sz w:val="17"/>
            <w:szCs w:val="17"/>
            <w:u w:val="single" w:color="auto"/>
            <w:color w:val="0000EE"/>
          </w:rPr>
          <w:t>Form 8-A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filed on December 15, 2011 under Section 12 of the Exchange Act, including any amendments or reports filed for the purpose of updating such description, and all documents subsequently filed with the SEC pursuant to Section 13(a), 13(c), 14, or 15(d) of the Securities Exchange Act of 1934, as amended (the “Exchange Act”) prior to the termination of the offering under this prospectus.</w:t>
      </w:r>
    </w:p>
    <w:p>
      <w:pPr>
        <w:spacing w:after="0" w:line="178"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81"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You may request a copy of these filings at no cost, by writing or telephoning us at: 12500 TI Boulevard, P.O. Box 660199, Dallas, Texas 75266-0199, Attention: Manager of Investor Relations, (214) 479-3773. Information about us, including our SEC filings, is also available at our website at www.ti.com. However, the information on or accessible through our website is not a part of this prospectus or any prospectus supplement that we file.</w:t>
      </w:r>
    </w:p>
    <w:p>
      <w:pPr>
        <w:spacing w:after="0" w:line="35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This prospectus and documents that are incorporated by reference into this prospectus include forward-looking statements intended to qualify for the safe harbor from liability established by the Private Securities Litigation Reform Act of 1995. These forward-looking statements generally can be identified by phrases such as we or our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93"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our company or our management:</w:t>
      </w:r>
    </w:p>
    <w:p>
      <w:pPr>
        <w:spacing w:after="0" w:line="76" w:lineRule="exact"/>
        <w:rPr>
          <w:sz w:val="20"/>
          <w:szCs w:val="20"/>
          <w:color w:val="auto"/>
        </w:rPr>
      </w:pPr>
    </w:p>
    <w:p>
      <w:pPr>
        <w:ind w:left="1180" w:hanging="544"/>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Market demand for semiconductors, particularly in our end markets;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30" w:lineRule="exact"/>
        <w:rPr>
          <w:rFonts w:ascii="Arial" w:cs="Arial" w:eastAsia="Arial" w:hAnsi="Arial"/>
          <w:sz w:val="18"/>
          <w:szCs w:val="18"/>
          <w:color w:val="auto"/>
        </w:rPr>
      </w:pPr>
    </w:p>
    <w:p>
      <w:pPr>
        <w:ind w:left="1180" w:right="20" w:hanging="544"/>
        <w:spacing w:after="0" w:line="277"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company inventory that results from demand that differs from projections;</w:t>
      </w:r>
    </w:p>
    <w:p>
      <w:pPr>
        <w:spacing w:after="0" w:line="75" w:lineRule="exact"/>
        <w:rPr>
          <w:rFonts w:ascii="Arial" w:cs="Arial" w:eastAsia="Arial" w:hAnsi="Arial"/>
          <w:sz w:val="18"/>
          <w:szCs w:val="18"/>
          <w:color w:val="auto"/>
        </w:rPr>
      </w:pPr>
    </w:p>
    <w:p>
      <w:pPr>
        <w:ind w:left="1180" w:right="300" w:hanging="544"/>
        <w:spacing w:after="0" w:line="264"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we, our customers or our suppliers operate, including security risks; global trade policies; political and social instability; health conditions; possible disruptions in transportation, communications and information technology networks; and fluctuations in foreign currency exchange rates;</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Evolving cybersecurity threats to our information technology systems or those of our customers or suppliers;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20" w:hanging="544"/>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Natural events such as severe weather, geological events or health epidemics in the locations in which we, our customers or our suppliers operate;</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w:t>
      </w:r>
    </w:p>
    <w:p>
      <w:pPr>
        <w:spacing w:after="0" w:line="130" w:lineRule="exact"/>
        <w:rPr>
          <w:rFonts w:ascii="Arial" w:cs="Arial" w:eastAsia="Arial" w:hAnsi="Arial"/>
          <w:sz w:val="18"/>
          <w:szCs w:val="18"/>
          <w:color w:val="auto"/>
        </w:rPr>
      </w:pPr>
    </w:p>
    <w:p>
      <w:pPr>
        <w:ind w:left="1180" w:right="120" w:hanging="544"/>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75" w:lineRule="exact"/>
        <w:rPr>
          <w:rFonts w:ascii="Arial" w:cs="Arial" w:eastAsia="Arial" w:hAnsi="Arial"/>
          <w:sz w:val="18"/>
          <w:szCs w:val="18"/>
          <w:color w:val="auto"/>
        </w:rPr>
      </w:pPr>
    </w:p>
    <w:p>
      <w:pPr>
        <w:ind w:left="1180" w:right="740" w:hanging="544"/>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Availability and cost of raw materials, utilities, manufacturing equipment, third-party manufacturing services and manufacturing technology;</w:t>
      </w:r>
    </w:p>
    <w:p>
      <w:pPr>
        <w:spacing w:after="0" w:line="75" w:lineRule="exact"/>
        <w:rPr>
          <w:rFonts w:ascii="Arial" w:cs="Arial" w:eastAsia="Arial" w:hAnsi="Arial"/>
          <w:sz w:val="18"/>
          <w:szCs w:val="18"/>
          <w:color w:val="auto"/>
        </w:rPr>
      </w:pPr>
    </w:p>
    <w:p>
      <w:pPr>
        <w:ind w:left="1180" w:right="80" w:hanging="544"/>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our products, manufacturing, services, design or communications, or recalls by our customers for a product containing one of our parts;</w:t>
      </w:r>
    </w:p>
    <w:p>
      <w:pPr>
        <w:spacing w:after="0" w:line="75" w:lineRule="exact"/>
        <w:rPr>
          <w:rFonts w:ascii="Arial" w:cs="Arial" w:eastAsia="Arial" w:hAnsi="Arial"/>
          <w:sz w:val="18"/>
          <w:szCs w:val="18"/>
          <w:color w:val="auto"/>
        </w:rPr>
      </w:pPr>
    </w:p>
    <w:p>
      <w:pPr>
        <w:ind w:left="1180" w:right="40" w:hanging="544"/>
        <w:spacing w:after="0" w:line="264"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manufacture or ship our products or operate our business, or subject us to fines, penalties or other legal liability;</w:t>
      </w:r>
    </w:p>
    <w:p>
      <w:pPr>
        <w:spacing w:after="0" w:line="86" w:lineRule="exact"/>
        <w:rPr>
          <w:rFonts w:ascii="Arial" w:cs="Arial" w:eastAsia="Arial" w:hAnsi="Arial"/>
          <w:sz w:val="18"/>
          <w:szCs w:val="18"/>
          <w:color w:val="auto"/>
        </w:rPr>
      </w:pPr>
    </w:p>
    <w:p>
      <w:pPr>
        <w:ind w:left="1180" w:right="60" w:hanging="544"/>
        <w:spacing w:after="0" w:line="342" w:lineRule="auto"/>
        <w:tabs>
          <w:tab w:leader="none" w:pos="11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Changes in tax law and accounting standards that can impact the tax rate applicable to us, the jurisdictions in which profits are determined to be earned and taxed, adverse resolution of tax audits, increases in tariff rates, and the ability to realize deferred tax assets;</w:t>
      </w:r>
    </w:p>
    <w:p>
      <w:pPr>
        <w:spacing w:after="0" w:line="29" w:lineRule="exact"/>
        <w:rPr>
          <w:rFonts w:ascii="Arial" w:cs="Arial" w:eastAsia="Arial" w:hAnsi="Arial"/>
          <w:sz w:val="16"/>
          <w:szCs w:val="16"/>
          <w:color w:val="auto"/>
        </w:rPr>
      </w:pPr>
    </w:p>
    <w:p>
      <w:pPr>
        <w:ind w:left="1180" w:hanging="54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TI-consigned inventory;</w:t>
      </w:r>
    </w:p>
    <w:p>
      <w:pPr>
        <w:spacing w:after="0" w:line="130" w:lineRule="exact"/>
        <w:rPr>
          <w:rFonts w:ascii="Arial" w:cs="Arial" w:eastAsia="Arial" w:hAnsi="Arial"/>
          <w:sz w:val="18"/>
          <w:szCs w:val="18"/>
          <w:color w:val="auto"/>
        </w:rPr>
      </w:pPr>
    </w:p>
    <w:p>
      <w:pPr>
        <w:ind w:left="1180" w:right="780" w:hanging="544"/>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Financial difficulties of our distributors or their promotion of competing product lines to our detriment, or the loss of significant distributors;</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or the timing and amount of distributor and other customer inventory adjustments;</w:t>
      </w:r>
    </w:p>
    <w:p>
      <w:pPr>
        <w:spacing w:after="0" w:line="153" w:lineRule="exact"/>
        <w:rPr>
          <w:rFonts w:ascii="Arial" w:cs="Arial" w:eastAsia="Arial" w:hAnsi="Arial"/>
          <w:sz w:val="16"/>
          <w:szCs w:val="16"/>
          <w:color w:val="auto"/>
        </w:rPr>
      </w:pPr>
    </w:p>
    <w:p>
      <w:pPr>
        <w:ind w:left="1180" w:right="180" w:hanging="544"/>
        <w:spacing w:after="0" w:line="342" w:lineRule="auto"/>
        <w:tabs>
          <w:tab w:leader="none" w:pos="11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ability to maintain or improve profit margins, including our ability to utilize our manufacturing facilities at sufficient levels to cover our fixed operating costs, in an intensely competitive and cyclical industry and despite changes in the regulatory environment;</w:t>
      </w:r>
    </w:p>
    <w:p>
      <w:pPr>
        <w:spacing w:after="0" w:line="29" w:lineRule="exact"/>
        <w:rPr>
          <w:rFonts w:ascii="Arial" w:cs="Arial" w:eastAsia="Arial" w:hAnsi="Arial"/>
          <w:sz w:val="16"/>
          <w:szCs w:val="16"/>
          <w:color w:val="auto"/>
        </w:rPr>
      </w:pPr>
    </w:p>
    <w:p>
      <w:pPr>
        <w:ind w:left="1180" w:right="40" w:hanging="544"/>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75" w:lineRule="exact"/>
        <w:rPr>
          <w:rFonts w:ascii="Arial" w:cs="Arial" w:eastAsia="Arial" w:hAnsi="Arial"/>
          <w:sz w:val="18"/>
          <w:szCs w:val="18"/>
          <w:color w:val="auto"/>
        </w:rPr>
      </w:pPr>
    </w:p>
    <w:p>
      <w:pPr>
        <w:ind w:left="1180" w:right="500" w:hanging="544"/>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that affects our ability to fund our daily operations, invest in the business, make strategic acquisitions, or make principal and interest payments on our debt;</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130" w:lineRule="exact"/>
        <w:rPr>
          <w:rFonts w:ascii="Arial" w:cs="Arial" w:eastAsia="Arial" w:hAnsi="Arial"/>
          <w:sz w:val="18"/>
          <w:szCs w:val="18"/>
          <w:color w:val="auto"/>
        </w:rPr>
      </w:pPr>
    </w:p>
    <w:p>
      <w:pPr>
        <w:ind w:left="1180" w:right="780" w:hanging="544"/>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recruit and retain skilled engineering, management and technical personnel, and effectively manage key employee succession;</w:t>
      </w:r>
    </w:p>
    <w:p>
      <w:pPr>
        <w:spacing w:after="0" w:line="75" w:lineRule="exact"/>
        <w:rPr>
          <w:rFonts w:ascii="Arial" w:cs="Arial" w:eastAsia="Arial" w:hAnsi="Arial"/>
          <w:sz w:val="18"/>
          <w:szCs w:val="18"/>
          <w:color w:val="auto"/>
        </w:rPr>
      </w:pPr>
    </w:p>
    <w:p>
      <w:pPr>
        <w:ind w:left="1180" w:right="540" w:hanging="544"/>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successfully integrate and realize opportunities for growth from acquisitions, or our ability to realize our expectations regarding the amount and timing of restructuring charges and associated cost savings;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For a more detailed discussion of these factors, see our periodic filings with the SEC. The forward-looking statements included in this prospectus are made only as of the date hereof, and we undertake no obligation to update the forward-looking statements to reflect subsequent events or circumstances.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80"/>
          </w:cols>
          <w:pgMar w:left="24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including, but not limited to, funding our operations, purchasing capital equipment, funding potential acquisitions, repaying debt, paying dividends and repurchasing shares of our common stock.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12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240" w:top="459" w:right="6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following description of our capital stock is based upon our restated certificate of incorporation, as amended (“Restated Certificate of Incorporation”), our by-laws, as amended (“By-Laws”), and applicable provisions of law. We have summarized certain portions of the Restated Certificate of Incorporation and By-Laws below. The summary is not complete. The Restated Certificate of Incorporation and By-Laws are incorporated by reference as exhibits to the registration statement of which this prospectus forms a part. You should read the Restated Certificate of Incorporation and By-Laws for the provisions that are important to you.</w:t>
      </w:r>
    </w:p>
    <w:p>
      <w:pPr>
        <w:spacing w:after="0" w:line="188" w:lineRule="exact"/>
        <w:rPr>
          <w:sz w:val="20"/>
          <w:szCs w:val="20"/>
          <w:color w:val="auto"/>
        </w:rPr>
      </w:pPr>
    </w:p>
    <w:p>
      <w:pPr>
        <w:jc w:val="both"/>
        <w:ind w:left="200" w:right="140" w:firstLine="441"/>
        <w:spacing w:after="0" w:line="312" w:lineRule="auto"/>
        <w:rPr>
          <w:sz w:val="20"/>
          <w:szCs w:val="20"/>
          <w:color w:val="auto"/>
        </w:rPr>
      </w:pPr>
      <w:r>
        <w:rPr>
          <w:rFonts w:ascii="Arial" w:cs="Arial" w:eastAsia="Arial" w:hAnsi="Arial"/>
          <w:sz w:val="16"/>
          <w:szCs w:val="16"/>
          <w:color w:val="auto"/>
        </w:rPr>
        <w:t>Certain provisions of the Delaware General Corporation Law (“DGCL”), the Restated Certificate of Incorporation and By-Laws summarized in the following paragraphs may have an anti-takeover effect. This may delay, defer or prevent a tender offer or takeover attempt that a stockholder might consider in its best interests, including those attempts that might result in a premium over the market price for the shares held by such stockholder.</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Restated Certificate of Incorporation authorizes us to issue 2,400,000,000 shares of common stock, $1.00 par value per share, and 10,000,000 shares of preferred stock, $25.00 par value per share.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As of January 31, 2019, there were 940,020,248 shares of common stock outstanding which were held of record by 13,653 stockholders. We are authorized to issue additional shares of common stock without further stockholder approval, except as may be required by applicable law or stock exchange regulations. The holders of shares of our common stock, subject to the preferential rights of the holders of any shares of our preferred stock, are entitled to dividends when and as declared by our board of directors. The holders of our common stock have one vote per share on all matters submitted to a vote of the stockholders, and the right to share pro rata in the net assets of TI in liquidation after payment of any amounts due to creditors and in respect of any preferred stock. Holders of shares of our common stock are not entitled as a matter of right to any preemptive or subscription rights and are not entitled to cumulative voting for directors. All outstanding shares of common stock are, and the shares of common stock issued upon any conversion or exchange of any debt securities or preferred stock providing for such conversion or exchange will be, fully paid and nonassessable. Our common stock is listed on The Nasdaq Global Select Market. The transfer agent and registrar for our common stock is Computershare Trust Company, N.A., 33 N. LaSalle Street, Suite 1100, Chicago, Illinois 60602.</w:t>
      </w:r>
    </w:p>
    <w:p>
      <w:pPr>
        <w:spacing w:after="0" w:line="178"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Our By-Laws provide that the annual meeting of stockholders shall be held on the third Thursday in April each year or on such other date as may be fixed by the our board of directors and as stated in a written notice, which must be mailed or delivered to each stockholder at least 10 days prior to any stockholder meeting.</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200" w:right="200" w:firstLine="441"/>
        <w:spacing w:after="0" w:line="273" w:lineRule="auto"/>
        <w:rPr>
          <w:sz w:val="20"/>
          <w:szCs w:val="20"/>
          <w:color w:val="auto"/>
        </w:rPr>
      </w:pPr>
      <w:r>
        <w:rPr>
          <w:rFonts w:ascii="Arial" w:cs="Arial" w:eastAsia="Arial" w:hAnsi="Arial"/>
          <w:sz w:val="17"/>
          <w:szCs w:val="17"/>
          <w:color w:val="auto"/>
        </w:rPr>
        <w:t>As of January 31, 2019, there were no shares of our preferred stock outstanding. We are authorized to issue up to 10,000,000 shares of preferred stock, in one or more series, with such designations and such relative voting, dividend, liquidation, conversion, and other rights, preferences and limitations as are stated in the Restated Certificate of Incorporation, or any certificate of designation establishing such series adopted by our board of directors. The 10,000,000 authorized but unissued shares of preferred stock may be issued pursuant to resolution of our board of directors without the vote of the holders of our capital stock. If preferred stock is offered pursuant to this prospectus, we will describe the restrictions, if any, on the repurchase or redemption of the preferred stock by us in a prospectus supplement.</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Provisions of Texas Instruments’ Certificate of Incorporation and By-Laws</w:t>
      </w:r>
    </w:p>
    <w:p>
      <w:pPr>
        <w:spacing w:after="0" w:line="12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Our Restated Certificate of Incorporation states that action may be taken by stockholders only at annual or special meetings of stockholders, and that stockholders may not act by written consent. The By-Laws vest the power to call special meetings of stockholders in our chairman of the board, our president, or a majority of our board of directors.</w:t>
      </w:r>
    </w:p>
    <w:p>
      <w:pPr>
        <w:spacing w:after="0" w:line="181"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To be properly brought before an annual meeting of stockholders, any stockholder proposal or nomination for the board of directors must be delivered to or mailed and received at our principal executive offices not less than 90 days prior to the first anniversary of the previous year’s annual meeting; provided that in the event that the date of the annual meeting is advanced by more than 30 days, or delayed by more than 70 days, from such anniversary date, notice by the stockholder to be timely must be so delivered not later than the close of business on the later of the 90th day prior to such annual meeting or the 10th day following the day on which public announcement of the date of the meeting is first made.</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are subject to Section 203 of the DGCL (“Section 203”). In general, Section 203 prohibits a publicly held Delaware corporation from engaging in various “business combination” transactions with any interested stockholder for a period of three years following the date of the transactions in which the person became an interested stockholder, unless:</w:t>
      </w:r>
    </w:p>
    <w:p>
      <w:pPr>
        <w:spacing w:after="0" w:line="87" w:lineRule="exact"/>
        <w:rPr>
          <w:sz w:val="20"/>
          <w:szCs w:val="20"/>
          <w:color w:val="auto"/>
        </w:rPr>
      </w:pPr>
    </w:p>
    <w:p>
      <w:pPr>
        <w:ind w:left="1180" w:hanging="544"/>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prior to the date the interested stockholder obtained such status;</w:t>
      </w:r>
    </w:p>
    <w:p>
      <w:pPr>
        <w:spacing w:after="0" w:line="130" w:lineRule="exact"/>
        <w:rPr>
          <w:rFonts w:ascii="Arial" w:cs="Arial" w:eastAsia="Arial" w:hAnsi="Arial"/>
          <w:sz w:val="18"/>
          <w:szCs w:val="18"/>
          <w:color w:val="auto"/>
        </w:rPr>
      </w:pPr>
    </w:p>
    <w:p>
      <w:pPr>
        <w:ind w:left="1180" w:right="320" w:hanging="544"/>
        <w:spacing w:after="0" w:line="308" w:lineRule="auto"/>
        <w:tabs>
          <w:tab w:leader="none" w:pos="11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51" w:lineRule="exact"/>
        <w:rPr>
          <w:rFonts w:ascii="Arial" w:cs="Arial" w:eastAsia="Arial" w:hAnsi="Arial"/>
          <w:sz w:val="17"/>
          <w:szCs w:val="17"/>
          <w:color w:val="auto"/>
        </w:rPr>
      </w:pPr>
    </w:p>
    <w:p>
      <w:pPr>
        <w:ind w:left="1180" w:right="180" w:hanging="544"/>
        <w:spacing w:after="0" w:line="342" w:lineRule="auto"/>
        <w:tabs>
          <w:tab w:leader="none" w:pos="11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on or subsequent to such date the business combination is approved by the board and authorized at an annual or special meeting of stockholders by the affirmative vote of at least 66 2/3% of the outstanding voting stock which is not owned by the interested stockholder.</w:t>
      </w:r>
    </w:p>
    <w:p>
      <w:pPr>
        <w:spacing w:after="0" w:line="124"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our company and, accordingly, may discourage attempts to acquire our company even though such a transaction may offer our stockholders the opportunity to sell their stock at a price above the prevailing market price.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pursuant to an indenture entered into between us and U.S. Bank National Association, as trustee. The terms of our debt securities will include those set forth in the indenture and those made a part of the indenture by the Trust Indenture Act of 1939.</w:t>
      </w:r>
    </w:p>
    <w:p>
      <w:pPr>
        <w:spacing w:after="0" w:line="181"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The following is only a summary of selected provisions of the indenture and the debt securities and therefore does not contain all information that may be important to you. This summary is qualified in its entirety by reference to the base indenture and any supplemental indenture thereto or officers’ certificate or board resolution related thereto. We urge you to read the indenture because the indenture, not this description, defines the rights of the holders of the debt securities. The indenture is included as an exhibit to the registration statement of which this prospectus is a part.</w:t>
      </w:r>
    </w:p>
    <w:p>
      <w:pPr>
        <w:spacing w:after="0" w:line="154"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As used in this section of the prospectus and under the captions “Description of Capital Stock,” “Description of Warrants” and “Description of Units,” the terms “we,” “us” and “our” refer only to Texas Instruments Incorporated and not to any existing or future subsidiaries of Texas Instruments Incorporated.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The debt securities will constitute unsecured and unsubordinated obligations of ours and will rank pari passu with our other unsecured and unsubordinated obligations.</w:t>
      </w:r>
    </w:p>
    <w:p>
      <w:pPr>
        <w:spacing w:after="0" w:line="17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conduct some of our operations through subsidiaries. Consequently, our ability to pay our obligations, including our obligation to pay principal or interest on the debt securities, to pay the debt securities at maturity or upon redemption or to buy the debt securities may depend upon our subsidiaries repaying investments and advances we have made to them, and upon our subsidiaries’ earnings and their distributing those earnings to us. The debt securities will be effectively subordinated to all obligations (including trade payables and preferred stock obligations) of our subsidiaries.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The indenture will not limit our subsidiaries’ ability to enter into other agreements that prohibit or restrict dividends or other payments or advances to us.</w:t>
      </w:r>
    </w:p>
    <w:p>
      <w:pPr>
        <w:spacing w:after="0" w:line="179"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The debt securities will be our unsecured obligations. Our secured debt and other secured obligations will be effectively senior to the debt securities to the extent of the value of the assets securing such debt or other obligations.</w:t>
      </w:r>
    </w:p>
    <w:p>
      <w:pPr>
        <w:spacing w:after="0" w:line="170"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You should look in the prospectus supplement for any additional or different terms of the debt securities being offered, including the following terms:</w:t>
      </w:r>
    </w:p>
    <w:p>
      <w:pPr>
        <w:spacing w:after="0" w:line="76" w:lineRule="exact"/>
        <w:rPr>
          <w:sz w:val="20"/>
          <w:szCs w:val="20"/>
          <w:color w:val="auto"/>
        </w:rPr>
      </w:pPr>
    </w:p>
    <w:p>
      <w:pPr>
        <w:ind w:left="1180" w:hanging="544"/>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debt securities’ designation;</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rate or rates, if any, per year, at which the debt securities will bear interest, or the method of determining such rate or rates;</w:t>
      </w:r>
    </w:p>
    <w:p>
      <w:pPr>
        <w:spacing w:after="0" w:line="169" w:lineRule="exact"/>
        <w:rPr>
          <w:rFonts w:ascii="Arial" w:cs="Arial" w:eastAsia="Arial" w:hAnsi="Arial"/>
          <w:sz w:val="17"/>
          <w:szCs w:val="17"/>
          <w:color w:val="auto"/>
        </w:rPr>
      </w:pPr>
    </w:p>
    <w:p>
      <w:pPr>
        <w:ind w:left="5660"/>
        <w:spacing w:after="0"/>
        <w:rPr>
          <w:rFonts w:ascii="Arial" w:cs="Arial" w:eastAsia="Arial" w:hAnsi="Arial"/>
          <w:sz w:val="17"/>
          <w:szCs w:val="17"/>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200" w:hanging="544"/>
        <w:spacing w:after="0" w:line="264"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manner of paying principal and interest and the place or places where principal and interest will be payable;</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130" w:lineRule="exact"/>
        <w:rPr>
          <w:rFonts w:ascii="Arial" w:cs="Arial" w:eastAsia="Arial" w:hAnsi="Arial"/>
          <w:sz w:val="18"/>
          <w:szCs w:val="18"/>
          <w:color w:val="auto"/>
        </w:rPr>
      </w:pPr>
    </w:p>
    <w:p>
      <w:pPr>
        <w:ind w:left="1180" w:right="20" w:hanging="544"/>
        <w:spacing w:after="0" w:line="277"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at which, and the terms and conditions upon which the debt securities may be redeemed, in whole or in part, at our option or at your option;</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130" w:lineRule="exact"/>
        <w:rPr>
          <w:rFonts w:ascii="Arial" w:cs="Arial" w:eastAsia="Arial" w:hAnsi="Arial"/>
          <w:sz w:val="18"/>
          <w:szCs w:val="18"/>
          <w:color w:val="auto"/>
        </w:rPr>
      </w:pPr>
    </w:p>
    <w:p>
      <w:pPr>
        <w:ind w:left="1180" w:right="200" w:hanging="544"/>
        <w:spacing w:after="0" w:line="277"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w:t>
      </w:r>
    </w:p>
    <w:p>
      <w:pPr>
        <w:spacing w:after="0" w:line="130" w:lineRule="exact"/>
        <w:rPr>
          <w:rFonts w:ascii="Arial" w:cs="Arial" w:eastAsia="Arial" w:hAnsi="Arial"/>
          <w:sz w:val="18"/>
          <w:szCs w:val="18"/>
          <w:color w:val="auto"/>
        </w:rPr>
      </w:pPr>
    </w:p>
    <w:p>
      <w:pPr>
        <w:ind w:left="1180" w:right="120" w:hanging="544"/>
        <w:spacing w:after="0" w:line="277"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75" w:lineRule="exact"/>
        <w:rPr>
          <w:rFonts w:ascii="Arial" w:cs="Arial" w:eastAsia="Arial" w:hAnsi="Arial"/>
          <w:sz w:val="18"/>
          <w:szCs w:val="18"/>
          <w:color w:val="auto"/>
        </w:rPr>
      </w:pPr>
    </w:p>
    <w:p>
      <w:pPr>
        <w:ind w:left="1180" w:right="100" w:hanging="544"/>
        <w:spacing w:after="0" w:line="277"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exchanged for the cash value of other securities issued by us or by a third party;</w:t>
      </w:r>
    </w:p>
    <w:p>
      <w:pPr>
        <w:spacing w:after="0" w:line="75" w:lineRule="exact"/>
        <w:rPr>
          <w:rFonts w:ascii="Arial" w:cs="Arial" w:eastAsia="Arial" w:hAnsi="Arial"/>
          <w:sz w:val="18"/>
          <w:szCs w:val="18"/>
          <w:color w:val="auto"/>
        </w:rPr>
      </w:pPr>
    </w:p>
    <w:p>
      <w:pPr>
        <w:ind w:left="1180" w:right="280" w:hanging="544"/>
        <w:spacing w:after="0" w:line="277"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initial conversion or exchange price or rate and any adjustments thereto, the period or periods within which, and the other terms and conditions upon which conversion or exchange of the debt securities may be effected;</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and upon what terms the debt securities may be defeased;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events of default or covenants in addition to or in lieu of those set forth in the indenture;</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provisions for electronic issuance of debt securities or for debt securities in uncertificated form; and</w:t>
      </w:r>
    </w:p>
    <w:p>
      <w:pPr>
        <w:spacing w:after="0" w:line="130" w:lineRule="exact"/>
        <w:rPr>
          <w:rFonts w:ascii="Arial" w:cs="Arial" w:eastAsia="Arial" w:hAnsi="Arial"/>
          <w:sz w:val="18"/>
          <w:szCs w:val="18"/>
          <w:color w:val="auto"/>
        </w:rPr>
      </w:pPr>
    </w:p>
    <w:p>
      <w:pPr>
        <w:ind w:left="1180" w:right="180" w:hanging="544"/>
        <w:spacing w:after="0" w:line="277"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terms which may be required by or advisable under applicable laws or regulations or advisable in connection with the marketing of the debt securities.</w:t>
      </w:r>
    </w:p>
    <w:p>
      <w:pPr>
        <w:spacing w:after="0" w:line="17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the payment of interest accruing prior to the issue date of such further debt securities or except for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88" w:lineRule="exact"/>
        <w:rPr>
          <w:sz w:val="20"/>
          <w:szCs w:val="20"/>
          <w:color w:val="auto"/>
        </w:rPr>
      </w:pPr>
    </w:p>
    <w:p>
      <w:pPr>
        <w:ind w:left="200" w:right="240" w:firstLine="441"/>
        <w:spacing w:after="0" w:line="312" w:lineRule="auto"/>
        <w:rPr>
          <w:sz w:val="20"/>
          <w:szCs w:val="20"/>
          <w:color w:val="auto"/>
        </w:rPr>
      </w:pPr>
      <w:r>
        <w:rPr>
          <w:rFonts w:ascii="Arial" w:cs="Arial" w:eastAsia="Arial" w:hAnsi="Arial"/>
          <w:sz w:val="16"/>
          <w:szCs w:val="16"/>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4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Debt securities will bear interest at a fixed rate or a floating rate. Debt securities bearing no interest or interest at a rate that at the time of issuance is below the prevailing market rate (original issue discount securities)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Terms of the Debt Securities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Certain Definitions</w:t>
      </w:r>
      <w:r>
        <w:rPr>
          <w:rFonts w:ascii="Arial" w:cs="Arial" w:eastAsia="Arial" w:hAnsi="Arial"/>
          <w:sz w:val="16"/>
          <w:szCs w:val="16"/>
          <w:color w:val="auto"/>
        </w:rPr>
        <w:t>. The term “attributable debt” in respect of a sale and leaseback transaction means, at the time of determination, the lesser of</w:t>
      </w:r>
    </w:p>
    <w:p>
      <w:pPr>
        <w:spacing w:after="0" w:line="46" w:lineRule="exact"/>
        <w:rPr>
          <w:sz w:val="20"/>
          <w:szCs w:val="20"/>
          <w:color w:val="auto"/>
        </w:rPr>
      </w:pPr>
    </w:p>
    <w:p>
      <w:pPr>
        <w:ind w:left="200" w:right="120" w:firstLine="4"/>
        <w:spacing w:after="0" w:line="302" w:lineRule="auto"/>
        <w:tabs>
          <w:tab w:leader="none" w:pos="455"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fair market value of the assets subject to such transaction, as determined by our board of directors, and (2) the present value (discounted at the interest rate implicit in the lease or, if it is not practicable to determine such rate, then at our incremental borrowing rate determined in accordance with generally accepted accounting principles) of the obligation of the lessee for net rental payments during the remaining term of any lease.</w:t>
      </w:r>
    </w:p>
    <w:p>
      <w:pPr>
        <w:spacing w:after="0" w:line="155"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The term “consolidated net tangible assets” means, at any date, the total assets appearing on our most recent consolidated balance sheet, prepared in accordance with generally accepted accounting principles, less all current liabilities as shown on such balance sheet, and intangible assets.</w:t>
      </w:r>
    </w:p>
    <w:p>
      <w:pPr>
        <w:spacing w:after="0" w:line="124"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The term “funded debt”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w:t>
      </w:r>
    </w:p>
    <w:p>
      <w:pPr>
        <w:spacing w:after="0" w:line="181"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term “intangible assets” means the value (net of applicable reserves), as shown on or reflected in our most recent consolidated balance sheet, of (i) all trade names, trademarks, licenses, patents, copyrights and goodwill; (ii) organizational and development costs; (iii) deferred charges (other than prepaid items such as insurance, taxes, interest, commissions, rents and similar items and tangible assets being amortized); and (iv) unamortized debt discount and expenses, less unamortized premium; but in no event shall the term “intangible assets” include computer programs and related products.</w:t>
      </w:r>
    </w:p>
    <w:p>
      <w:pPr>
        <w:spacing w:after="0" w:line="154"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term “net rental payments” under any lease for any period shall mean the sum of rental and other payments required to be paid by such lessee thereunder, not including, however, amounts payable by the lessee for maintenance and repairs, insurance, taxes, assessments and similar charges and for contingent rents (such as those based on sales).</w:t>
      </w:r>
    </w:p>
    <w:p>
      <w:pPr>
        <w:spacing w:after="0" w:line="18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term “principal manufacturing property” means each of our manufacturing or processing plants or facilities located in the United States of America (other than territories and possessions of the United States) or Puerto Rico, except any such manufacturing or processing plant or facility that the board of directors by resolution determines not to be of material importance to the total business conducted by us and our consolidated subsidiaries, taken as a whole.</w:t>
      </w:r>
    </w:p>
    <w:p>
      <w:pPr>
        <w:spacing w:after="0" w:line="187" w:lineRule="exact"/>
        <w:rPr>
          <w:sz w:val="20"/>
          <w:szCs w:val="20"/>
          <w:color w:val="auto"/>
        </w:rPr>
      </w:pPr>
    </w:p>
    <w:p>
      <w:pPr>
        <w:ind w:left="200" w:right="340" w:firstLine="441"/>
        <w:spacing w:after="0" w:line="312" w:lineRule="auto"/>
        <w:rPr>
          <w:sz w:val="20"/>
          <w:szCs w:val="20"/>
          <w:color w:val="auto"/>
        </w:rPr>
      </w:pPr>
      <w:r>
        <w:rPr>
          <w:rFonts w:ascii="Arial" w:cs="Arial" w:eastAsia="Arial" w:hAnsi="Arial"/>
          <w:sz w:val="16"/>
          <w:szCs w:val="16"/>
          <w:i w:val="1"/>
          <w:iCs w:val="1"/>
          <w:color w:val="auto"/>
        </w:rPr>
        <w:t>Restrictions on Liens</w:t>
      </w:r>
      <w:r>
        <w:rPr>
          <w:rFonts w:ascii="Arial" w:cs="Arial" w:eastAsia="Arial" w:hAnsi="Arial"/>
          <w:sz w:val="16"/>
          <w:szCs w:val="16"/>
          <w:color w:val="auto"/>
        </w:rPr>
        <w:t>. The indenture provides that, unless as may otherwise be indicated by resolution of our board of directors,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 or supplemental indenture, we will not issue or assume any debt for money borrowed (which, including guarantees of debt for borrowed money, we refer to as “debt”), if the debt is secured by a mortgage, pledge, lien or other encumbrance (which we refer to as a “mortgage”) upon any</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24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312" w:lineRule="auto"/>
        <w:rPr>
          <w:sz w:val="20"/>
          <w:szCs w:val="20"/>
          <w:color w:val="auto"/>
        </w:rPr>
      </w:pPr>
      <w:r>
        <w:rPr>
          <w:rFonts w:ascii="Arial" w:cs="Arial" w:eastAsia="Arial" w:hAnsi="Arial"/>
          <w:sz w:val="16"/>
          <w:szCs w:val="16"/>
          <w:color w:val="auto"/>
        </w:rPr>
        <w:t>principal manufacturing property (whether such principal manufacturing property is now owned or subsequently acquired) without in any such case effectively providing that the debt securities (together with any other debt security ranking equally with the debt securities) shall be secured equally and ratably with the debt until such time as such debt is no longer secured by such mortgage. The foregoing restrictions shall not apply to:</w:t>
      </w:r>
    </w:p>
    <w:p>
      <w:pPr>
        <w:spacing w:after="0" w:line="52" w:lineRule="exact"/>
        <w:rPr>
          <w:sz w:val="20"/>
          <w:szCs w:val="20"/>
          <w:color w:val="auto"/>
        </w:rPr>
      </w:pPr>
    </w:p>
    <w:p>
      <w:pPr>
        <w:ind w:left="1180" w:hanging="544"/>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mortgages existing as of the closing date of the offering of the relevant series of debt securities;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mortgages on property existing at the time of or within 120 days after acquisition of the property and certain purchase money mortgages;</w:t>
      </w:r>
    </w:p>
    <w:p>
      <w:pPr>
        <w:spacing w:after="0" w:line="153" w:lineRule="exact"/>
        <w:rPr>
          <w:rFonts w:ascii="Arial" w:cs="Arial" w:eastAsia="Arial" w:hAnsi="Arial"/>
          <w:sz w:val="16"/>
          <w:szCs w:val="16"/>
          <w:color w:val="auto"/>
        </w:rPr>
      </w:pPr>
    </w:p>
    <w:p>
      <w:pPr>
        <w:ind w:left="1180" w:right="260" w:hanging="544"/>
        <w:spacing w:after="0" w:line="277"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mortgages on property of an entity existing at the time that entity is merged into or consolidated with us or substantially all the assets of which are acquired by us;</w:t>
      </w:r>
    </w:p>
    <w:p>
      <w:pPr>
        <w:spacing w:after="0" w:line="75" w:lineRule="exact"/>
        <w:rPr>
          <w:rFonts w:ascii="Arial" w:cs="Arial" w:eastAsia="Arial" w:hAnsi="Arial"/>
          <w:sz w:val="18"/>
          <w:szCs w:val="18"/>
          <w:color w:val="auto"/>
        </w:rPr>
      </w:pPr>
    </w:p>
    <w:p>
      <w:pPr>
        <w:ind w:left="1180" w:right="40" w:hanging="544"/>
        <w:spacing w:after="0" w:line="259"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mortgages in favor of the United States or any political subdivision or any instrumentality thereof, or in favor of any other country or any political subdivision or instrumentality thereof, to secure certain payments pursuant to any contract or statute or to secure any indebtedness incurred or guaranteed for the purpose of financing all or any part of the purchase price or the cost of construction of the property subject to the mortgages;</w:t>
      </w:r>
    </w:p>
    <w:p>
      <w:pPr>
        <w:spacing w:after="0" w:line="92" w:lineRule="exact"/>
        <w:rPr>
          <w:rFonts w:ascii="Arial" w:cs="Arial" w:eastAsia="Arial" w:hAnsi="Arial"/>
          <w:sz w:val="18"/>
          <w:szCs w:val="18"/>
          <w:color w:val="auto"/>
        </w:rPr>
      </w:pPr>
    </w:p>
    <w:p>
      <w:pPr>
        <w:ind w:left="1180" w:right="240" w:hanging="544"/>
        <w:spacing w:after="0" w:line="277"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mortgages for taxes, assessments or other governmental charges not yet due or payable or subject to penalties for non-payment or which we are contesting in good faith by appropriate proceedings;</w:t>
      </w:r>
    </w:p>
    <w:p>
      <w:pPr>
        <w:spacing w:after="0" w:line="75" w:lineRule="exact"/>
        <w:rPr>
          <w:rFonts w:ascii="Arial" w:cs="Arial" w:eastAsia="Arial" w:hAnsi="Arial"/>
          <w:sz w:val="18"/>
          <w:szCs w:val="18"/>
          <w:color w:val="auto"/>
        </w:rPr>
      </w:pPr>
    </w:p>
    <w:p>
      <w:pPr>
        <w:ind w:left="1180" w:right="20" w:hanging="544"/>
        <w:spacing w:after="0" w:line="277"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mortgages to secure the performance of bids, trade contracts, leases, statutory obligations, surety and appeal bonds, performance bonds and other obligations of a like nature, in each case in the ordinary course of business;</w:t>
      </w:r>
    </w:p>
    <w:p>
      <w:pPr>
        <w:spacing w:after="0" w:line="75" w:lineRule="exact"/>
        <w:rPr>
          <w:rFonts w:ascii="Arial" w:cs="Arial" w:eastAsia="Arial" w:hAnsi="Arial"/>
          <w:sz w:val="18"/>
          <w:szCs w:val="18"/>
          <w:color w:val="auto"/>
        </w:rPr>
      </w:pPr>
    </w:p>
    <w:p>
      <w:pPr>
        <w:ind w:left="1180" w:right="40" w:hanging="544"/>
        <w:spacing w:after="0" w:line="276" w:lineRule="auto"/>
        <w:tabs>
          <w:tab w:leader="none" w:pos="11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mortgages imposed by law, such as carrier’s, warehousemen’s and mechanic’s liens and other similar liens, in each case for sums not yet overdue by more than 30 calendar days or being contested in good faith by appropriate proceedings, or other liens arising out of judgments or awards against us with respect to which we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and</w:t>
      </w:r>
    </w:p>
    <w:p>
      <w:pPr>
        <w:spacing w:after="0" w:line="77" w:lineRule="exact"/>
        <w:rPr>
          <w:rFonts w:ascii="Arial" w:cs="Arial" w:eastAsia="Arial" w:hAnsi="Arial"/>
          <w:sz w:val="17"/>
          <w:szCs w:val="17"/>
          <w:color w:val="auto"/>
        </w:rPr>
      </w:pPr>
    </w:p>
    <w:p>
      <w:pPr>
        <w:ind w:left="1180" w:right="120" w:hanging="544"/>
        <w:spacing w:after="0" w:line="277"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in whole or in part, of any mortgage referred to in the bullet points above.</w:t>
      </w:r>
    </w:p>
    <w:p>
      <w:pPr>
        <w:spacing w:after="0" w:line="170" w:lineRule="exact"/>
        <w:rPr>
          <w:sz w:val="20"/>
          <w:szCs w:val="20"/>
          <w:color w:val="auto"/>
        </w:rPr>
      </w:pPr>
    </w:p>
    <w:p>
      <w:pPr>
        <w:jc w:val="both"/>
        <w:ind w:left="200" w:right="100" w:firstLine="441"/>
        <w:spacing w:after="0" w:line="302" w:lineRule="auto"/>
        <w:rPr>
          <w:sz w:val="20"/>
          <w:szCs w:val="20"/>
          <w:color w:val="auto"/>
        </w:rPr>
      </w:pPr>
      <w:r>
        <w:rPr>
          <w:rFonts w:ascii="Arial" w:cs="Arial" w:eastAsia="Arial" w:hAnsi="Arial"/>
          <w:sz w:val="16"/>
          <w:szCs w:val="16"/>
          <w:i w:val="1"/>
          <w:iCs w:val="1"/>
          <w:color w:val="auto"/>
        </w:rPr>
        <w:t>Restrictions on Sale and Leaseback Transactions</w:t>
      </w:r>
      <w:r>
        <w:rPr>
          <w:rFonts w:ascii="Arial" w:cs="Arial" w:eastAsia="Arial" w:hAnsi="Arial"/>
          <w:sz w:val="16"/>
          <w:szCs w:val="16"/>
          <w:color w:val="auto"/>
        </w:rPr>
        <w:t>. The indenture provides that, unless as may otherwise be indicated by resolution of our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officers’ certificate, or supplemental indenture, we will not enter into any lease longer than three years covering any principal manufacturing property that is sold to any person (other than any then-existing subsidiary) in connection with such lease unless the proceeds from such sale or transfer shall be at least equal to the fair value of such property as determined by resolution by our board of directors and either:</w:t>
      </w:r>
    </w:p>
    <w:p>
      <w:pPr>
        <w:spacing w:after="0" w:line="60" w:lineRule="exact"/>
        <w:rPr>
          <w:sz w:val="20"/>
          <w:szCs w:val="20"/>
          <w:color w:val="auto"/>
        </w:rPr>
      </w:pPr>
    </w:p>
    <w:p>
      <w:pPr>
        <w:ind w:left="1180" w:hanging="544"/>
        <w:spacing w:after="0" w:line="259" w:lineRule="auto"/>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would be entitled, pursuant to the “Restrictions on Liens” covenant described above, to incur debt secured by a mortgage on the principal manufacturing property involved in an amount at least equal to the attributable debt in respect of such principal manufacturing property without equally and ratably securing the debt securities, provided, that such attributable debt shall thereupon be deemed to be debt subject to the provisions of such restrictions on liens; or</w:t>
      </w:r>
    </w:p>
    <w:p>
      <w:pPr>
        <w:spacing w:after="0" w:line="92" w:lineRule="exact"/>
        <w:rPr>
          <w:rFonts w:ascii="Arial" w:cs="Arial" w:eastAsia="Arial" w:hAnsi="Arial"/>
          <w:sz w:val="18"/>
          <w:szCs w:val="18"/>
          <w:color w:val="auto"/>
        </w:rPr>
      </w:pPr>
    </w:p>
    <w:p>
      <w:pPr>
        <w:ind w:left="1180" w:right="320" w:hanging="544"/>
        <w:spacing w:after="0" w:line="342" w:lineRule="auto"/>
        <w:tabs>
          <w:tab w:leader="none" w:pos="11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within a period commencing twelve months prior to the consummation of the sale and leaseback transaction and ending twelve months after consummation of such transaction, we have expended or will expend for principal manufacturing property an amount equal to:</w:t>
      </w:r>
    </w:p>
    <w:p>
      <w:pPr>
        <w:spacing w:after="0" w:line="29" w:lineRule="exact"/>
        <w:rPr>
          <w:rFonts w:ascii="Arial" w:cs="Arial" w:eastAsia="Arial" w:hAnsi="Arial"/>
          <w:sz w:val="16"/>
          <w:szCs w:val="16"/>
          <w:color w:val="auto"/>
        </w:rPr>
      </w:pPr>
    </w:p>
    <w:p>
      <w:pPr>
        <w:ind w:left="1620" w:hanging="430"/>
        <w:spacing w:after="0"/>
        <w:tabs>
          <w:tab w:leader="none" w:pos="16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proceeds of such sale and leaseback transaction and we elect to designate such amount as a credit against such transaction, or</w:t>
      </w:r>
    </w:p>
    <w:p>
      <w:pPr>
        <w:spacing w:after="0" w:line="1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right="760" w:hanging="430"/>
        <w:spacing w:after="0" w:line="342" w:lineRule="auto"/>
        <w:tabs>
          <w:tab w:leader="none" w:pos="16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 part of the proceeds of such sale and leaseback transaction and we elect to designate such amount as a credit against such transaction and treat an amount equal to the remainder of the proceeds as provided in the clause directly below; or</w:t>
      </w:r>
    </w:p>
    <w:p>
      <w:pPr>
        <w:spacing w:after="0" w:line="29" w:lineRule="exact"/>
        <w:rPr>
          <w:rFonts w:ascii="Arial" w:cs="Arial" w:eastAsia="Arial" w:hAnsi="Arial"/>
          <w:sz w:val="16"/>
          <w:szCs w:val="16"/>
          <w:color w:val="auto"/>
        </w:rPr>
      </w:pPr>
    </w:p>
    <w:p>
      <w:pPr>
        <w:ind w:left="1180" w:right="160" w:hanging="544"/>
        <w:spacing w:after="0" w:line="286" w:lineRule="auto"/>
        <w:tabs>
          <w:tab w:leader="none" w:pos="11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such attributable debt (less any amount elected under the clause directly above) is applied within 120 days after the transaction to the retirement of funded debt, or is considered to be attributable debt for purposes of the calculation of exempted debt and, after giving effect to the exempted debt, the exempted debt does not exceed 15% of consolidated net tangible assets.</w:t>
      </w:r>
    </w:p>
    <w:p>
      <w:pPr>
        <w:spacing w:after="0" w:line="166"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i w:val="1"/>
          <w:iCs w:val="1"/>
          <w:color w:val="auto"/>
        </w:rPr>
        <w:t>Exempted Debt</w:t>
      </w:r>
      <w:r>
        <w:rPr>
          <w:rFonts w:ascii="Arial" w:cs="Arial" w:eastAsia="Arial" w:hAnsi="Arial"/>
          <w:sz w:val="17"/>
          <w:szCs w:val="17"/>
          <w:color w:val="auto"/>
        </w:rPr>
        <w:t>. The indenture provides that, notwithstanding the restrictions on mortgages and sale and leaseback transactions described above,</w:t>
      </w:r>
      <w:r>
        <w:rPr>
          <w:rFonts w:ascii="Arial" w:cs="Arial" w:eastAsia="Arial" w:hAnsi="Arial"/>
          <w:sz w:val="17"/>
          <w:szCs w:val="17"/>
          <w:i w:val="1"/>
          <w:iCs w:val="1"/>
          <w:color w:val="auto"/>
        </w:rPr>
        <w:t xml:space="preserve"> </w:t>
      </w:r>
      <w:r>
        <w:rPr>
          <w:rFonts w:ascii="Arial" w:cs="Arial" w:eastAsia="Arial" w:hAnsi="Arial"/>
          <w:sz w:val="17"/>
          <w:szCs w:val="17"/>
          <w:color w:val="auto"/>
        </w:rPr>
        <w:t>we may, in addition to amounts permitted under such restrictions, create, extend, renew or replace debt secured by mortgages, or enter into sale and leaseback transactions, which would otherwise be subject to the foregoing restrictions, without equally and ratably securing the debt securities and without any obligation to make expenditures for principal manufacturing property or to retire any debt, provided, that after giving effect thereto, the aggregate additional outstanding amount of such debt secured by mortgage plus attributable debt resulting from such sale and leaseback transactions (“exempted debt”) does not exceed 15% of consolidated net tangible assets.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Consolidation, Merger and Sale or Conveyance</w:t>
      </w:r>
      <w:r>
        <w:rPr>
          <w:rFonts w:ascii="Arial" w:cs="Arial" w:eastAsia="Arial" w:hAnsi="Arial"/>
          <w:sz w:val="16"/>
          <w:szCs w:val="16"/>
          <w:color w:val="auto"/>
        </w:rPr>
        <w:t>. We may not consolidate with, merge with or into, or sell, or convey (including by way of lease)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all or substantially all of our assets to any person or permit any person to merge with or into us unless:</w:t>
      </w:r>
    </w:p>
    <w:p>
      <w:pPr>
        <w:spacing w:after="0" w:line="116" w:lineRule="exact"/>
        <w:rPr>
          <w:sz w:val="20"/>
          <w:szCs w:val="20"/>
          <w:color w:val="auto"/>
        </w:rPr>
      </w:pPr>
    </w:p>
    <w:p>
      <w:pPr>
        <w:ind w:left="1180" w:right="180" w:hanging="544"/>
        <w:spacing w:after="0" w:line="273" w:lineRule="auto"/>
        <w:tabs>
          <w:tab w:leader="none" w:pos="11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 are the continuing person or the person formed by such consolidation or into which we are merged or that acquired or leased our property and assets shall be a corporation or entity organized under the laws of the United States of America or any state thereof (or, any entity not organized under such laws which agrees, in a form satisfactory to the trustee, to submit to the jurisdiction of the United States district court for the Southern District of New York, and to indemnify and hold harmless the holders of the debt securities against certain taxes and expenses) and shall expressly assume, by a supplemental indenture, executed and delivered to the trustee, all of our obligations on all of the debt securities and under the indenture;</w:t>
      </w:r>
    </w:p>
    <w:p>
      <w:pPr>
        <w:spacing w:after="0" w:line="83" w:lineRule="exact"/>
        <w:rPr>
          <w:rFonts w:ascii="Arial" w:cs="Arial" w:eastAsia="Arial" w:hAnsi="Arial"/>
          <w:sz w:val="17"/>
          <w:szCs w:val="17"/>
          <w:color w:val="auto"/>
        </w:rPr>
      </w:pPr>
    </w:p>
    <w:p>
      <w:pPr>
        <w:ind w:left="1180" w:hanging="544"/>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130" w:lineRule="exact"/>
        <w:rPr>
          <w:rFonts w:ascii="Arial" w:cs="Arial" w:eastAsia="Arial" w:hAnsi="Arial"/>
          <w:sz w:val="18"/>
          <w:szCs w:val="18"/>
          <w:color w:val="auto"/>
        </w:rPr>
      </w:pPr>
    </w:p>
    <w:p>
      <w:pPr>
        <w:ind w:left="1180" w:right="80" w:hanging="544"/>
        <w:spacing w:after="0" w:line="264" w:lineRule="auto"/>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opinion of counsel, in each case stating that such consolidation, merger, or conveyance and such supplemental indenture complies with this provision and that all conditions precedent provided for in the indenture and the debt securities relating to such transaction have been complied with.</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restrictions in the bullets above shall not be applicable to:</w:t>
      </w:r>
    </w:p>
    <w:p>
      <w:pPr>
        <w:spacing w:after="0" w:line="131" w:lineRule="exact"/>
        <w:rPr>
          <w:sz w:val="20"/>
          <w:szCs w:val="20"/>
          <w:color w:val="auto"/>
        </w:rPr>
      </w:pPr>
    </w:p>
    <w:p>
      <w:pPr>
        <w:ind w:left="1180" w:right="600" w:hanging="544"/>
        <w:spacing w:after="0" w:line="308" w:lineRule="auto"/>
        <w:tabs>
          <w:tab w:leader="none" w:pos="11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merger or consolidation of us with an affiliate of ours if our board of directors determines in good faith that the purpose of such transaction is principally to change our state of incorporation or convert our form of organization to another form; or</w:t>
      </w:r>
    </w:p>
    <w:p>
      <w:pPr>
        <w:spacing w:after="0" w:line="51" w:lineRule="exact"/>
        <w:rPr>
          <w:rFonts w:ascii="Arial" w:cs="Arial" w:eastAsia="Arial" w:hAnsi="Arial"/>
          <w:sz w:val="17"/>
          <w:szCs w:val="17"/>
          <w:color w:val="auto"/>
        </w:rPr>
      </w:pPr>
    </w:p>
    <w:p>
      <w:pPr>
        <w:ind w:left="1180" w:right="480" w:hanging="544"/>
        <w:spacing w:after="0" w:line="277" w:lineRule="auto"/>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of ours pursuant to Section 251(g) (or any successor provision) of the General Corporation Law of the State of Delaware.</w:t>
      </w:r>
    </w:p>
    <w:p>
      <w:pPr>
        <w:spacing w:after="0" w:line="170"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If any consolidation or merger or any sale, assignment, conveyance, lease, transfer or other disposition of all or substantially all of our assets occurs in accordance with the indenture, the successor corporation will succeed to, and be substituted for us and may exercise every right and power under the indenture with the same effect as if such successor corporation had been named in our place in the indenture, and we will (except in the case of a lease) be discharged from all obligations and covenants under the indenture and the debt securities.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 event of default for any series of debt securities is defined under the indenture as being:</w:t>
      </w:r>
    </w:p>
    <w:p>
      <w:pPr>
        <w:spacing w:after="0" w:line="131" w:lineRule="exact"/>
        <w:rPr>
          <w:sz w:val="20"/>
          <w:szCs w:val="20"/>
          <w:color w:val="auto"/>
        </w:rPr>
      </w:pPr>
    </w:p>
    <w:p>
      <w:pPr>
        <w:ind w:left="1180" w:right="200" w:hanging="544"/>
        <w:spacing w:after="0" w:line="264" w:lineRule="auto"/>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default in the payment of principal on the debt securities of such series when due and payable whether at maturity, upon redemption, by declaration or otherwise, but, in the case of technical or administrative difficulties, only if that default continues for a period of two days;</w:t>
      </w:r>
    </w:p>
    <w:p>
      <w:pPr>
        <w:spacing w:after="0" w:line="86" w:lineRule="exact"/>
        <w:rPr>
          <w:rFonts w:ascii="Arial" w:cs="Arial" w:eastAsia="Arial" w:hAnsi="Arial"/>
          <w:sz w:val="18"/>
          <w:szCs w:val="18"/>
          <w:color w:val="auto"/>
        </w:rPr>
      </w:pPr>
    </w:p>
    <w:p>
      <w:pPr>
        <w:ind w:left="1180" w:right="200" w:hanging="544"/>
        <w:spacing w:after="0" w:line="277" w:lineRule="auto"/>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default in the payment of interest on any debt securities of such series when due and payable, if that default continues for a period of 30 days;</w:t>
      </w:r>
    </w:p>
    <w:p>
      <w:pPr>
        <w:spacing w:after="0" w:line="75" w:lineRule="exact"/>
        <w:rPr>
          <w:rFonts w:ascii="Arial" w:cs="Arial" w:eastAsia="Arial" w:hAnsi="Arial"/>
          <w:sz w:val="18"/>
          <w:szCs w:val="18"/>
          <w:color w:val="auto"/>
        </w:rPr>
      </w:pPr>
    </w:p>
    <w:p>
      <w:pPr>
        <w:ind w:left="1180" w:hanging="544"/>
        <w:spacing w:after="0" w:line="259" w:lineRule="auto"/>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days after we receive written notice from the trustee or from the holders of 25% or more in aggregate principal amount of the debt securities of such series then outstanding;</w:t>
      </w:r>
    </w:p>
    <w:p>
      <w:pPr>
        <w:spacing w:after="0" w:line="92" w:lineRule="exact"/>
        <w:rPr>
          <w:rFonts w:ascii="Arial" w:cs="Arial" w:eastAsia="Arial" w:hAnsi="Arial"/>
          <w:sz w:val="18"/>
          <w:szCs w:val="18"/>
          <w:color w:val="auto"/>
        </w:rPr>
      </w:pPr>
    </w:p>
    <w:p>
      <w:pPr>
        <w:ind w:left="1180" w:hanging="544"/>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other event of default provided for in such series of debt securities;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30" w:lineRule="exact"/>
        <w:rPr>
          <w:rFonts w:ascii="Arial" w:cs="Arial" w:eastAsia="Arial" w:hAnsi="Arial"/>
          <w:sz w:val="18"/>
          <w:szCs w:val="18"/>
          <w:color w:val="auto"/>
        </w:rPr>
      </w:pPr>
    </w:p>
    <w:p>
      <w:pPr>
        <w:ind w:left="1620" w:right="260" w:hanging="430"/>
        <w:spacing w:after="0" w:line="277" w:lineRule="auto"/>
        <w:tabs>
          <w:tab w:leader="none" w:pos="1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relief in respect of us in an involuntary case under any applicable bankruptcy, insolvency, or other similar law now or hereafter in effect;</w:t>
      </w:r>
    </w:p>
    <w:p>
      <w:pPr>
        <w:spacing w:after="0" w:line="75" w:lineRule="exact"/>
        <w:rPr>
          <w:rFonts w:ascii="Arial" w:cs="Arial" w:eastAsia="Arial" w:hAnsi="Arial"/>
          <w:sz w:val="18"/>
          <w:szCs w:val="18"/>
          <w:color w:val="auto"/>
        </w:rPr>
      </w:pPr>
    </w:p>
    <w:p>
      <w:pPr>
        <w:ind w:left="1620" w:right="160" w:hanging="430"/>
        <w:spacing w:after="0" w:line="277" w:lineRule="auto"/>
        <w:tabs>
          <w:tab w:leader="none" w:pos="1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us or for all or substantially all of our property; or</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winding up or liquidation of our affairs</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and such decree or order shall remain unstayed and in effect for a period of 60 consecutive days; or</w:t>
      </w:r>
    </w:p>
    <w:p>
      <w:pPr>
        <w:spacing w:after="0" w:line="131" w:lineRule="exact"/>
        <w:rPr>
          <w:sz w:val="20"/>
          <w:szCs w:val="20"/>
          <w:color w:val="auto"/>
        </w:rPr>
      </w:pPr>
    </w:p>
    <w:p>
      <w:pPr>
        <w:ind w:left="1180" w:hanging="544"/>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commence a voluntary case under any applicable bankruptcy, insolvency, or other similar law now or hereafter in effect;</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consent to the entry of an order for relief in an involuntary case under any such law;</w:t>
      </w:r>
    </w:p>
    <w:p>
      <w:pPr>
        <w:spacing w:after="0" w:line="130" w:lineRule="exact"/>
        <w:rPr>
          <w:rFonts w:ascii="Arial" w:cs="Arial" w:eastAsia="Arial" w:hAnsi="Arial"/>
          <w:sz w:val="18"/>
          <w:szCs w:val="18"/>
          <w:color w:val="auto"/>
        </w:rPr>
      </w:pPr>
    </w:p>
    <w:p>
      <w:pPr>
        <w:ind w:left="1620" w:right="400" w:hanging="430"/>
        <w:spacing w:after="0" w:line="277" w:lineRule="auto"/>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consent to the appointment of or taking possession by a receiver, liquidator, assignee, custodian, trustee, sequestrator, or similar official of us for all or substantially all of our property; or</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effect any general assignment for the benefit of creditors.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default by us under any other debt, including any other series of debt securities, is not a default under the indenture.</w:t>
      </w:r>
    </w:p>
    <w:p>
      <w:pPr>
        <w:spacing w:after="0" w:line="225"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88"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If an event of default specified in the last two bullet points above occurs with respect to us and is continuing, then the entire principal amount of the debt securities of all series then outstanding will automatically become due immediately and payable without any declaration or other act on the part of the trustee or any holder.</w:t>
      </w:r>
    </w:p>
    <w:p>
      <w:pPr>
        <w:spacing w:after="0" w:line="181"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 Unless otherwise specified in the prospectus supplement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70"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“—Modification and Waiver.”</w:t>
      </w:r>
    </w:p>
    <w:p>
      <w:pPr>
        <w:spacing w:after="0" w:line="182"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w:t>
      </w:r>
    </w:p>
    <w:p>
      <w:pPr>
        <w:ind w:left="200" w:right="200"/>
        <w:spacing w:after="0" w:line="295" w:lineRule="auto"/>
        <w:rPr>
          <w:sz w:val="20"/>
          <w:szCs w:val="20"/>
          <w:color w:val="auto"/>
        </w:rPr>
      </w:pPr>
      <w:r>
        <w:rPr>
          <w:rFonts w:ascii="Arial" w:cs="Arial" w:eastAsia="Arial" w:hAnsi="Arial"/>
          <w:sz w:val="16"/>
          <w:szCs w:val="16"/>
          <w:color w:val="auto"/>
        </w:rPr>
        <w:t>securities. However, the trustee may refuse to 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67" w:lineRule="exact"/>
        <w:rPr>
          <w:sz w:val="20"/>
          <w:szCs w:val="20"/>
          <w:color w:val="auto"/>
        </w:rPr>
      </w:pPr>
    </w:p>
    <w:p>
      <w:pPr>
        <w:ind w:left="1180" w:hanging="544"/>
        <w:spacing w:after="0"/>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1180" w:hanging="544"/>
        <w:spacing w:after="0" w:line="277" w:lineRule="auto"/>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debt securities make a written request to the trustee to pursue the remedy in respect of such event of default;</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30" w:lineRule="exact"/>
        <w:rPr>
          <w:rFonts w:ascii="Arial" w:cs="Arial" w:eastAsia="Arial" w:hAnsi="Arial"/>
          <w:sz w:val="18"/>
          <w:szCs w:val="18"/>
          <w:color w:val="auto"/>
        </w:rPr>
      </w:pPr>
    </w:p>
    <w:p>
      <w:pPr>
        <w:ind w:left="1180" w:right="20" w:hanging="544"/>
        <w:spacing w:after="0" w:line="277" w:lineRule="auto"/>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debt securities do not give the trustee a direction that is inconsistent with the request.</w:t>
      </w:r>
    </w:p>
    <w:p>
      <w:pPr>
        <w:spacing w:after="0" w:line="170"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81"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The indenture requires certain of our officers to certify, on or before a fixed date in each year in which any security is outstanding, as to their knowledge of our compliance with all conditions and covenants under the indenture.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indenture provides that, unless the terms of any series of debt securities provide otherwise, we may discharge our obligations with respect to an issue of debt securities and the indenture with respect to such series of debt securities if:</w:t>
      </w:r>
    </w:p>
    <w:p>
      <w:pPr>
        <w:spacing w:after="0" w:line="76" w:lineRule="exact"/>
        <w:rPr>
          <w:sz w:val="20"/>
          <w:szCs w:val="20"/>
          <w:color w:val="auto"/>
        </w:rPr>
      </w:pPr>
    </w:p>
    <w:p>
      <w:pPr>
        <w:ind w:left="1180" w:right="20" w:hanging="544"/>
        <w:spacing w:after="0" w:line="277" w:lineRule="auto"/>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pay or cause to be paid, as and when due and payable, the principal of and any interest on all securities of such series outstanding under the indenture, and we also pay all other sums payable by us under the indenture; or</w:t>
      </w:r>
    </w:p>
    <w:p>
      <w:pPr>
        <w:spacing w:after="0" w:line="75" w:lineRule="exact"/>
        <w:rPr>
          <w:rFonts w:ascii="Arial" w:cs="Arial" w:eastAsia="Arial" w:hAnsi="Arial"/>
          <w:sz w:val="18"/>
          <w:szCs w:val="18"/>
          <w:color w:val="auto"/>
        </w:rPr>
      </w:pPr>
    </w:p>
    <w:p>
      <w:pPr>
        <w:ind w:left="1180" w:right="320" w:hanging="544"/>
        <w:spacing w:after="0" w:line="277" w:lineRule="auto"/>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debt securities of such series previously authenticated and delivered have been delivered to the trustee for cancellation, and we have paid all sums payable by us under the indenture; or</w:t>
      </w:r>
    </w:p>
    <w:p>
      <w:pPr>
        <w:spacing w:after="0" w:line="75" w:lineRule="exact"/>
        <w:rPr>
          <w:rFonts w:ascii="Arial" w:cs="Arial" w:eastAsia="Arial" w:hAnsi="Arial"/>
          <w:sz w:val="18"/>
          <w:szCs w:val="18"/>
          <w:color w:val="auto"/>
        </w:rPr>
      </w:pPr>
    </w:p>
    <w:p>
      <w:pPr>
        <w:ind w:left="1180" w:hanging="544"/>
        <w:spacing w:after="0" w:line="293" w:lineRule="auto"/>
        <w:tabs>
          <w:tab w:leader="none" w:pos="11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debt securities of such series mature within one year or all of them are to be called for redemption within one year under arrangements satisfactory to the trustee for giving the notice of redemption, and we irrevocably deposit in trust with the trustee, as trust funds solely for the benefit of the holders of the debt securities of such series, for that purpose, the entire amount in cash or, in the case of any series of debt securities payments on which may only be made in U.S. dollars, U.S. government obligations, maturing as to principal and interest in such amounts and at such times as will insure the availability of cash sufficient to pay principal of and interest on the debt securities of such series to maturity or redemption, as the case may be, and to pay all other sums payable by us under the indenture.</w:t>
      </w:r>
    </w:p>
    <w:p>
      <w:pPr>
        <w:spacing w:after="0" w:line="165"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With respect to the first and second bullet points, only our obligations to compensate and indemnify the trustee and our right to recover unclaimed money held by the trustee under the indenture shall survive. With respect to the third bullet point, certain additional rights and obligations under the indenture shall survive until such debt securities are no longer outstanding. Thereafter, only our obligations to compensate and indemnify the trustee and our right to recover unclaimed money held by the trustee shall survive.</w:t>
      </w:r>
    </w:p>
    <w:p>
      <w:pPr>
        <w:spacing w:after="0" w:line="18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Unless the terms of any series of debt securities provide otherwise, on the 121st day after the date of deposit of trust funds with the trustee, we will be deemed to have paid and will be discharged from any and all obligations in respect of the series of debt securities provided for in the funds, and the provisions of the indenture will no longer be in effect with respect to such debt securities (“legal defeasance”) except as to certain rights and obligations under the indenture; provided that the following conditions shall have been satisfied:</w:t>
      </w:r>
    </w:p>
    <w:p>
      <w:pPr>
        <w:spacing w:after="0" w:line="77" w:lineRule="exact"/>
        <w:rPr>
          <w:sz w:val="20"/>
          <w:szCs w:val="20"/>
          <w:color w:val="auto"/>
        </w:rPr>
      </w:pPr>
    </w:p>
    <w:p>
      <w:pPr>
        <w:ind w:left="1180" w:right="40" w:hanging="544"/>
        <w:spacing w:after="0" w:line="270" w:lineRule="auto"/>
        <w:tabs>
          <w:tab w:leader="none" w:pos="11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have irrevocably deposited in trust with the trustee as trust funds solely for the benefit of the holders of the debt securities of such series, for payment of the principal of and interest on the debt securities of such series, cash in an amount or, in the case of any series of debt securities payments on which can only be made in U.S. dollars, U.S. government obligations (maturing as to principal and interest at such times and in such amounts as will insure the availability of cash) or a combination thereof sufficient (in the opinion of a nationally recognized firm of independent public accountants expressed in a written certification thereof delivered to the trustee), after payment of all federal, state and local taxes or other charges and assessments in respect thereof payable by the trustee, to pay and discharge the principal of and accrued interest on the debt securities of such series to maturity or earlier redemption, as the case may be, and any mandatory sinking fund payments on the day on which such payments are due and payable in accordance with the terms of the indenture and the debt securities of such series;</w:t>
      </w:r>
    </w:p>
    <w:p>
      <w:pPr>
        <w:spacing w:after="0" w:line="87" w:lineRule="exact"/>
        <w:rPr>
          <w:rFonts w:ascii="Arial" w:cs="Arial" w:eastAsia="Arial" w:hAnsi="Arial"/>
          <w:sz w:val="17"/>
          <w:szCs w:val="17"/>
          <w:color w:val="auto"/>
        </w:rPr>
      </w:pPr>
    </w:p>
    <w:p>
      <w:pPr>
        <w:ind w:left="1180" w:right="160" w:hanging="544"/>
        <w:spacing w:after="0" w:line="277"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indenture or any other agreement or instrument to which we are a party or by which we are bound;</w:t>
      </w:r>
    </w:p>
    <w:p>
      <w:pPr>
        <w:spacing w:after="0" w:line="75" w:lineRule="exact"/>
        <w:rPr>
          <w:rFonts w:ascii="Arial" w:cs="Arial" w:eastAsia="Arial" w:hAnsi="Arial"/>
          <w:sz w:val="18"/>
          <w:szCs w:val="18"/>
          <w:color w:val="auto"/>
        </w:rPr>
      </w:pPr>
    </w:p>
    <w:p>
      <w:pPr>
        <w:ind w:left="1180" w:hanging="544"/>
        <w:spacing w:after="0" w:line="257"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shall have delivered to the trustee an officers’ certificate and an opinion of counsel to the effect that we have received from, or there has been published by, the Internal Revenue Service a ruling to the effect that the holders of the debt securities of 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and</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40" w:hanging="544"/>
        <w:spacing w:after="0" w:line="264" w:lineRule="auto"/>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provided for in the indenture relating to the contemplated defeasance of the debt securities of such series have been complied with, and the opinion of counsel shall also state that such deposit does not violate applicable law.</w:t>
      </w:r>
    </w:p>
    <w:p>
      <w:pPr>
        <w:spacing w:after="0" w:line="18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Subsequent to the legal defeasance above, after such debt securities are no longer outstanding, only our obligations to compensate and indemnify the trustee and our right to recover unclaimed money held by the trustee shall survive.</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and the trustee may amend or supplement the indenture or the debt securities without the consent of any holder:</w:t>
      </w:r>
    </w:p>
    <w:p>
      <w:pPr>
        <w:spacing w:after="0" w:line="131" w:lineRule="exact"/>
        <w:rPr>
          <w:sz w:val="20"/>
          <w:szCs w:val="20"/>
          <w:color w:val="auto"/>
        </w:rPr>
      </w:pPr>
    </w:p>
    <w:p>
      <w:pPr>
        <w:ind w:left="1180" w:hanging="544"/>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convey, mortgage or pledge any assets as security for the securities of one or more series;</w:t>
      </w:r>
    </w:p>
    <w:p>
      <w:pPr>
        <w:spacing w:after="0" w:line="130" w:lineRule="exact"/>
        <w:rPr>
          <w:rFonts w:ascii="Arial" w:cs="Arial" w:eastAsia="Arial" w:hAnsi="Arial"/>
          <w:sz w:val="18"/>
          <w:szCs w:val="18"/>
          <w:color w:val="auto"/>
        </w:rPr>
      </w:pPr>
    </w:p>
    <w:p>
      <w:pPr>
        <w:ind w:left="1180" w:right="240" w:hanging="544"/>
        <w:spacing w:after="0" w:line="277"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us, and the assumption by such successor corporation of our covenants, agreements and obligations under the indenture;</w:t>
      </w:r>
    </w:p>
    <w:p>
      <w:pPr>
        <w:spacing w:after="0" w:line="75" w:lineRule="exact"/>
        <w:rPr>
          <w:rFonts w:ascii="Arial" w:cs="Arial" w:eastAsia="Arial" w:hAnsi="Arial"/>
          <w:sz w:val="18"/>
          <w:szCs w:val="18"/>
          <w:color w:val="auto"/>
        </w:rPr>
      </w:pPr>
    </w:p>
    <w:p>
      <w:pPr>
        <w:ind w:left="1180" w:right="240" w:hanging="544"/>
        <w:spacing w:after="0" w:line="308" w:lineRule="auto"/>
        <w:tabs>
          <w:tab w:leader="none" w:pos="11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to cure any ambiguity, defect, or inconsistency in the indenture or in any supplemental indenture or to conform the indenture or the debt securities to the description of debt securities of such series set forth in this prospectus or a prospectus supplement;</w:t>
      </w:r>
    </w:p>
    <w:p>
      <w:pPr>
        <w:spacing w:after="0" w:line="51" w:lineRule="exact"/>
        <w:rPr>
          <w:rFonts w:ascii="Arial" w:cs="Arial" w:eastAsia="Arial" w:hAnsi="Arial"/>
          <w:sz w:val="17"/>
          <w:szCs w:val="17"/>
          <w:color w:val="auto"/>
        </w:rPr>
      </w:pPr>
    </w:p>
    <w:p>
      <w:pPr>
        <w:ind w:left="1180" w:hanging="544"/>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Covenants—Consolidation, Merger and Sale or Conveyance”;</w:t>
      </w:r>
    </w:p>
    <w:p>
      <w:pPr>
        <w:spacing w:after="0" w:line="130" w:lineRule="exact"/>
        <w:rPr>
          <w:rFonts w:ascii="Arial" w:cs="Arial" w:eastAsia="Arial" w:hAnsi="Arial"/>
          <w:sz w:val="18"/>
          <w:szCs w:val="18"/>
          <w:color w:val="auto"/>
        </w:rPr>
      </w:pPr>
    </w:p>
    <w:p>
      <w:pPr>
        <w:ind w:left="1180" w:right="40" w:hanging="544"/>
        <w:spacing w:after="0" w:line="277"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or to make such changes as shall be necessary to provide for or facilitate the administration of the trusts in the indenture by more than one trustee;</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establish the form or forms or terms of the debt securities as permitted by the indenture;</w:t>
      </w:r>
    </w:p>
    <w:p>
      <w:pPr>
        <w:spacing w:after="0" w:line="130" w:lineRule="exact"/>
        <w:rPr>
          <w:rFonts w:ascii="Arial" w:cs="Arial" w:eastAsia="Arial" w:hAnsi="Arial"/>
          <w:sz w:val="18"/>
          <w:szCs w:val="18"/>
          <w:color w:val="auto"/>
        </w:rPr>
      </w:pPr>
    </w:p>
    <w:p>
      <w:pPr>
        <w:ind w:left="1180" w:right="300" w:hanging="544"/>
        <w:spacing w:after="0" w:line="277"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make any change that is necessary or desirable provided that such change shall not adversely affect the interests of the holders of the debt securities of any series in any material respect;</w:t>
      </w:r>
    </w:p>
    <w:p>
      <w:pPr>
        <w:spacing w:after="0" w:line="75" w:lineRule="exact"/>
        <w:rPr>
          <w:rFonts w:ascii="Arial" w:cs="Arial" w:eastAsia="Arial" w:hAnsi="Arial"/>
          <w:sz w:val="18"/>
          <w:szCs w:val="18"/>
          <w:color w:val="auto"/>
        </w:rPr>
      </w:pPr>
    </w:p>
    <w:p>
      <w:pPr>
        <w:ind w:left="1180" w:hanging="544"/>
        <w:spacing w:after="0" w:line="264"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make any change to the debt securities of any series so long as no debt securities of such series are outstanding.</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Other amendments and modifications of the indenture or the debt securities issued may be made, and our compliance with any provision of the indenture with respect to any series of debt securities may be waived, with the consent of the holders of not less than a majority of the aggregate principal amount of the outstanding debt securities of all series affected by the amendment or modification (voting as one class); provided, however, that each affected holder must consent to any modification, amendment or waiver that,</w:t>
      </w:r>
    </w:p>
    <w:p>
      <w:pPr>
        <w:spacing w:after="0" w:line="92" w:lineRule="exact"/>
        <w:rPr>
          <w:sz w:val="20"/>
          <w:szCs w:val="20"/>
          <w:color w:val="auto"/>
        </w:rPr>
      </w:pPr>
    </w:p>
    <w:p>
      <w:pPr>
        <w:ind w:left="1180" w:hanging="544"/>
        <w:spacing w:after="0"/>
        <w:tabs>
          <w:tab w:leader="none" w:pos="11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extends the stated maturity of the principal of, or the time of payment of any installment of interest on, any debt securities of such series;</w:t>
      </w:r>
    </w:p>
    <w:p>
      <w:pPr>
        <w:spacing w:after="0" w:line="153" w:lineRule="exact"/>
        <w:rPr>
          <w:rFonts w:ascii="Arial" w:cs="Arial" w:eastAsia="Arial" w:hAnsi="Arial"/>
          <w:sz w:val="16"/>
          <w:szCs w:val="16"/>
          <w:color w:val="auto"/>
        </w:rPr>
      </w:pPr>
    </w:p>
    <w:p>
      <w:pPr>
        <w:ind w:left="1180" w:hanging="544"/>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reduces the principal amount of, or interest on, any debt securities of such series;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the place or currency of payment of principal of, or interest on, any debt securities of such series;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impairs the right of holders to institute suit for the enforcement of any payment of any debt securities of such series;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280" w:hanging="544"/>
        <w:spacing w:after="0" w:line="277" w:lineRule="auto"/>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debt securities of such series the consent of whose holders is necessary to modify or amend or to waive certain provisions of or defaults under the indenture;</w:t>
      </w:r>
    </w:p>
    <w:p>
      <w:pPr>
        <w:spacing w:after="0" w:line="75" w:lineRule="exact"/>
        <w:rPr>
          <w:rFonts w:ascii="Arial" w:cs="Arial" w:eastAsia="Arial" w:hAnsi="Arial"/>
          <w:sz w:val="18"/>
          <w:szCs w:val="18"/>
          <w:color w:val="auto"/>
        </w:rPr>
      </w:pPr>
    </w:p>
    <w:p>
      <w:pPr>
        <w:ind w:left="1180" w:right="720" w:hanging="544"/>
        <w:spacing w:after="0" w:line="264" w:lineRule="auto"/>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modifies any of the provisions of the preceding bullets, except to increase any required percentage or to provide that certain other provisions cannot be modified or waived without the consent of the holder of each debt security of such series affected by the modification; or</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waives a default in respect of a covenant or provision which cannot be modified or amended without the consent of each affected holder.</w:t>
      </w:r>
    </w:p>
    <w:p>
      <w:pPr>
        <w:spacing w:after="0" w:line="248"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It shall not be necessary for the consent of the holders under this section to approve the particular form of any proposed amendment, supplement, or waiver, but it shall be sufficient if such consent approves the substance thereof. After an amendment, supplement, or waiver under this section becomes effective, the trustee must give to the holders affected thereby certain notice briefly describing the amendment, supplement, or waiver. We will mail supplemental indentures to holders upon request. Any failure by the trustee to give such notice, or any defect therein, shall not, however, in any way impair or affect the validity of any such supplemental indenture or waiver.</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indenture provides that no recourse shall be had under or upon any obligation, covenant, or agreement of ours in the indenture or any supplemental indenture, or in any of the debt securities or because of any indebtedness represented thereby, against any incorporator, stockholder, officer or director of ours or of any successor person thereof under any law, statute or constitutional provision or by the enforcement of any assessment or by any legal or equitable proceeding or otherwise. Each holder, by accepting the debt securities, waives and releases all such liability.</w:t>
      </w:r>
    </w:p>
    <w:p>
      <w:pPr>
        <w:spacing w:after="0" w:line="2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indenture provides that, except during the continuance of a default, the trustee will not be liable, except for the performance of such duties as are specifically set forth in the indenture. If an event of default has occurred and is continuing, the trustee will exercise such rights and powers vested in it under the indenture and will use the same degree of care and skill in its exercise as a prudent person would exercise under the circumstances in the conduct of such person’s own affairs.</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Governing Law</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indenture and the debt securities will be governed by, and construed in accordance with, the internal laws of the State of New York.</w:t>
      </w:r>
    </w:p>
    <w:p>
      <w:pPr>
        <w:spacing w:after="0" w:line="34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Trustee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may have normal banking relationships with the trustee under the indenture in the ordinary course of business.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37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As specified in the applicable prospectus supplement, we may issue units consisting of one or more warrants, debt securities, shares of preferred stock, shares of common stock or any combination of such securities.</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240" w:top="459" w:right="5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FORMS OF SECURITIES</w:t>
      </w:r>
    </w:p>
    <w:p>
      <w:pPr>
        <w:spacing w:after="0" w:line="229"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i w:val="1"/>
          <w:iCs w:val="1"/>
          <w:color w:val="auto"/>
        </w:rPr>
        <w:t>Registered Global Securities</w:t>
      </w:r>
      <w:r>
        <w:rPr>
          <w:rFonts w:ascii="Arial" w:cs="Arial" w:eastAsia="Arial" w:hAnsi="Arial"/>
          <w:sz w:val="16"/>
          <w:szCs w:val="16"/>
          <w:color w:val="auto"/>
        </w:rPr>
        <w:t>. We may issue the registered debt securities, warrants and units in the form of one or more fully registered global</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65"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81"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89"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7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Texas Instruments, the trustee, any warrant agent, unit agent or any other agent of Texas Instruments, agent of the trustee or agent of such warrant agent or unit agent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93"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78"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We or selling security holders may sell the securities being offered hereby in the following manner or any manner specified in a prospectus supplement:</w:t>
      </w:r>
    </w:p>
    <w:p>
      <w:pPr>
        <w:spacing w:after="0" w:line="76" w:lineRule="exact"/>
        <w:rPr>
          <w:sz w:val="20"/>
          <w:szCs w:val="20"/>
          <w:color w:val="auto"/>
        </w:rPr>
      </w:pPr>
    </w:p>
    <w:p>
      <w:pPr>
        <w:ind w:left="1180" w:hanging="544"/>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225" w:lineRule="exact"/>
        <w:rPr>
          <w:sz w:val="20"/>
          <w:szCs w:val="20"/>
          <w:color w:val="auto"/>
        </w:rPr>
      </w:pPr>
    </w:p>
    <w:p>
      <w:pPr>
        <w:jc w:val="both"/>
        <w:ind w:left="200" w:right="180" w:firstLine="441"/>
        <w:spacing w:after="0" w:line="302" w:lineRule="auto"/>
        <w:rPr>
          <w:sz w:val="20"/>
          <w:szCs w:val="20"/>
          <w:color w:val="auto"/>
        </w:rPr>
      </w:pPr>
      <w:r>
        <w:rPr>
          <w:rFonts w:ascii="Arial" w:cs="Arial" w:eastAsia="Arial" w:hAnsi="Arial"/>
          <w:sz w:val="16"/>
          <w:szCs w:val="16"/>
          <w:color w:val="auto"/>
        </w:rPr>
        <w:t>If any securities are sold pursuant to this prospectus by any persons other than us, we will, in a prospectus supplement, name the selling security holders, indicate the nature of any relationship such holders have had to us or any of our affiliates during the three years preceding such offering, state the amount of securities of the class owned by such security holder prior to the offering and the amount to be offered for the security holder’s account, and state the amount and (if one percent or more) the percentage of the class to be owned by such security holder after completion of the offering.</w:t>
      </w:r>
    </w:p>
    <w:p>
      <w:pPr>
        <w:spacing w:after="0" w:line="154"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We or any selling security holder may directly solicit offers to purchase securities, or agents may be designated to solicit such offers. We will, in the prospectus supplement relating to such offering, name any agent that could be viewed as an underwriter under the Securities Act of 1933, as amended (the “Securities Act”), and describe any commissions that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58" w:lineRule="exact"/>
        <w:rPr>
          <w:sz w:val="20"/>
          <w:szCs w:val="20"/>
          <w:color w:val="auto"/>
        </w:rPr>
      </w:pPr>
    </w:p>
    <w:p>
      <w:pPr>
        <w:jc w:val="both"/>
        <w:ind w:left="200" w:right="240" w:firstLine="441"/>
        <w:spacing w:after="0" w:line="312" w:lineRule="auto"/>
        <w:rPr>
          <w:sz w:val="20"/>
          <w:szCs w:val="20"/>
          <w:color w:val="auto"/>
        </w:rPr>
      </w:pPr>
      <w:r>
        <w:rPr>
          <w:rFonts w:ascii="Arial" w:cs="Arial" w:eastAsia="Arial" w:hAnsi="Arial"/>
          <w:sz w:val="16"/>
          <w:szCs w:val="16"/>
          <w:color w:val="auto"/>
        </w:rPr>
        <w:t>If any underwriters or agents are utilized in the sale of the securities in respect of which this prospectus is delivered, we and, if applicable, any selling security holder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47" w:lineRule="exact"/>
        <w:rPr>
          <w:sz w:val="20"/>
          <w:szCs w:val="20"/>
          <w:color w:val="auto"/>
        </w:rPr>
      </w:pPr>
    </w:p>
    <w:p>
      <w:pPr>
        <w:ind w:left="200" w:right="560" w:firstLine="441"/>
        <w:spacing w:after="0" w:line="34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24"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to indemnification by us and by any selling security holder against certain civil liabilities, including liabilities under the Securities Act, and may be customers of, engage in transactions with or perform services for us in the ordinary course of business.</w:t>
      </w:r>
    </w:p>
    <w:p>
      <w:pPr>
        <w:spacing w:after="0" w:line="181"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66"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VALIDITY OF SECURITIES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validity of the securities in respect of which this prospectus is being delivered will be passed on for us by Davis Polk &amp; Wardwell LLP.</w:t>
      </w:r>
    </w:p>
    <w:p>
      <w:pPr>
        <w:spacing w:after="0" w:line="200" w:lineRule="exact"/>
        <w:rPr>
          <w:sz w:val="20"/>
          <w:szCs w:val="20"/>
          <w:color w:val="auto"/>
        </w:rPr>
      </w:pPr>
    </w:p>
    <w:p>
      <w:pPr>
        <w:spacing w:after="0" w:line="24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Ernst &amp; Young LLP, independent registered public accounting firm, has audited our consolidated financial statements included in our Annual Report on Form 10-K for the year ended December 31, 2018, and the effectiveness of our internal control over financial reporting as of December 31, 2018, as set forth in their reports, which are incorporated by reference into this prospectus and elsewhere in the registration statement. Our financial statements and our management’s assessment of the effectiveness of internal control over financial reporting as of December 31, 2018, are incorporated by reference in reliance on Ernst &amp; Young LLP’s reports, given on their authority as experts in accounting and auditing.</w:t>
      </w:r>
    </w:p>
    <w:p>
      <w:pPr>
        <w:spacing w:after="0" w:line="9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240" w:top="459" w:right="539" w:bottom="1440" w:gutter="0" w:footer="0" w:header="0"/>
        </w:sectPr>
      </w:pPr>
    </w:p>
    <w:bookmarkStart w:id="55" w:name="page56"/>
    <w:bookmarkEnd w:id="5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699770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699770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297180</wp:posOffset>
            </wp:positionV>
            <wp:extent cx="6997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2192020</wp:posOffset>
            </wp:positionH>
            <wp:positionV relativeFrom="paragraph">
              <wp:posOffset>1386840</wp:posOffset>
            </wp:positionV>
            <wp:extent cx="2872740" cy="677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2872740" cy="67754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240" w:hanging="1543"/>
        <w:spacing w:after="0"/>
        <w:tabs>
          <w:tab w:leader="none" w:pos="5240" w:val="left"/>
        </w:tabs>
        <w:numPr>
          <w:ilvl w:val="0"/>
          <w:numId w:val="46"/>
        </w:numPr>
        <w:rPr>
          <w:rFonts w:ascii="Arial" w:cs="Arial" w:eastAsia="Arial" w:hAnsi="Arial"/>
          <w:sz w:val="32"/>
          <w:szCs w:val="32"/>
          <w:b w:val="1"/>
          <w:bCs w:val="1"/>
          <w:color w:val="auto"/>
        </w:rPr>
      </w:pPr>
      <w:r>
        <w:rPr>
          <w:rFonts w:ascii="Arial" w:cs="Arial" w:eastAsia="Arial" w:hAnsi="Arial"/>
          <w:sz w:val="32"/>
          <w:szCs w:val="32"/>
          <w:b w:val="1"/>
          <w:bCs w:val="1"/>
          <w:color w:val="auto"/>
        </w:rPr>
        <w:t>% Notes due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1147445</wp:posOffset>
            </wp:positionV>
            <wp:extent cx="7632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PRELIMINARY PROSPECTUS SUPPLEMENT</w:t>
      </w:r>
    </w:p>
    <w:p>
      <w:pPr>
        <w:spacing w:after="0" w:line="333"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317500</wp:posOffset>
            </wp:positionV>
            <wp:extent cx="7632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9"/>
        <w:spacing w:after="0"/>
        <w:rPr>
          <w:sz w:val="20"/>
          <w:szCs w:val="20"/>
          <w:color w:val="auto"/>
        </w:rPr>
      </w:pPr>
      <w:r>
        <w:rPr>
          <w:rFonts w:ascii="Arial" w:cs="Arial" w:eastAsia="Arial" w:hAnsi="Arial"/>
          <w:sz w:val="22"/>
          <w:szCs w:val="22"/>
          <w:i w:val="1"/>
          <w:iCs w:val="1"/>
          <w:color w:val="auto"/>
        </w:rPr>
        <w:t>Joint Book-Running Managers</w:t>
      </w:r>
    </w:p>
    <w:p>
      <w:pPr>
        <w:spacing w:after="0" w:line="216" w:lineRule="exact"/>
        <w:rPr>
          <w:sz w:val="20"/>
          <w:szCs w:val="20"/>
          <w:color w:val="auto"/>
        </w:rPr>
      </w:pPr>
    </w:p>
    <w:p>
      <w:pPr>
        <w:ind w:left="200"/>
        <w:spacing w:after="0"/>
        <w:tabs>
          <w:tab w:leader="none" w:pos="4240" w:val="left"/>
          <w:tab w:leader="none" w:pos="9320" w:val="left"/>
        </w:tabs>
        <w:rPr>
          <w:sz w:val="20"/>
          <w:szCs w:val="20"/>
          <w:color w:val="auto"/>
        </w:rPr>
      </w:pPr>
      <w:r>
        <w:rPr>
          <w:rFonts w:ascii="Arial" w:cs="Arial" w:eastAsia="Arial" w:hAnsi="Arial"/>
          <w:sz w:val="36"/>
          <w:szCs w:val="36"/>
          <w:b w:val="1"/>
          <w:bCs w:val="1"/>
          <w:color w:val="auto"/>
        </w:rPr>
        <w:t>Barclays</w:t>
      </w:r>
      <w:r>
        <w:rPr>
          <w:sz w:val="20"/>
          <w:szCs w:val="20"/>
          <w:color w:val="auto"/>
        </w:rPr>
        <w:tab/>
      </w:r>
      <w:r>
        <w:rPr>
          <w:rFonts w:ascii="Arial" w:cs="Arial" w:eastAsia="Arial" w:hAnsi="Arial"/>
          <w:sz w:val="36"/>
          <w:szCs w:val="36"/>
          <w:b w:val="1"/>
          <w:bCs w:val="1"/>
          <w:color w:val="auto"/>
        </w:rPr>
        <w:t>BofA Merrill Lynch</w:t>
      </w:r>
      <w:r>
        <w:rPr>
          <w:sz w:val="20"/>
          <w:szCs w:val="20"/>
          <w:color w:val="auto"/>
        </w:rPr>
        <w:tab/>
      </w:r>
      <w:r>
        <w:rPr>
          <w:rFonts w:ascii="Arial" w:cs="Arial" w:eastAsia="Arial" w:hAnsi="Arial"/>
          <w:sz w:val="33"/>
          <w:szCs w:val="33"/>
          <w:b w:val="1"/>
          <w:bCs w:val="1"/>
          <w:color w:val="auto"/>
        </w:rPr>
        <w:t>J.P.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1116965</wp:posOffset>
            </wp:positionV>
            <wp:extent cx="6997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1176655</wp:posOffset>
            </wp:positionV>
            <wp:extent cx="699770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sectPr>
      <w:pgSz w:w="11900" w:h="16838" w:orient="portrait"/>
      <w:cols w:equalWidth="0" w:num="1">
        <w:col w:w="11220"/>
      </w:cols>
      <w:pgMar w:left="240" w:top="45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1)"/>
      <w:numFmt w:val="lowerRoman"/>
      <w:start w:val="1"/>
    </w:lvl>
  </w:abstractNum>
  <w:abstractNum w:abstractNumId="8">
    <w:nsid w:val="71F32454"/>
    <w:multiLevelType w:val="hybridMultilevel"/>
    <w:lvl w:ilvl="0">
      <w:lvlJc w:val="left"/>
      <w:lvlText w:val="•"/>
      <w:numFmt w:val="bullet"/>
      <w:start w:val="1"/>
    </w:lvl>
    <w:lvl w:ilvl="1">
      <w:lvlJc w:val="left"/>
      <w:lvlText w:val="(%2)"/>
      <w:numFmt w:val="decimal"/>
      <w:start w:val="1"/>
    </w:lvl>
  </w:abstractNum>
  <w:abstractNum w:abstractNumId="9">
    <w:nsid w:val="2CA88611"/>
    <w:multiLevelType w:val="hybridMultilevel"/>
    <w:lvl w:ilvl="0">
      <w:lvlJc w:val="left"/>
      <w:lvlText w:val="•"/>
      <w:numFmt w:val="bullet"/>
      <w:start w:val="1"/>
    </w:lvl>
    <w:lvl w:ilvl="1">
      <w:lvlJc w:val="left"/>
      <w:lvlText w:val="(%2)"/>
      <w:numFmt w:val="decimal"/>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1)"/>
      <w:numFmt w:val="lowerRoman"/>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lvl w:ilvl="1">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1)"/>
      <w:numFmt w:val="decimal"/>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lvl w:ilvl="1">
      <w:lvlJc w:val="left"/>
      <w:lvlText w:val="•"/>
      <w:numFmt w:val="bullet"/>
      <w:start w:val="1"/>
    </w:lvl>
  </w:abstractNum>
  <w:abstractNum w:abstractNumId="32">
    <w:nsid w:val="51EAD36B"/>
    <w:multiLevelType w:val="hybridMultilevel"/>
    <w:lvl w:ilvl="0">
      <w:lvlJc w:val="left"/>
      <w:lvlText w:val="•"/>
      <w:numFmt w:val="bullet"/>
      <w:start w:val="1"/>
    </w:lvl>
    <w:lvl w:ilvl="1">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lvl w:ilvl="1">
      <w:lvlJc w:val="left"/>
      <w:lvlText w:val="•"/>
      <w:numFmt w:val="bullet"/>
      <w:start w:val="1"/>
    </w:lvl>
  </w:abstractNum>
  <w:abstractNum w:abstractNumId="36">
    <w:nsid w:val="3855585C"/>
    <w:multiLevelType w:val="hybridMultilevel"/>
    <w:lvl w:ilvl="0">
      <w:lvlJc w:val="left"/>
      <w:lvlText w:val="•"/>
      <w:numFmt w:val="bullet"/>
      <w:start w:val="1"/>
    </w:lvl>
    <w:lvl w:ilvl="1">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jpe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jpe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49" Type="http://schemas.openxmlformats.org/officeDocument/2006/relationships/hyperlink" Target="http://www.sec.gov/Archives/edgar/data/97476/000156459019003839/txn-10k_20181231.htm" TargetMode="External"/><Relationship Id="rId50" Type="http://schemas.openxmlformats.org/officeDocument/2006/relationships/hyperlink" Target="http://www.sec.gov/Archives/edgar/data/97476/000119312519071576/d660704ddef14a.htm" TargetMode="External"/><Relationship Id="rId51" Type="http://schemas.openxmlformats.org/officeDocument/2006/relationships/hyperlink" Target="http://www.sec.gov/Archives/edgar/data/97476/000156459019014051/txn-10q_20190331.htm" TargetMode="External"/><Relationship Id="rId52" Type="http://schemas.openxmlformats.org/officeDocument/2006/relationships/hyperlink" Target="http://www.sec.gov/Archives/edgar/data/97476/000156459019027328/txn-10q_20190630.htm" TargetMode="External"/><Relationship Id="rId53" Type="http://schemas.openxmlformats.org/officeDocument/2006/relationships/hyperlink" Target="http://www.sec.gov/Archives/edgar/data/97476/000119312519070297/d713107d8k.htm" TargetMode="External"/><Relationship Id="rId54" Type="http://schemas.openxmlformats.org/officeDocument/2006/relationships/hyperlink" Target="http://www.sec.gov/Archives/edgar/data/97476/000156459019013410/txn-8k_20190501.htm" TargetMode="External"/><Relationship Id="rId65" Type="http://schemas.openxmlformats.org/officeDocument/2006/relationships/hyperlink" Target="http://www.sec.gov/Archives/edgar/data/97476/000009747611000066/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2019-11-29T21:08:31Z</dcterms:created>
  <dcterms:modified xsi:type="dcterms:W3CDTF">2019-11-29T21:08:31Z</dcterms:modified>
</cp:coreProperties>
</file>