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October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October 26, 2016, regarding its third-quarter results of operations and financial condition is attached hereto as Exhibit 99.</w:t>
      </w:r>
    </w:p>
    <w:p>
      <w:pPr>
        <w:spacing w:after="0" w:line="24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80"/>
          </w:cols>
          <w:pgMar w:left="240" w:top="341" w:right="27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100"/>
          </w:cols>
          <w:pgMar w:left="240" w:top="341" w:right="27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October 26, 2016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October 26, 2016</w:t>
            </w:r>
          </w:p>
        </w:tc>
        <w:tc>
          <w:tcPr>
            <w:tcW w:w="7360" w:type="dxa"/>
            <w:vAlign w:val="bottom"/>
            <w:gridSpan w:val="2"/>
          </w:tcPr>
          <w:p>
            <w:pPr>
              <w:ind w:left="2340"/>
              <w:spacing w:after="0"/>
              <w:rPr>
                <w:sz w:val="20"/>
                <w:szCs w:val="20"/>
                <w:color w:val="auto"/>
              </w:rPr>
            </w:pPr>
            <w:r>
              <w:rPr>
                <w:rFonts w:ascii="Arial" w:cs="Arial" w:eastAsia="Arial" w:hAnsi="Arial"/>
                <w:sz w:val="18"/>
                <w:szCs w:val="18"/>
                <w:color w:val="auto"/>
              </w:rPr>
              <w:t>By:  /s/ KEVIN P. MARCH</w:t>
            </w:r>
          </w:p>
        </w:tc>
      </w:tr>
      <w:tr>
        <w:trPr>
          <w:trHeight w:val="195"/>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TI reports 3Q16 financial results and shareholder returns,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including 32% dividend increase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DALLAS (Oct. 26, 2016) – Texas Instruments Incorporated (TI) (NASDAQ: TXN) today reported third-quarter revenue of $3.68 billion, net income of $968 million and earnings per share of 94 cents.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TI also increased its quarterly dividend by 32 percent to 50 cents per share, or $2.00 annualized. The increase reflects TI’s continued strength in free cash flow generation and its commitment to return excess cash to shareholders. The quarterly dividend was declared and will be payable November 21, 2016, to shareholders of record on November 7,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520" w:right="380" w:hanging="512"/>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and earnings per share for the quarter were slightly above our expected range. Compared with a year ago, demand for our products continued to be strong in the automotive market and improved in the industrial market. Demand in the personal electronics market was about even with a year ago.</w:t>
      </w:r>
    </w:p>
    <w:p>
      <w:pPr>
        <w:spacing w:after="0" w:line="73"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our core businesses, Embedded Processing revenue grew 10 percent and Analog revenue grew 6 percent from the same quarter a year ago. Operating margin increased in both businesses.</w:t>
      </w:r>
    </w:p>
    <w:p>
      <w:pPr>
        <w:spacing w:after="0" w:line="62" w:lineRule="exact"/>
        <w:rPr>
          <w:rFonts w:ascii="Arial" w:cs="Arial" w:eastAsia="Arial" w:hAnsi="Arial"/>
          <w:sz w:val="18"/>
          <w:szCs w:val="18"/>
          <w:color w:val="auto"/>
        </w:rPr>
      </w:pPr>
    </w:p>
    <w:p>
      <w:pPr>
        <w:ind w:left="520" w:right="4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62.0 percent reflected the quality of our product portfolio, as well as the efficiency of our manufacturing strategy, including the benefit of 300-millimeter Analog production.</w:t>
      </w:r>
    </w:p>
    <w:p>
      <w:pPr>
        <w:spacing w:after="0" w:line="62" w:lineRule="exact"/>
        <w:rPr>
          <w:rFonts w:ascii="Arial" w:cs="Arial" w:eastAsia="Arial" w:hAnsi="Arial"/>
          <w:sz w:val="18"/>
          <w:szCs w:val="18"/>
          <w:color w:val="auto"/>
        </w:rPr>
      </w:pPr>
    </w:p>
    <w:p>
      <w:pPr>
        <w:ind w:left="520" w:right="120" w:hanging="512"/>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cash flow from operations of $4.5 billion for the trailing 12 months again underscored the strength of our business model. Free cash flow for the trailing 12 months was up 8 percent from a year ago to $3.9 billion, and represents 29.5 percent of revenue, up from 27.5 percent a year ago.</w:t>
      </w:r>
    </w:p>
    <w:p>
      <w:pPr>
        <w:spacing w:after="0" w:line="15" w:lineRule="exact"/>
        <w:rPr>
          <w:rFonts w:ascii="Arial" w:cs="Arial" w:eastAsia="Arial" w:hAnsi="Arial"/>
          <w:sz w:val="16"/>
          <w:szCs w:val="16"/>
          <w:color w:val="auto"/>
        </w:rPr>
      </w:pPr>
    </w:p>
    <w:p>
      <w:pPr>
        <w:ind w:left="520" w:right="80" w:hanging="512"/>
        <w:spacing w:after="0" w:line="30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returned $3.8 billion to shareholders in the past 12 months through stock repurchases and dividends, consistent with our strategy to return to shareholders all of our free cash flow plus proceeds from exercises of equity compensation minus net debt retirement.</w:t>
      </w:r>
    </w:p>
    <w:p>
      <w:pPr>
        <w:spacing w:after="0" w:line="38" w:lineRule="exact"/>
        <w:rPr>
          <w:rFonts w:ascii="Arial" w:cs="Arial" w:eastAsia="Arial" w:hAnsi="Arial"/>
          <w:sz w:val="17"/>
          <w:szCs w:val="17"/>
          <w:color w:val="auto"/>
        </w:rPr>
      </w:pPr>
    </w:p>
    <w:p>
      <w:pPr>
        <w:ind w:left="520" w:right="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$3.1 billion of cash and short-term investments at the end of the quarter, about 80 percent of which was owned by the company’s U.S. entities. Inventory ended the quarter at 117 days.</w:t>
      </w:r>
    </w:p>
    <w:p>
      <w:pPr>
        <w:spacing w:after="0" w:line="62" w:lineRule="exact"/>
        <w:rPr>
          <w:rFonts w:ascii="Arial" w:cs="Arial" w:eastAsia="Arial" w:hAnsi="Arial"/>
          <w:sz w:val="18"/>
          <w:szCs w:val="18"/>
          <w:color w:val="auto"/>
        </w:rPr>
      </w:pPr>
    </w:p>
    <w:p>
      <w:pPr>
        <w:ind w:left="520" w:right="3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fourth-quarter outlook is for revenue in the range of $3.17 billion to $3.43 billion, and earnings per share between 76 and 86 cents. For 2016, TI’s annual effective tax rate is expected to be about 30 percent, unchanged from previous guidance.”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3Q16</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3Q15</w:t>
            </w:r>
          </w:p>
        </w:tc>
        <w:tc>
          <w:tcPr>
            <w:tcW w:w="20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Operating profit</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Earnings per share</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0.94</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color w:val="auto"/>
              </w:rPr>
              <w:t>3Q16</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7"/>
              </w:rPr>
              <w:t>Trailing 12 Months</w:t>
            </w: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3Q16</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3Q15</w:t>
            </w:r>
          </w:p>
        </w:tc>
        <w:tc>
          <w:tcPr>
            <w:tcW w:w="28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Capital expenditures</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6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Free cash flow % of revenue</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4 percent of revenue, consistent with TI’s long-term expectations.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3Q16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w w:val="97"/>
              </w:rPr>
              <w:t>Trailing 12 Months</w:t>
            </w: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160" w:type="dxa"/>
            <w:vAlign w:val="bottom"/>
            <w:tcBorders>
              <w:bottom w:val="single" w:sz="8" w:color="CFF0FC"/>
            </w:tcBorders>
          </w:tcPr>
          <w:p>
            <w:pPr>
              <w:spacing w:after="0"/>
              <w:rPr>
                <w:sz w:val="12"/>
                <w:szCs w:val="12"/>
                <w:color w:val="auto"/>
              </w:rPr>
            </w:pPr>
          </w:p>
        </w:tc>
        <w:tc>
          <w:tcPr>
            <w:tcW w:w="18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3Q16</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3Q15</w:t>
            </w:r>
          </w:p>
        </w:tc>
        <w:tc>
          <w:tcPr>
            <w:tcW w:w="2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FF0F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382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Stock repurchases</w:t>
            </w:r>
          </w:p>
        </w:tc>
        <w:tc>
          <w:tcPr>
            <w:tcW w:w="25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500</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2,284</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58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882</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3,817</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2"/>
        </w:trPr>
        <w:tc>
          <w:tcPr>
            <w:tcW w:w="5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For 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3,675</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2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3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2,280</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448</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Acquisition charges</w:t>
            </w: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Operating profit</w:t>
            </w:r>
          </w:p>
        </w:tc>
        <w:tc>
          <w:tcPr>
            <w:tcW w:w="2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3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2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1,381</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w:t>
            </w:r>
          </w:p>
        </w:tc>
        <w:tc>
          <w:tcPr>
            <w:tcW w:w="3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968</w:t>
            </w:r>
          </w:p>
        </w:tc>
        <w:tc>
          <w:tcPr>
            <w:tcW w:w="3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FF0FC"/>
            </w:tcBorders>
            <w:vMerge w:val="continue"/>
          </w:tcPr>
          <w:p>
            <w:pPr>
              <w:spacing w:after="0"/>
              <w:rPr>
                <w:sz w:val="21"/>
                <w:szCs w:val="21"/>
                <w:color w:val="auto"/>
              </w:rPr>
            </w:pPr>
          </w:p>
        </w:tc>
        <w:tc>
          <w:tcPr>
            <w:tcW w:w="228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300" w:type="dxa"/>
            <w:vAlign w:val="bottom"/>
            <w:tcBorders>
              <w:bottom w:val="single" w:sz="8" w:color="CFF0FC"/>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diluted shares outstanding (millions)</w:t>
            </w:r>
          </w:p>
        </w:tc>
        <w:tc>
          <w:tcPr>
            <w:tcW w:w="2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1,017</w:t>
            </w: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300" w:type="dxa"/>
            <w:vAlign w:val="bottom"/>
          </w:tcPr>
          <w:p>
            <w:pPr>
              <w:spacing w:after="0"/>
              <w:rPr>
                <w:sz w:val="20"/>
                <w:szCs w:val="20"/>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2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(11)</w:t>
            </w:r>
          </w:p>
        </w:tc>
        <w:tc>
          <w:tcPr>
            <w:tcW w:w="7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20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33"/>
        </w:trPr>
        <w:tc>
          <w:tcPr>
            <w:tcW w:w="57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1,369</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allowances of ($14) and ($16)</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Arial" w:cs="Arial" w:eastAsia="Arial" w:hAnsi="Arial"/>
                <w:sz w:val="18"/>
                <w:szCs w:val="18"/>
                <w:color w:val="auto"/>
              </w:rPr>
              <w:t>Raw materials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4,982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(2,437)</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Goodwill,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intangibles,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licenses,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220" w:type="dxa"/>
            <w:vAlign w:val="bottom"/>
            <w:gridSpan w:val="2"/>
            <w:shd w:val="clear" w:color="auto" w:fill="CFF0FC"/>
          </w:tcPr>
          <w:p>
            <w:pPr>
              <w:jc w:val="right"/>
              <w:ind w:right="776"/>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634</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$25 par value. Authorized – 10,000,000 shares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Participating cumulative preferred – None issued</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Common stock, $1 par value. Authorized – 2,400,000,000 shares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Shares issued – 1,740,815,939</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32,432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Treasury common stock at cost Shares: September 30, 2016 – 739,693,480; September 30, 2015 –</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w w:val="98"/>
              </w:rPr>
              <w:t>(25,102)</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721,186,352</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(23,551)</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 net of taxes (AOCI)</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10,286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balance sheet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3"/>
              </w:rPr>
              <w:t>For 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920" w:type="dxa"/>
            <w:vAlign w:val="bottom"/>
            <w:gridSpan w:val="2"/>
          </w:tcPr>
          <w:p>
            <w:pPr>
              <w:jc w:val="right"/>
              <w:ind w:right="759"/>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280" w:type="dxa"/>
            <w:vAlign w:val="bottom"/>
          </w:tcPr>
          <w:p>
            <w:pPr>
              <w:spacing w:after="0"/>
              <w:rPr>
                <w:sz w:val="19"/>
                <w:szCs w:val="19"/>
                <w:color w:val="auto"/>
              </w:rPr>
            </w:pPr>
          </w:p>
        </w:tc>
        <w:tc>
          <w:tcPr>
            <w:tcW w:w="1020" w:type="dxa"/>
            <w:vAlign w:val="bottom"/>
            <w:gridSpan w:val="2"/>
          </w:tcPr>
          <w:p>
            <w:pPr>
              <w:jc w:val="right"/>
              <w:ind w:right="89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Net income:</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acquisition-related intangibles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Amortization of capitalized software</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from changes in:</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 payable</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Changes in funded status of retirement plans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(17)</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flows from operating activities</w:t>
            </w:r>
          </w:p>
        </w:tc>
        <w:tc>
          <w:tcPr>
            <w:tcW w:w="19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(978)</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Proceeds from short-term investments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flows from investing activities</w:t>
            </w:r>
          </w:p>
        </w:tc>
        <w:tc>
          <w:tcPr>
            <w:tcW w:w="19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Repayment of debt</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(382)</w:t>
            </w: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Stock repurchases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common stock transactions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Excess tax benefit from share-based payments</w:t>
            </w:r>
          </w:p>
        </w:tc>
        <w:tc>
          <w:tcPr>
            <w:tcW w:w="19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9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(1,849)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9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98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33"/>
        </w:trPr>
        <w:tc>
          <w:tcPr>
            <w:tcW w:w="58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color w:val="auto"/>
              </w:rPr>
              <w:t>3Q16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3Q15</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Change</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Embedded Processing:</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Operating profit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Revenue</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profit*</w:t>
            </w:r>
          </w:p>
        </w:tc>
        <w:tc>
          <w:tcPr>
            <w:tcW w:w="2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increased due to High Performance Analog, Silicon Valley Analog and Power Management. High Volume Analog &amp; Logic was about even.</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lower manufacturing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Microcontrollers, Processors and Connectivity)</w:t>
      </w:r>
    </w:p>
    <w:p>
      <w:pPr>
        <w:spacing w:after="0" w:line="1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all three product lines, led by Processors.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 products, calculators, custom ASIC products and royalties)</w:t>
      </w:r>
    </w:p>
    <w:p>
      <w:pPr>
        <w:spacing w:after="0" w:line="12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increased primarily due to calculators and DLP products, partially offset by a decrease in royalties and custom ASIC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shareholders,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12 Months Ended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4,459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w:t>
            </w: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13,080</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w w:val="99"/>
              </w:rPr>
              <w:t>Cash flow from operations as a percent of revenue (GAAP)</w:t>
            </w: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74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70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33.9%</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31.4%</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11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of TI’s information technology systems or those of its customers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5" w:lineRule="exact"/>
        <w:rPr>
          <w:rFonts w:ascii="Arial" w:cs="Arial" w:eastAsia="Arial" w:hAnsi="Arial"/>
          <w:sz w:val="16"/>
          <w:szCs w:val="16"/>
          <w:color w:val="auto"/>
        </w:rPr>
      </w:pPr>
    </w:p>
    <w:p>
      <w:pPr>
        <w:ind w:left="1040" w:right="4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 w:name="page11"/>
    <w:bookmarkEnd w:id="10"/>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20"/>
      </w:cols>
      <w:pgMar w:left="240" w:top="44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2019-12-05T10:40:33Z</dcterms:created>
  <dcterms:modified xsi:type="dcterms:W3CDTF">2019-12-05T10:40:33Z</dcterms:modified>
</cp:coreProperties>
</file>