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15,651,654</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15,651,654</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15,651,654</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68" w:lineRule="auto"/>
        <w:rPr>
          <w:sz w:val="20"/>
          <w:szCs w:val="20"/>
          <w:color w:val="auto"/>
        </w:rPr>
      </w:pPr>
      <w:r>
        <w:rPr>
          <w:rFonts w:ascii="Courier New" w:cs="Courier New" w:eastAsia="Courier New" w:hAnsi="Courier New"/>
          <w:sz w:val="16"/>
          <w:szCs w:val="16"/>
          <w:color w:val="auto"/>
        </w:rPr>
        <w:t>Capital World Investors divisions of CRMC and Capital International Limited collectively provide investment management services under the name Capital World Investors. Capital World Investors is deemed to be the beneficial owner of 15,651,654 shares or 1.6% of the 985,560,591 shares believed to</w:t>
      </w:r>
    </w:p>
    <w:p>
      <w:pPr>
        <w:ind w:left="740"/>
        <w:spacing w:after="0" w:line="234" w:lineRule="auto"/>
        <w:rPr>
          <w:sz w:val="20"/>
          <w:szCs w:val="20"/>
          <w:color w:val="auto"/>
        </w:rPr>
      </w:pPr>
      <w:r>
        <w:rPr>
          <w:rFonts w:ascii="Courier New" w:cs="Courier New" w:eastAsia="Courier New" w:hAnsi="Courier New"/>
          <w:sz w:val="18"/>
          <w:szCs w:val="18"/>
          <w:color w:val="auto"/>
        </w:rPr>
        <w:t>be outstanding.</w:t>
      </w: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6"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8, 2018</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42"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2019-12-21T04:30:26Z</dcterms:created>
  <dcterms:modified xsi:type="dcterms:W3CDTF">2019-12-21T04:30:26Z</dcterms:modified>
</cp:coreProperties>
</file>