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DesRoches Reginald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Cynthia Hoff Trochu,</w:t>
      </w:r>
    </w:p>
    <w:p>
      <w:pPr>
        <w:pStyle w:val="PreformattedText"/>
        <w:bidi w:val="0"/>
        <w:spacing w:before="0" w:after="0"/>
        <w:jc w:val="left"/>
        <w:rPr/>
      </w:pPr>
      <w:r>
        <w:rPr/>
        <w:t>Leslie O. Mba,Elizabeth M. Bedell, Edgar A.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Morales, Erin E. Hilton and John Whitney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one of them to sign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file on my behalf 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forms required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?Exchange Act?)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of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equity securities of Texas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Instruments Incorporated (the ?Company?),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of changes in such beneficial ownership,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well as any and 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 required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sales by me of equity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Company, 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 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authorization shall be effective 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after the date set forth below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continue in effect,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me in writing, until I am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such forms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provided, however, that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authorization shall be deemed revoked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any individual named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above upon such individual?s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 the persons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hereunder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my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relevant 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13th day of February 2024.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Reginald DesRoches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7508" TargetMode="External"/><Relationship Id="rId3" Type="http://schemas.openxmlformats.org/officeDocument/2006/relationships/hyperlink" Target="http://www.sec.gov/cgi-bin/browse-edgar?action=getcompany&amp;CIK=000009747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607</Words>
  <Characters>3273</Characters>
  <CharactersWithSpaces>3804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