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416560</wp:posOffset>
            </wp:positionV>
            <wp:extent cx="4718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273050</wp:posOffset>
            </wp:positionV>
            <wp:extent cx="4718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ind w:left="660" w:right="2380" w:hanging="652"/>
        <w:spacing w:after="0" w:line="578" w:lineRule="auto"/>
        <w:tabs>
          <w:tab w:leader="none" w:pos="64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UNDER SECTION 13 or 15(d) OF THE SECURITIES EXCHANGE ACT OF 1934 For the quarterly period ended March 31, 2007</w:t>
      </w:r>
    </w:p>
    <w:p>
      <w:pPr>
        <w:spacing w:after="0" w:line="29" w:lineRule="exact"/>
        <w:rPr>
          <w:sz w:val="24"/>
          <w:szCs w:val="24"/>
          <w:color w:val="auto"/>
        </w:rPr>
      </w:pPr>
    </w:p>
    <w:p>
      <w:pPr>
        <w:ind w:left="720" w:hanging="712"/>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3" w:lineRule="exact"/>
        <w:rPr>
          <w:sz w:val="24"/>
          <w:szCs w:val="24"/>
          <w:color w:val="auto"/>
        </w:rPr>
      </w:pPr>
    </w:p>
    <w:p>
      <w:pPr>
        <w:ind w:left="660"/>
        <w:spacing w:after="0"/>
        <w:tabs>
          <w:tab w:leader="none" w:pos="3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1922780</wp:posOffset>
            </wp:positionH>
            <wp:positionV relativeFrom="paragraph">
              <wp:posOffset>-7620</wp:posOffset>
            </wp:positionV>
            <wp:extent cx="838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257810</wp:posOffset>
            </wp:positionV>
            <wp:extent cx="4718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245110</wp:posOffset>
            </wp:positionV>
            <wp:extent cx="4718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75-0289970</w:t>
            </w:r>
          </w:p>
        </w:tc>
      </w:tr>
      <w:tr>
        <w:trPr>
          <w:trHeight w:val="23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(State of Incorporation)</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711"/>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75266-0199</w:t>
            </w:r>
          </w:p>
        </w:tc>
      </w:tr>
      <w:tr>
        <w:trPr>
          <w:trHeight w:val="234"/>
        </w:trPr>
        <w:tc>
          <w:tcPr>
            <w:tcW w:w="5140" w:type="dxa"/>
            <w:vAlign w:val="bottom"/>
          </w:tcPr>
          <w:p>
            <w:pPr>
              <w:jc w:val="center"/>
              <w:ind w:right="11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4"/>
              </w:rPr>
              <w:t>(Zip Code)</w:t>
            </w:r>
          </w:p>
        </w:tc>
      </w:tr>
    </w:tbl>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257810</wp:posOffset>
            </wp:positionV>
            <wp:extent cx="4718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00" w:lineRule="exact"/>
        <w:rPr>
          <w:sz w:val="24"/>
          <w:szCs w:val="24"/>
          <w:color w:val="auto"/>
        </w:rPr>
      </w:pPr>
    </w:p>
    <w:p>
      <w:pPr>
        <w:spacing w:after="0" w:line="328"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480" w:type="dxa"/>
            <w:vAlign w:val="bottom"/>
          </w:tcPr>
          <w:p>
            <w:pPr>
              <w:ind w:left="60"/>
              <w:spacing w:after="0"/>
              <w:rPr>
                <w:sz w:val="20"/>
                <w:szCs w:val="20"/>
                <w:color w:val="auto"/>
              </w:rPr>
            </w:pPr>
            <w:r>
              <w:rPr>
                <w:rFonts w:ascii="Arial" w:cs="Arial" w:eastAsia="Arial" w:hAnsi="Arial"/>
                <w:sz w:val="18"/>
                <w:szCs w:val="18"/>
                <w:color w:val="auto"/>
              </w:rPr>
              <w:t>Large accelerated filer</w:t>
            </w:r>
          </w:p>
        </w:tc>
        <w:tc>
          <w:tcPr>
            <w:tcW w:w="6420" w:type="dxa"/>
            <w:vAlign w:val="bottom"/>
            <w:vMerge w:val="restart"/>
          </w:tcPr>
          <w:p>
            <w:pPr>
              <w:ind w:left="32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520" w:type="dxa"/>
            <w:vAlign w:val="bottom"/>
            <w:vMerge w:val="restart"/>
          </w:tcPr>
          <w:p>
            <w:pPr>
              <w:jc w:val="right"/>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2480" w:type="dxa"/>
            <w:vAlign w:val="bottom"/>
            <w:vMerge w:val="restart"/>
          </w:tcPr>
          <w:p>
            <w:pPr>
              <w:spacing w:after="0"/>
              <w:rPr>
                <w:sz w:val="20"/>
                <w:szCs w:val="20"/>
                <w:color w:val="auto"/>
              </w:rPr>
            </w:pPr>
            <w:r>
              <w:rPr>
                <w:rFonts w:ascii="Arial" w:cs="Arial" w:eastAsia="Arial" w:hAnsi="Arial"/>
                <w:sz w:val="18"/>
                <w:szCs w:val="18"/>
                <w:color w:val="auto"/>
              </w:rPr>
              <w:t>S</w:t>
            </w:r>
          </w:p>
        </w:tc>
        <w:tc>
          <w:tcPr>
            <w:tcW w:w="6420" w:type="dxa"/>
            <w:vAlign w:val="bottom"/>
            <w:vMerge w:val="continue"/>
          </w:tcPr>
          <w:p>
            <w:pPr>
              <w:spacing w:after="0"/>
              <w:rPr>
                <w:sz w:val="12"/>
                <w:szCs w:val="12"/>
                <w:color w:val="auto"/>
              </w:rPr>
            </w:pPr>
          </w:p>
        </w:tc>
        <w:tc>
          <w:tcPr>
            <w:tcW w:w="2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480" w:type="dxa"/>
            <w:vAlign w:val="bottom"/>
            <w:vMerge w:val="continue"/>
          </w:tcPr>
          <w:p>
            <w:pPr>
              <w:spacing w:after="0"/>
              <w:rPr>
                <w:sz w:val="8"/>
                <w:szCs w:val="8"/>
                <w:color w:val="auto"/>
              </w:rPr>
            </w:pPr>
          </w:p>
        </w:tc>
        <w:tc>
          <w:tcPr>
            <w:tcW w:w="64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3"/>
        </w:trPr>
        <w:tc>
          <w:tcPr>
            <w:tcW w:w="8900" w:type="dxa"/>
            <w:vAlign w:val="bottom"/>
            <w:gridSpan w:val="2"/>
          </w:tcPr>
          <w:p>
            <w:pPr>
              <w:ind w:left="60"/>
              <w:spacing w:after="0"/>
              <w:rPr>
                <w:sz w:val="20"/>
                <w:szCs w:val="20"/>
                <w:color w:val="auto"/>
              </w:rPr>
            </w:pPr>
            <w:r>
              <w:rPr>
                <w:rFonts w:ascii="Arial" w:cs="Arial" w:eastAsia="Arial" w:hAnsi="Arial"/>
                <w:sz w:val="18"/>
                <w:szCs w:val="18"/>
                <w:color w:val="auto"/>
                <w:w w:val="98"/>
              </w:rPr>
              <w:t>Indicate by check mark whether the registrant is a shell company (as defined in Rule 12b-2 of the Exchange Act).</w:t>
            </w:r>
          </w:p>
        </w:tc>
        <w:tc>
          <w:tcPr>
            <w:tcW w:w="252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S</w:t>
            </w:r>
          </w:p>
        </w:tc>
        <w:tc>
          <w:tcPr>
            <w:tcW w:w="0" w:type="dxa"/>
            <w:vAlign w:val="bottom"/>
          </w:tcPr>
          <w:p>
            <w:pPr>
              <w:spacing w:after="0"/>
              <w:rPr>
                <w:sz w:val="1"/>
                <w:szCs w:val="1"/>
                <w:color w:val="auto"/>
              </w:rPr>
            </w:pPr>
          </w:p>
        </w:tc>
      </w:tr>
      <w:tr>
        <w:trPr>
          <w:trHeight w:val="722"/>
        </w:trPr>
        <w:tc>
          <w:tcPr>
            <w:tcW w:w="2480" w:type="dxa"/>
            <w:vAlign w:val="bottom"/>
          </w:tcPr>
          <w:p>
            <w:pPr>
              <w:spacing w:after="0"/>
              <w:rPr>
                <w:sz w:val="24"/>
                <w:szCs w:val="24"/>
                <w:color w:val="auto"/>
              </w:rPr>
            </w:pPr>
          </w:p>
        </w:tc>
        <w:tc>
          <w:tcPr>
            <w:tcW w:w="6420" w:type="dxa"/>
            <w:vAlign w:val="bottom"/>
          </w:tcPr>
          <w:p>
            <w:pPr>
              <w:jc w:val="center"/>
              <w:spacing w:after="0"/>
              <w:rPr>
                <w:sz w:val="20"/>
                <w:szCs w:val="20"/>
                <w:color w:val="auto"/>
              </w:rPr>
            </w:pPr>
            <w:r>
              <w:rPr>
                <w:rFonts w:ascii="Arial" w:cs="Arial" w:eastAsia="Arial" w:hAnsi="Arial"/>
                <w:sz w:val="18"/>
                <w:szCs w:val="18"/>
                <w:color w:val="auto"/>
                <w:w w:val="90"/>
              </w:rPr>
              <w:t>1,433,709,278</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6420" w:type="dxa"/>
            <w:vAlign w:val="bottom"/>
          </w:tcPr>
          <w:p>
            <w:pPr>
              <w:jc w:val="center"/>
              <w:spacing w:after="0"/>
              <w:rPr>
                <w:sz w:val="20"/>
                <w:szCs w:val="20"/>
                <w:color w:val="auto"/>
              </w:rPr>
            </w:pPr>
            <w:r>
              <w:rPr>
                <w:rFonts w:ascii="Arial" w:cs="Arial" w:eastAsia="Arial" w:hAnsi="Arial"/>
                <w:sz w:val="18"/>
                <w:szCs w:val="18"/>
                <w:color w:val="auto"/>
                <w:w w:val="90"/>
              </w:rPr>
              <w:t>Number of shares of Registrant’s common stock outstanding as of</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6420" w:type="dxa"/>
            <w:vAlign w:val="bottom"/>
          </w:tcPr>
          <w:p>
            <w:pPr>
              <w:jc w:val="center"/>
              <w:spacing w:after="0"/>
              <w:rPr>
                <w:sz w:val="20"/>
                <w:szCs w:val="20"/>
                <w:color w:val="auto"/>
              </w:rPr>
            </w:pPr>
            <w:r>
              <w:rPr>
                <w:rFonts w:ascii="Arial" w:cs="Arial" w:eastAsia="Arial" w:hAnsi="Arial"/>
                <w:sz w:val="18"/>
                <w:szCs w:val="18"/>
                <w:color w:val="auto"/>
                <w:w w:val="91"/>
              </w:rPr>
              <w:t>March 31, 2007</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5"/>
        </w:trPr>
        <w:tc>
          <w:tcPr>
            <w:tcW w:w="24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2480" w:type="dxa"/>
            <w:vAlign w:val="bottom"/>
            <w:shd w:val="clear" w:color="auto" w:fill="808080"/>
          </w:tcPr>
          <w:p>
            <w:pPr>
              <w:spacing w:after="0"/>
              <w:rPr>
                <w:sz w:val="6"/>
                <w:szCs w:val="6"/>
                <w:color w:val="auto"/>
              </w:rPr>
            </w:pPr>
          </w:p>
        </w:tc>
        <w:tc>
          <w:tcPr>
            <w:tcW w:w="6420" w:type="dxa"/>
            <w:vAlign w:val="bottom"/>
            <w:shd w:val="clear" w:color="auto" w:fill="808080"/>
          </w:tcPr>
          <w:p>
            <w:pPr>
              <w:spacing w:after="0"/>
              <w:rPr>
                <w:sz w:val="6"/>
                <w:szCs w:val="6"/>
                <w:color w:val="auto"/>
              </w:rPr>
            </w:pPr>
          </w:p>
        </w:tc>
        <w:tc>
          <w:tcPr>
            <w:tcW w:w="252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483"/>
        </w:trPr>
        <w:tc>
          <w:tcPr>
            <w:tcW w:w="2480" w:type="dxa"/>
            <w:vAlign w:val="bottom"/>
            <w:tcBorders>
              <w:bottom w:val="single" w:sz="8" w:color="808080"/>
            </w:tcBorders>
          </w:tcPr>
          <w:p>
            <w:pPr>
              <w:spacing w:after="0"/>
              <w:rPr>
                <w:sz w:val="24"/>
                <w:szCs w:val="24"/>
                <w:color w:val="auto"/>
              </w:rPr>
            </w:pPr>
          </w:p>
        </w:tc>
        <w:tc>
          <w:tcPr>
            <w:tcW w:w="642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98" w:right="239" w:bottom="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080" w:type="dxa"/>
            <w:vAlign w:val="bottom"/>
            <w:gridSpan w:val="7"/>
          </w:tcPr>
          <w:p>
            <w:pPr>
              <w:ind w:left="80"/>
              <w:spacing w:after="0"/>
              <w:rPr>
                <w:sz w:val="20"/>
                <w:szCs w:val="20"/>
                <w:color w:val="auto"/>
              </w:rPr>
            </w:pPr>
            <w:r>
              <w:rPr>
                <w:rFonts w:ascii="Arial" w:cs="Arial" w:eastAsia="Arial" w:hAnsi="Arial"/>
                <w:sz w:val="18"/>
                <w:szCs w:val="18"/>
                <w:b w:val="1"/>
                <w:bCs w:val="1"/>
                <w:color w:val="auto"/>
                <w:w w:val="99"/>
              </w:rPr>
              <w:t>For Three Months Ended March 31,</w:t>
            </w:r>
          </w:p>
        </w:tc>
      </w:tr>
      <w:tr>
        <w:trPr>
          <w:trHeight w:val="264"/>
        </w:trPr>
        <w:tc>
          <w:tcPr>
            <w:tcW w:w="834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8340" w:type="dxa"/>
            <w:vAlign w:val="bottom"/>
            <w:shd w:val="clear" w:color="auto" w:fill="E2EEF6"/>
          </w:tcPr>
          <w:p>
            <w:pPr>
              <w:spacing w:after="0"/>
              <w:rPr>
                <w:sz w:val="20"/>
                <w:szCs w:val="20"/>
                <w:color w:val="auto"/>
              </w:rPr>
            </w:pPr>
          </w:p>
        </w:tc>
        <w:tc>
          <w:tcPr>
            <w:tcW w:w="920" w:type="dxa"/>
            <w:vAlign w:val="bottom"/>
            <w:shd w:val="clear" w:color="auto" w:fill="E2EEF6"/>
          </w:tcPr>
          <w:p>
            <w:pPr>
              <w:spacing w:after="0"/>
              <w:rPr>
                <w:sz w:val="20"/>
                <w:szCs w:val="20"/>
                <w:color w:val="auto"/>
              </w:rPr>
            </w:pPr>
          </w:p>
        </w:tc>
        <w:tc>
          <w:tcPr>
            <w:tcW w:w="46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8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Net revenue</w:t>
            </w:r>
          </w:p>
        </w:tc>
        <w:tc>
          <w:tcPr>
            <w:tcW w:w="920" w:type="dxa"/>
            <w:vAlign w:val="bottom"/>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3,191</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3,334</w:t>
            </w:r>
          </w:p>
        </w:tc>
      </w:tr>
      <w:tr>
        <w:trPr>
          <w:trHeight w:val="243"/>
        </w:trPr>
        <w:tc>
          <w:tcPr>
            <w:tcW w:w="8340" w:type="dxa"/>
            <w:vAlign w:val="bottom"/>
            <w:shd w:val="clear" w:color="auto" w:fill="E2EEF6"/>
          </w:tcPr>
          <w:p>
            <w:pPr>
              <w:spacing w:after="0"/>
              <w:rPr>
                <w:sz w:val="21"/>
                <w:szCs w:val="21"/>
                <w:color w:val="auto"/>
              </w:rPr>
            </w:pPr>
          </w:p>
        </w:tc>
        <w:tc>
          <w:tcPr>
            <w:tcW w:w="920" w:type="dxa"/>
            <w:vAlign w:val="bottom"/>
            <w:shd w:val="clear" w:color="auto" w:fill="E2EEF6"/>
          </w:tcPr>
          <w:p>
            <w:pPr>
              <w:spacing w:after="0"/>
              <w:rPr>
                <w:sz w:val="21"/>
                <w:szCs w:val="21"/>
                <w:color w:val="auto"/>
              </w:rPr>
            </w:pPr>
          </w:p>
        </w:tc>
        <w:tc>
          <w:tcPr>
            <w:tcW w:w="4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E2EEF6"/>
          </w:tcPr>
          <w:p>
            <w:pPr>
              <w:ind w:left="180"/>
              <w:spacing w:after="0"/>
              <w:rPr>
                <w:sz w:val="20"/>
                <w:szCs w:val="20"/>
                <w:color w:val="auto"/>
              </w:rPr>
            </w:pPr>
            <w:r>
              <w:rPr>
                <w:rFonts w:ascii="Arial" w:cs="Arial" w:eastAsia="Arial" w:hAnsi="Arial"/>
                <w:sz w:val="18"/>
                <w:szCs w:val="18"/>
                <w:color w:val="auto"/>
              </w:rPr>
              <w:t>Cost of revenue (COR)</w:t>
            </w:r>
          </w:p>
        </w:tc>
        <w:tc>
          <w:tcPr>
            <w:tcW w:w="920" w:type="dxa"/>
            <w:vAlign w:val="bottom"/>
            <w:shd w:val="clear" w:color="auto" w:fill="E2EEF6"/>
          </w:tcPr>
          <w:p>
            <w:pPr>
              <w:spacing w:after="0"/>
              <w:rPr>
                <w:sz w:val="21"/>
                <w:szCs w:val="21"/>
                <w:color w:val="auto"/>
              </w:rPr>
            </w:pPr>
          </w:p>
        </w:tc>
        <w:tc>
          <w:tcPr>
            <w:tcW w:w="58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b w:val="1"/>
                <w:bCs w:val="1"/>
                <w:color w:val="auto"/>
                <w:w w:val="97"/>
              </w:rPr>
              <w:t>1,554</w:t>
            </w:r>
          </w:p>
        </w:tc>
        <w:tc>
          <w:tcPr>
            <w:tcW w:w="1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1,662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Research and development (R&amp;D)</w:t>
            </w:r>
          </w:p>
        </w:tc>
        <w:tc>
          <w:tcPr>
            <w:tcW w:w="92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r>
      <w:tr>
        <w:trPr>
          <w:trHeight w:val="275"/>
        </w:trPr>
        <w:tc>
          <w:tcPr>
            <w:tcW w:w="8340" w:type="dxa"/>
            <w:vAlign w:val="bottom"/>
            <w:tcBorders>
              <w:bottom w:val="single" w:sz="8" w:color="E2EEF6"/>
            </w:tcBorders>
            <w:shd w:val="clear" w:color="auto" w:fill="E2EEF6"/>
          </w:tcPr>
          <w:p>
            <w:pPr>
              <w:ind w:left="180"/>
              <w:spacing w:after="0"/>
              <w:rPr>
                <w:sz w:val="20"/>
                <w:szCs w:val="20"/>
                <w:color w:val="auto"/>
              </w:rPr>
            </w:pPr>
            <w:r>
              <w:rPr>
                <w:rFonts w:ascii="Arial" w:cs="Arial" w:eastAsia="Arial" w:hAnsi="Arial"/>
                <w:sz w:val="18"/>
                <w:szCs w:val="18"/>
                <w:color w:val="auto"/>
              </w:rPr>
              <w:t>Selling, general and administrative (SG&amp;A)</w:t>
            </w:r>
          </w:p>
        </w:tc>
        <w:tc>
          <w:tcPr>
            <w:tcW w:w="920" w:type="dxa"/>
            <w:vAlign w:val="bottom"/>
            <w:tcBorders>
              <w:bottom w:val="single" w:sz="8" w:color="E2EEF6"/>
            </w:tcBorders>
            <w:shd w:val="clear" w:color="auto" w:fill="E2EEF6"/>
          </w:tcPr>
          <w:p>
            <w:pPr>
              <w:spacing w:after="0"/>
              <w:rPr>
                <w:sz w:val="23"/>
                <w:szCs w:val="23"/>
                <w:color w:val="auto"/>
              </w:rPr>
            </w:pPr>
          </w:p>
        </w:tc>
        <w:tc>
          <w:tcPr>
            <w:tcW w:w="58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b w:val="1"/>
                <w:bCs w:val="1"/>
                <w:color w:val="auto"/>
              </w:rPr>
              <w:t>405</w:t>
            </w:r>
          </w:p>
        </w:tc>
        <w:tc>
          <w:tcPr>
            <w:tcW w:w="100" w:type="dxa"/>
            <w:vAlign w:val="bottom"/>
            <w:tcBorders>
              <w:bottom w:val="single" w:sz="8" w:color="E2EEF6"/>
            </w:tcBorders>
            <w:shd w:val="clear" w:color="auto" w:fill="E2EEF6"/>
          </w:tcPr>
          <w:p>
            <w:pPr>
              <w:spacing w:after="0"/>
              <w:rPr>
                <w:sz w:val="23"/>
                <w:szCs w:val="23"/>
                <w:color w:val="auto"/>
              </w:rPr>
            </w:pPr>
          </w:p>
        </w:tc>
        <w:tc>
          <w:tcPr>
            <w:tcW w:w="300" w:type="dxa"/>
            <w:vAlign w:val="bottom"/>
            <w:tcBorders>
              <w:bottom w:val="single" w:sz="8" w:color="E2EEF6"/>
            </w:tcBorders>
            <w:shd w:val="clear" w:color="auto" w:fill="E2EEF6"/>
          </w:tcPr>
          <w:p>
            <w:pPr>
              <w:spacing w:after="0"/>
              <w:rPr>
                <w:sz w:val="23"/>
                <w:szCs w:val="23"/>
                <w:color w:val="auto"/>
              </w:rPr>
            </w:pPr>
          </w:p>
        </w:tc>
        <w:tc>
          <w:tcPr>
            <w:tcW w:w="118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421</w:t>
            </w:r>
          </w:p>
        </w:tc>
      </w:tr>
      <w:tr>
        <w:trPr>
          <w:trHeight w:val="237"/>
        </w:trPr>
        <w:tc>
          <w:tcPr>
            <w:tcW w:w="8340" w:type="dxa"/>
            <w:vAlign w:val="bottom"/>
            <w:tcBorders>
              <w:top w:val="single" w:sz="8" w:color="E2EEF6"/>
            </w:tcBorders>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2,511</w:t>
            </w:r>
          </w:p>
        </w:tc>
        <w:tc>
          <w:tcPr>
            <w:tcW w:w="12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Borders>
              <w:top w:val="single" w:sz="8" w:color="E2EEF6"/>
            </w:tcBorders>
          </w:tcPr>
          <w:p>
            <w:pPr>
              <w:spacing w:after="0"/>
              <w:rPr>
                <w:sz w:val="20"/>
                <w:szCs w:val="20"/>
                <w:color w:val="auto"/>
              </w:rPr>
            </w:pPr>
          </w:p>
        </w:tc>
      </w:tr>
      <w:tr>
        <w:trPr>
          <w:trHeight w:val="237"/>
        </w:trPr>
        <w:tc>
          <w:tcPr>
            <w:tcW w:w="8340" w:type="dxa"/>
            <w:vAlign w:val="bottom"/>
            <w:shd w:val="clear" w:color="auto" w:fill="E2EEF6"/>
          </w:tcPr>
          <w:p>
            <w:pPr>
              <w:spacing w:after="0"/>
              <w:rPr>
                <w:sz w:val="20"/>
                <w:szCs w:val="20"/>
                <w:color w:val="auto"/>
              </w:rPr>
            </w:pPr>
            <w:r>
              <w:rPr>
                <w:rFonts w:ascii="Arial" w:cs="Arial" w:eastAsia="Arial" w:hAnsi="Arial"/>
                <w:sz w:val="18"/>
                <w:szCs w:val="18"/>
                <w:color w:val="auto"/>
              </w:rPr>
              <w:t>Profit from operations</w:t>
            </w:r>
          </w:p>
        </w:tc>
        <w:tc>
          <w:tcPr>
            <w:tcW w:w="920" w:type="dxa"/>
            <w:vAlign w:val="bottom"/>
            <w:shd w:val="clear" w:color="auto" w:fill="E2EEF6"/>
          </w:tcPr>
          <w:p>
            <w:pPr>
              <w:spacing w:after="0"/>
              <w:rPr>
                <w:sz w:val="20"/>
                <w:szCs w:val="20"/>
                <w:color w:val="auto"/>
              </w:rPr>
            </w:pPr>
          </w:p>
        </w:tc>
        <w:tc>
          <w:tcPr>
            <w:tcW w:w="58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b w:val="1"/>
                <w:bCs w:val="1"/>
                <w:color w:val="auto"/>
              </w:rPr>
              <w:t>680</w:t>
            </w:r>
          </w:p>
        </w:tc>
        <w:tc>
          <w:tcPr>
            <w:tcW w:w="10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718</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92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43"/>
        </w:trPr>
        <w:tc>
          <w:tcPr>
            <w:tcW w:w="83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Interest expense on loans</w:t>
            </w:r>
          </w:p>
        </w:tc>
        <w:tc>
          <w:tcPr>
            <w:tcW w:w="920" w:type="dxa"/>
            <w:vAlign w:val="bottom"/>
            <w:tcBorders>
              <w:bottom w:val="single" w:sz="8" w:color="auto"/>
            </w:tcBorders>
            <w:shd w:val="clear" w:color="auto" w:fill="E2EEF6"/>
          </w:tcPr>
          <w:p>
            <w:pPr>
              <w:spacing w:after="0"/>
              <w:rPr>
                <w:sz w:val="21"/>
                <w:szCs w:val="21"/>
                <w:color w:val="auto"/>
              </w:rPr>
            </w:pPr>
          </w:p>
        </w:tc>
        <w:tc>
          <w:tcPr>
            <w:tcW w:w="4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E2EEF6"/>
            </w:tcBorders>
            <w:shd w:val="clear" w:color="auto" w:fill="E2EEF6"/>
          </w:tcPr>
          <w:p>
            <w:pPr>
              <w:spacing w:after="0"/>
              <w:rPr>
                <w:sz w:val="21"/>
                <w:szCs w:val="21"/>
                <w:color w:val="auto"/>
              </w:rPr>
            </w:pPr>
          </w:p>
        </w:tc>
        <w:tc>
          <w:tcPr>
            <w:tcW w:w="100" w:type="dxa"/>
            <w:vAlign w:val="bottom"/>
            <w:tcBorders>
              <w:bottom w:val="single" w:sz="8" w:color="E2EEF6"/>
            </w:tcBorders>
            <w:shd w:val="clear" w:color="auto" w:fill="E2EEF6"/>
          </w:tcPr>
          <w:p>
            <w:pPr>
              <w:spacing w:after="0"/>
              <w:rPr>
                <w:sz w:val="21"/>
                <w:szCs w:val="21"/>
                <w:color w:val="auto"/>
              </w:rPr>
            </w:pPr>
          </w:p>
        </w:tc>
        <w:tc>
          <w:tcPr>
            <w:tcW w:w="300" w:type="dxa"/>
            <w:vAlign w:val="bottom"/>
            <w:tcBorders>
              <w:bottom w:val="single" w:sz="8" w:color="auto"/>
            </w:tcBorders>
            <w:shd w:val="clear" w:color="auto" w:fill="E2EEF6"/>
          </w:tcPr>
          <w:p>
            <w:pPr>
              <w:spacing w:after="0"/>
              <w:rPr>
                <w:sz w:val="21"/>
                <w:szCs w:val="21"/>
                <w:color w:val="auto"/>
              </w:rPr>
            </w:pPr>
          </w:p>
        </w:tc>
        <w:tc>
          <w:tcPr>
            <w:tcW w:w="10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E2EEF6"/>
            </w:tcBorders>
            <w:shd w:val="clear" w:color="auto" w:fill="E2EEF6"/>
          </w:tcPr>
          <w:p>
            <w:pPr>
              <w:spacing w:after="0"/>
              <w:rPr>
                <w:sz w:val="21"/>
                <w:szCs w:val="21"/>
                <w:color w:val="auto"/>
              </w:rPr>
            </w:pPr>
          </w:p>
        </w:tc>
      </w:tr>
      <w:tr>
        <w:trPr>
          <w:trHeight w:val="237"/>
        </w:trPr>
        <w:tc>
          <w:tcPr>
            <w:tcW w:w="834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92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767</w:t>
            </w:r>
          </w:p>
        </w:tc>
      </w:tr>
      <w:tr>
        <w:trPr>
          <w:trHeight w:val="243"/>
        </w:trPr>
        <w:tc>
          <w:tcPr>
            <w:tcW w:w="83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tcBorders>
              <w:bottom w:val="single" w:sz="8" w:color="auto"/>
            </w:tcBorders>
            <w:shd w:val="clear" w:color="auto" w:fill="E2EEF6"/>
          </w:tcPr>
          <w:p>
            <w:pPr>
              <w:spacing w:after="0"/>
              <w:rPr>
                <w:sz w:val="21"/>
                <w:szCs w:val="21"/>
                <w:color w:val="auto"/>
              </w:rPr>
            </w:pPr>
          </w:p>
        </w:tc>
        <w:tc>
          <w:tcPr>
            <w:tcW w:w="4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203</w:t>
            </w:r>
          </w:p>
        </w:tc>
        <w:tc>
          <w:tcPr>
            <w:tcW w:w="120" w:type="dxa"/>
            <w:vAlign w:val="bottom"/>
            <w:tcBorders>
              <w:bottom w:val="single" w:sz="8" w:color="E2EEF6"/>
            </w:tcBorders>
            <w:shd w:val="clear" w:color="auto" w:fill="E2EEF6"/>
          </w:tcPr>
          <w:p>
            <w:pPr>
              <w:spacing w:after="0"/>
              <w:rPr>
                <w:sz w:val="21"/>
                <w:szCs w:val="21"/>
                <w:color w:val="auto"/>
              </w:rPr>
            </w:pPr>
          </w:p>
        </w:tc>
        <w:tc>
          <w:tcPr>
            <w:tcW w:w="100" w:type="dxa"/>
            <w:vAlign w:val="bottom"/>
            <w:tcBorders>
              <w:bottom w:val="single" w:sz="8" w:color="E2EEF6"/>
            </w:tcBorders>
            <w:shd w:val="clear" w:color="auto" w:fill="E2EEF6"/>
          </w:tcPr>
          <w:p>
            <w:pPr>
              <w:spacing w:after="0"/>
              <w:rPr>
                <w:sz w:val="21"/>
                <w:szCs w:val="21"/>
                <w:color w:val="auto"/>
              </w:rPr>
            </w:pPr>
          </w:p>
        </w:tc>
        <w:tc>
          <w:tcPr>
            <w:tcW w:w="300" w:type="dxa"/>
            <w:vAlign w:val="bottom"/>
            <w:tcBorders>
              <w:bottom w:val="single" w:sz="8" w:color="auto"/>
            </w:tcBorders>
            <w:shd w:val="clear" w:color="auto" w:fill="E2EEF6"/>
          </w:tcPr>
          <w:p>
            <w:pPr>
              <w:spacing w:after="0"/>
              <w:rPr>
                <w:sz w:val="21"/>
                <w:szCs w:val="21"/>
                <w:color w:val="auto"/>
              </w:rPr>
            </w:pPr>
          </w:p>
        </w:tc>
        <w:tc>
          <w:tcPr>
            <w:tcW w:w="10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E2EEF6"/>
            </w:tcBorders>
            <w:shd w:val="clear" w:color="auto" w:fill="E2EEF6"/>
          </w:tcPr>
          <w:p>
            <w:pPr>
              <w:spacing w:after="0"/>
              <w:rPr>
                <w:sz w:val="21"/>
                <w:szCs w:val="21"/>
                <w:color w:val="auto"/>
              </w:rPr>
            </w:pPr>
          </w:p>
        </w:tc>
      </w:tr>
      <w:tr>
        <w:trPr>
          <w:trHeight w:val="237"/>
        </w:trPr>
        <w:tc>
          <w:tcPr>
            <w:tcW w:w="83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92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r>
      <w:tr>
        <w:trPr>
          <w:trHeight w:val="275"/>
        </w:trPr>
        <w:tc>
          <w:tcPr>
            <w:tcW w:w="83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920" w:type="dxa"/>
            <w:vAlign w:val="bottom"/>
            <w:tcBorders>
              <w:bottom w:val="single" w:sz="8" w:color="E2EEF6"/>
            </w:tcBorders>
            <w:shd w:val="clear" w:color="auto" w:fill="E2EEF6"/>
          </w:tcPr>
          <w:p>
            <w:pPr>
              <w:spacing w:after="0"/>
              <w:rPr>
                <w:sz w:val="23"/>
                <w:szCs w:val="23"/>
                <w:color w:val="auto"/>
              </w:rPr>
            </w:pPr>
          </w:p>
        </w:tc>
        <w:tc>
          <w:tcPr>
            <w:tcW w:w="58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E2EEF6"/>
            </w:tcBorders>
            <w:shd w:val="clear" w:color="auto" w:fill="E2EEF6"/>
          </w:tcPr>
          <w:p>
            <w:pPr>
              <w:spacing w:after="0"/>
              <w:rPr>
                <w:sz w:val="23"/>
                <w:szCs w:val="23"/>
                <w:color w:val="auto"/>
              </w:rPr>
            </w:pPr>
          </w:p>
        </w:tc>
        <w:tc>
          <w:tcPr>
            <w:tcW w:w="300" w:type="dxa"/>
            <w:vAlign w:val="bottom"/>
            <w:tcBorders>
              <w:bottom w:val="single" w:sz="8" w:color="E2EEF6"/>
            </w:tcBorders>
            <w:shd w:val="clear" w:color="auto" w:fill="E2EEF6"/>
          </w:tcPr>
          <w:p>
            <w:pPr>
              <w:spacing w:after="0"/>
              <w:rPr>
                <w:sz w:val="23"/>
                <w:szCs w:val="23"/>
                <w:color w:val="auto"/>
              </w:rPr>
            </w:pPr>
          </w:p>
        </w:tc>
        <w:tc>
          <w:tcPr>
            <w:tcW w:w="118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43</w:t>
            </w:r>
          </w:p>
        </w:tc>
      </w:tr>
      <w:tr>
        <w:trPr>
          <w:trHeight w:val="237"/>
        </w:trPr>
        <w:tc>
          <w:tcPr>
            <w:tcW w:w="8340" w:type="dxa"/>
            <w:vAlign w:val="bottom"/>
            <w:tcBorders>
              <w:top w:val="single" w:sz="8" w:color="E2EEF6"/>
            </w:tcBorders>
          </w:tcPr>
          <w:p>
            <w:pPr>
              <w:spacing w:after="0"/>
              <w:rPr>
                <w:sz w:val="20"/>
                <w:szCs w:val="20"/>
                <w:color w:val="auto"/>
              </w:rPr>
            </w:pPr>
            <w:r>
              <w:rPr>
                <w:rFonts w:ascii="Arial" w:cs="Arial" w:eastAsia="Arial" w:hAnsi="Arial"/>
                <w:sz w:val="18"/>
                <w:szCs w:val="18"/>
                <w:color w:val="auto"/>
              </w:rPr>
              <w:t>Net income</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516</w:t>
            </w:r>
          </w:p>
        </w:tc>
        <w:tc>
          <w:tcPr>
            <w:tcW w:w="12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top w:val="single" w:sz="8" w:color="E2EEF6"/>
            </w:tcBorders>
          </w:tcPr>
          <w:p>
            <w:pPr>
              <w:spacing w:after="0"/>
              <w:rPr>
                <w:sz w:val="20"/>
                <w:szCs w:val="20"/>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340" w:type="dxa"/>
            <w:vAlign w:val="bottom"/>
            <w:shd w:val="clear" w:color="auto" w:fill="E2EEF6"/>
          </w:tcPr>
          <w:p>
            <w:pPr>
              <w:spacing w:after="0"/>
              <w:rPr>
                <w:sz w:val="19"/>
                <w:szCs w:val="19"/>
                <w:color w:val="auto"/>
              </w:rPr>
            </w:pPr>
          </w:p>
        </w:tc>
        <w:tc>
          <w:tcPr>
            <w:tcW w:w="920" w:type="dxa"/>
            <w:vAlign w:val="bottom"/>
            <w:shd w:val="clear" w:color="auto" w:fill="E2EEF6"/>
          </w:tcPr>
          <w:p>
            <w:pPr>
              <w:spacing w:after="0"/>
              <w:rPr>
                <w:sz w:val="19"/>
                <w:szCs w:val="19"/>
                <w:color w:val="auto"/>
              </w:rPr>
            </w:pPr>
          </w:p>
        </w:tc>
        <w:tc>
          <w:tcPr>
            <w:tcW w:w="46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08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3"/>
        </w:trPr>
        <w:tc>
          <w:tcPr>
            <w:tcW w:w="8340" w:type="dxa"/>
            <w:vAlign w:val="bottom"/>
            <w:tcBorders>
              <w:bottom w:val="single" w:sz="8" w:color="E2EEF6"/>
            </w:tcBorders>
            <w:shd w:val="clear" w:color="auto" w:fill="E2EEF6"/>
          </w:tcPr>
          <w:p>
            <w:pPr>
              <w:ind w:left="180"/>
              <w:spacing w:after="0"/>
              <w:rPr>
                <w:sz w:val="20"/>
                <w:szCs w:val="20"/>
                <w:color w:val="auto"/>
              </w:rPr>
            </w:pPr>
            <w:r>
              <w:rPr>
                <w:rFonts w:ascii="Arial" w:cs="Arial" w:eastAsia="Arial" w:hAnsi="Arial"/>
                <w:sz w:val="18"/>
                <w:szCs w:val="18"/>
                <w:color w:val="auto"/>
              </w:rPr>
              <w:t>Income from continuing operations</w:t>
            </w:r>
          </w:p>
        </w:tc>
        <w:tc>
          <w:tcPr>
            <w:tcW w:w="920" w:type="dxa"/>
            <w:vAlign w:val="bottom"/>
            <w:tcBorders>
              <w:bottom w:val="single" w:sz="8" w:color="auto"/>
            </w:tcBorders>
            <w:shd w:val="clear" w:color="auto" w:fill="E2EEF6"/>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Borders>
              <w:bottom w:val="single" w:sz="8" w:color="E2EEF6"/>
            </w:tcBorders>
            <w:shd w:val="clear" w:color="auto" w:fill="E2EEF6"/>
          </w:tcPr>
          <w:p>
            <w:pPr>
              <w:spacing w:after="0"/>
              <w:rPr>
                <w:sz w:val="24"/>
                <w:szCs w:val="24"/>
                <w:color w:val="auto"/>
              </w:rPr>
            </w:pPr>
          </w:p>
        </w:tc>
        <w:tc>
          <w:tcPr>
            <w:tcW w:w="100" w:type="dxa"/>
            <w:vAlign w:val="bottom"/>
            <w:tcBorders>
              <w:bottom w:val="single" w:sz="8" w:color="E2EEF6"/>
            </w:tcBorders>
            <w:shd w:val="clear" w:color="auto" w:fill="E2EEF6"/>
          </w:tcPr>
          <w:p>
            <w:pPr>
              <w:spacing w:after="0"/>
              <w:rPr>
                <w:sz w:val="24"/>
                <w:szCs w:val="24"/>
                <w:color w:val="auto"/>
              </w:rPr>
            </w:pPr>
          </w:p>
        </w:tc>
        <w:tc>
          <w:tcPr>
            <w:tcW w:w="300" w:type="dxa"/>
            <w:vAlign w:val="bottom"/>
            <w:tcBorders>
              <w:bottom w:val="single" w:sz="8" w:color="auto"/>
            </w:tcBorders>
            <w:shd w:val="clear" w:color="auto" w:fill="E2EEF6"/>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E2EEF6"/>
            </w:tcBorders>
            <w:shd w:val="clear" w:color="auto" w:fill="E2EEF6"/>
          </w:tcPr>
          <w:p>
            <w:pPr>
              <w:spacing w:after="0"/>
              <w:rPr>
                <w:sz w:val="24"/>
                <w:szCs w:val="24"/>
                <w:color w:val="auto"/>
              </w:rPr>
            </w:pPr>
          </w:p>
        </w:tc>
      </w:tr>
      <w:tr>
        <w:trPr>
          <w:trHeight w:val="224"/>
        </w:trPr>
        <w:tc>
          <w:tcPr>
            <w:tcW w:w="83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0"/>
        </w:trPr>
        <w:tc>
          <w:tcPr>
            <w:tcW w:w="8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340" w:type="dxa"/>
            <w:vAlign w:val="bottom"/>
            <w:shd w:val="clear" w:color="auto" w:fill="E2EEF6"/>
          </w:tcPr>
          <w:p>
            <w:pPr>
              <w:spacing w:after="0"/>
              <w:rPr>
                <w:sz w:val="19"/>
                <w:szCs w:val="19"/>
                <w:color w:val="auto"/>
              </w:rPr>
            </w:pPr>
          </w:p>
        </w:tc>
        <w:tc>
          <w:tcPr>
            <w:tcW w:w="920" w:type="dxa"/>
            <w:vAlign w:val="bottom"/>
            <w:shd w:val="clear" w:color="auto" w:fill="E2EEF6"/>
          </w:tcPr>
          <w:p>
            <w:pPr>
              <w:spacing w:after="0"/>
              <w:rPr>
                <w:sz w:val="19"/>
                <w:szCs w:val="19"/>
                <w:color w:val="auto"/>
              </w:rPr>
            </w:pPr>
          </w:p>
        </w:tc>
        <w:tc>
          <w:tcPr>
            <w:tcW w:w="46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08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3"/>
        </w:trPr>
        <w:tc>
          <w:tcPr>
            <w:tcW w:w="8340" w:type="dxa"/>
            <w:vAlign w:val="bottom"/>
            <w:tcBorders>
              <w:bottom w:val="single" w:sz="8" w:color="E2EEF6"/>
            </w:tcBorders>
            <w:shd w:val="clear" w:color="auto" w:fill="E2EEF6"/>
          </w:tcPr>
          <w:p>
            <w:pPr>
              <w:ind w:left="180"/>
              <w:spacing w:after="0"/>
              <w:rPr>
                <w:sz w:val="20"/>
                <w:szCs w:val="20"/>
                <w:color w:val="auto"/>
              </w:rPr>
            </w:pPr>
            <w:r>
              <w:rPr>
                <w:rFonts w:ascii="Arial" w:cs="Arial" w:eastAsia="Arial" w:hAnsi="Arial"/>
                <w:sz w:val="18"/>
                <w:szCs w:val="18"/>
                <w:color w:val="auto"/>
              </w:rPr>
              <w:t>Income from continuing operations</w:t>
            </w:r>
          </w:p>
        </w:tc>
        <w:tc>
          <w:tcPr>
            <w:tcW w:w="920" w:type="dxa"/>
            <w:vAlign w:val="bottom"/>
            <w:tcBorders>
              <w:bottom w:val="single" w:sz="8" w:color="auto"/>
            </w:tcBorders>
            <w:shd w:val="clear" w:color="auto" w:fill="E2EEF6"/>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bottom w:val="single" w:sz="8" w:color="E2EEF6"/>
            </w:tcBorders>
            <w:shd w:val="clear" w:color="auto" w:fill="E2EEF6"/>
          </w:tcPr>
          <w:p>
            <w:pPr>
              <w:spacing w:after="0"/>
              <w:rPr>
                <w:sz w:val="24"/>
                <w:szCs w:val="24"/>
                <w:color w:val="auto"/>
              </w:rPr>
            </w:pPr>
          </w:p>
        </w:tc>
        <w:tc>
          <w:tcPr>
            <w:tcW w:w="100" w:type="dxa"/>
            <w:vAlign w:val="bottom"/>
            <w:tcBorders>
              <w:bottom w:val="single" w:sz="8" w:color="E2EEF6"/>
            </w:tcBorders>
            <w:shd w:val="clear" w:color="auto" w:fill="E2EEF6"/>
          </w:tcPr>
          <w:p>
            <w:pPr>
              <w:spacing w:after="0"/>
              <w:rPr>
                <w:sz w:val="24"/>
                <w:szCs w:val="24"/>
                <w:color w:val="auto"/>
              </w:rPr>
            </w:pPr>
          </w:p>
        </w:tc>
        <w:tc>
          <w:tcPr>
            <w:tcW w:w="300" w:type="dxa"/>
            <w:vAlign w:val="bottom"/>
            <w:tcBorders>
              <w:bottom w:val="single" w:sz="8" w:color="auto"/>
            </w:tcBorders>
            <w:shd w:val="clear" w:color="auto" w:fill="E2EEF6"/>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E2EEF6"/>
            </w:tcBorders>
            <w:shd w:val="clear" w:color="auto" w:fill="E2EEF6"/>
          </w:tcPr>
          <w:p>
            <w:pPr>
              <w:spacing w:after="0"/>
              <w:rPr>
                <w:sz w:val="24"/>
                <w:szCs w:val="24"/>
                <w:color w:val="auto"/>
              </w:rPr>
            </w:pPr>
          </w:p>
        </w:tc>
      </w:tr>
      <w:tr>
        <w:trPr>
          <w:trHeight w:val="224"/>
        </w:trPr>
        <w:tc>
          <w:tcPr>
            <w:tcW w:w="83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0"/>
        </w:trPr>
        <w:tc>
          <w:tcPr>
            <w:tcW w:w="8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340" w:type="dxa"/>
            <w:vAlign w:val="bottom"/>
            <w:shd w:val="clear" w:color="auto" w:fill="E2EEF6"/>
          </w:tcPr>
          <w:p>
            <w:pPr>
              <w:spacing w:after="0"/>
              <w:rPr>
                <w:sz w:val="19"/>
                <w:szCs w:val="19"/>
                <w:color w:val="auto"/>
              </w:rPr>
            </w:pPr>
          </w:p>
        </w:tc>
        <w:tc>
          <w:tcPr>
            <w:tcW w:w="920" w:type="dxa"/>
            <w:vAlign w:val="bottom"/>
            <w:shd w:val="clear" w:color="auto" w:fill="E2EEF6"/>
          </w:tcPr>
          <w:p>
            <w:pPr>
              <w:spacing w:after="0"/>
              <w:rPr>
                <w:sz w:val="19"/>
                <w:szCs w:val="19"/>
                <w:color w:val="auto"/>
              </w:rPr>
            </w:pPr>
          </w:p>
        </w:tc>
        <w:tc>
          <w:tcPr>
            <w:tcW w:w="46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08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3"/>
        </w:trPr>
        <w:tc>
          <w:tcPr>
            <w:tcW w:w="8340" w:type="dxa"/>
            <w:vAlign w:val="bottom"/>
            <w:tcBorders>
              <w:bottom w:val="single" w:sz="8" w:color="E2EEF6"/>
            </w:tcBorders>
            <w:shd w:val="clear" w:color="auto" w:fill="E2EEF6"/>
          </w:tcPr>
          <w:p>
            <w:pPr>
              <w:ind w:left="180"/>
              <w:spacing w:after="0"/>
              <w:rPr>
                <w:sz w:val="20"/>
                <w:szCs w:val="20"/>
                <w:color w:val="auto"/>
              </w:rPr>
            </w:pPr>
            <w:r>
              <w:rPr>
                <w:rFonts w:ascii="Arial" w:cs="Arial" w:eastAsia="Arial" w:hAnsi="Arial"/>
                <w:sz w:val="18"/>
                <w:szCs w:val="18"/>
                <w:color w:val="auto"/>
              </w:rPr>
              <w:t>Basic</w:t>
            </w:r>
          </w:p>
        </w:tc>
        <w:tc>
          <w:tcPr>
            <w:tcW w:w="920" w:type="dxa"/>
            <w:vAlign w:val="bottom"/>
            <w:tcBorders>
              <w:bottom w:val="single" w:sz="8" w:color="auto"/>
            </w:tcBorders>
            <w:shd w:val="clear" w:color="auto" w:fill="E2EEF6"/>
          </w:tcPr>
          <w:p>
            <w:pPr>
              <w:spacing w:after="0"/>
              <w:rPr>
                <w:sz w:val="24"/>
                <w:szCs w:val="24"/>
                <w:color w:val="auto"/>
              </w:rPr>
            </w:pPr>
          </w:p>
        </w:tc>
        <w:tc>
          <w:tcPr>
            <w:tcW w:w="4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w w:val="97"/>
              </w:rPr>
              <w:t>1,442</w:t>
            </w:r>
          </w:p>
        </w:tc>
        <w:tc>
          <w:tcPr>
            <w:tcW w:w="120" w:type="dxa"/>
            <w:vAlign w:val="bottom"/>
            <w:tcBorders>
              <w:bottom w:val="single" w:sz="8" w:color="E2EEF6"/>
            </w:tcBorders>
            <w:shd w:val="clear" w:color="auto" w:fill="E2EEF6"/>
          </w:tcPr>
          <w:p>
            <w:pPr>
              <w:spacing w:after="0"/>
              <w:rPr>
                <w:sz w:val="24"/>
                <w:szCs w:val="24"/>
                <w:color w:val="auto"/>
              </w:rPr>
            </w:pPr>
          </w:p>
        </w:tc>
        <w:tc>
          <w:tcPr>
            <w:tcW w:w="100" w:type="dxa"/>
            <w:vAlign w:val="bottom"/>
            <w:tcBorders>
              <w:bottom w:val="single" w:sz="8" w:color="E2EEF6"/>
            </w:tcBorders>
            <w:shd w:val="clear" w:color="auto" w:fill="E2EEF6"/>
          </w:tcPr>
          <w:p>
            <w:pPr>
              <w:spacing w:after="0"/>
              <w:rPr>
                <w:sz w:val="24"/>
                <w:szCs w:val="24"/>
                <w:color w:val="auto"/>
              </w:rPr>
            </w:pPr>
          </w:p>
        </w:tc>
        <w:tc>
          <w:tcPr>
            <w:tcW w:w="300" w:type="dxa"/>
            <w:vAlign w:val="bottom"/>
            <w:tcBorders>
              <w:bottom w:val="single" w:sz="8" w:color="auto"/>
            </w:tcBorders>
            <w:shd w:val="clear" w:color="auto" w:fill="E2EEF6"/>
          </w:tcPr>
          <w:p>
            <w:pPr>
              <w:spacing w:after="0"/>
              <w:rPr>
                <w:sz w:val="24"/>
                <w:szCs w:val="24"/>
                <w:color w:val="auto"/>
              </w:rPr>
            </w:pPr>
          </w:p>
        </w:tc>
        <w:tc>
          <w:tcPr>
            <w:tcW w:w="10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E2EEF6"/>
            </w:tcBorders>
            <w:shd w:val="clear" w:color="auto" w:fill="E2EEF6"/>
          </w:tcPr>
          <w:p>
            <w:pPr>
              <w:spacing w:after="0"/>
              <w:rPr>
                <w:sz w:val="24"/>
                <w:szCs w:val="24"/>
                <w:color w:val="auto"/>
              </w:rPr>
            </w:pPr>
          </w:p>
        </w:tc>
      </w:tr>
      <w:tr>
        <w:trPr>
          <w:trHeight w:val="224"/>
        </w:trPr>
        <w:tc>
          <w:tcPr>
            <w:tcW w:w="8340" w:type="dxa"/>
            <w:vAlign w:val="bottom"/>
          </w:tcPr>
          <w:p>
            <w:pPr>
              <w:ind w:left="180"/>
              <w:spacing w:after="0"/>
              <w:rPr>
                <w:sz w:val="20"/>
                <w:szCs w:val="20"/>
                <w:color w:val="auto"/>
              </w:rPr>
            </w:pPr>
            <w:r>
              <w:rPr>
                <w:rFonts w:ascii="Arial" w:cs="Arial" w:eastAsia="Arial" w:hAnsi="Arial"/>
                <w:sz w:val="18"/>
                <w:szCs w:val="18"/>
                <w:color w:val="auto"/>
              </w:rPr>
              <w:t>Diluted</w:t>
            </w:r>
          </w:p>
        </w:tc>
        <w:tc>
          <w:tcPr>
            <w:tcW w:w="92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1,470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1,618</w:t>
            </w:r>
          </w:p>
        </w:tc>
      </w:tr>
      <w:tr>
        <w:trPr>
          <w:trHeight w:val="20"/>
        </w:trPr>
        <w:tc>
          <w:tcPr>
            <w:tcW w:w="8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340" w:type="dxa"/>
            <w:vAlign w:val="bottom"/>
            <w:shd w:val="clear" w:color="auto" w:fill="E2EEF6"/>
          </w:tcPr>
          <w:p>
            <w:pPr>
              <w:spacing w:after="0"/>
              <w:rPr>
                <w:sz w:val="19"/>
                <w:szCs w:val="19"/>
                <w:color w:val="auto"/>
              </w:rPr>
            </w:pPr>
          </w:p>
        </w:tc>
        <w:tc>
          <w:tcPr>
            <w:tcW w:w="920" w:type="dxa"/>
            <w:vAlign w:val="bottom"/>
            <w:shd w:val="clear" w:color="auto" w:fill="E2EEF6"/>
          </w:tcPr>
          <w:p>
            <w:pPr>
              <w:spacing w:after="0"/>
              <w:rPr>
                <w:sz w:val="19"/>
                <w:szCs w:val="19"/>
                <w:color w:val="auto"/>
              </w:rPr>
            </w:pPr>
          </w:p>
        </w:tc>
        <w:tc>
          <w:tcPr>
            <w:tcW w:w="46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08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920" w:type="dxa"/>
            <w:vAlign w:val="bottom"/>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.04</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0"/>
        </w:trPr>
        <w:tc>
          <w:tcPr>
            <w:tcW w:w="8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340" w:type="dxa"/>
            <w:vAlign w:val="bottom"/>
            <w:shd w:val="clear" w:color="auto" w:fill="E2EEF6"/>
          </w:tcPr>
          <w:p>
            <w:pPr>
              <w:spacing w:after="0"/>
              <w:rPr>
                <w:sz w:val="19"/>
                <w:szCs w:val="19"/>
                <w:color w:val="auto"/>
              </w:rPr>
            </w:pPr>
          </w:p>
        </w:tc>
        <w:tc>
          <w:tcPr>
            <w:tcW w:w="920" w:type="dxa"/>
            <w:vAlign w:val="bottom"/>
            <w:shd w:val="clear" w:color="auto" w:fill="E2EEF6"/>
          </w:tcPr>
          <w:p>
            <w:pPr>
              <w:spacing w:after="0"/>
              <w:rPr>
                <w:sz w:val="19"/>
                <w:szCs w:val="19"/>
                <w:color w:val="auto"/>
              </w:rPr>
            </w:pPr>
          </w:p>
        </w:tc>
        <w:tc>
          <w:tcPr>
            <w:tcW w:w="46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08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r>
      <w:tr>
        <w:trPr>
          <w:trHeight w:val="486"/>
        </w:trPr>
        <w:tc>
          <w:tcPr>
            <w:tcW w:w="8340" w:type="dxa"/>
            <w:vAlign w:val="bottom"/>
          </w:tcPr>
          <w:p>
            <w:pPr>
              <w:spacing w:after="0"/>
              <w:rPr>
                <w:sz w:val="20"/>
                <w:szCs w:val="20"/>
                <w:color w:val="auto"/>
              </w:rPr>
            </w:pPr>
            <w:r>
              <w:rPr>
                <w:rFonts w:ascii="Arial" w:cs="Arial" w:eastAsia="Arial" w:hAnsi="Arial"/>
                <w:sz w:val="18"/>
                <w:szCs w:val="18"/>
                <w:b w:val="1"/>
                <w:bCs w:val="1"/>
                <w:color w:val="auto"/>
              </w:rPr>
              <w:t>See accompanying notes.</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72"/>
        </w:trPr>
        <w:tc>
          <w:tcPr>
            <w:tcW w:w="83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08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5"/>
              </w:rPr>
              <w:t>For Three Months Ended March 31,</w:t>
            </w:r>
          </w:p>
        </w:tc>
      </w:tr>
      <w:tr>
        <w:trPr>
          <w:trHeight w:val="264"/>
        </w:trPr>
        <w:tc>
          <w:tcPr>
            <w:tcW w:w="834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2007</w:t>
            </w:r>
          </w:p>
        </w:tc>
        <w:tc>
          <w:tcPr>
            <w:tcW w:w="4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8340" w:type="dxa"/>
            <w:vAlign w:val="bottom"/>
            <w:shd w:val="clear" w:color="auto" w:fill="E2EEF6"/>
          </w:tcPr>
          <w:p>
            <w:pPr>
              <w:spacing w:after="0"/>
              <w:rPr>
                <w:sz w:val="20"/>
                <w:szCs w:val="20"/>
                <w:color w:val="auto"/>
              </w:rPr>
            </w:pPr>
          </w:p>
        </w:tc>
        <w:tc>
          <w:tcPr>
            <w:tcW w:w="980" w:type="dxa"/>
            <w:vAlign w:val="bottom"/>
            <w:shd w:val="clear" w:color="auto" w:fill="E2EEF6"/>
          </w:tcPr>
          <w:p>
            <w:pPr>
              <w:spacing w:after="0"/>
              <w:rPr>
                <w:sz w:val="20"/>
                <w:szCs w:val="20"/>
                <w:color w:val="auto"/>
              </w:rPr>
            </w:pPr>
          </w:p>
        </w:tc>
        <w:tc>
          <w:tcPr>
            <w:tcW w:w="40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8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980" w:type="dxa"/>
            <w:vAlign w:val="bottom"/>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516</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r>
      <w:tr>
        <w:trPr>
          <w:trHeight w:val="243"/>
        </w:trPr>
        <w:tc>
          <w:tcPr>
            <w:tcW w:w="8340" w:type="dxa"/>
            <w:vAlign w:val="bottom"/>
            <w:shd w:val="clear" w:color="auto" w:fill="E2EEF6"/>
          </w:tcPr>
          <w:p>
            <w:pPr>
              <w:spacing w:after="0"/>
              <w:rPr>
                <w:sz w:val="21"/>
                <w:szCs w:val="21"/>
                <w:color w:val="auto"/>
              </w:rPr>
            </w:pPr>
          </w:p>
        </w:tc>
        <w:tc>
          <w:tcPr>
            <w:tcW w:w="980" w:type="dxa"/>
            <w:vAlign w:val="bottom"/>
            <w:shd w:val="clear" w:color="auto" w:fill="E2EEF6"/>
          </w:tcPr>
          <w:p>
            <w:pPr>
              <w:spacing w:after="0"/>
              <w:rPr>
                <w:sz w:val="21"/>
                <w:szCs w:val="21"/>
                <w:color w:val="auto"/>
              </w:rPr>
            </w:pPr>
          </w:p>
        </w:tc>
        <w:tc>
          <w:tcPr>
            <w:tcW w:w="4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E2EEF6"/>
          </w:tcPr>
          <w:p>
            <w:pPr>
              <w:ind w:left="340"/>
              <w:spacing w:after="0"/>
              <w:rPr>
                <w:sz w:val="20"/>
                <w:szCs w:val="20"/>
                <w:color w:val="auto"/>
              </w:rPr>
            </w:pPr>
            <w:r>
              <w:rPr>
                <w:rFonts w:ascii="Arial" w:cs="Arial" w:eastAsia="Arial" w:hAnsi="Arial"/>
                <w:sz w:val="18"/>
                <w:szCs w:val="18"/>
                <w:color w:val="auto"/>
              </w:rPr>
              <w:t>Changes in available-for-sale investments:</w:t>
            </w:r>
          </w:p>
        </w:tc>
        <w:tc>
          <w:tcPr>
            <w:tcW w:w="980" w:type="dxa"/>
            <w:vAlign w:val="bottom"/>
            <w:shd w:val="clear" w:color="auto" w:fill="E2EEF6"/>
          </w:tcPr>
          <w:p>
            <w:pPr>
              <w:spacing w:after="0"/>
              <w:rPr>
                <w:sz w:val="21"/>
                <w:szCs w:val="21"/>
                <w:color w:val="auto"/>
              </w:rPr>
            </w:pPr>
          </w:p>
        </w:tc>
        <w:tc>
          <w:tcPr>
            <w:tcW w:w="4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Adjustment, net of tax benefit (expense) of ($1) and $0</w:t>
            </w:r>
          </w:p>
        </w:tc>
        <w:tc>
          <w:tcPr>
            <w:tcW w:w="9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43"/>
        </w:trPr>
        <w:tc>
          <w:tcPr>
            <w:tcW w:w="8340" w:type="dxa"/>
            <w:vAlign w:val="bottom"/>
            <w:shd w:val="clear" w:color="auto" w:fill="E2EEF6"/>
          </w:tcPr>
          <w:p>
            <w:pPr>
              <w:ind w:left="340"/>
              <w:spacing w:after="0"/>
              <w:rPr>
                <w:sz w:val="20"/>
                <w:szCs w:val="20"/>
                <w:color w:val="auto"/>
              </w:rPr>
            </w:pPr>
            <w:r>
              <w:rPr>
                <w:rFonts w:ascii="Arial" w:cs="Arial" w:eastAsia="Arial" w:hAnsi="Arial"/>
                <w:sz w:val="18"/>
                <w:szCs w:val="18"/>
                <w:color w:val="auto"/>
              </w:rPr>
              <w:t>Unrealized net actuarial loss of defined benefit plans:</w:t>
            </w:r>
          </w:p>
        </w:tc>
        <w:tc>
          <w:tcPr>
            <w:tcW w:w="980" w:type="dxa"/>
            <w:vAlign w:val="bottom"/>
            <w:shd w:val="clear" w:color="auto" w:fill="E2EEF6"/>
          </w:tcPr>
          <w:p>
            <w:pPr>
              <w:spacing w:after="0"/>
              <w:rPr>
                <w:sz w:val="21"/>
                <w:szCs w:val="21"/>
                <w:color w:val="auto"/>
              </w:rPr>
            </w:pPr>
          </w:p>
        </w:tc>
        <w:tc>
          <w:tcPr>
            <w:tcW w:w="4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Reclassification of recognized transactions, net of tax expense of ($4)</w:t>
            </w:r>
          </w:p>
        </w:tc>
        <w:tc>
          <w:tcPr>
            <w:tcW w:w="9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tcBorders>
              <w:bottom w:val="single" w:sz="8" w:color="E2EEF6"/>
            </w:tcBorders>
            <w:shd w:val="clear" w:color="auto" w:fill="E2EEF6"/>
          </w:tcPr>
          <w:p>
            <w:pPr>
              <w:spacing w:after="0"/>
              <w:rPr>
                <w:sz w:val="23"/>
                <w:szCs w:val="23"/>
                <w:color w:val="auto"/>
              </w:rPr>
            </w:pPr>
          </w:p>
        </w:tc>
        <w:tc>
          <w:tcPr>
            <w:tcW w:w="980" w:type="dxa"/>
            <w:vAlign w:val="bottom"/>
            <w:tcBorders>
              <w:bottom w:val="single" w:sz="8" w:color="auto"/>
            </w:tcBorders>
            <w:shd w:val="clear" w:color="auto" w:fill="E2EEF6"/>
          </w:tcPr>
          <w:p>
            <w:pPr>
              <w:spacing w:after="0"/>
              <w:rPr>
                <w:sz w:val="23"/>
                <w:szCs w:val="23"/>
                <w:color w:val="auto"/>
              </w:rPr>
            </w:pPr>
          </w:p>
        </w:tc>
        <w:tc>
          <w:tcPr>
            <w:tcW w:w="400" w:type="dxa"/>
            <w:vAlign w:val="bottom"/>
            <w:tcBorders>
              <w:bottom w:val="single" w:sz="8" w:color="auto"/>
            </w:tcBorders>
            <w:shd w:val="clear" w:color="auto" w:fill="E2EEF6"/>
          </w:tcPr>
          <w:p>
            <w:pPr>
              <w:spacing w:after="0"/>
              <w:rPr>
                <w:sz w:val="23"/>
                <w:szCs w:val="23"/>
                <w:color w:val="auto"/>
              </w:rPr>
            </w:pPr>
          </w:p>
        </w:tc>
        <w:tc>
          <w:tcPr>
            <w:tcW w:w="220" w:type="dxa"/>
            <w:vAlign w:val="bottom"/>
            <w:tcBorders>
              <w:bottom w:val="single" w:sz="8" w:color="E2EEF6"/>
            </w:tcBorders>
            <w:shd w:val="clear" w:color="auto" w:fill="E2EEF6"/>
          </w:tcPr>
          <w:p>
            <w:pPr>
              <w:spacing w:after="0"/>
              <w:rPr>
                <w:sz w:val="23"/>
                <w:szCs w:val="23"/>
                <w:color w:val="auto"/>
              </w:rPr>
            </w:pPr>
          </w:p>
        </w:tc>
        <w:tc>
          <w:tcPr>
            <w:tcW w:w="300" w:type="dxa"/>
            <w:vAlign w:val="bottom"/>
            <w:tcBorders>
              <w:bottom w:val="single" w:sz="8" w:color="auto"/>
            </w:tcBorders>
            <w:shd w:val="clear" w:color="auto" w:fill="E2EEF6"/>
          </w:tcPr>
          <w:p>
            <w:pPr>
              <w:spacing w:after="0"/>
              <w:rPr>
                <w:sz w:val="23"/>
                <w:szCs w:val="23"/>
                <w:color w:val="auto"/>
              </w:rPr>
            </w:pPr>
          </w:p>
        </w:tc>
        <w:tc>
          <w:tcPr>
            <w:tcW w:w="1080" w:type="dxa"/>
            <w:vAlign w:val="bottom"/>
            <w:tcBorders>
              <w:bottom w:val="single" w:sz="8" w:color="auto"/>
            </w:tcBorders>
            <w:shd w:val="clear" w:color="auto" w:fill="E2EEF6"/>
          </w:tcPr>
          <w:p>
            <w:pPr>
              <w:spacing w:after="0"/>
              <w:rPr>
                <w:sz w:val="23"/>
                <w:szCs w:val="23"/>
                <w:color w:val="auto"/>
              </w:rPr>
            </w:pPr>
          </w:p>
        </w:tc>
        <w:tc>
          <w:tcPr>
            <w:tcW w:w="100" w:type="dxa"/>
            <w:vAlign w:val="bottom"/>
            <w:tcBorders>
              <w:bottom w:val="single" w:sz="8" w:color="E2EEF6"/>
            </w:tcBorders>
            <w:shd w:val="clear" w:color="auto" w:fill="E2EEF6"/>
          </w:tcPr>
          <w:p>
            <w:pPr>
              <w:spacing w:after="0"/>
              <w:rPr>
                <w:sz w:val="23"/>
                <w:szCs w:val="23"/>
                <w:color w:val="auto"/>
              </w:rPr>
            </w:pPr>
          </w:p>
        </w:tc>
      </w:tr>
      <w:tr>
        <w:trPr>
          <w:trHeight w:val="264"/>
        </w:trPr>
        <w:tc>
          <w:tcPr>
            <w:tcW w:w="8340" w:type="dxa"/>
            <w:vAlign w:val="bottom"/>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7"/>
        </w:trPr>
        <w:tc>
          <w:tcPr>
            <w:tcW w:w="83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Total from continuing operations</w:t>
            </w:r>
          </w:p>
        </w:tc>
        <w:tc>
          <w:tcPr>
            <w:tcW w:w="980" w:type="dxa"/>
            <w:vAlign w:val="bottom"/>
            <w:tcBorders>
              <w:top w:val="single" w:sz="8" w:color="auto"/>
              <w:bottom w:val="single" w:sz="8" w:color="auto"/>
            </w:tcBorders>
            <w:shd w:val="clear" w:color="auto" w:fill="E2EEF6"/>
          </w:tcPr>
          <w:p>
            <w:pPr>
              <w:spacing w:after="0"/>
              <w:rPr>
                <w:sz w:val="20"/>
                <w:szCs w:val="20"/>
                <w:color w:val="auto"/>
              </w:rPr>
            </w:pPr>
          </w:p>
        </w:tc>
        <w:tc>
          <w:tcPr>
            <w:tcW w:w="400" w:type="dxa"/>
            <w:vAlign w:val="bottom"/>
            <w:tcBorders>
              <w:top w:val="single" w:sz="8" w:color="auto"/>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524</w:t>
            </w:r>
          </w:p>
        </w:tc>
        <w:tc>
          <w:tcPr>
            <w:tcW w:w="220" w:type="dxa"/>
            <w:vAlign w:val="bottom"/>
            <w:tcBorders>
              <w:bottom w:val="single" w:sz="8" w:color="E2EEF6"/>
            </w:tcBorders>
            <w:shd w:val="clear" w:color="auto" w:fill="E2EEF6"/>
          </w:tcPr>
          <w:p>
            <w:pPr>
              <w:spacing w:after="0"/>
              <w:rPr>
                <w:sz w:val="20"/>
                <w:szCs w:val="20"/>
                <w:color w:val="auto"/>
              </w:rPr>
            </w:pPr>
          </w:p>
        </w:tc>
        <w:tc>
          <w:tcPr>
            <w:tcW w:w="300" w:type="dxa"/>
            <w:vAlign w:val="bottom"/>
            <w:tcBorders>
              <w:top w:val="single" w:sz="8" w:color="auto"/>
              <w:bottom w:val="single" w:sz="8" w:color="auto"/>
            </w:tcBorders>
            <w:shd w:val="clear" w:color="auto" w:fill="E2EEF6"/>
          </w:tcPr>
          <w:p>
            <w:pPr>
              <w:spacing w:after="0"/>
              <w:rPr>
                <w:sz w:val="20"/>
                <w:szCs w:val="20"/>
                <w:color w:val="auto"/>
              </w:rPr>
            </w:pPr>
          </w:p>
        </w:tc>
        <w:tc>
          <w:tcPr>
            <w:tcW w:w="1080" w:type="dxa"/>
            <w:vAlign w:val="bottom"/>
            <w:tcBorders>
              <w:top w:val="single" w:sz="8" w:color="auto"/>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E2EEF6"/>
            </w:tcBorders>
            <w:shd w:val="clear" w:color="auto" w:fill="E2EEF6"/>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340" w:type="dxa"/>
            <w:vAlign w:val="bottom"/>
            <w:shd w:val="clear" w:color="auto" w:fill="E2EEF6"/>
          </w:tcPr>
          <w:p>
            <w:pPr>
              <w:spacing w:after="0"/>
              <w:rPr>
                <w:sz w:val="20"/>
                <w:szCs w:val="20"/>
                <w:color w:val="auto"/>
              </w:rPr>
            </w:pPr>
            <w:r>
              <w:rPr>
                <w:rFonts w:ascii="Arial" w:cs="Arial" w:eastAsia="Arial" w:hAnsi="Arial"/>
                <w:sz w:val="18"/>
                <w:szCs w:val="18"/>
                <w:color w:val="auto"/>
              </w:rPr>
              <w:t>Net income from discontinued operations</w:t>
            </w:r>
          </w:p>
        </w:tc>
        <w:tc>
          <w:tcPr>
            <w:tcW w:w="980" w:type="dxa"/>
            <w:vAlign w:val="bottom"/>
            <w:shd w:val="clear" w:color="auto" w:fill="E2EEF6"/>
          </w:tcPr>
          <w:p>
            <w:pPr>
              <w:spacing w:after="0"/>
              <w:rPr>
                <w:sz w:val="21"/>
                <w:szCs w:val="21"/>
                <w:color w:val="auto"/>
              </w:rPr>
            </w:pPr>
          </w:p>
        </w:tc>
        <w:tc>
          <w:tcPr>
            <w:tcW w:w="40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43</w:t>
            </w:r>
          </w:p>
        </w:tc>
      </w:tr>
      <w:tr>
        <w:trPr>
          <w:trHeight w:val="270"/>
        </w:trPr>
        <w:tc>
          <w:tcPr>
            <w:tcW w:w="834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77"/>
        </w:trPr>
        <w:tc>
          <w:tcPr>
            <w:tcW w:w="8340" w:type="dxa"/>
            <w:vAlign w:val="bottom"/>
            <w:shd w:val="clear" w:color="auto" w:fill="E2EEF6"/>
          </w:tcPr>
          <w:p>
            <w:pPr>
              <w:spacing w:after="0"/>
              <w:rPr>
                <w:sz w:val="20"/>
                <w:szCs w:val="20"/>
                <w:color w:val="auto"/>
              </w:rPr>
            </w:pPr>
            <w:r>
              <w:rPr>
                <w:rFonts w:ascii="Arial" w:cs="Arial" w:eastAsia="Arial" w:hAnsi="Arial"/>
                <w:sz w:val="18"/>
                <w:szCs w:val="18"/>
                <w:color w:val="auto"/>
              </w:rPr>
              <w:t>Total comprehensive income</w:t>
            </w:r>
          </w:p>
        </w:tc>
        <w:tc>
          <w:tcPr>
            <w:tcW w:w="980" w:type="dxa"/>
            <w:vAlign w:val="bottom"/>
            <w:shd w:val="clear" w:color="auto" w:fill="E2EEF6"/>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524</w:t>
            </w:r>
          </w:p>
        </w:tc>
        <w:tc>
          <w:tcPr>
            <w:tcW w:w="52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584</w:t>
            </w:r>
          </w:p>
        </w:tc>
      </w:tr>
      <w:tr>
        <w:trPr>
          <w:trHeight w:val="467"/>
        </w:trPr>
        <w:tc>
          <w:tcPr>
            <w:tcW w:w="8340" w:type="dxa"/>
            <w:vAlign w:val="bottom"/>
            <w:tcBorders>
              <w:top w:val="single" w:sz="8" w:color="E2EEF6"/>
            </w:tcBorders>
          </w:tcPr>
          <w:p>
            <w:pPr>
              <w:spacing w:after="0"/>
              <w:rPr>
                <w:sz w:val="20"/>
                <w:szCs w:val="20"/>
                <w:color w:val="auto"/>
              </w:rPr>
            </w:pPr>
            <w:r>
              <w:rPr>
                <w:rFonts w:ascii="Arial" w:cs="Arial" w:eastAsia="Arial" w:hAnsi="Arial"/>
                <w:sz w:val="18"/>
                <w:szCs w:val="18"/>
                <w:b w:val="1"/>
                <w:bCs w:val="1"/>
                <w:color w:val="auto"/>
              </w:rPr>
              <w:t>See accompanying notes.</w:t>
            </w:r>
          </w:p>
        </w:tc>
        <w:tc>
          <w:tcPr>
            <w:tcW w:w="9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Borders>
              <w:top w:val="single" w:sz="8" w:color="E2EEF6"/>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r>
      <w:tr>
        <w:trPr>
          <w:trHeight w:val="632"/>
        </w:trPr>
        <w:tc>
          <w:tcPr>
            <w:tcW w:w="83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20"/>
                <w:szCs w:val="20"/>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16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8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shd w:val="clear" w:color="auto" w:fill="E2EEF6"/>
          </w:tcPr>
          <w:p>
            <w:pPr>
              <w:ind w:left="16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3"/>
            <w:shd w:val="clear" w:color="auto" w:fill="E2EEF6"/>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965</w:t>
            </w:r>
          </w:p>
        </w:tc>
        <w:tc>
          <w:tcPr>
            <w:tcW w:w="1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30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2,371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shd w:val="clear" w:color="auto" w:fill="E2EEF6"/>
          </w:tcPr>
          <w:p>
            <w:pPr>
              <w:ind w:left="160"/>
              <w:spacing w:after="0"/>
              <w:rPr>
                <w:sz w:val="20"/>
                <w:szCs w:val="20"/>
                <w:color w:val="auto"/>
              </w:rPr>
            </w:pPr>
            <w:r>
              <w:rPr>
                <w:rFonts w:ascii="Arial" w:cs="Arial" w:eastAsia="Arial" w:hAnsi="Arial"/>
                <w:sz w:val="18"/>
                <w:szCs w:val="18"/>
                <w:color w:val="auto"/>
              </w:rPr>
              <w:t>Accounts receivable, net of allowances of ($25) and ($26)</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1,756</w:t>
            </w:r>
          </w:p>
        </w:tc>
        <w:tc>
          <w:tcPr>
            <w:tcW w:w="1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shd w:val="clear" w:color="auto" w:fill="E2EEF6"/>
          </w:tcPr>
          <w:p>
            <w:pPr>
              <w:ind w:left="160"/>
              <w:spacing w:after="0"/>
              <w:rPr>
                <w:sz w:val="20"/>
                <w:szCs w:val="20"/>
                <w:color w:val="auto"/>
              </w:rPr>
            </w:pPr>
            <w:r>
              <w:rPr>
                <w:rFonts w:ascii="Arial" w:cs="Arial" w:eastAsia="Arial" w:hAnsi="Arial"/>
                <w:sz w:val="18"/>
                <w:szCs w:val="18"/>
                <w:color w:val="auto"/>
              </w:rPr>
              <w:t>Work in process</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879</w:t>
            </w:r>
          </w:p>
        </w:tc>
        <w:tc>
          <w:tcPr>
            <w:tcW w:w="1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tcBorders>
              <w:bottom w:val="single" w:sz="8" w:color="E2EEF6"/>
            </w:tcBorders>
            <w:shd w:val="clear" w:color="auto" w:fill="E2EEF6"/>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E2EEF6"/>
            </w:tcBorders>
            <w:shd w:val="clear" w:color="auto" w:fill="E2EEF6"/>
          </w:tcPr>
          <w:p>
            <w:pPr>
              <w:spacing w:after="0"/>
              <w:rPr>
                <w:sz w:val="20"/>
                <w:szCs w:val="20"/>
                <w:color w:val="auto"/>
              </w:rPr>
            </w:pPr>
          </w:p>
        </w:tc>
        <w:tc>
          <w:tcPr>
            <w:tcW w:w="2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1,409</w:t>
            </w:r>
          </w:p>
        </w:tc>
        <w:tc>
          <w:tcPr>
            <w:tcW w:w="100" w:type="dxa"/>
            <w:vAlign w:val="bottom"/>
            <w:tcBorders>
              <w:bottom w:val="single" w:sz="8" w:color="E2EEF6"/>
            </w:tcBorders>
            <w:shd w:val="clear" w:color="auto" w:fill="E2EEF6"/>
          </w:tcPr>
          <w:p>
            <w:pPr>
              <w:spacing w:after="0"/>
              <w:rPr>
                <w:sz w:val="20"/>
                <w:szCs w:val="20"/>
                <w:color w:val="auto"/>
              </w:rPr>
            </w:pPr>
          </w:p>
        </w:tc>
        <w:tc>
          <w:tcPr>
            <w:tcW w:w="100" w:type="dxa"/>
            <w:vAlign w:val="bottom"/>
            <w:tcBorders>
              <w:bottom w:val="single" w:sz="8" w:color="E2EEF6"/>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300" w:type="dxa"/>
            <w:vAlign w:val="bottom"/>
            <w:tcBorders>
              <w:bottom w:val="single" w:sz="8" w:color="auto"/>
            </w:tcBorders>
            <w:shd w:val="clear" w:color="auto" w:fill="E2EEF6"/>
          </w:tcPr>
          <w:p>
            <w:pPr>
              <w:spacing w:after="0"/>
              <w:rPr>
                <w:sz w:val="20"/>
                <w:szCs w:val="20"/>
                <w:color w:val="auto"/>
              </w:rPr>
            </w:pPr>
          </w:p>
        </w:tc>
        <w:tc>
          <w:tcPr>
            <w:tcW w:w="10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E2EEF6"/>
            </w:tcBorders>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shd w:val="clear" w:color="auto" w:fill="E2EEF6"/>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257</w:t>
            </w:r>
          </w:p>
        </w:tc>
        <w:tc>
          <w:tcPr>
            <w:tcW w:w="1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Assets of discontinued operations</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tcBorders>
              <w:bottom w:val="single" w:sz="8" w:color="E2EEF6"/>
            </w:tcBorders>
            <w:shd w:val="clear" w:color="auto" w:fill="E2EEF6"/>
          </w:tcPr>
          <w:p>
            <w:pPr>
              <w:ind w:left="1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E2EEF6"/>
            </w:tcBorders>
            <w:shd w:val="clear" w:color="auto" w:fill="E2EEF6"/>
          </w:tcPr>
          <w:p>
            <w:pPr>
              <w:spacing w:after="0"/>
              <w:rPr>
                <w:sz w:val="20"/>
                <w:szCs w:val="20"/>
                <w:color w:val="auto"/>
              </w:rPr>
            </w:pPr>
          </w:p>
        </w:tc>
        <w:tc>
          <w:tcPr>
            <w:tcW w:w="2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7,833</w:t>
            </w:r>
          </w:p>
        </w:tc>
        <w:tc>
          <w:tcPr>
            <w:tcW w:w="100" w:type="dxa"/>
            <w:vAlign w:val="bottom"/>
            <w:tcBorders>
              <w:bottom w:val="single" w:sz="8" w:color="E2EEF6"/>
            </w:tcBorders>
            <w:shd w:val="clear" w:color="auto" w:fill="E2EEF6"/>
          </w:tcPr>
          <w:p>
            <w:pPr>
              <w:spacing w:after="0"/>
              <w:rPr>
                <w:sz w:val="20"/>
                <w:szCs w:val="20"/>
                <w:color w:val="auto"/>
              </w:rPr>
            </w:pPr>
          </w:p>
        </w:tc>
        <w:tc>
          <w:tcPr>
            <w:tcW w:w="100" w:type="dxa"/>
            <w:vAlign w:val="bottom"/>
            <w:tcBorders>
              <w:bottom w:val="single" w:sz="8" w:color="E2EEF6"/>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300" w:type="dxa"/>
            <w:vAlign w:val="bottom"/>
            <w:tcBorders>
              <w:bottom w:val="single" w:sz="8" w:color="auto"/>
            </w:tcBorders>
            <w:shd w:val="clear" w:color="auto" w:fill="E2EEF6"/>
          </w:tcPr>
          <w:p>
            <w:pPr>
              <w:spacing w:after="0"/>
              <w:rPr>
                <w:sz w:val="20"/>
                <w:szCs w:val="20"/>
                <w:color w:val="auto"/>
              </w:rPr>
            </w:pPr>
          </w:p>
        </w:tc>
        <w:tc>
          <w:tcPr>
            <w:tcW w:w="10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7,854</w:t>
            </w:r>
          </w:p>
        </w:tc>
        <w:tc>
          <w:tcPr>
            <w:tcW w:w="100" w:type="dxa"/>
            <w:vAlign w:val="bottom"/>
            <w:tcBorders>
              <w:bottom w:val="single" w:sz="8" w:color="E2EEF6"/>
            </w:tcBorders>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00" w:type="dxa"/>
            <w:vAlign w:val="bottom"/>
            <w:gridSpan w:val="2"/>
          </w:tcPr>
          <w:p>
            <w:pPr>
              <w:spacing w:after="0"/>
              <w:rPr>
                <w:sz w:val="20"/>
                <w:szCs w:val="20"/>
                <w:color w:val="auto"/>
              </w:rPr>
            </w:pPr>
            <w:r>
              <w:rPr>
                <w:rFonts w:ascii="Arial" w:cs="Arial" w:eastAsia="Arial" w:hAnsi="Arial"/>
                <w:sz w:val="18"/>
                <w:szCs w:val="18"/>
                <w:color w:val="auto"/>
              </w:rPr>
              <w:t>Property, plant and equipment at cost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7,715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7,751</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788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E2EEF6"/>
            </w:tcBorders>
            <w:shd w:val="clear" w:color="auto" w:fill="E2EEF6"/>
          </w:tcPr>
          <w:p>
            <w:pPr>
              <w:spacing w:after="0"/>
              <w:rPr>
                <w:sz w:val="23"/>
                <w:szCs w:val="23"/>
                <w:color w:val="auto"/>
              </w:rPr>
            </w:pPr>
          </w:p>
        </w:tc>
        <w:tc>
          <w:tcPr>
            <w:tcW w:w="220" w:type="dxa"/>
            <w:vAlign w:val="bottom"/>
            <w:tcBorders>
              <w:bottom w:val="single" w:sz="8" w:color="E2EEF6"/>
            </w:tcBorders>
            <w:shd w:val="clear" w:color="auto" w:fill="E2EEF6"/>
          </w:tcPr>
          <w:p>
            <w:pPr>
              <w:spacing w:after="0"/>
              <w:rPr>
                <w:sz w:val="23"/>
                <w:szCs w:val="23"/>
                <w:color w:val="auto"/>
              </w:rPr>
            </w:pPr>
          </w:p>
        </w:tc>
        <w:tc>
          <w:tcPr>
            <w:tcW w:w="120" w:type="dxa"/>
            <w:vAlign w:val="bottom"/>
            <w:tcBorders>
              <w:bottom w:val="single" w:sz="8" w:color="E2EEF6"/>
            </w:tcBorders>
            <w:shd w:val="clear" w:color="auto" w:fill="E2EEF6"/>
          </w:tcPr>
          <w:p>
            <w:pPr>
              <w:spacing w:after="0"/>
              <w:rPr>
                <w:sz w:val="23"/>
                <w:szCs w:val="23"/>
                <w:color w:val="auto"/>
              </w:rPr>
            </w:pPr>
          </w:p>
        </w:tc>
        <w:tc>
          <w:tcPr>
            <w:tcW w:w="1260" w:type="dxa"/>
            <w:vAlign w:val="bottom"/>
            <w:tcBorders>
              <w:bottom w:val="single" w:sz="8" w:color="E2EEF6"/>
            </w:tcBorders>
            <w:gridSpan w:val="2"/>
            <w:shd w:val="clear" w:color="auto" w:fill="E2EEF6"/>
          </w:tcPr>
          <w:p>
            <w:pPr>
              <w:jc w:val="right"/>
              <w:ind w:right="40"/>
              <w:spacing w:after="0"/>
              <w:rPr>
                <w:sz w:val="20"/>
                <w:szCs w:val="20"/>
                <w:color w:val="auto"/>
              </w:rPr>
            </w:pPr>
            <w:r>
              <w:rPr>
                <w:rFonts w:ascii="Arial" w:cs="Arial" w:eastAsia="Arial" w:hAnsi="Arial"/>
                <w:sz w:val="18"/>
                <w:szCs w:val="18"/>
                <w:b w:val="1"/>
                <w:bCs w:val="1"/>
                <w:color w:val="auto"/>
              </w:rPr>
              <w:t>(3,835)</w:t>
            </w:r>
          </w:p>
        </w:tc>
        <w:tc>
          <w:tcPr>
            <w:tcW w:w="100" w:type="dxa"/>
            <w:vAlign w:val="bottom"/>
            <w:tcBorders>
              <w:bottom w:val="single" w:sz="8" w:color="E2EEF6"/>
            </w:tcBorders>
            <w:shd w:val="clear" w:color="auto" w:fill="E2EEF6"/>
          </w:tcPr>
          <w:p>
            <w:pPr>
              <w:spacing w:after="0"/>
              <w:rPr>
                <w:sz w:val="23"/>
                <w:szCs w:val="23"/>
                <w:color w:val="auto"/>
              </w:rPr>
            </w:pPr>
          </w:p>
        </w:tc>
        <w:tc>
          <w:tcPr>
            <w:tcW w:w="120" w:type="dxa"/>
            <w:vAlign w:val="bottom"/>
            <w:tcBorders>
              <w:bottom w:val="single" w:sz="8" w:color="E2EEF6"/>
            </w:tcBorders>
            <w:shd w:val="clear" w:color="auto" w:fill="E2EEF6"/>
          </w:tcPr>
          <w:p>
            <w:pPr>
              <w:spacing w:after="0"/>
              <w:rPr>
                <w:sz w:val="23"/>
                <w:szCs w:val="23"/>
                <w:color w:val="auto"/>
              </w:rPr>
            </w:pPr>
          </w:p>
        </w:tc>
        <w:tc>
          <w:tcPr>
            <w:tcW w:w="300" w:type="dxa"/>
            <w:vAlign w:val="bottom"/>
            <w:tcBorders>
              <w:bottom w:val="single" w:sz="8" w:color="E2EEF6"/>
            </w:tcBorders>
            <w:shd w:val="clear" w:color="auto" w:fill="E2EEF6"/>
          </w:tcPr>
          <w:p>
            <w:pPr>
              <w:spacing w:after="0"/>
              <w:rPr>
                <w:sz w:val="23"/>
                <w:szCs w:val="23"/>
                <w:color w:val="auto"/>
              </w:rPr>
            </w:pPr>
          </w:p>
        </w:tc>
        <w:tc>
          <w:tcPr>
            <w:tcW w:w="1180" w:type="dxa"/>
            <w:vAlign w:val="bottom"/>
            <w:tcBorders>
              <w:bottom w:val="single" w:sz="8" w:color="E2EEF6"/>
            </w:tcBorders>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tcBorders>
              <w:top w:val="single" w:sz="8" w:color="E2EEF6"/>
            </w:tcBorders>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top w:val="single" w:sz="8" w:color="E2EEF6"/>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3,880</w:t>
            </w:r>
          </w:p>
        </w:tc>
        <w:tc>
          <w:tcPr>
            <w:tcW w:w="10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Borders>
              <w:top w:val="single" w:sz="8" w:color="E2EEF6"/>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shd w:val="clear" w:color="auto" w:fill="E2EEF6"/>
          </w:tcPr>
          <w:p>
            <w:pPr>
              <w:spacing w:after="0"/>
              <w:rPr>
                <w:sz w:val="20"/>
                <w:szCs w:val="20"/>
                <w:color w:val="auto"/>
              </w:rPr>
            </w:pPr>
            <w:r>
              <w:rPr>
                <w:rFonts w:ascii="Arial" w:cs="Arial" w:eastAsia="Arial" w:hAnsi="Arial"/>
                <w:sz w:val="18"/>
                <w:szCs w:val="18"/>
                <w:color w:val="auto"/>
              </w:rPr>
              <w:t>Equity and other long-term investments</w:t>
            </w:r>
          </w:p>
        </w:tc>
        <w:tc>
          <w:tcPr>
            <w:tcW w:w="22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250</w:t>
            </w:r>
          </w:p>
        </w:tc>
        <w:tc>
          <w:tcPr>
            <w:tcW w:w="10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79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shd w:val="clear" w:color="auto" w:fill="E2EEF6"/>
          </w:tcPr>
          <w:p>
            <w:pPr>
              <w:spacing w:after="0"/>
              <w:rPr>
                <w:sz w:val="20"/>
                <w:szCs w:val="20"/>
                <w:color w:val="auto"/>
              </w:rPr>
            </w:pPr>
            <w:r>
              <w:rPr>
                <w:rFonts w:ascii="Arial" w:cs="Arial" w:eastAsia="Arial" w:hAnsi="Arial"/>
                <w:sz w:val="18"/>
                <w:szCs w:val="18"/>
                <w:color w:val="auto"/>
              </w:rPr>
              <w:t>Acquisition-related intangibles</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131</w:t>
            </w:r>
          </w:p>
        </w:tc>
        <w:tc>
          <w:tcPr>
            <w:tcW w:w="1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79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shd w:val="clear" w:color="auto" w:fill="E2EEF6"/>
          </w:tcPr>
          <w:p>
            <w:pPr>
              <w:spacing w:after="0"/>
              <w:rPr>
                <w:sz w:val="20"/>
                <w:szCs w:val="20"/>
                <w:color w:val="auto"/>
              </w:rPr>
            </w:pPr>
            <w:r>
              <w:rPr>
                <w:rFonts w:ascii="Arial" w:cs="Arial" w:eastAsia="Arial" w:hAnsi="Arial"/>
                <w:sz w:val="18"/>
                <w:szCs w:val="18"/>
                <w:color w:val="auto"/>
              </w:rPr>
              <w:t>Capitalized software licenses, net</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280</w:t>
            </w:r>
          </w:p>
        </w:tc>
        <w:tc>
          <w:tcPr>
            <w:tcW w:w="1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7900" w:type="dxa"/>
            <w:vAlign w:val="bottom"/>
            <w:gridSpan w:val="2"/>
          </w:tcPr>
          <w:p>
            <w:pPr>
              <w:spacing w:after="0"/>
              <w:rPr>
                <w:sz w:val="20"/>
                <w:szCs w:val="20"/>
                <w:color w:val="auto"/>
              </w:rPr>
            </w:pPr>
            <w:r>
              <w:rPr>
                <w:rFonts w:ascii="Arial" w:cs="Arial" w:eastAsia="Arial" w:hAnsi="Arial"/>
                <w:sz w:val="18"/>
                <w:szCs w:val="18"/>
                <w:color w:val="auto"/>
              </w:rPr>
              <w:t>Overfunded retirement plans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E2EEF6"/>
            </w:tcBorders>
            <w:shd w:val="clear" w:color="auto" w:fill="E2EEF6"/>
          </w:tcPr>
          <w:p>
            <w:pPr>
              <w:spacing w:after="0"/>
              <w:rPr>
                <w:sz w:val="21"/>
                <w:szCs w:val="21"/>
                <w:color w:val="auto"/>
              </w:rPr>
            </w:pPr>
          </w:p>
        </w:tc>
        <w:tc>
          <w:tcPr>
            <w:tcW w:w="220" w:type="dxa"/>
            <w:vAlign w:val="bottom"/>
            <w:tcBorders>
              <w:bottom w:val="single" w:sz="8" w:color="E2EEF6"/>
            </w:tcBorders>
            <w:shd w:val="clear" w:color="auto" w:fill="E2EEF6"/>
          </w:tcPr>
          <w:p>
            <w:pPr>
              <w:spacing w:after="0"/>
              <w:rPr>
                <w:sz w:val="21"/>
                <w:szCs w:val="21"/>
                <w:color w:val="auto"/>
              </w:rPr>
            </w:pPr>
          </w:p>
        </w:tc>
        <w:tc>
          <w:tcPr>
            <w:tcW w:w="120" w:type="dxa"/>
            <w:vAlign w:val="bottom"/>
            <w:tcBorders>
              <w:bottom w:val="single" w:sz="8" w:color="E2EEF6"/>
            </w:tcBorders>
            <w:shd w:val="clear" w:color="auto" w:fill="E2EEF6"/>
          </w:tcPr>
          <w:p>
            <w:pPr>
              <w:spacing w:after="0"/>
              <w:rPr>
                <w:sz w:val="21"/>
                <w:szCs w:val="21"/>
                <w:color w:val="auto"/>
              </w:rPr>
            </w:pPr>
          </w:p>
        </w:tc>
        <w:tc>
          <w:tcPr>
            <w:tcW w:w="116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tcBorders>
              <w:bottom w:val="single" w:sz="8" w:color="E2EEF6"/>
            </w:tcBorders>
            <w:shd w:val="clear" w:color="auto" w:fill="E2EEF6"/>
          </w:tcPr>
          <w:p>
            <w:pPr>
              <w:spacing w:after="0"/>
              <w:rPr>
                <w:sz w:val="21"/>
                <w:szCs w:val="21"/>
                <w:color w:val="auto"/>
              </w:rPr>
            </w:pPr>
          </w:p>
        </w:tc>
        <w:tc>
          <w:tcPr>
            <w:tcW w:w="100" w:type="dxa"/>
            <w:vAlign w:val="bottom"/>
            <w:tcBorders>
              <w:bottom w:val="single" w:sz="8" w:color="E2EEF6"/>
            </w:tcBorders>
            <w:shd w:val="clear" w:color="auto" w:fill="E2EEF6"/>
          </w:tcPr>
          <w:p>
            <w:pPr>
              <w:spacing w:after="0"/>
              <w:rPr>
                <w:sz w:val="21"/>
                <w:szCs w:val="21"/>
                <w:color w:val="auto"/>
              </w:rPr>
            </w:pPr>
          </w:p>
        </w:tc>
        <w:tc>
          <w:tcPr>
            <w:tcW w:w="120" w:type="dxa"/>
            <w:vAlign w:val="bottom"/>
            <w:tcBorders>
              <w:bottom w:val="single" w:sz="8" w:color="E2EEF6"/>
            </w:tcBorders>
            <w:shd w:val="clear" w:color="auto" w:fill="E2EEF6"/>
          </w:tcPr>
          <w:p>
            <w:pPr>
              <w:spacing w:after="0"/>
              <w:rPr>
                <w:sz w:val="21"/>
                <w:szCs w:val="21"/>
                <w:color w:val="auto"/>
              </w:rPr>
            </w:pPr>
          </w:p>
        </w:tc>
        <w:tc>
          <w:tcPr>
            <w:tcW w:w="300" w:type="dxa"/>
            <w:vAlign w:val="bottom"/>
            <w:tcBorders>
              <w:bottom w:val="single" w:sz="8" w:color="E2EEF6"/>
            </w:tcBorders>
            <w:shd w:val="clear" w:color="auto" w:fill="E2EEF6"/>
          </w:tcPr>
          <w:p>
            <w:pPr>
              <w:spacing w:after="0"/>
              <w:rPr>
                <w:sz w:val="21"/>
                <w:szCs w:val="21"/>
                <w:color w:val="auto"/>
              </w:rPr>
            </w:pPr>
          </w:p>
        </w:tc>
        <w:tc>
          <w:tcPr>
            <w:tcW w:w="118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shd w:val="clear" w:color="auto" w:fill="E2EEF6"/>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13,750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788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16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08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shd w:val="clear" w:color="auto" w:fill="E2EEF6"/>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1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Loans payable and current portion of long-term debt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shd w:val="clear" w:color="auto" w:fill="E2EEF6"/>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550</w:t>
            </w:r>
          </w:p>
        </w:tc>
        <w:tc>
          <w:tcPr>
            <w:tcW w:w="1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shd w:val="clear" w:color="auto" w:fill="E2EEF6"/>
          </w:tcPr>
          <w:p>
            <w:pPr>
              <w:ind w:left="16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286</w:t>
            </w:r>
          </w:p>
        </w:tc>
        <w:tc>
          <w:tcPr>
            <w:tcW w:w="1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Accrued profit sharing and retirement</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tcBorders>
              <w:bottom w:val="single" w:sz="8" w:color="E2EEF6"/>
            </w:tcBorders>
            <w:shd w:val="clear" w:color="auto" w:fill="E2EEF6"/>
          </w:tcPr>
          <w:p>
            <w:pPr>
              <w:ind w:left="1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E2EEF6"/>
            </w:tcBorders>
            <w:shd w:val="clear" w:color="auto" w:fill="E2EEF6"/>
          </w:tcPr>
          <w:p>
            <w:pPr>
              <w:spacing w:after="0"/>
              <w:rPr>
                <w:sz w:val="20"/>
                <w:szCs w:val="20"/>
                <w:color w:val="auto"/>
              </w:rPr>
            </w:pPr>
          </w:p>
        </w:tc>
        <w:tc>
          <w:tcPr>
            <w:tcW w:w="2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1,807</w:t>
            </w:r>
          </w:p>
        </w:tc>
        <w:tc>
          <w:tcPr>
            <w:tcW w:w="100" w:type="dxa"/>
            <w:vAlign w:val="bottom"/>
            <w:tcBorders>
              <w:bottom w:val="single" w:sz="8" w:color="E2EEF6"/>
            </w:tcBorders>
            <w:shd w:val="clear" w:color="auto" w:fill="E2EEF6"/>
          </w:tcPr>
          <w:p>
            <w:pPr>
              <w:spacing w:after="0"/>
              <w:rPr>
                <w:sz w:val="20"/>
                <w:szCs w:val="20"/>
                <w:color w:val="auto"/>
              </w:rPr>
            </w:pPr>
          </w:p>
        </w:tc>
        <w:tc>
          <w:tcPr>
            <w:tcW w:w="100" w:type="dxa"/>
            <w:vAlign w:val="bottom"/>
            <w:tcBorders>
              <w:bottom w:val="single" w:sz="8" w:color="E2EEF6"/>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300" w:type="dxa"/>
            <w:vAlign w:val="bottom"/>
            <w:tcBorders>
              <w:bottom w:val="single" w:sz="8" w:color="auto"/>
            </w:tcBorders>
            <w:shd w:val="clear" w:color="auto" w:fill="E2EEF6"/>
          </w:tcPr>
          <w:p>
            <w:pPr>
              <w:spacing w:after="0"/>
              <w:rPr>
                <w:sz w:val="20"/>
                <w:szCs w:val="20"/>
                <w:color w:val="auto"/>
              </w:rPr>
            </w:pPr>
          </w:p>
        </w:tc>
        <w:tc>
          <w:tcPr>
            <w:tcW w:w="10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2,078</w:t>
            </w:r>
          </w:p>
        </w:tc>
        <w:tc>
          <w:tcPr>
            <w:tcW w:w="100" w:type="dxa"/>
            <w:vAlign w:val="bottom"/>
            <w:tcBorders>
              <w:bottom w:val="single" w:sz="8" w:color="E2EEF6"/>
            </w:tcBorders>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00" w:type="dxa"/>
            <w:vAlign w:val="bottom"/>
            <w:gridSpan w:val="2"/>
          </w:tcPr>
          <w:p>
            <w:pPr>
              <w:spacing w:after="0"/>
              <w:rPr>
                <w:sz w:val="20"/>
                <w:szCs w:val="20"/>
                <w:color w:val="auto"/>
              </w:rPr>
            </w:pPr>
            <w:r>
              <w:rPr>
                <w:rFonts w:ascii="Arial" w:cs="Arial" w:eastAsia="Arial" w:hAnsi="Arial"/>
                <w:sz w:val="18"/>
                <w:szCs w:val="18"/>
                <w:color w:val="auto"/>
              </w:rPr>
              <w:t>Underfunded retirement plans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shd w:val="clear" w:color="auto" w:fill="E2EEF6"/>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7900" w:type="dxa"/>
            <w:vAlign w:val="bottom"/>
            <w:gridSpan w:val="2"/>
          </w:tcPr>
          <w:p>
            <w:pPr>
              <w:spacing w:after="0"/>
              <w:rPr>
                <w:sz w:val="20"/>
                <w:szCs w:val="20"/>
                <w:color w:val="auto"/>
              </w:rPr>
            </w:pPr>
            <w:r>
              <w:rPr>
                <w:rFonts w:ascii="Arial" w:cs="Arial" w:eastAsia="Arial" w:hAnsi="Arial"/>
                <w:sz w:val="18"/>
                <w:szCs w:val="18"/>
                <w:color w:val="auto"/>
              </w:rPr>
              <w:t>Deferred credits and other liabilities</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E2EEF6"/>
            </w:tcBorders>
            <w:shd w:val="clear" w:color="auto" w:fill="E2EEF6"/>
          </w:tcPr>
          <w:p>
            <w:pPr>
              <w:spacing w:after="0"/>
              <w:rPr>
                <w:sz w:val="20"/>
                <w:szCs w:val="20"/>
                <w:color w:val="auto"/>
              </w:rPr>
            </w:pPr>
          </w:p>
        </w:tc>
        <w:tc>
          <w:tcPr>
            <w:tcW w:w="2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2,467</w:t>
            </w:r>
          </w:p>
        </w:tc>
        <w:tc>
          <w:tcPr>
            <w:tcW w:w="100" w:type="dxa"/>
            <w:vAlign w:val="bottom"/>
            <w:tcBorders>
              <w:bottom w:val="single" w:sz="8" w:color="E2EEF6"/>
            </w:tcBorders>
            <w:shd w:val="clear" w:color="auto" w:fill="E2EEF6"/>
          </w:tcPr>
          <w:p>
            <w:pPr>
              <w:spacing w:after="0"/>
              <w:rPr>
                <w:sz w:val="20"/>
                <w:szCs w:val="20"/>
                <w:color w:val="auto"/>
              </w:rPr>
            </w:pPr>
          </w:p>
        </w:tc>
        <w:tc>
          <w:tcPr>
            <w:tcW w:w="100" w:type="dxa"/>
            <w:vAlign w:val="bottom"/>
            <w:tcBorders>
              <w:bottom w:val="single" w:sz="8" w:color="E2EEF6"/>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300" w:type="dxa"/>
            <w:vAlign w:val="bottom"/>
            <w:tcBorders>
              <w:bottom w:val="single" w:sz="8" w:color="auto"/>
            </w:tcBorders>
            <w:shd w:val="clear" w:color="auto" w:fill="E2EEF6"/>
          </w:tcPr>
          <w:p>
            <w:pPr>
              <w:spacing w:after="0"/>
              <w:rPr>
                <w:sz w:val="20"/>
                <w:szCs w:val="20"/>
                <w:color w:val="auto"/>
              </w:rPr>
            </w:pPr>
          </w:p>
        </w:tc>
        <w:tc>
          <w:tcPr>
            <w:tcW w:w="10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Borders>
              <w:bottom w:val="single" w:sz="8" w:color="E2EEF6"/>
            </w:tcBorders>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90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shd w:val="clear" w:color="auto" w:fill="E2EEF6"/>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1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Participating cumulative preferred. None issued</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E2EEF6"/>
          </w:tcPr>
          <w:p>
            <w:pPr>
              <w:ind w:left="160"/>
              <w:spacing w:after="0" w:line="201" w:lineRule="exact"/>
              <w:rPr>
                <w:sz w:val="20"/>
                <w:szCs w:val="20"/>
                <w:color w:val="auto"/>
              </w:rPr>
            </w:pPr>
            <w:r>
              <w:rPr>
                <w:rFonts w:ascii="Arial" w:cs="Arial" w:eastAsia="Arial" w:hAnsi="Arial"/>
                <w:sz w:val="18"/>
                <w:szCs w:val="18"/>
                <w:color w:val="auto"/>
              </w:rPr>
              <w:t>Common stock, $1 par value. Authorized - 2,400,000,000 shares.</w:t>
            </w:r>
          </w:p>
        </w:tc>
        <w:tc>
          <w:tcPr>
            <w:tcW w:w="220" w:type="dxa"/>
            <w:vAlign w:val="bottom"/>
            <w:shd w:val="clear" w:color="auto" w:fill="E2EEF6"/>
          </w:tcPr>
          <w:p>
            <w:pPr>
              <w:spacing w:after="0"/>
              <w:rPr>
                <w:sz w:val="17"/>
                <w:szCs w:val="17"/>
                <w:color w:val="auto"/>
              </w:rPr>
            </w:pPr>
          </w:p>
        </w:tc>
        <w:tc>
          <w:tcPr>
            <w:tcW w:w="220" w:type="dxa"/>
            <w:vAlign w:val="bottom"/>
            <w:shd w:val="clear" w:color="auto" w:fill="E2EEF6"/>
          </w:tcPr>
          <w:p>
            <w:pPr>
              <w:spacing w:after="0"/>
              <w:rPr>
                <w:sz w:val="17"/>
                <w:szCs w:val="17"/>
                <w:color w:val="auto"/>
              </w:rPr>
            </w:pPr>
          </w:p>
        </w:tc>
        <w:tc>
          <w:tcPr>
            <w:tcW w:w="120" w:type="dxa"/>
            <w:vAlign w:val="bottom"/>
            <w:shd w:val="clear" w:color="auto" w:fill="E2EEF6"/>
          </w:tcPr>
          <w:p>
            <w:pPr>
              <w:spacing w:after="0"/>
              <w:rPr>
                <w:sz w:val="17"/>
                <w:szCs w:val="17"/>
                <w:color w:val="auto"/>
              </w:rPr>
            </w:pPr>
          </w:p>
        </w:tc>
        <w:tc>
          <w:tcPr>
            <w:tcW w:w="1260" w:type="dxa"/>
            <w:vAlign w:val="bottom"/>
            <w:gridSpan w:val="2"/>
            <w:vMerge w:val="restart"/>
            <w:shd w:val="clear" w:color="auto" w:fill="E2EEF6"/>
          </w:tcPr>
          <w:p>
            <w:pPr>
              <w:jc w:val="right"/>
              <w:spacing w:after="0"/>
              <w:rPr>
                <w:sz w:val="20"/>
                <w:szCs w:val="20"/>
                <w:color w:val="auto"/>
              </w:rPr>
            </w:pPr>
            <w:r>
              <w:rPr>
                <w:rFonts w:ascii="Arial" w:cs="Arial" w:eastAsia="Arial" w:hAnsi="Arial"/>
                <w:sz w:val="18"/>
                <w:szCs w:val="18"/>
                <w:b w:val="1"/>
                <w:bCs w:val="1"/>
                <w:color w:val="auto"/>
              </w:rPr>
              <w:t>1,739</w:t>
            </w:r>
          </w:p>
        </w:tc>
        <w:tc>
          <w:tcPr>
            <w:tcW w:w="100" w:type="dxa"/>
            <w:vAlign w:val="bottom"/>
            <w:shd w:val="clear" w:color="auto" w:fill="E2EEF6"/>
          </w:tcPr>
          <w:p>
            <w:pPr>
              <w:spacing w:after="0"/>
              <w:rPr>
                <w:sz w:val="17"/>
                <w:szCs w:val="17"/>
                <w:color w:val="auto"/>
              </w:rPr>
            </w:pPr>
          </w:p>
        </w:tc>
        <w:tc>
          <w:tcPr>
            <w:tcW w:w="120" w:type="dxa"/>
            <w:vAlign w:val="bottom"/>
            <w:shd w:val="clear" w:color="auto" w:fill="E2EEF6"/>
          </w:tcPr>
          <w:p>
            <w:pPr>
              <w:spacing w:after="0"/>
              <w:rPr>
                <w:sz w:val="17"/>
                <w:szCs w:val="17"/>
                <w:color w:val="auto"/>
              </w:rPr>
            </w:pPr>
          </w:p>
        </w:tc>
        <w:tc>
          <w:tcPr>
            <w:tcW w:w="300" w:type="dxa"/>
            <w:vAlign w:val="bottom"/>
            <w:shd w:val="clear" w:color="auto" w:fill="E2EEF6"/>
          </w:tcPr>
          <w:p>
            <w:pPr>
              <w:spacing w:after="0"/>
              <w:rPr>
                <w:sz w:val="17"/>
                <w:szCs w:val="17"/>
                <w:color w:val="auto"/>
              </w:rPr>
            </w:pPr>
          </w:p>
        </w:tc>
        <w:tc>
          <w:tcPr>
            <w:tcW w:w="108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E2EEF6"/>
          </w:tcPr>
          <w:p>
            <w:pPr>
              <w:ind w:left="320"/>
              <w:spacing w:after="0"/>
              <w:rPr>
                <w:sz w:val="20"/>
                <w:szCs w:val="20"/>
                <w:color w:val="auto"/>
              </w:rPr>
            </w:pPr>
            <w:r>
              <w:rPr>
                <w:rFonts w:ascii="Arial" w:cs="Arial" w:eastAsia="Arial" w:hAnsi="Arial"/>
                <w:sz w:val="18"/>
                <w:szCs w:val="18"/>
                <w:color w:val="auto"/>
              </w:rPr>
              <w:t>Shares issued: March 31, 2007 - 1,739,211,844; December 31, 2006 - 1,739,108,694</w:t>
            </w:r>
          </w:p>
        </w:tc>
        <w:tc>
          <w:tcPr>
            <w:tcW w:w="22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260" w:type="dxa"/>
            <w:vAlign w:val="bottom"/>
            <w:gridSpan w:val="2"/>
            <w:vMerge w:val="continue"/>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822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shd w:val="clear" w:color="auto" w:fill="E2EEF6"/>
          </w:tcPr>
          <w:p>
            <w:pPr>
              <w:ind w:left="16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260" w:type="dxa"/>
            <w:vAlign w:val="bottom"/>
            <w:gridSpan w:val="2"/>
            <w:shd w:val="clear" w:color="auto" w:fill="E2EEF6"/>
          </w:tcPr>
          <w:p>
            <w:pPr>
              <w:jc w:val="right"/>
              <w:spacing w:after="0"/>
              <w:rPr>
                <w:sz w:val="20"/>
                <w:szCs w:val="20"/>
                <w:color w:val="auto"/>
              </w:rPr>
            </w:pPr>
            <w:r>
              <w:rPr>
                <w:rFonts w:ascii="Arial" w:cs="Arial" w:eastAsia="Arial" w:hAnsi="Arial"/>
                <w:sz w:val="18"/>
                <w:szCs w:val="18"/>
                <w:b w:val="1"/>
                <w:bCs w:val="1"/>
                <w:color w:val="auto"/>
              </w:rPr>
              <w:t>18,017</w:t>
            </w: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17,529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(8,940)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Shares: March 31, 2007 - 305,502,566; December 31, 2006 - 289,078,450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7880" w:type="dxa"/>
            <w:vAlign w:val="bottom"/>
            <w:tcBorders>
              <w:bottom w:val="single" w:sz="8" w:color="E2EEF6"/>
            </w:tcBorders>
            <w:shd w:val="clear" w:color="auto" w:fill="E2EEF6"/>
          </w:tcPr>
          <w:p>
            <w:pPr>
              <w:ind w:left="160"/>
              <w:spacing w:after="0"/>
              <w:rPr>
                <w:sz w:val="20"/>
                <w:szCs w:val="20"/>
                <w:color w:val="auto"/>
              </w:rPr>
            </w:pPr>
            <w:r>
              <w:rPr>
                <w:rFonts w:ascii="Arial" w:cs="Arial" w:eastAsia="Arial" w:hAnsi="Arial"/>
                <w:sz w:val="18"/>
                <w:szCs w:val="18"/>
                <w:color w:val="auto"/>
              </w:rPr>
              <w:t>Accumulated other comprehensive income (loss), net of tax</w:t>
            </w:r>
          </w:p>
        </w:tc>
        <w:tc>
          <w:tcPr>
            <w:tcW w:w="220" w:type="dxa"/>
            <w:vAlign w:val="bottom"/>
            <w:tcBorders>
              <w:bottom w:val="single" w:sz="8" w:color="E2EEF6"/>
            </w:tcBorders>
            <w:shd w:val="clear" w:color="auto" w:fill="E2EEF6"/>
          </w:tcPr>
          <w:p>
            <w:pPr>
              <w:spacing w:after="0"/>
              <w:rPr>
                <w:sz w:val="23"/>
                <w:szCs w:val="23"/>
                <w:color w:val="auto"/>
              </w:rPr>
            </w:pPr>
          </w:p>
        </w:tc>
        <w:tc>
          <w:tcPr>
            <w:tcW w:w="220" w:type="dxa"/>
            <w:vAlign w:val="bottom"/>
            <w:tcBorders>
              <w:bottom w:val="single" w:sz="8" w:color="E2EEF6"/>
            </w:tcBorders>
            <w:shd w:val="clear" w:color="auto" w:fill="E2EEF6"/>
          </w:tcPr>
          <w:p>
            <w:pPr>
              <w:spacing w:after="0"/>
              <w:rPr>
                <w:sz w:val="23"/>
                <w:szCs w:val="23"/>
                <w:color w:val="auto"/>
              </w:rPr>
            </w:pPr>
          </w:p>
        </w:tc>
        <w:tc>
          <w:tcPr>
            <w:tcW w:w="120" w:type="dxa"/>
            <w:vAlign w:val="bottom"/>
            <w:tcBorders>
              <w:bottom w:val="single" w:sz="8" w:color="E2EEF6"/>
            </w:tcBorders>
            <w:shd w:val="clear" w:color="auto" w:fill="E2EEF6"/>
          </w:tcPr>
          <w:p>
            <w:pPr>
              <w:spacing w:after="0"/>
              <w:rPr>
                <w:sz w:val="23"/>
                <w:szCs w:val="23"/>
                <w:color w:val="auto"/>
              </w:rPr>
            </w:pPr>
          </w:p>
        </w:tc>
        <w:tc>
          <w:tcPr>
            <w:tcW w:w="1360" w:type="dxa"/>
            <w:vAlign w:val="bottom"/>
            <w:tcBorders>
              <w:bottom w:val="single" w:sz="8" w:color="E2EEF6"/>
            </w:tcBorders>
            <w:gridSpan w:val="3"/>
            <w:shd w:val="clear" w:color="auto" w:fill="E2EEF6"/>
          </w:tcPr>
          <w:p>
            <w:pPr>
              <w:jc w:val="right"/>
              <w:ind w:right="40"/>
              <w:spacing w:after="0"/>
              <w:rPr>
                <w:sz w:val="20"/>
                <w:szCs w:val="20"/>
                <w:color w:val="auto"/>
              </w:rPr>
            </w:pPr>
            <w:r>
              <w:rPr>
                <w:rFonts w:ascii="Arial" w:cs="Arial" w:eastAsia="Arial" w:hAnsi="Arial"/>
                <w:sz w:val="18"/>
                <w:szCs w:val="18"/>
                <w:b w:val="1"/>
                <w:bCs w:val="1"/>
                <w:color w:val="auto"/>
              </w:rPr>
              <w:t>(355)</w:t>
            </w:r>
          </w:p>
        </w:tc>
        <w:tc>
          <w:tcPr>
            <w:tcW w:w="120" w:type="dxa"/>
            <w:vAlign w:val="bottom"/>
            <w:tcBorders>
              <w:bottom w:val="single" w:sz="8" w:color="E2EEF6"/>
            </w:tcBorders>
            <w:shd w:val="clear" w:color="auto" w:fill="E2EEF6"/>
          </w:tcPr>
          <w:p>
            <w:pPr>
              <w:spacing w:after="0"/>
              <w:rPr>
                <w:sz w:val="23"/>
                <w:szCs w:val="23"/>
                <w:color w:val="auto"/>
              </w:rPr>
            </w:pPr>
          </w:p>
        </w:tc>
        <w:tc>
          <w:tcPr>
            <w:tcW w:w="300" w:type="dxa"/>
            <w:vAlign w:val="bottom"/>
            <w:tcBorders>
              <w:bottom w:val="single" w:sz="8" w:color="E2EEF6"/>
            </w:tcBorders>
            <w:shd w:val="clear" w:color="auto" w:fill="E2EEF6"/>
          </w:tcPr>
          <w:p>
            <w:pPr>
              <w:spacing w:after="0"/>
              <w:rPr>
                <w:sz w:val="23"/>
                <w:szCs w:val="23"/>
                <w:color w:val="auto"/>
              </w:rPr>
            </w:pPr>
          </w:p>
        </w:tc>
        <w:tc>
          <w:tcPr>
            <w:tcW w:w="1180" w:type="dxa"/>
            <w:vAlign w:val="bottom"/>
            <w:tcBorders>
              <w:bottom w:val="single" w:sz="8" w:color="E2EEF6"/>
            </w:tcBorders>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tcBorders>
              <w:top w:val="single" w:sz="8" w:color="E2EEF6"/>
            </w:tcBorders>
          </w:tcPr>
          <w:p>
            <w:pPr>
              <w:ind w:left="1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E2EEF6"/>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11,283</w:t>
            </w:r>
          </w:p>
        </w:tc>
        <w:tc>
          <w:tcPr>
            <w:tcW w:w="100" w:type="dxa"/>
            <w:vAlign w:val="bottom"/>
            <w:tcBorders>
              <w:top w:val="single" w:sz="8" w:color="E2EEF6"/>
            </w:tcBorders>
          </w:tcPr>
          <w:p>
            <w:pPr>
              <w:spacing w:after="0"/>
              <w:rPr>
                <w:sz w:val="20"/>
                <w:szCs w:val="20"/>
                <w:color w:val="auto"/>
              </w:rPr>
            </w:pPr>
          </w:p>
        </w:tc>
        <w:tc>
          <w:tcPr>
            <w:tcW w:w="120" w:type="dxa"/>
            <w:vAlign w:val="bottom"/>
            <w:tcBorders>
              <w:top w:val="single" w:sz="8" w:color="E2EEF6"/>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11,360</w:t>
            </w:r>
          </w:p>
        </w:tc>
        <w:tc>
          <w:tcPr>
            <w:tcW w:w="100" w:type="dxa"/>
            <w:vAlign w:val="bottom"/>
            <w:tcBorders>
              <w:top w:val="single" w:sz="8" w:color="E2EEF6"/>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88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Borders>
              <w:bottom w:val="single" w:sz="8" w:color="E2EEF6"/>
            </w:tcBorders>
            <w:gridSpan w:val="2"/>
            <w:shd w:val="clear" w:color="auto" w:fill="E2EEF6"/>
          </w:tcPr>
          <w:p>
            <w:pPr>
              <w:spacing w:after="0"/>
              <w:rPr>
                <w:sz w:val="24"/>
                <w:szCs w:val="24"/>
                <w:color w:val="auto"/>
              </w:rPr>
            </w:pPr>
          </w:p>
        </w:tc>
        <w:tc>
          <w:tcPr>
            <w:tcW w:w="1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gridSpan w:val="2"/>
            <w:shd w:val="clear" w:color="auto" w:fill="E2EEF6"/>
          </w:tcPr>
          <w:p>
            <w:pPr>
              <w:jc w:val="right"/>
              <w:spacing w:after="0"/>
              <w:rPr>
                <w:sz w:val="20"/>
                <w:szCs w:val="20"/>
                <w:color w:val="auto"/>
              </w:rPr>
            </w:pPr>
            <w:r>
              <w:rPr>
                <w:rFonts w:ascii="Arial" w:cs="Arial" w:eastAsia="Arial" w:hAnsi="Arial"/>
                <w:sz w:val="18"/>
                <w:szCs w:val="18"/>
                <w:b w:val="1"/>
                <w:bCs w:val="1"/>
                <w:color w:val="auto"/>
              </w:rPr>
              <w:t>13,750</w:t>
            </w:r>
          </w:p>
        </w:tc>
        <w:tc>
          <w:tcPr>
            <w:tcW w:w="100" w:type="dxa"/>
            <w:vAlign w:val="bottom"/>
            <w:tcBorders>
              <w:bottom w:val="single" w:sz="8" w:color="E2EEF6"/>
            </w:tcBorders>
            <w:shd w:val="clear" w:color="auto" w:fill="E2EEF6"/>
          </w:tcPr>
          <w:p>
            <w:pPr>
              <w:spacing w:after="0"/>
              <w:rPr>
                <w:sz w:val="24"/>
                <w:szCs w:val="24"/>
                <w:color w:val="auto"/>
              </w:rPr>
            </w:pPr>
          </w:p>
        </w:tc>
        <w:tc>
          <w:tcPr>
            <w:tcW w:w="120" w:type="dxa"/>
            <w:vAlign w:val="bottom"/>
            <w:tcBorders>
              <w:bottom w:val="single" w:sz="8" w:color="E2EEF6"/>
            </w:tcBorders>
            <w:shd w:val="clear" w:color="auto" w:fill="E2EEF6"/>
          </w:tcPr>
          <w:p>
            <w:pPr>
              <w:spacing w:after="0"/>
              <w:rPr>
                <w:sz w:val="24"/>
                <w:szCs w:val="24"/>
                <w:color w:val="auto"/>
              </w:rPr>
            </w:pPr>
          </w:p>
        </w:tc>
        <w:tc>
          <w:tcPr>
            <w:tcW w:w="300" w:type="dxa"/>
            <w:vAlign w:val="bottom"/>
            <w:tcBorders>
              <w:bottom w:val="single" w:sz="8" w:color="auto"/>
            </w:tcBorders>
            <w:shd w:val="clear" w:color="auto" w:fill="E2EEF6"/>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13,930</w:t>
            </w:r>
          </w:p>
        </w:tc>
        <w:tc>
          <w:tcPr>
            <w:tcW w:w="100" w:type="dxa"/>
            <w:vAlign w:val="bottom"/>
            <w:tcBorders>
              <w:bottom w:val="single" w:sz="8" w:color="E2EEF6"/>
            </w:tcBorders>
            <w:shd w:val="clear" w:color="auto" w:fill="E2EEF6"/>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043"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043"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20" w:type="dxa"/>
            <w:vAlign w:val="bottom"/>
          </w:tcPr>
          <w:p>
            <w:pPr>
              <w:ind w:left="4880"/>
              <w:spacing w:after="0"/>
              <w:rPr>
                <w:sz w:val="20"/>
                <w:szCs w:val="20"/>
                <w:color w:val="auto"/>
              </w:rPr>
            </w:pPr>
            <w:r>
              <w:rPr>
                <w:rFonts w:ascii="Arial" w:cs="Arial" w:eastAsia="Arial" w:hAnsi="Arial"/>
                <w:sz w:val="18"/>
                <w:szCs w:val="18"/>
                <w:b w:val="1"/>
                <w:bCs w:val="1"/>
                <w:color w:val="auto"/>
              </w:rPr>
              <w:t>(Millions of dollars)</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320" w:type="dxa"/>
            <w:vAlign w:val="bottom"/>
          </w:tcPr>
          <w:p>
            <w:pPr>
              <w:spacing w:after="0"/>
              <w:rPr>
                <w:sz w:val="21"/>
                <w:szCs w:val="21"/>
                <w:color w:val="auto"/>
              </w:rPr>
            </w:pPr>
          </w:p>
        </w:tc>
        <w:tc>
          <w:tcPr>
            <w:tcW w:w="308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w w:val="95"/>
              </w:rPr>
              <w:t>For Three Months Ended March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3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46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920" w:type="dxa"/>
            <w:vAlign w:val="bottom"/>
            <w:shd w:val="clear" w:color="auto" w:fill="E2EEF6"/>
          </w:tcPr>
          <w:p>
            <w:pPr>
              <w:spacing w:after="0"/>
              <w:rPr>
                <w:sz w:val="20"/>
                <w:szCs w:val="20"/>
                <w:color w:val="auto"/>
              </w:rPr>
            </w:pPr>
          </w:p>
        </w:tc>
        <w:tc>
          <w:tcPr>
            <w:tcW w:w="46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8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516</w:t>
            </w:r>
          </w:p>
        </w:tc>
        <w:tc>
          <w:tcPr>
            <w:tcW w:w="140" w:type="dxa"/>
            <w:vAlign w:val="bottom"/>
          </w:tcPr>
          <w:p>
            <w:pPr>
              <w:spacing w:after="0"/>
              <w:rPr>
                <w:sz w:val="21"/>
                <w:szCs w:val="2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Adjustments to reconcile net income to cash provided by operating activities of continuing operations:</w:t>
            </w:r>
          </w:p>
        </w:tc>
        <w:tc>
          <w:tcPr>
            <w:tcW w:w="920" w:type="dxa"/>
            <w:vAlign w:val="bottom"/>
            <w:shd w:val="clear" w:color="auto" w:fill="E2EEF6"/>
          </w:tcPr>
          <w:p>
            <w:pPr>
              <w:spacing w:after="0"/>
              <w:rPr>
                <w:sz w:val="21"/>
                <w:szCs w:val="21"/>
                <w:color w:val="auto"/>
              </w:rPr>
            </w:pPr>
          </w:p>
        </w:tc>
        <w:tc>
          <w:tcPr>
            <w:tcW w:w="46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Income from discontinued operations</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Depreciation</w:t>
            </w:r>
          </w:p>
        </w:tc>
        <w:tc>
          <w:tcPr>
            <w:tcW w:w="920" w:type="dxa"/>
            <w:vAlign w:val="bottom"/>
            <w:shd w:val="clear" w:color="auto" w:fill="E2EEF6"/>
          </w:tcPr>
          <w:p>
            <w:pPr>
              <w:spacing w:after="0"/>
              <w:rPr>
                <w:sz w:val="21"/>
                <w:szCs w:val="21"/>
                <w:color w:val="auto"/>
              </w:rPr>
            </w:pPr>
          </w:p>
        </w:tc>
        <w:tc>
          <w:tcPr>
            <w:tcW w:w="4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252</w:t>
            </w:r>
          </w:p>
        </w:tc>
        <w:tc>
          <w:tcPr>
            <w:tcW w:w="1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Amortization of capitalized software</w:t>
            </w:r>
          </w:p>
        </w:tc>
        <w:tc>
          <w:tcPr>
            <w:tcW w:w="920" w:type="dxa"/>
            <w:vAlign w:val="bottom"/>
            <w:shd w:val="clear" w:color="auto" w:fill="E2EEF6"/>
          </w:tcPr>
          <w:p>
            <w:pPr>
              <w:spacing w:after="0"/>
              <w:rPr>
                <w:sz w:val="21"/>
                <w:szCs w:val="21"/>
                <w:color w:val="auto"/>
              </w:rPr>
            </w:pPr>
          </w:p>
        </w:tc>
        <w:tc>
          <w:tcPr>
            <w:tcW w:w="4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25</w:t>
            </w:r>
          </w:p>
        </w:tc>
        <w:tc>
          <w:tcPr>
            <w:tcW w:w="1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Amortization of acquisition-related intangibles</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E2EEF6"/>
          </w:tcPr>
          <w:p>
            <w:pPr>
              <w:spacing w:after="0"/>
              <w:rPr>
                <w:sz w:val="21"/>
                <w:szCs w:val="21"/>
                <w:color w:val="auto"/>
              </w:rPr>
            </w:pPr>
          </w:p>
        </w:tc>
        <w:tc>
          <w:tcPr>
            <w:tcW w:w="6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Increase (decrease) from changes in:</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E2EEF6"/>
          </w:tcPr>
          <w:p>
            <w:pPr>
              <w:spacing w:after="0"/>
              <w:rPr>
                <w:sz w:val="21"/>
                <w:szCs w:val="21"/>
                <w:color w:val="auto"/>
              </w:rPr>
            </w:pPr>
          </w:p>
        </w:tc>
        <w:tc>
          <w:tcPr>
            <w:tcW w:w="4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17</w:t>
            </w:r>
          </w:p>
        </w:tc>
        <w:tc>
          <w:tcPr>
            <w:tcW w:w="1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E2EEF6"/>
          </w:tcPr>
          <w:p>
            <w:pPr>
              <w:spacing w:after="0"/>
              <w:rPr>
                <w:sz w:val="21"/>
                <w:szCs w:val="21"/>
                <w:color w:val="auto"/>
              </w:rPr>
            </w:pPr>
          </w:p>
        </w:tc>
        <w:tc>
          <w:tcPr>
            <w:tcW w:w="6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b w:val="1"/>
                <w:bCs w:val="1"/>
                <w:color w:val="auto"/>
              </w:rPr>
              <w:t>(79)</w:t>
            </w:r>
          </w:p>
        </w:tc>
        <w:tc>
          <w:tcPr>
            <w:tcW w:w="8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Income taxes payable</w:t>
            </w:r>
          </w:p>
        </w:tc>
        <w:tc>
          <w:tcPr>
            <w:tcW w:w="920" w:type="dxa"/>
            <w:vAlign w:val="bottom"/>
            <w:shd w:val="clear" w:color="auto" w:fill="E2EEF6"/>
          </w:tcPr>
          <w:p>
            <w:pPr>
              <w:spacing w:after="0"/>
              <w:rPr>
                <w:sz w:val="21"/>
                <w:szCs w:val="21"/>
                <w:color w:val="auto"/>
              </w:rPr>
            </w:pPr>
          </w:p>
        </w:tc>
        <w:tc>
          <w:tcPr>
            <w:tcW w:w="6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Accrued profit sharing and retirement</w:t>
            </w:r>
          </w:p>
        </w:tc>
        <w:tc>
          <w:tcPr>
            <w:tcW w:w="92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Change in funded status of retirement plans and accrued retirement costs</w:t>
            </w:r>
          </w:p>
        </w:tc>
        <w:tc>
          <w:tcPr>
            <w:tcW w:w="920" w:type="dxa"/>
            <w:vAlign w:val="bottom"/>
            <w:shd w:val="clear" w:color="auto" w:fill="E2EEF6"/>
          </w:tcPr>
          <w:p>
            <w:pPr>
              <w:spacing w:after="0"/>
              <w:rPr>
                <w:sz w:val="21"/>
                <w:szCs w:val="21"/>
                <w:color w:val="auto"/>
              </w:rPr>
            </w:pPr>
          </w:p>
        </w:tc>
        <w:tc>
          <w:tcPr>
            <w:tcW w:w="4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23"/>
                <w:szCs w:val="2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920" w:type="dxa"/>
            <w:vAlign w:val="bottom"/>
            <w:tcBorders>
              <w:top w:val="single" w:sz="8" w:color="auto"/>
              <w:bottom w:val="single" w:sz="8" w:color="auto"/>
            </w:tcBorders>
            <w:shd w:val="clear" w:color="auto" w:fill="E2EEF6"/>
          </w:tcPr>
          <w:p>
            <w:pPr>
              <w:spacing w:after="0"/>
              <w:rPr>
                <w:sz w:val="20"/>
                <w:szCs w:val="20"/>
                <w:color w:val="auto"/>
              </w:rPr>
            </w:pPr>
          </w:p>
        </w:tc>
        <w:tc>
          <w:tcPr>
            <w:tcW w:w="460" w:type="dxa"/>
            <w:vAlign w:val="bottom"/>
            <w:tcBorders>
              <w:top w:val="single" w:sz="8" w:color="auto"/>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554</w:t>
            </w:r>
          </w:p>
        </w:tc>
        <w:tc>
          <w:tcPr>
            <w:tcW w:w="140" w:type="dxa"/>
            <w:vAlign w:val="bottom"/>
            <w:tcBorders>
              <w:bottom w:val="single" w:sz="8" w:color="E2EEF6"/>
            </w:tcBorders>
            <w:shd w:val="clear" w:color="auto" w:fill="E2EEF6"/>
          </w:tcPr>
          <w:p>
            <w:pPr>
              <w:spacing w:after="0"/>
              <w:rPr>
                <w:sz w:val="20"/>
                <w:szCs w:val="20"/>
                <w:color w:val="auto"/>
              </w:rPr>
            </w:pPr>
          </w:p>
        </w:tc>
        <w:tc>
          <w:tcPr>
            <w:tcW w:w="80" w:type="dxa"/>
            <w:vAlign w:val="bottom"/>
            <w:tcBorders>
              <w:bottom w:val="single" w:sz="8" w:color="E2EEF6"/>
            </w:tcBorders>
            <w:shd w:val="clear" w:color="auto" w:fill="E2EEF6"/>
          </w:tcPr>
          <w:p>
            <w:pPr>
              <w:spacing w:after="0"/>
              <w:rPr>
                <w:sz w:val="20"/>
                <w:szCs w:val="20"/>
                <w:color w:val="auto"/>
              </w:rPr>
            </w:pPr>
          </w:p>
        </w:tc>
        <w:tc>
          <w:tcPr>
            <w:tcW w:w="300" w:type="dxa"/>
            <w:vAlign w:val="bottom"/>
            <w:tcBorders>
              <w:top w:val="single" w:sz="8" w:color="auto"/>
              <w:bottom w:val="single" w:sz="8" w:color="auto"/>
            </w:tcBorders>
            <w:shd w:val="clear" w:color="auto" w:fill="E2EEF6"/>
          </w:tcPr>
          <w:p>
            <w:pPr>
              <w:spacing w:after="0"/>
              <w:rPr>
                <w:sz w:val="20"/>
                <w:szCs w:val="20"/>
                <w:color w:val="auto"/>
              </w:rPr>
            </w:pPr>
          </w:p>
        </w:tc>
        <w:tc>
          <w:tcPr>
            <w:tcW w:w="1080" w:type="dxa"/>
            <w:vAlign w:val="bottom"/>
            <w:tcBorders>
              <w:top w:val="single" w:sz="8" w:color="auto"/>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E2EEF6"/>
            </w:tcBorders>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920" w:type="dxa"/>
            <w:vAlign w:val="bottom"/>
            <w:shd w:val="clear" w:color="auto" w:fill="E2EEF6"/>
          </w:tcPr>
          <w:p>
            <w:pPr>
              <w:spacing w:after="0"/>
              <w:rPr>
                <w:sz w:val="21"/>
                <w:szCs w:val="21"/>
                <w:color w:val="auto"/>
              </w:rPr>
            </w:pPr>
          </w:p>
        </w:tc>
        <w:tc>
          <w:tcPr>
            <w:tcW w:w="6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b w:val="1"/>
                <w:bCs w:val="1"/>
                <w:color w:val="auto"/>
              </w:rPr>
              <w:t>(179)</w:t>
            </w:r>
          </w:p>
        </w:tc>
        <w:tc>
          <w:tcPr>
            <w:tcW w:w="8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Proceeds from sales of assets</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Purchases of cash investments</w:t>
            </w:r>
          </w:p>
        </w:tc>
        <w:tc>
          <w:tcPr>
            <w:tcW w:w="920" w:type="dxa"/>
            <w:vAlign w:val="bottom"/>
            <w:shd w:val="clear" w:color="auto" w:fill="E2EEF6"/>
          </w:tcPr>
          <w:p>
            <w:pPr>
              <w:spacing w:after="0"/>
              <w:rPr>
                <w:sz w:val="21"/>
                <w:szCs w:val="21"/>
                <w:color w:val="auto"/>
              </w:rPr>
            </w:pPr>
          </w:p>
        </w:tc>
        <w:tc>
          <w:tcPr>
            <w:tcW w:w="6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b w:val="1"/>
                <w:bCs w:val="1"/>
                <w:color w:val="auto"/>
              </w:rPr>
              <w:t>(846)</w:t>
            </w:r>
          </w:p>
        </w:tc>
        <w:tc>
          <w:tcPr>
            <w:tcW w:w="8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Sales and maturities of cash investments</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1,011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Purchases of equity investments</w:t>
            </w:r>
          </w:p>
        </w:tc>
        <w:tc>
          <w:tcPr>
            <w:tcW w:w="920" w:type="dxa"/>
            <w:vAlign w:val="bottom"/>
            <w:shd w:val="clear" w:color="auto" w:fill="E2EEF6"/>
          </w:tcPr>
          <w:p>
            <w:pPr>
              <w:spacing w:after="0"/>
              <w:rPr>
                <w:sz w:val="21"/>
                <w:szCs w:val="21"/>
                <w:color w:val="auto"/>
              </w:rPr>
            </w:pPr>
          </w:p>
        </w:tc>
        <w:tc>
          <w:tcPr>
            <w:tcW w:w="6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Sales of equity and other long-term investments</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E2EEF6"/>
            </w:tcBorders>
            <w:shd w:val="clear" w:color="auto" w:fill="E2EEF6"/>
          </w:tcPr>
          <w:p>
            <w:pPr>
              <w:ind w:left="160"/>
              <w:spacing w:after="0"/>
              <w:rPr>
                <w:sz w:val="20"/>
                <w:szCs w:val="20"/>
                <w:color w:val="auto"/>
              </w:rPr>
            </w:pPr>
            <w:r>
              <w:rPr>
                <w:rFonts w:ascii="Arial" w:cs="Arial" w:eastAsia="Arial" w:hAnsi="Arial"/>
                <w:sz w:val="18"/>
                <w:szCs w:val="18"/>
                <w:color w:val="auto"/>
              </w:rPr>
              <w:t>Acquisitions, net of cash acquired</w:t>
            </w:r>
          </w:p>
        </w:tc>
        <w:tc>
          <w:tcPr>
            <w:tcW w:w="920" w:type="dxa"/>
            <w:vAlign w:val="bottom"/>
            <w:tcBorders>
              <w:bottom w:val="single" w:sz="8" w:color="E2EEF6"/>
            </w:tcBorders>
            <w:shd w:val="clear" w:color="auto" w:fill="E2EEF6"/>
          </w:tcPr>
          <w:p>
            <w:pPr>
              <w:spacing w:after="0"/>
              <w:rPr>
                <w:sz w:val="21"/>
                <w:szCs w:val="21"/>
                <w:color w:val="auto"/>
              </w:rPr>
            </w:pPr>
          </w:p>
        </w:tc>
        <w:tc>
          <w:tcPr>
            <w:tcW w:w="600" w:type="dxa"/>
            <w:vAlign w:val="bottom"/>
            <w:tcBorders>
              <w:bottom w:val="single" w:sz="8" w:color="E2EEF6"/>
            </w:tcBorders>
            <w:gridSpan w:val="2"/>
            <w:shd w:val="clear" w:color="auto" w:fill="E2EEF6"/>
          </w:tcPr>
          <w:p>
            <w:pPr>
              <w:jc w:val="right"/>
              <w:ind w:right="80"/>
              <w:spacing w:after="0"/>
              <w:rPr>
                <w:sz w:val="20"/>
                <w:szCs w:val="20"/>
                <w:color w:val="auto"/>
              </w:rPr>
            </w:pPr>
            <w:r>
              <w:rPr>
                <w:rFonts w:ascii="Arial" w:cs="Arial" w:eastAsia="Arial" w:hAnsi="Arial"/>
                <w:sz w:val="18"/>
                <w:szCs w:val="18"/>
                <w:b w:val="1"/>
                <w:bCs w:val="1"/>
                <w:color w:val="auto"/>
              </w:rPr>
              <w:t>(27)</w:t>
            </w:r>
          </w:p>
        </w:tc>
        <w:tc>
          <w:tcPr>
            <w:tcW w:w="80" w:type="dxa"/>
            <w:vAlign w:val="bottom"/>
            <w:tcBorders>
              <w:bottom w:val="single" w:sz="8" w:color="E2EEF6"/>
            </w:tcBorders>
            <w:shd w:val="clear" w:color="auto" w:fill="E2EEF6"/>
          </w:tcPr>
          <w:p>
            <w:pPr>
              <w:spacing w:after="0"/>
              <w:rPr>
                <w:sz w:val="21"/>
                <w:szCs w:val="21"/>
                <w:color w:val="auto"/>
              </w:rPr>
            </w:pPr>
          </w:p>
        </w:tc>
        <w:tc>
          <w:tcPr>
            <w:tcW w:w="300" w:type="dxa"/>
            <w:vAlign w:val="bottom"/>
            <w:tcBorders>
              <w:bottom w:val="single" w:sz="8" w:color="E2EEF6"/>
            </w:tcBorders>
            <w:shd w:val="clear" w:color="auto" w:fill="E2EEF6"/>
          </w:tcPr>
          <w:p>
            <w:pPr>
              <w:spacing w:after="0"/>
              <w:rPr>
                <w:sz w:val="21"/>
                <w:szCs w:val="21"/>
                <w:color w:val="auto"/>
              </w:rPr>
            </w:pPr>
          </w:p>
        </w:tc>
        <w:tc>
          <w:tcPr>
            <w:tcW w:w="1180" w:type="dxa"/>
            <w:vAlign w:val="bottom"/>
            <w:tcBorders>
              <w:bottom w:val="single" w:sz="8" w:color="E2EEF6"/>
            </w:tcBorders>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20" w:type="dxa"/>
            <w:vAlign w:val="bottom"/>
            <w:shd w:val="clear" w:color="auto" w:fill="E2EEF6"/>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E2EEF6"/>
          </w:tcPr>
          <w:p>
            <w:pPr>
              <w:spacing w:after="0" w:line="20" w:lineRule="exact"/>
              <w:rPr>
                <w:sz w:val="1"/>
                <w:szCs w:val="1"/>
                <w:color w:val="auto"/>
              </w:rPr>
            </w:pPr>
          </w:p>
        </w:tc>
        <w:tc>
          <w:tcPr>
            <w:tcW w:w="80" w:type="dxa"/>
            <w:vAlign w:val="bottom"/>
            <w:shd w:val="clear" w:color="auto" w:fill="E2EEF6"/>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cash provided by (used in) investing activities of continuing operations</w:t>
            </w:r>
          </w:p>
        </w:tc>
        <w:tc>
          <w:tcPr>
            <w:tcW w:w="92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E2EEF6"/>
          </w:tcPr>
          <w:p>
            <w:pPr>
              <w:spacing w:after="0"/>
              <w:rPr>
                <w:sz w:val="20"/>
                <w:szCs w:val="20"/>
                <w:color w:val="auto"/>
              </w:rPr>
            </w:pPr>
          </w:p>
        </w:tc>
        <w:tc>
          <w:tcPr>
            <w:tcW w:w="920" w:type="dxa"/>
            <w:vAlign w:val="bottom"/>
            <w:tcBorders>
              <w:top w:val="single" w:sz="8" w:color="auto"/>
            </w:tcBorders>
            <w:shd w:val="clear" w:color="auto" w:fill="E2EEF6"/>
          </w:tcPr>
          <w:p>
            <w:pPr>
              <w:spacing w:after="0"/>
              <w:rPr>
                <w:sz w:val="20"/>
                <w:szCs w:val="20"/>
                <w:color w:val="auto"/>
              </w:rPr>
            </w:pPr>
          </w:p>
        </w:tc>
        <w:tc>
          <w:tcPr>
            <w:tcW w:w="460" w:type="dxa"/>
            <w:vAlign w:val="bottom"/>
            <w:tcBorders>
              <w:top w:val="single" w:sz="8" w:color="auto"/>
            </w:tcBorders>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300" w:type="dxa"/>
            <w:vAlign w:val="bottom"/>
            <w:tcBorders>
              <w:top w:val="single" w:sz="8" w:color="auto"/>
            </w:tcBorders>
            <w:shd w:val="clear" w:color="auto" w:fill="E2EEF6"/>
          </w:tcPr>
          <w:p>
            <w:pPr>
              <w:spacing w:after="0"/>
              <w:rPr>
                <w:sz w:val="20"/>
                <w:szCs w:val="20"/>
                <w:color w:val="auto"/>
              </w:rPr>
            </w:pPr>
          </w:p>
        </w:tc>
        <w:tc>
          <w:tcPr>
            <w:tcW w:w="108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Payments on loans and long-term debt</w:t>
            </w:r>
          </w:p>
        </w:tc>
        <w:tc>
          <w:tcPr>
            <w:tcW w:w="920" w:type="dxa"/>
            <w:vAlign w:val="bottom"/>
            <w:shd w:val="clear" w:color="auto" w:fill="E2EEF6"/>
          </w:tcPr>
          <w:p>
            <w:pPr>
              <w:spacing w:after="0"/>
              <w:rPr>
                <w:sz w:val="21"/>
                <w:szCs w:val="21"/>
                <w:color w:val="auto"/>
              </w:rPr>
            </w:pPr>
          </w:p>
        </w:tc>
        <w:tc>
          <w:tcPr>
            <w:tcW w:w="4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Dividends paid on common stock</w:t>
            </w:r>
          </w:p>
        </w:tc>
        <w:tc>
          <w:tcPr>
            <w:tcW w:w="92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920" w:type="dxa"/>
            <w:vAlign w:val="bottom"/>
            <w:shd w:val="clear" w:color="auto" w:fill="E2EEF6"/>
          </w:tcPr>
          <w:p>
            <w:pPr>
              <w:spacing w:after="0"/>
              <w:rPr>
                <w:sz w:val="21"/>
                <w:szCs w:val="21"/>
                <w:color w:val="auto"/>
              </w:rPr>
            </w:pPr>
          </w:p>
        </w:tc>
        <w:tc>
          <w:tcPr>
            <w:tcW w:w="4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154</w:t>
            </w:r>
          </w:p>
        </w:tc>
        <w:tc>
          <w:tcPr>
            <w:tcW w:w="1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Excess tax benefit from stock option exercises</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E2EEF6"/>
            </w:tcBorders>
            <w:shd w:val="clear" w:color="auto" w:fill="E2EEF6"/>
          </w:tcPr>
          <w:p>
            <w:pPr>
              <w:ind w:left="160"/>
              <w:spacing w:after="0"/>
              <w:rPr>
                <w:sz w:val="20"/>
                <w:szCs w:val="20"/>
                <w:color w:val="auto"/>
              </w:rPr>
            </w:pPr>
            <w:r>
              <w:rPr>
                <w:rFonts w:ascii="Arial" w:cs="Arial" w:eastAsia="Arial" w:hAnsi="Arial"/>
                <w:sz w:val="18"/>
                <w:szCs w:val="18"/>
                <w:color w:val="auto"/>
              </w:rPr>
              <w:t>Stock repurchases</w:t>
            </w:r>
          </w:p>
        </w:tc>
        <w:tc>
          <w:tcPr>
            <w:tcW w:w="920" w:type="dxa"/>
            <w:vAlign w:val="bottom"/>
            <w:tcBorders>
              <w:bottom w:val="single" w:sz="8" w:color="E2EEF6"/>
            </w:tcBorders>
            <w:shd w:val="clear" w:color="auto" w:fill="E2EEF6"/>
          </w:tcPr>
          <w:p>
            <w:pPr>
              <w:spacing w:after="0"/>
              <w:rPr>
                <w:sz w:val="21"/>
                <w:szCs w:val="21"/>
                <w:color w:val="auto"/>
              </w:rPr>
            </w:pPr>
          </w:p>
        </w:tc>
        <w:tc>
          <w:tcPr>
            <w:tcW w:w="600" w:type="dxa"/>
            <w:vAlign w:val="bottom"/>
            <w:tcBorders>
              <w:bottom w:val="single" w:sz="8" w:color="E2EEF6"/>
            </w:tcBorders>
            <w:gridSpan w:val="2"/>
            <w:shd w:val="clear" w:color="auto" w:fill="E2EEF6"/>
          </w:tcPr>
          <w:p>
            <w:pPr>
              <w:jc w:val="right"/>
              <w:ind w:right="80"/>
              <w:spacing w:after="0"/>
              <w:rPr>
                <w:sz w:val="20"/>
                <w:szCs w:val="20"/>
                <w:color w:val="auto"/>
              </w:rPr>
            </w:pPr>
            <w:r>
              <w:rPr>
                <w:rFonts w:ascii="Arial" w:cs="Arial" w:eastAsia="Arial" w:hAnsi="Arial"/>
                <w:sz w:val="18"/>
                <w:szCs w:val="18"/>
                <w:b w:val="1"/>
                <w:bCs w:val="1"/>
                <w:color w:val="auto"/>
              </w:rPr>
              <w:t>(857)</w:t>
            </w:r>
          </w:p>
        </w:tc>
        <w:tc>
          <w:tcPr>
            <w:tcW w:w="80" w:type="dxa"/>
            <w:vAlign w:val="bottom"/>
            <w:tcBorders>
              <w:bottom w:val="single" w:sz="8" w:color="E2EEF6"/>
            </w:tcBorders>
            <w:shd w:val="clear" w:color="auto" w:fill="E2EEF6"/>
          </w:tcPr>
          <w:p>
            <w:pPr>
              <w:spacing w:after="0"/>
              <w:rPr>
                <w:sz w:val="21"/>
                <w:szCs w:val="21"/>
                <w:color w:val="auto"/>
              </w:rPr>
            </w:pPr>
          </w:p>
        </w:tc>
        <w:tc>
          <w:tcPr>
            <w:tcW w:w="300" w:type="dxa"/>
            <w:vAlign w:val="bottom"/>
            <w:tcBorders>
              <w:bottom w:val="single" w:sz="8" w:color="E2EEF6"/>
            </w:tcBorders>
            <w:shd w:val="clear" w:color="auto" w:fill="E2EEF6"/>
          </w:tcPr>
          <w:p>
            <w:pPr>
              <w:spacing w:after="0"/>
              <w:rPr>
                <w:sz w:val="21"/>
                <w:szCs w:val="21"/>
                <w:color w:val="auto"/>
              </w:rPr>
            </w:pPr>
          </w:p>
        </w:tc>
        <w:tc>
          <w:tcPr>
            <w:tcW w:w="1180" w:type="dxa"/>
            <w:vAlign w:val="bottom"/>
            <w:tcBorders>
              <w:bottom w:val="single" w:sz="8" w:color="E2EEF6"/>
            </w:tcBorders>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20" w:type="dxa"/>
            <w:vAlign w:val="bottom"/>
            <w:shd w:val="clear" w:color="auto" w:fill="E2EEF6"/>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E2EEF6"/>
          </w:tcPr>
          <w:p>
            <w:pPr>
              <w:spacing w:after="0" w:line="20" w:lineRule="exact"/>
              <w:rPr>
                <w:sz w:val="1"/>
                <w:szCs w:val="1"/>
                <w:color w:val="auto"/>
              </w:rPr>
            </w:pPr>
          </w:p>
        </w:tc>
        <w:tc>
          <w:tcPr>
            <w:tcW w:w="80" w:type="dxa"/>
            <w:vAlign w:val="bottom"/>
            <w:shd w:val="clear" w:color="auto" w:fill="E2EEF6"/>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cash used in financing activities of continuing operations</w:t>
            </w:r>
          </w:p>
        </w:tc>
        <w:tc>
          <w:tcPr>
            <w:tcW w:w="92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(727)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E2EEF6"/>
          </w:tcPr>
          <w:p>
            <w:pPr>
              <w:spacing w:after="0"/>
              <w:rPr>
                <w:sz w:val="20"/>
                <w:szCs w:val="20"/>
                <w:color w:val="auto"/>
              </w:rPr>
            </w:pPr>
          </w:p>
        </w:tc>
        <w:tc>
          <w:tcPr>
            <w:tcW w:w="920" w:type="dxa"/>
            <w:vAlign w:val="bottom"/>
            <w:tcBorders>
              <w:top w:val="single" w:sz="8" w:color="auto"/>
            </w:tcBorders>
            <w:shd w:val="clear" w:color="auto" w:fill="E2EEF6"/>
          </w:tcPr>
          <w:p>
            <w:pPr>
              <w:spacing w:after="0"/>
              <w:rPr>
                <w:sz w:val="20"/>
                <w:szCs w:val="20"/>
                <w:color w:val="auto"/>
              </w:rPr>
            </w:pPr>
          </w:p>
        </w:tc>
        <w:tc>
          <w:tcPr>
            <w:tcW w:w="460" w:type="dxa"/>
            <w:vAlign w:val="bottom"/>
            <w:tcBorders>
              <w:top w:val="single" w:sz="8" w:color="auto"/>
            </w:tcBorders>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300" w:type="dxa"/>
            <w:vAlign w:val="bottom"/>
            <w:tcBorders>
              <w:top w:val="single" w:sz="8" w:color="auto"/>
            </w:tcBorders>
            <w:shd w:val="clear" w:color="auto" w:fill="E2EEF6"/>
          </w:tcPr>
          <w:p>
            <w:pPr>
              <w:spacing w:after="0"/>
              <w:rPr>
                <w:sz w:val="20"/>
                <w:szCs w:val="20"/>
                <w:color w:val="auto"/>
              </w:rPr>
            </w:pPr>
          </w:p>
        </w:tc>
        <w:tc>
          <w:tcPr>
            <w:tcW w:w="108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discontinued operations:</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Operating activities</w:t>
            </w:r>
          </w:p>
        </w:tc>
        <w:tc>
          <w:tcPr>
            <w:tcW w:w="920" w:type="dxa"/>
            <w:vAlign w:val="bottom"/>
            <w:shd w:val="clear" w:color="auto" w:fill="E2EEF6"/>
          </w:tcPr>
          <w:p>
            <w:pPr>
              <w:spacing w:after="0"/>
              <w:rPr>
                <w:sz w:val="21"/>
                <w:szCs w:val="21"/>
                <w:color w:val="auto"/>
              </w:rPr>
            </w:pPr>
          </w:p>
        </w:tc>
        <w:tc>
          <w:tcPr>
            <w:tcW w:w="4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Investing activities</w:t>
            </w:r>
          </w:p>
        </w:tc>
        <w:tc>
          <w:tcPr>
            <w:tcW w:w="9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Net cash provided by discontinued operations</w:t>
            </w:r>
          </w:p>
        </w:tc>
        <w:tc>
          <w:tcPr>
            <w:tcW w:w="920" w:type="dxa"/>
            <w:vAlign w:val="bottom"/>
            <w:tcBorders>
              <w:top w:val="single" w:sz="8" w:color="auto"/>
              <w:bottom w:val="single" w:sz="8" w:color="auto"/>
            </w:tcBorders>
            <w:shd w:val="clear" w:color="auto" w:fill="E2EEF6"/>
          </w:tcPr>
          <w:p>
            <w:pPr>
              <w:spacing w:after="0"/>
              <w:rPr>
                <w:sz w:val="20"/>
                <w:szCs w:val="20"/>
                <w:color w:val="auto"/>
              </w:rPr>
            </w:pPr>
          </w:p>
        </w:tc>
        <w:tc>
          <w:tcPr>
            <w:tcW w:w="460" w:type="dxa"/>
            <w:vAlign w:val="bottom"/>
            <w:tcBorders>
              <w:top w:val="single" w:sz="8" w:color="auto"/>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E2EEF6"/>
            </w:tcBorders>
            <w:shd w:val="clear" w:color="auto" w:fill="E2EEF6"/>
          </w:tcPr>
          <w:p>
            <w:pPr>
              <w:spacing w:after="0"/>
              <w:rPr>
                <w:sz w:val="20"/>
                <w:szCs w:val="20"/>
                <w:color w:val="auto"/>
              </w:rPr>
            </w:pPr>
          </w:p>
        </w:tc>
        <w:tc>
          <w:tcPr>
            <w:tcW w:w="80" w:type="dxa"/>
            <w:vAlign w:val="bottom"/>
            <w:tcBorders>
              <w:bottom w:val="single" w:sz="8" w:color="E2EEF6"/>
            </w:tcBorders>
            <w:shd w:val="clear" w:color="auto" w:fill="E2EEF6"/>
          </w:tcPr>
          <w:p>
            <w:pPr>
              <w:spacing w:after="0"/>
              <w:rPr>
                <w:sz w:val="20"/>
                <w:szCs w:val="20"/>
                <w:color w:val="auto"/>
              </w:rPr>
            </w:pPr>
          </w:p>
        </w:tc>
        <w:tc>
          <w:tcPr>
            <w:tcW w:w="300" w:type="dxa"/>
            <w:vAlign w:val="bottom"/>
            <w:tcBorders>
              <w:top w:val="single" w:sz="8" w:color="auto"/>
              <w:bottom w:val="single" w:sz="8" w:color="auto"/>
            </w:tcBorders>
            <w:shd w:val="clear" w:color="auto" w:fill="E2EEF6"/>
          </w:tcPr>
          <w:p>
            <w:pPr>
              <w:spacing w:after="0"/>
              <w:rPr>
                <w:sz w:val="20"/>
                <w:szCs w:val="20"/>
                <w:color w:val="auto"/>
              </w:rPr>
            </w:pPr>
          </w:p>
        </w:tc>
        <w:tc>
          <w:tcPr>
            <w:tcW w:w="1080" w:type="dxa"/>
            <w:vAlign w:val="bottom"/>
            <w:tcBorders>
              <w:top w:val="single" w:sz="8" w:color="auto"/>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E2EEF6"/>
            </w:tcBorders>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20" w:type="dxa"/>
            <w:vAlign w:val="bottom"/>
            <w:shd w:val="clear" w:color="auto" w:fill="E2EEF6"/>
          </w:tcPr>
          <w:p>
            <w:pPr>
              <w:spacing w:after="0"/>
              <w:rPr>
                <w:sz w:val="20"/>
                <w:szCs w:val="20"/>
                <w:color w:val="auto"/>
              </w:rPr>
            </w:pPr>
            <w:r>
              <w:rPr>
                <w:rFonts w:ascii="Arial" w:cs="Arial" w:eastAsia="Arial" w:hAnsi="Arial"/>
                <w:sz w:val="18"/>
                <w:szCs w:val="18"/>
                <w:color w:val="auto"/>
              </w:rPr>
              <w:t>Effect of exchange rate changes on cash</w:t>
            </w:r>
          </w:p>
        </w:tc>
        <w:tc>
          <w:tcPr>
            <w:tcW w:w="920" w:type="dxa"/>
            <w:vAlign w:val="bottom"/>
            <w:shd w:val="clear" w:color="auto" w:fill="E2EEF6"/>
          </w:tcPr>
          <w:p>
            <w:pPr>
              <w:spacing w:after="0"/>
              <w:rPr>
                <w:sz w:val="21"/>
                <w:szCs w:val="21"/>
                <w:color w:val="auto"/>
              </w:rPr>
            </w:pPr>
          </w:p>
        </w:tc>
        <w:tc>
          <w:tcPr>
            <w:tcW w:w="6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shd w:val="clear" w:color="auto" w:fill="E2EEF6"/>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E2EEF6"/>
          </w:tcPr>
          <w:p>
            <w:pPr>
              <w:spacing w:after="0" w:line="20" w:lineRule="exact"/>
              <w:rPr>
                <w:sz w:val="1"/>
                <w:szCs w:val="1"/>
                <w:color w:val="auto"/>
              </w:rPr>
            </w:pPr>
          </w:p>
        </w:tc>
        <w:tc>
          <w:tcPr>
            <w:tcW w:w="80" w:type="dxa"/>
            <w:vAlign w:val="bottom"/>
            <w:shd w:val="clear" w:color="auto" w:fill="E2EEF6"/>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92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Cash and cash equivalents , January 1</w:t>
            </w:r>
          </w:p>
        </w:tc>
        <w:tc>
          <w:tcPr>
            <w:tcW w:w="920" w:type="dxa"/>
            <w:vAlign w:val="bottom"/>
            <w:tcBorders>
              <w:bottom w:val="single" w:sz="8" w:color="E2EEF6"/>
            </w:tcBorders>
            <w:shd w:val="clear" w:color="auto" w:fill="E2EEF6"/>
          </w:tcPr>
          <w:p>
            <w:pPr>
              <w:spacing w:after="0"/>
              <w:rPr>
                <w:sz w:val="21"/>
                <w:szCs w:val="21"/>
                <w:color w:val="auto"/>
              </w:rPr>
            </w:pPr>
          </w:p>
        </w:tc>
        <w:tc>
          <w:tcPr>
            <w:tcW w:w="46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b w:val="1"/>
                <w:bCs w:val="1"/>
                <w:color w:val="auto"/>
                <w:w w:val="97"/>
              </w:rPr>
              <w:t>1,183</w:t>
            </w:r>
          </w:p>
        </w:tc>
        <w:tc>
          <w:tcPr>
            <w:tcW w:w="140" w:type="dxa"/>
            <w:vAlign w:val="bottom"/>
            <w:tcBorders>
              <w:bottom w:val="single" w:sz="8" w:color="E2EEF6"/>
            </w:tcBorders>
            <w:shd w:val="clear" w:color="auto" w:fill="E2EEF6"/>
          </w:tcPr>
          <w:p>
            <w:pPr>
              <w:spacing w:after="0"/>
              <w:rPr>
                <w:sz w:val="21"/>
                <w:szCs w:val="21"/>
                <w:color w:val="auto"/>
              </w:rPr>
            </w:pPr>
          </w:p>
        </w:tc>
        <w:tc>
          <w:tcPr>
            <w:tcW w:w="80" w:type="dxa"/>
            <w:vAlign w:val="bottom"/>
            <w:tcBorders>
              <w:bottom w:val="single" w:sz="8" w:color="E2EEF6"/>
            </w:tcBorders>
            <w:shd w:val="clear" w:color="auto" w:fill="E2EEF6"/>
          </w:tcPr>
          <w:p>
            <w:pPr>
              <w:spacing w:after="0"/>
              <w:rPr>
                <w:sz w:val="21"/>
                <w:szCs w:val="21"/>
                <w:color w:val="auto"/>
              </w:rPr>
            </w:pPr>
          </w:p>
        </w:tc>
        <w:tc>
          <w:tcPr>
            <w:tcW w:w="300" w:type="dxa"/>
            <w:vAlign w:val="bottom"/>
            <w:tcBorders>
              <w:bottom w:val="single" w:sz="8" w:color="E2EEF6"/>
            </w:tcBorders>
            <w:shd w:val="clear" w:color="auto" w:fill="E2EEF6"/>
          </w:tcPr>
          <w:p>
            <w:pPr>
              <w:spacing w:after="0"/>
              <w:rPr>
                <w:sz w:val="21"/>
                <w:szCs w:val="21"/>
                <w:color w:val="auto"/>
              </w:rPr>
            </w:pPr>
          </w:p>
        </w:tc>
        <w:tc>
          <w:tcPr>
            <w:tcW w:w="118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shd w:val="clear" w:color="auto" w:fill="E2EEF6"/>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E2EEF6"/>
          </w:tcPr>
          <w:p>
            <w:pPr>
              <w:spacing w:after="0" w:line="20" w:lineRule="exact"/>
              <w:rPr>
                <w:sz w:val="1"/>
                <w:szCs w:val="1"/>
                <w:color w:val="auto"/>
              </w:rPr>
            </w:pPr>
          </w:p>
        </w:tc>
        <w:tc>
          <w:tcPr>
            <w:tcW w:w="80" w:type="dxa"/>
            <w:vAlign w:val="bottom"/>
            <w:shd w:val="clear" w:color="auto" w:fill="E2EEF6"/>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gridSpan w:val="2"/>
          </w:tcPr>
          <w:p>
            <w:pPr>
              <w:spacing w:after="0"/>
              <w:rPr>
                <w:sz w:val="20"/>
                <w:szCs w:val="20"/>
                <w:color w:val="auto"/>
              </w:rPr>
            </w:pPr>
            <w:r>
              <w:rPr>
                <w:rFonts w:ascii="Arial" w:cs="Arial" w:eastAsia="Arial" w:hAnsi="Arial"/>
                <w:sz w:val="18"/>
                <w:szCs w:val="18"/>
                <w:color w:val="auto"/>
              </w:rPr>
              <w:t>Cash and cash equivalents, March 31</w:t>
            </w:r>
          </w:p>
        </w:tc>
        <w:tc>
          <w:tcPr>
            <w:tcW w:w="920" w:type="dxa"/>
            <w:vAlign w:val="bottom"/>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965</w:t>
            </w:r>
          </w:p>
        </w:tc>
        <w:tc>
          <w:tcPr>
            <w:tcW w:w="14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 w:name="page6"/>
    <w:bookmarkEnd w:id="5"/>
    <w:p>
      <w:pPr>
        <w:jc w:val="center"/>
        <w:ind w:right="26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Notes to Financial Statements</w:t>
      </w:r>
    </w:p>
    <w:p>
      <w:pPr>
        <w:spacing w:after="0" w:line="265" w:lineRule="exact"/>
        <w:rPr>
          <w:sz w:val="20"/>
          <w:szCs w:val="20"/>
          <w:color w:val="auto"/>
        </w:rPr>
      </w:pPr>
    </w:p>
    <w:p>
      <w:pPr>
        <w:ind w:left="240" w:right="20" w:hanging="231"/>
        <w:spacing w:after="0" w:line="277"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and Significant Accounting Policies and Practices</w:t>
      </w:r>
      <w:r>
        <w:rPr>
          <w:rFonts w:ascii="Arial" w:cs="Arial" w:eastAsia="Arial" w:hAnsi="Arial"/>
          <w:sz w:val="18"/>
          <w:szCs w:val="18"/>
          <w:color w:val="auto"/>
        </w:rPr>
        <w:t>. Texas Instruments (TI or the Company) makes, markets and sells high-technology components; more than 50,000 customers all over the world buy TI products.</w:t>
      </w:r>
    </w:p>
    <w:p>
      <w:pPr>
        <w:spacing w:after="0" w:line="224" w:lineRule="exact"/>
        <w:rPr>
          <w:rFonts w:ascii="Arial" w:cs="Arial" w:eastAsia="Arial" w:hAnsi="Arial"/>
          <w:sz w:val="18"/>
          <w:szCs w:val="18"/>
          <w:color w:val="auto"/>
        </w:rPr>
      </w:pPr>
    </w:p>
    <w:p>
      <w:pPr>
        <w:ind w:left="240" w:right="6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In January 2006, we acquired 100 percent of the equity of Chipcon Group ASA (Chipcon), a leading company in the design of short-range, low-power wireless radio frequency semiconductors, based in Oslo, Norway, for $177 million in cash, net of cash acquired. The acquisition was accounted for as a purchase business combination and the results of operations of this business have been included in the Semiconductor segment of our consolidated statements of income from the date of acquisition.</w:t>
      </w:r>
    </w:p>
    <w:p>
      <w:pPr>
        <w:spacing w:after="0" w:line="240"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6"/>
          <w:szCs w:val="16"/>
          <w:color w:val="auto"/>
        </w:rPr>
        <w:t>In the first quarter of 2007 we also made an asset acquisition, which was not material, that was integrated into the Semiconductor business segment.</w:t>
      </w:r>
    </w:p>
    <w:p>
      <w:pPr>
        <w:spacing w:after="0" w:line="302" w:lineRule="exact"/>
        <w:rPr>
          <w:rFonts w:ascii="Arial" w:cs="Arial" w:eastAsia="Arial" w:hAnsi="Arial"/>
          <w:sz w:val="18"/>
          <w:szCs w:val="18"/>
          <w:color w:val="auto"/>
        </w:rPr>
      </w:pPr>
    </w:p>
    <w:p>
      <w:pPr>
        <w:ind w:left="240" w:right="60"/>
        <w:spacing w:after="0" w:line="276" w:lineRule="auto"/>
        <w:rPr>
          <w:rFonts w:ascii="Arial" w:cs="Arial" w:eastAsia="Arial" w:hAnsi="Arial"/>
          <w:sz w:val="18"/>
          <w:szCs w:val="18"/>
          <w:color w:val="auto"/>
        </w:rPr>
      </w:pPr>
      <w:r>
        <w:rPr>
          <w:rFonts w:ascii="Arial" w:cs="Arial" w:eastAsia="Arial" w:hAnsi="Arial"/>
          <w:sz w:val="17"/>
          <w:szCs w:val="17"/>
          <w:i w:val="1"/>
          <w:iCs w:val="1"/>
          <w:color w:val="auto"/>
        </w:rPr>
        <w:t xml:space="preserve">Dispositions - </w:t>
      </w:r>
      <w:r>
        <w:rPr>
          <w:rFonts w:ascii="Arial" w:cs="Arial" w:eastAsia="Arial" w:hAnsi="Arial"/>
          <w:sz w:val="17"/>
          <w:szCs w:val="17"/>
          <w:color w:val="auto"/>
        </w:rPr>
        <w:t>In January 2006, we entered into a definitive agreement to sell substantially all of the Sensors &amp; Controls segment to an affiliate of Bain</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LLC, a leading global private equity investment firm, for $3 billion in cash. The sale was completed on April 27, 2006. The operations and cash flows of the former Sensors &amp; Controls business have been eliminated from the ongoing operations of TI, and we have no significant continuing involvement in the operations of the sold business. Beginning in the first quarter of 2006, the former Sensors &amp; Controls business was presented as a discontinued operation (see Note 2 for detailed information on discontinued operations).</w:t>
      </w:r>
    </w:p>
    <w:p>
      <w:pPr>
        <w:spacing w:after="0" w:line="226"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i w:val="1"/>
          <w:iCs w:val="1"/>
          <w:color w:val="auto"/>
        </w:rPr>
        <w:t xml:space="preserve">Change in Capitalization - </w:t>
      </w:r>
      <w:r>
        <w:rPr>
          <w:rFonts w:ascii="Arial" w:cs="Arial" w:eastAsia="Arial" w:hAnsi="Arial"/>
          <w:sz w:val="18"/>
          <w:szCs w:val="18"/>
          <w:color w:val="auto"/>
        </w:rPr>
        <w:t>On April 2, 2007, we retired $43 million of 8.75% notes at maturity.</w:t>
      </w:r>
    </w:p>
    <w:p>
      <w:pPr>
        <w:spacing w:after="0" w:line="279" w:lineRule="exact"/>
        <w:rPr>
          <w:rFonts w:ascii="Arial" w:cs="Arial" w:eastAsia="Arial" w:hAnsi="Arial"/>
          <w:sz w:val="18"/>
          <w:szCs w:val="18"/>
          <w:color w:val="auto"/>
        </w:rPr>
      </w:pPr>
    </w:p>
    <w:p>
      <w:pPr>
        <w:ind w:left="240" w:right="40"/>
        <w:spacing w:after="0" w:line="287" w:lineRule="auto"/>
        <w:rPr>
          <w:rFonts w:ascii="Arial" w:cs="Arial" w:eastAsia="Arial" w:hAnsi="Arial"/>
          <w:sz w:val="18"/>
          <w:szCs w:val="18"/>
          <w:color w:val="auto"/>
        </w:rPr>
      </w:pPr>
      <w:r>
        <w:rPr>
          <w:rFonts w:ascii="Arial" w:cs="Arial" w:eastAsia="Arial" w:hAnsi="Arial"/>
          <w:sz w:val="16"/>
          <w:szCs w:val="16"/>
          <w:i w:val="1"/>
          <w:iCs w:val="1"/>
          <w:color w:val="auto"/>
        </w:rPr>
        <w:t xml:space="preserve">Basis of Presentation - </w:t>
      </w:r>
      <w:r>
        <w:rPr>
          <w:rFonts w:ascii="Arial" w:cs="Arial" w:eastAsia="Arial" w:hAnsi="Arial"/>
          <w:sz w:val="16"/>
          <w:szCs w:val="16"/>
          <w:color w:val="auto"/>
        </w:rPr>
        <w:t>The consolidated financial statements have been prepared in accordance with accounting principles generally accepted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U.S. (US GAAP) and, except for the adoption of a change in accounting for income tax uncertainties, on the same basis as the audited financial statements included in our annual report on Form 10-K for the year ended December 31, 2006. The consolidated statements of income, statements of comprehensive income and statements of cash flows for the periods ended March 31, 2007 and 2006, and the balance sheet as of March 31, 2007, are not audited but reflect all adjustments that are of a normal recurring nature and are necessary for a fair statement of the results of the periods shown. The consolidated balance sheet as of December 31, 2006, presented herein is derived from the audited consolidated balance sheet presented in our annual report on Form 10-K at that date.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(SEC).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2006. The results for the three-month period are not necessarily indicative of a full year's results.</w:t>
      </w:r>
    </w:p>
    <w:p>
      <w:pPr>
        <w:spacing w:after="0" w:line="222" w:lineRule="exact"/>
        <w:rPr>
          <w:rFonts w:ascii="Arial" w:cs="Arial" w:eastAsia="Arial" w:hAnsi="Arial"/>
          <w:sz w:val="18"/>
          <w:szCs w:val="18"/>
          <w:color w:val="auto"/>
        </w:rPr>
      </w:pPr>
    </w:p>
    <w:p>
      <w:pPr>
        <w:ind w:left="240" w:right="140"/>
        <w:spacing w:after="0" w:line="264"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 notes, except share and per-share amounts, are stated in millions of U.S. dollars unless otherwise indicated.</w:t>
      </w:r>
    </w:p>
    <w:p>
      <w:pPr>
        <w:spacing w:after="0" w:line="235" w:lineRule="exact"/>
        <w:rPr>
          <w:rFonts w:ascii="Arial" w:cs="Arial" w:eastAsia="Arial" w:hAnsi="Arial"/>
          <w:sz w:val="18"/>
          <w:szCs w:val="18"/>
          <w:color w:val="auto"/>
        </w:rPr>
      </w:pPr>
    </w:p>
    <w:p>
      <w:pPr>
        <w:ind w:left="240" w:right="16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Changes in Accounting Standards - </w:t>
      </w:r>
      <w:r>
        <w:rPr>
          <w:rFonts w:ascii="Arial" w:cs="Arial" w:eastAsia="Arial" w:hAnsi="Arial"/>
          <w:sz w:val="18"/>
          <w:szCs w:val="18"/>
          <w:color w:val="auto"/>
        </w:rPr>
        <w:t>In July 2006, the Financial Accounting Standards Board (FASB) issued FASB Interpretation (FIN) No. 48,</w:t>
      </w:r>
      <w:r>
        <w:rPr>
          <w:rFonts w:ascii="Arial" w:cs="Arial" w:eastAsia="Arial" w:hAnsi="Arial"/>
          <w:sz w:val="18"/>
          <w:szCs w:val="18"/>
          <w:i w:val="1"/>
          <w:iCs w:val="1"/>
          <w:color w:val="auto"/>
        </w:rPr>
        <w:t xml:space="preserve"> “Accounting for Uncertainty in Income Taxes—An Interpretation of FASB Statement No. 109.” </w:t>
      </w:r>
      <w:r>
        <w:rPr>
          <w:rFonts w:ascii="Arial" w:cs="Arial" w:eastAsia="Arial" w:hAnsi="Arial"/>
          <w:sz w:val="18"/>
          <w:szCs w:val="18"/>
          <w:color w:val="auto"/>
        </w:rPr>
        <w:t>TI adopted the provisions of FIN 48 effective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1, 2007.</w:t>
      </w:r>
    </w:p>
    <w:p>
      <w:pPr>
        <w:spacing w:after="0" w:line="235" w:lineRule="exact"/>
        <w:rPr>
          <w:rFonts w:ascii="Arial" w:cs="Arial" w:eastAsia="Arial" w:hAnsi="Arial"/>
          <w:sz w:val="18"/>
          <w:szCs w:val="18"/>
          <w:color w:val="auto"/>
        </w:rPr>
      </w:pPr>
    </w:p>
    <w:p>
      <w:pPr>
        <w:ind w:left="240" w:right="360"/>
        <w:spacing w:after="0" w:line="342" w:lineRule="auto"/>
        <w:rPr>
          <w:rFonts w:ascii="Arial" w:cs="Arial" w:eastAsia="Arial" w:hAnsi="Arial"/>
          <w:sz w:val="18"/>
          <w:szCs w:val="18"/>
          <w:color w:val="auto"/>
        </w:rPr>
      </w:pPr>
      <w:r>
        <w:rPr>
          <w:rFonts w:ascii="Arial" w:cs="Arial" w:eastAsia="Arial" w:hAnsi="Arial"/>
          <w:sz w:val="16"/>
          <w:szCs w:val="16"/>
          <w:color w:val="auto"/>
        </w:rPr>
        <w:t>Through December 31, 2006, in accordance with prior standards, we assessed the ultimate resolution of uncertain tax matters as they arose and established reserves for tax contingencies when we believed an unfavorable outcome was probable and the liability could be reasonably estimated.</w:t>
      </w:r>
    </w:p>
    <w:p>
      <w:pPr>
        <w:spacing w:after="0" w:line="177" w:lineRule="exact"/>
        <w:rPr>
          <w:rFonts w:ascii="Arial" w:cs="Arial" w:eastAsia="Arial" w:hAnsi="Arial"/>
          <w:sz w:val="18"/>
          <w:szCs w:val="18"/>
          <w:color w:val="auto"/>
        </w:rPr>
      </w:pPr>
    </w:p>
    <w:p>
      <w:pPr>
        <w:ind w:left="240"/>
        <w:spacing w:after="0" w:line="312" w:lineRule="auto"/>
        <w:rPr>
          <w:rFonts w:ascii="Arial" w:cs="Arial" w:eastAsia="Arial" w:hAnsi="Arial"/>
          <w:sz w:val="18"/>
          <w:szCs w:val="18"/>
          <w:color w:val="auto"/>
        </w:rPr>
      </w:pPr>
      <w:r>
        <w:rPr>
          <w:rFonts w:ascii="Arial" w:cs="Arial" w:eastAsia="Arial" w:hAnsi="Arial"/>
          <w:sz w:val="16"/>
          <w:szCs w:val="16"/>
          <w:color w:val="auto"/>
        </w:rPr>
        <w:t>As of December 31, 2006, TI had tax reserves of $178 million and offsets of $76 million to certain of these tax reserves. These offsets were expected to be realized primarily through procedures for relief from double taxation under applicable tax treaties with foreign tax jurisdictions or through the reduction of future tax liabilities. The net amount of the reserves and offsets was recorded primarily as a reduction of non-current deferred tax assets.</w:t>
      </w:r>
    </w:p>
    <w:p>
      <w:pPr>
        <w:spacing w:after="0" w:line="200" w:lineRule="exact"/>
        <w:rPr>
          <w:rFonts w:ascii="Arial" w:cs="Arial" w:eastAsia="Arial" w:hAnsi="Arial"/>
          <w:sz w:val="18"/>
          <w:szCs w:val="18"/>
          <w:color w:val="auto"/>
        </w:rPr>
      </w:pPr>
    </w:p>
    <w:p>
      <w:pPr>
        <w:ind w:left="240" w:right="40"/>
        <w:spacing w:after="0" w:line="302" w:lineRule="auto"/>
        <w:rPr>
          <w:rFonts w:ascii="Arial" w:cs="Arial" w:eastAsia="Arial" w:hAnsi="Arial"/>
          <w:sz w:val="18"/>
          <w:szCs w:val="18"/>
          <w:color w:val="auto"/>
        </w:rPr>
      </w:pPr>
      <w:r>
        <w:rPr>
          <w:rFonts w:ascii="Arial" w:cs="Arial" w:eastAsia="Arial" w:hAnsi="Arial"/>
          <w:sz w:val="16"/>
          <w:szCs w:val="16"/>
          <w:color w:val="auto"/>
        </w:rPr>
        <w:t>FIN 48 differs from the prior standards in that it requires companies to determine that it is “more likely than not” that a tax position will be sustained by the appropriate taxing authorities before any benefit can be recorded in the financial statements. As a result, TI reduced the tax reserves by $20 million, from $178 million to $158 million. In addition, FIN 48 requires that liabilities for uncertain tax positions be recorded as a separate liability. Therefore, TI reclassified the resulting $158 million liability for uncertain tax positions from deferred tax assets to deferred credits and other liabilities.</w:t>
      </w:r>
    </w:p>
    <w:p>
      <w:pPr>
        <w:spacing w:after="0" w:line="208" w:lineRule="exact"/>
        <w:rPr>
          <w:rFonts w:ascii="Arial" w:cs="Arial" w:eastAsia="Arial" w:hAnsi="Arial"/>
          <w:sz w:val="18"/>
          <w:szCs w:val="18"/>
          <w:color w:val="auto"/>
        </w:rPr>
      </w:pPr>
    </w:p>
    <w:p>
      <w:pPr>
        <w:ind w:left="240" w:right="20"/>
        <w:spacing w:after="0" w:line="342" w:lineRule="auto"/>
        <w:rPr>
          <w:rFonts w:ascii="Arial" w:cs="Arial" w:eastAsia="Arial" w:hAnsi="Arial"/>
          <w:sz w:val="18"/>
          <w:szCs w:val="18"/>
          <w:color w:val="auto"/>
        </w:rPr>
      </w:pPr>
      <w:r>
        <w:rPr>
          <w:rFonts w:ascii="Arial" w:cs="Arial" w:eastAsia="Arial" w:hAnsi="Arial"/>
          <w:sz w:val="16"/>
          <w:szCs w:val="16"/>
          <w:color w:val="auto"/>
        </w:rPr>
        <w:t>As a result of the reduction in the liability for uncertain tax positions, we recorded a $9 million decrease in the amount of accrued interest expense. Our policy continues to be to recognize accrued interest related to uncertain tax positions and penalties as components of other income (expense) net.</w:t>
      </w:r>
    </w:p>
    <w:p>
      <w:pPr>
        <w:spacing w:after="0" w:line="177" w:lineRule="exact"/>
        <w:rPr>
          <w:rFonts w:ascii="Arial" w:cs="Arial" w:eastAsia="Arial" w:hAnsi="Arial"/>
          <w:sz w:val="18"/>
          <w:szCs w:val="18"/>
          <w:color w:val="auto"/>
        </w:rPr>
      </w:pPr>
    </w:p>
    <w:p>
      <w:pPr>
        <w:ind w:left="240" w:right="560"/>
        <w:spacing w:after="0" w:line="277" w:lineRule="auto"/>
        <w:rPr>
          <w:rFonts w:ascii="Arial" w:cs="Arial" w:eastAsia="Arial" w:hAnsi="Arial"/>
          <w:sz w:val="18"/>
          <w:szCs w:val="18"/>
          <w:color w:val="auto"/>
        </w:rPr>
      </w:pPr>
      <w:r>
        <w:rPr>
          <w:rFonts w:ascii="Arial" w:cs="Arial" w:eastAsia="Arial" w:hAnsi="Arial"/>
          <w:sz w:val="18"/>
          <w:szCs w:val="18"/>
          <w:color w:val="auto"/>
        </w:rPr>
        <w:t>The decrease in tax reserves and the decrease in accrued interest expense both resulted in an increase to the January 1, 2007, balance of retained earnings, as required by the adoption of FIN 48.</w:t>
      </w:r>
    </w:p>
    <w:p>
      <w:pPr>
        <w:spacing w:after="0" w:line="224" w:lineRule="exact"/>
        <w:rPr>
          <w:rFonts w:ascii="Arial" w:cs="Arial" w:eastAsia="Arial" w:hAnsi="Arial"/>
          <w:sz w:val="18"/>
          <w:szCs w:val="18"/>
          <w:color w:val="auto"/>
        </w:rPr>
      </w:pPr>
    </w:p>
    <w:p>
      <w:pPr>
        <w:jc w:val="both"/>
        <w:ind w:left="240" w:right="160"/>
        <w:spacing w:after="0" w:line="264" w:lineRule="auto"/>
        <w:rPr>
          <w:rFonts w:ascii="Arial" w:cs="Arial" w:eastAsia="Arial" w:hAnsi="Arial"/>
          <w:sz w:val="18"/>
          <w:szCs w:val="18"/>
          <w:color w:val="auto"/>
        </w:rPr>
      </w:pPr>
      <w:r>
        <w:rPr>
          <w:rFonts w:ascii="Arial" w:cs="Arial" w:eastAsia="Arial" w:hAnsi="Arial"/>
          <w:sz w:val="18"/>
          <w:szCs w:val="18"/>
          <w:color w:val="auto"/>
        </w:rPr>
        <w:t>Of the $158 million liability for uncertain tax positions as of January 1, 2007, $139 million represents tax positions that, if recognized, would impact the effective tax rate. If these tax positions were recognized, $58 million of the $76 million deferred tax assets primarily relating to the procedures for relief from double taxation (as described above) would also be recognized.</w:t>
      </w:r>
    </w:p>
    <w:p>
      <w:pPr>
        <w:spacing w:after="0" w:line="235" w:lineRule="exact"/>
        <w:rPr>
          <w:rFonts w:ascii="Arial" w:cs="Arial" w:eastAsia="Arial" w:hAnsi="Arial"/>
          <w:sz w:val="18"/>
          <w:szCs w:val="18"/>
          <w:color w:val="auto"/>
        </w:rPr>
      </w:pPr>
    </w:p>
    <w:p>
      <w:pPr>
        <w:ind w:left="240" w:right="60"/>
        <w:spacing w:after="0" w:line="257" w:lineRule="auto"/>
        <w:rPr>
          <w:rFonts w:ascii="Arial" w:cs="Arial" w:eastAsia="Arial" w:hAnsi="Arial"/>
          <w:sz w:val="18"/>
          <w:szCs w:val="18"/>
          <w:color w:val="auto"/>
        </w:rPr>
      </w:pPr>
      <w:r>
        <w:rPr>
          <w:rFonts w:ascii="Arial" w:cs="Arial" w:eastAsia="Arial" w:hAnsi="Arial"/>
          <w:sz w:val="18"/>
          <w:szCs w:val="18"/>
          <w:color w:val="auto"/>
        </w:rPr>
        <w:t>The statute of limitations remains open for U.S. Federal tax returns for 1999 and following years. Our returns for the years 2000 through 2002 are the subject of an appeals proceeding and our returns for the years 2003 through 2004 are currently under audit. It is likely that both the appeals proceeding and the audit will be completed within the next twelve months. Although we are unable to estimate the range of any reasonably possible increase or decrease in uncertain tax positions from the eventual outcome of these matters, we do not anticipate it will result in a material change to our financial position or results of operations.</w:t>
      </w:r>
    </w:p>
    <w:p>
      <w:pPr>
        <w:sectPr>
          <w:pgSz w:w="11900" w:h="16838" w:orient="portrait"/>
          <w:cols w:equalWidth="0" w:num="1">
            <w:col w:w="11160"/>
          </w:cols>
          <w:pgMar w:left="500" w:top="364" w:right="239" w:bottom="157" w:gutter="0" w:footer="0" w:header="0"/>
        </w:sectPr>
      </w:pPr>
    </w:p>
    <w:bookmarkStart w:id="6" w:name="page7"/>
    <w:bookmarkEnd w:id="6"/>
    <w:p>
      <w:pPr>
        <w:ind w:left="500" w:right="480"/>
        <w:spacing w:after="0" w:line="342" w:lineRule="auto"/>
        <w:rPr>
          <w:sz w:val="20"/>
          <w:szCs w:val="20"/>
          <w:color w:val="auto"/>
        </w:rPr>
      </w:pPr>
      <w:r>
        <w:rPr>
          <w:rFonts w:ascii="Arial" w:cs="Arial" w:eastAsia="Arial" w:hAnsi="Arial"/>
          <w:sz w:val="16"/>
          <w:szCs w:val="16"/>
          <w:color w:val="auto"/>
        </w:rPr>
        <w:t>In foreign jurisdictions, the years open to audit represent the years still subject to the statute of limitations. Years still open to audit by foreign tax authorities in major jurisdictions include Germany (2001 onward), France (2003 onward), Japan (2000 onward) and Taiwan (2001 onward).</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three months ended March 31, 2007, there have been no material changes in the liability for uncertain tax positions.</w:t>
      </w:r>
    </w:p>
    <w:p>
      <w:pPr>
        <w:spacing w:after="0" w:line="279" w:lineRule="exact"/>
        <w:rPr>
          <w:sz w:val="20"/>
          <w:szCs w:val="20"/>
          <w:color w:val="auto"/>
        </w:rPr>
      </w:pPr>
    </w:p>
    <w:p>
      <w:pPr>
        <w:ind w:left="500" w:right="120"/>
        <w:spacing w:after="0" w:line="291" w:lineRule="auto"/>
        <w:rPr>
          <w:sz w:val="20"/>
          <w:szCs w:val="20"/>
          <w:color w:val="auto"/>
        </w:rPr>
      </w:pPr>
      <w:r>
        <w:rPr>
          <w:rFonts w:ascii="Arial" w:cs="Arial" w:eastAsia="Arial" w:hAnsi="Arial"/>
          <w:sz w:val="16"/>
          <w:szCs w:val="16"/>
          <w:color w:val="auto"/>
        </w:rPr>
        <w:t xml:space="preserve">In February 2007, the FASB issued Statement of Financial Accounting Standards (SFAS) No. 159, </w:t>
      </w:r>
      <w:r>
        <w:rPr>
          <w:rFonts w:ascii="Arial" w:cs="Arial" w:eastAsia="Arial" w:hAnsi="Arial"/>
          <w:sz w:val="16"/>
          <w:szCs w:val="16"/>
          <w:i w:val="1"/>
          <w:iCs w:val="1"/>
          <w:color w:val="auto"/>
        </w:rPr>
        <w:t>“The Fair Value Option for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Liabilities—Including an amendment of FASB Statement No. 115.” </w:t>
      </w:r>
      <w:r>
        <w:rPr>
          <w:rFonts w:ascii="Arial" w:cs="Arial" w:eastAsia="Arial" w:hAnsi="Arial"/>
          <w:sz w:val="16"/>
          <w:szCs w:val="16"/>
          <w:color w:val="auto"/>
        </w:rPr>
        <w:t>SFAS 159 permits companies to choose to measure at fair value many</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instruments and certain other items that are not currently required to be measured at fair value. Entities choosing the fair value option would be required to recognize subsequent changes in the fair value of those instruments and other items directly in earnings. This standard also establishes presentation and disclosure requirements designed to facilitate comparisons between companies that choose different measurement attributes for similar types of assets and liabilities. SFAS 159 is effective beginning the first fiscal year that begins after November 15, 2007. We have evaluated the potential impact of this standard and anticipate it will have no material impact on our financial position and results of operations.</w:t>
      </w:r>
    </w:p>
    <w:p>
      <w:pPr>
        <w:spacing w:after="0" w:line="221" w:lineRule="exact"/>
        <w:rPr>
          <w:sz w:val="20"/>
          <w:szCs w:val="20"/>
          <w:color w:val="auto"/>
        </w:rPr>
      </w:pPr>
    </w:p>
    <w:p>
      <w:pPr>
        <w:jc w:val="both"/>
        <w:ind w:left="500" w:right="200" w:hanging="231"/>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Discontinued Operations</w:t>
      </w:r>
      <w:r>
        <w:rPr>
          <w:rFonts w:ascii="Arial" w:cs="Arial" w:eastAsia="Arial" w:hAnsi="Arial"/>
          <w:sz w:val="18"/>
          <w:szCs w:val="18"/>
          <w:color w:val="auto"/>
        </w:rPr>
        <w:t>. On January 9, 2006, we announced a definitive agreement to sell substantially all of the Sensors &amp; Controls segment to an affiliate of Bain Capital, LLC for $3 billion in cash. The sale was completed on April 27, 2006. The former Sensors &amp; Controls business acquired by Bain Capital, LLC was renamed Sensata Technologies, Inc. (Sensata).</w:t>
      </w:r>
    </w:p>
    <w:p>
      <w:pPr>
        <w:spacing w:after="0" w:line="235" w:lineRule="exact"/>
        <w:rPr>
          <w:rFonts w:ascii="Arial" w:cs="Arial" w:eastAsia="Arial" w:hAnsi="Arial"/>
          <w:sz w:val="18"/>
          <w:szCs w:val="18"/>
          <w:color w:val="auto"/>
        </w:rPr>
      </w:pPr>
    </w:p>
    <w:p>
      <w:pPr>
        <w:ind w:left="500" w:right="160"/>
        <w:spacing w:after="0" w:line="264" w:lineRule="auto"/>
        <w:rPr>
          <w:rFonts w:ascii="Arial" w:cs="Arial" w:eastAsia="Arial" w:hAnsi="Arial"/>
          <w:sz w:val="18"/>
          <w:szCs w:val="18"/>
          <w:color w:val="auto"/>
        </w:rPr>
      </w:pPr>
      <w:r>
        <w:rPr>
          <w:rFonts w:ascii="Arial" w:cs="Arial" w:eastAsia="Arial" w:hAnsi="Arial"/>
          <w:sz w:val="18"/>
          <w:szCs w:val="18"/>
          <w:color w:val="auto"/>
        </w:rPr>
        <w:t>The results of operations of the former Sensors &amp; Controls business are presented as discontinued operations. The following summarizes results from the discontinued operations of the former Sensors &amp; Controls business for the periods ended March 31, 2007 and 2006, included in the consolidated statements of income.</w:t>
      </w:r>
    </w:p>
    <w:p>
      <w:pPr>
        <w:spacing w:after="0" w:line="231" w:lineRule="exact"/>
        <w:rPr>
          <w:sz w:val="20"/>
          <w:szCs w:val="20"/>
          <w:color w:val="auto"/>
        </w:rPr>
      </w:pPr>
    </w:p>
    <w:p>
      <w:pPr>
        <w:jc w:val="center"/>
        <w:ind w:left="8560"/>
        <w:spacing w:after="0"/>
        <w:rPr>
          <w:sz w:val="20"/>
          <w:szCs w:val="20"/>
          <w:color w:val="auto"/>
        </w:rPr>
      </w:pPr>
      <w:r>
        <w:rPr>
          <w:rFonts w:ascii="Arial" w:cs="Arial" w:eastAsia="Arial" w:hAnsi="Arial"/>
          <w:sz w:val="18"/>
          <w:szCs w:val="18"/>
          <w:b w:val="1"/>
          <w:bCs w:val="1"/>
          <w:color w:val="auto"/>
        </w:rPr>
        <w:t>For Three Months Ended March</w:t>
      </w:r>
    </w:p>
    <w:p>
      <w:pPr>
        <w:spacing w:after="0" w:line="27" w:lineRule="exact"/>
        <w:rPr>
          <w:sz w:val="20"/>
          <w:szCs w:val="20"/>
          <w:color w:val="auto"/>
        </w:rPr>
      </w:pPr>
    </w:p>
    <w:p>
      <w:pPr>
        <w:jc w:val="center"/>
        <w:ind w:left="856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5715</wp:posOffset>
            </wp:positionV>
            <wp:extent cx="18865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2007</w:t>
            </w:r>
          </w:p>
        </w:tc>
        <w:tc>
          <w:tcPr>
            <w:tcW w:w="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r>
      <w:tr>
        <w:trPr>
          <w:trHeight w:val="237"/>
        </w:trPr>
        <w:tc>
          <w:tcPr>
            <w:tcW w:w="8340" w:type="dxa"/>
            <w:vAlign w:val="bottom"/>
            <w:shd w:val="clear" w:color="auto" w:fill="E2EEF6"/>
          </w:tcPr>
          <w:p>
            <w:pPr>
              <w:spacing w:after="0"/>
              <w:rPr>
                <w:sz w:val="20"/>
                <w:szCs w:val="20"/>
                <w:color w:val="auto"/>
              </w:rPr>
            </w:pPr>
          </w:p>
        </w:tc>
        <w:tc>
          <w:tcPr>
            <w:tcW w:w="114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380" w:type="dxa"/>
            <w:vAlign w:val="bottom"/>
            <w:shd w:val="clear" w:color="auto" w:fill="E2EEF6"/>
          </w:tcPr>
          <w:p>
            <w:pPr>
              <w:spacing w:after="0"/>
              <w:rPr>
                <w:sz w:val="20"/>
                <w:szCs w:val="20"/>
                <w:color w:val="auto"/>
              </w:rPr>
            </w:pPr>
          </w:p>
        </w:tc>
        <w:tc>
          <w:tcPr>
            <w:tcW w:w="100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Net revenue</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r>
      <w:tr>
        <w:trPr>
          <w:trHeight w:val="243"/>
        </w:trPr>
        <w:tc>
          <w:tcPr>
            <w:tcW w:w="8340" w:type="dxa"/>
            <w:vAlign w:val="bottom"/>
            <w:tcBorders>
              <w:bottom w:val="single" w:sz="8" w:color="E2EEF6"/>
            </w:tcBorders>
            <w:shd w:val="clear" w:color="auto" w:fill="E2EEF6"/>
          </w:tcPr>
          <w:p>
            <w:pPr>
              <w:ind w:left="500"/>
              <w:spacing w:after="0"/>
              <w:rPr>
                <w:sz w:val="20"/>
                <w:szCs w:val="20"/>
                <w:color w:val="auto"/>
              </w:rPr>
            </w:pPr>
            <w:r>
              <w:rPr>
                <w:rFonts w:ascii="Arial" w:cs="Arial" w:eastAsia="Arial" w:hAnsi="Arial"/>
                <w:sz w:val="18"/>
                <w:szCs w:val="18"/>
                <w:color w:val="auto"/>
              </w:rPr>
              <w:t>Operating costs and expenses</w:t>
            </w:r>
          </w:p>
        </w:tc>
        <w:tc>
          <w:tcPr>
            <w:tcW w:w="1140" w:type="dxa"/>
            <w:vAlign w:val="bottom"/>
            <w:tcBorders>
              <w:bottom w:val="single" w:sz="8" w:color="auto"/>
            </w:tcBorders>
            <w:shd w:val="clear" w:color="auto" w:fill="E2EEF6"/>
          </w:tcPr>
          <w:p>
            <w:pPr>
              <w:spacing w:after="0"/>
              <w:rPr>
                <w:sz w:val="21"/>
                <w:szCs w:val="21"/>
                <w:color w:val="auto"/>
              </w:rPr>
            </w:pPr>
          </w:p>
        </w:tc>
        <w:tc>
          <w:tcPr>
            <w:tcW w:w="2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2EEF6"/>
            </w:tcBorders>
            <w:shd w:val="clear" w:color="auto" w:fill="E2EEF6"/>
          </w:tcPr>
          <w:p>
            <w:pPr>
              <w:spacing w:after="0"/>
              <w:rPr>
                <w:sz w:val="21"/>
                <w:szCs w:val="21"/>
                <w:color w:val="auto"/>
              </w:rPr>
            </w:pPr>
          </w:p>
        </w:tc>
        <w:tc>
          <w:tcPr>
            <w:tcW w:w="100" w:type="dxa"/>
            <w:vAlign w:val="bottom"/>
            <w:tcBorders>
              <w:bottom w:val="single" w:sz="8" w:color="E2EEF6"/>
            </w:tcBorders>
            <w:shd w:val="clear" w:color="auto" w:fill="E2EEF6"/>
          </w:tcPr>
          <w:p>
            <w:pPr>
              <w:spacing w:after="0"/>
              <w:rPr>
                <w:sz w:val="21"/>
                <w:szCs w:val="21"/>
                <w:color w:val="auto"/>
              </w:rPr>
            </w:pPr>
          </w:p>
        </w:tc>
        <w:tc>
          <w:tcPr>
            <w:tcW w:w="380" w:type="dxa"/>
            <w:vAlign w:val="bottom"/>
            <w:tcBorders>
              <w:bottom w:val="single" w:sz="8" w:color="auto"/>
            </w:tcBorders>
            <w:shd w:val="clear" w:color="auto" w:fill="E2EEF6"/>
          </w:tcPr>
          <w:p>
            <w:pPr>
              <w:spacing w:after="0"/>
              <w:rPr>
                <w:sz w:val="21"/>
                <w:szCs w:val="21"/>
                <w:color w:val="auto"/>
              </w:rPr>
            </w:pPr>
          </w:p>
        </w:tc>
        <w:tc>
          <w:tcPr>
            <w:tcW w:w="10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E2EEF6"/>
            </w:tcBorders>
            <w:shd w:val="clear" w:color="auto" w:fill="E2EEF6"/>
          </w:tcPr>
          <w:p>
            <w:pPr>
              <w:spacing w:after="0"/>
              <w:rPr>
                <w:sz w:val="21"/>
                <w:szCs w:val="2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Income before income taxes</w:t>
            </w:r>
          </w:p>
        </w:tc>
        <w:tc>
          <w:tcPr>
            <w:tcW w:w="114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75"/>
        </w:trPr>
        <w:tc>
          <w:tcPr>
            <w:tcW w:w="8340" w:type="dxa"/>
            <w:vAlign w:val="bottom"/>
            <w:tcBorders>
              <w:bottom w:val="single" w:sz="8" w:color="E2EEF6"/>
            </w:tcBorders>
            <w:shd w:val="clear" w:color="auto" w:fill="E2EEF6"/>
          </w:tcPr>
          <w:p>
            <w:pPr>
              <w:ind w:left="500"/>
              <w:spacing w:after="0"/>
              <w:rPr>
                <w:sz w:val="20"/>
                <w:szCs w:val="20"/>
                <w:color w:val="auto"/>
              </w:rPr>
            </w:pPr>
            <w:r>
              <w:rPr>
                <w:rFonts w:ascii="Arial" w:cs="Arial" w:eastAsia="Arial" w:hAnsi="Arial"/>
                <w:sz w:val="18"/>
                <w:szCs w:val="18"/>
                <w:color w:val="auto"/>
              </w:rPr>
              <w:t>Provision for income taxes</w:t>
            </w:r>
          </w:p>
        </w:tc>
        <w:tc>
          <w:tcPr>
            <w:tcW w:w="1140" w:type="dxa"/>
            <w:vAlign w:val="bottom"/>
            <w:tcBorders>
              <w:bottom w:val="single" w:sz="8" w:color="E2EEF6"/>
            </w:tcBorders>
            <w:shd w:val="clear" w:color="auto" w:fill="E2EEF6"/>
          </w:tcPr>
          <w:p>
            <w:pPr>
              <w:spacing w:after="0"/>
              <w:rPr>
                <w:sz w:val="23"/>
                <w:szCs w:val="23"/>
                <w:color w:val="auto"/>
              </w:rPr>
            </w:pPr>
          </w:p>
        </w:tc>
        <w:tc>
          <w:tcPr>
            <w:tcW w:w="36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2EEF6"/>
            </w:tcBorders>
            <w:shd w:val="clear" w:color="auto" w:fill="E2EEF6"/>
          </w:tcPr>
          <w:p>
            <w:pPr>
              <w:spacing w:after="0"/>
              <w:rPr>
                <w:sz w:val="23"/>
                <w:szCs w:val="23"/>
                <w:color w:val="auto"/>
              </w:rPr>
            </w:pPr>
          </w:p>
        </w:tc>
        <w:tc>
          <w:tcPr>
            <w:tcW w:w="380" w:type="dxa"/>
            <w:vAlign w:val="bottom"/>
            <w:tcBorders>
              <w:bottom w:val="single" w:sz="8" w:color="E2EEF6"/>
            </w:tcBorders>
            <w:shd w:val="clear" w:color="auto" w:fill="E2EEF6"/>
          </w:tcPr>
          <w:p>
            <w:pPr>
              <w:spacing w:after="0"/>
              <w:rPr>
                <w:sz w:val="23"/>
                <w:szCs w:val="23"/>
                <w:color w:val="auto"/>
              </w:rPr>
            </w:pPr>
          </w:p>
        </w:tc>
        <w:tc>
          <w:tcPr>
            <w:tcW w:w="110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22</w:t>
            </w:r>
          </w:p>
        </w:tc>
      </w:tr>
      <w:tr>
        <w:trPr>
          <w:trHeight w:val="237"/>
        </w:trPr>
        <w:tc>
          <w:tcPr>
            <w:tcW w:w="8340" w:type="dxa"/>
            <w:vAlign w:val="bottom"/>
            <w:tcBorders>
              <w:top w:val="single" w:sz="8" w:color="E2EEF6"/>
            </w:tcBorders>
          </w:tcPr>
          <w:p>
            <w:pPr>
              <w:ind w:left="500"/>
              <w:spacing w:after="0"/>
              <w:rPr>
                <w:sz w:val="20"/>
                <w:szCs w:val="20"/>
                <w:color w:val="auto"/>
              </w:rPr>
            </w:pPr>
            <w:r>
              <w:rPr>
                <w:rFonts w:ascii="Arial" w:cs="Arial" w:eastAsia="Arial" w:hAnsi="Arial"/>
                <w:sz w:val="18"/>
                <w:szCs w:val="18"/>
                <w:color w:val="auto"/>
              </w:rPr>
              <w:t>Income from discontinued operations</w:t>
            </w: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E2EEF6"/>
            </w:tcBorders>
          </w:tcPr>
          <w:p>
            <w:pPr>
              <w:spacing w:after="0"/>
              <w:rPr>
                <w:sz w:val="20"/>
                <w:szCs w:val="20"/>
                <w:color w:val="auto"/>
              </w:rPr>
            </w:pPr>
          </w:p>
        </w:tc>
      </w:tr>
      <w:tr>
        <w:trPr>
          <w:trHeight w:val="20"/>
        </w:trPr>
        <w:tc>
          <w:tcPr>
            <w:tcW w:w="8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340" w:type="dxa"/>
            <w:vAlign w:val="bottom"/>
            <w:shd w:val="clear" w:color="auto" w:fill="E2EEF6"/>
          </w:tcPr>
          <w:p>
            <w:pPr>
              <w:spacing w:after="0"/>
              <w:rPr>
                <w:sz w:val="19"/>
                <w:szCs w:val="19"/>
                <w:color w:val="auto"/>
              </w:rPr>
            </w:pPr>
          </w:p>
        </w:tc>
        <w:tc>
          <w:tcPr>
            <w:tcW w:w="114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380" w:type="dxa"/>
            <w:vAlign w:val="bottom"/>
            <w:shd w:val="clear" w:color="auto" w:fill="E2EEF6"/>
          </w:tcPr>
          <w:p>
            <w:pPr>
              <w:spacing w:after="0"/>
              <w:rPr>
                <w:sz w:val="19"/>
                <w:szCs w:val="19"/>
                <w:color w:val="auto"/>
              </w:rPr>
            </w:pPr>
          </w:p>
        </w:tc>
        <w:tc>
          <w:tcPr>
            <w:tcW w:w="100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Income from discontinued operations per common share:</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3"/>
        </w:trPr>
        <w:tc>
          <w:tcPr>
            <w:tcW w:w="8340" w:type="dxa"/>
            <w:vAlign w:val="bottom"/>
            <w:tcBorders>
              <w:bottom w:val="single" w:sz="8" w:color="E2EEF6"/>
            </w:tcBorders>
            <w:shd w:val="clear" w:color="auto" w:fill="E2EEF6"/>
          </w:tcPr>
          <w:p>
            <w:pPr>
              <w:ind w:left="500"/>
              <w:spacing w:after="0"/>
              <w:rPr>
                <w:sz w:val="20"/>
                <w:szCs w:val="20"/>
                <w:color w:val="auto"/>
              </w:rPr>
            </w:pPr>
            <w:r>
              <w:rPr>
                <w:rFonts w:ascii="Arial" w:cs="Arial" w:eastAsia="Arial" w:hAnsi="Arial"/>
                <w:sz w:val="18"/>
                <w:szCs w:val="18"/>
                <w:color w:val="auto"/>
              </w:rPr>
              <w:t>Basic</w:t>
            </w:r>
          </w:p>
        </w:tc>
        <w:tc>
          <w:tcPr>
            <w:tcW w:w="1140" w:type="dxa"/>
            <w:vAlign w:val="bottom"/>
            <w:tcBorders>
              <w:bottom w:val="single" w:sz="8" w:color="auto"/>
            </w:tcBorders>
            <w:shd w:val="clear" w:color="auto" w:fill="E2EEF6"/>
          </w:tcPr>
          <w:p>
            <w:pPr>
              <w:jc w:val="right"/>
              <w:ind w:right="95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2EEF6"/>
            </w:tcBorders>
            <w:shd w:val="clear" w:color="auto" w:fill="E2EEF6"/>
          </w:tcPr>
          <w:p>
            <w:pPr>
              <w:spacing w:after="0"/>
              <w:rPr>
                <w:sz w:val="24"/>
                <w:szCs w:val="24"/>
                <w:color w:val="auto"/>
              </w:rPr>
            </w:pPr>
          </w:p>
        </w:tc>
        <w:tc>
          <w:tcPr>
            <w:tcW w:w="100" w:type="dxa"/>
            <w:vAlign w:val="bottom"/>
            <w:tcBorders>
              <w:bottom w:val="single" w:sz="8" w:color="E2EEF6"/>
            </w:tcBorders>
            <w:shd w:val="clear" w:color="auto" w:fill="E2EEF6"/>
          </w:tcPr>
          <w:p>
            <w:pPr>
              <w:spacing w:after="0"/>
              <w:rPr>
                <w:sz w:val="24"/>
                <w:szCs w:val="24"/>
                <w:color w:val="auto"/>
              </w:rPr>
            </w:pPr>
          </w:p>
        </w:tc>
        <w:tc>
          <w:tcPr>
            <w:tcW w:w="380" w:type="dxa"/>
            <w:vAlign w:val="bottom"/>
            <w:tcBorders>
              <w:bottom w:val="single" w:sz="8" w:color="auto"/>
            </w:tcBorders>
            <w:shd w:val="clear" w:color="auto" w:fill="E2EEF6"/>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E2EEF6"/>
            </w:tcBorders>
            <w:shd w:val="clear" w:color="auto" w:fill="E2EEF6"/>
          </w:tcPr>
          <w:p>
            <w:pPr>
              <w:spacing w:after="0"/>
              <w:rPr>
                <w:sz w:val="24"/>
                <w:szCs w:val="24"/>
                <w:color w:val="auto"/>
              </w:rPr>
            </w:pPr>
          </w:p>
        </w:tc>
      </w:tr>
      <w:tr>
        <w:trPr>
          <w:trHeight w:val="224"/>
        </w:trPr>
        <w:tc>
          <w:tcPr>
            <w:tcW w:w="8340" w:type="dxa"/>
            <w:vAlign w:val="bottom"/>
          </w:tcPr>
          <w:p>
            <w:pPr>
              <w:ind w:left="500"/>
              <w:spacing w:after="0"/>
              <w:rPr>
                <w:sz w:val="20"/>
                <w:szCs w:val="20"/>
                <w:color w:val="auto"/>
              </w:rPr>
            </w:pPr>
            <w:r>
              <w:rPr>
                <w:rFonts w:ascii="Arial" w:cs="Arial" w:eastAsia="Arial" w:hAnsi="Arial"/>
                <w:sz w:val="18"/>
                <w:szCs w:val="18"/>
                <w:color w:val="auto"/>
              </w:rPr>
              <w:t>Diluted</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0"/>
        </w:trPr>
        <w:tc>
          <w:tcPr>
            <w:tcW w:w="8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340" w:type="dxa"/>
            <w:vAlign w:val="bottom"/>
            <w:shd w:val="clear" w:color="auto" w:fill="E2EEF6"/>
          </w:tcPr>
          <w:p>
            <w:pPr>
              <w:spacing w:after="0"/>
              <w:rPr>
                <w:sz w:val="19"/>
                <w:szCs w:val="19"/>
                <w:color w:val="auto"/>
              </w:rPr>
            </w:pPr>
          </w:p>
        </w:tc>
        <w:tc>
          <w:tcPr>
            <w:tcW w:w="114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380" w:type="dxa"/>
            <w:vAlign w:val="bottom"/>
            <w:shd w:val="clear" w:color="auto" w:fill="E2EEF6"/>
          </w:tcPr>
          <w:p>
            <w:pPr>
              <w:spacing w:after="0"/>
              <w:rPr>
                <w:sz w:val="19"/>
                <w:szCs w:val="19"/>
                <w:color w:val="auto"/>
              </w:rPr>
            </w:pPr>
          </w:p>
        </w:tc>
        <w:tc>
          <w:tcPr>
            <w:tcW w:w="100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r>
    </w:tbl>
    <w:p>
      <w:pPr>
        <w:spacing w:after="0" w:line="256"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As of March 31, 2007, the remaining assets of the former Sensors &amp; Controls business, included in assets of discontinued operations, are attributable to pension obligations in our Japan subsidiary that will be settled in 2007.</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Continuing Involvement </w:t>
      </w:r>
      <w:r>
        <w:rPr>
          <w:rFonts w:ascii="Arial" w:cs="Arial" w:eastAsia="Arial" w:hAnsi="Arial"/>
          <w:sz w:val="18"/>
          <w:szCs w:val="18"/>
          <w:color w:val="auto"/>
        </w:rPr>
        <w:t>- Upon closing of the sales transaction, we entered into a Transition Services Agreement (TSA) with Sensata to</w:t>
      </w:r>
    </w:p>
    <w:p>
      <w:pPr>
        <w:spacing w:after="0" w:line="23"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provide various temporary support services that are reasonably necessary to facilitate the continuation of the normal conduct of business of the former Sensors &amp; Controls business such as finance and accounting, human resources, information technology, warehousing and logistics, and records retention and storage. Such services are expected to be provided for up to twelve months from the closing date, although certain information technology-related services may be provided for up to two years. The fees for these services are generally equivalent to our cost. In addition, we entered into certain cross-license agreements to allow each party to continue to use the associated technology and intellectual property in the conduct of their respective business. However, these cross-license agreements generally do not involve the receipt or payment of any royalties and, therefore, are not considered to be a component of continuing involvement.</w:t>
      </w:r>
    </w:p>
    <w:p>
      <w:pPr>
        <w:spacing w:after="0" w:line="247" w:lineRule="exact"/>
        <w:rPr>
          <w:sz w:val="20"/>
          <w:szCs w:val="20"/>
          <w:color w:val="auto"/>
        </w:rPr>
      </w:pPr>
    </w:p>
    <w:p>
      <w:pPr>
        <w:ind w:left="500"/>
        <w:spacing w:after="0" w:line="297" w:lineRule="auto"/>
        <w:rPr>
          <w:sz w:val="20"/>
          <w:szCs w:val="20"/>
          <w:color w:val="auto"/>
        </w:rPr>
      </w:pPr>
      <w:r>
        <w:rPr>
          <w:rFonts w:ascii="Arial" w:cs="Arial" w:eastAsia="Arial" w:hAnsi="Arial"/>
          <w:sz w:val="16"/>
          <w:szCs w:val="16"/>
          <w:color w:val="auto"/>
        </w:rPr>
        <w:t xml:space="preserve">Although the services provided under the TSA generate continuing cash flows between us and Sensata, the amounts are not considered to be significant to the ongoing operations of either entity. In addition, we have no contractual ability through the TSA or any other agreement to significantly influence the operating or financial policies of Sensata. Under the provisions of EITF Issue No. 03-13, </w:t>
      </w:r>
      <w:r>
        <w:rPr>
          <w:rFonts w:ascii="Arial" w:cs="Arial" w:eastAsia="Arial" w:hAnsi="Arial"/>
          <w:sz w:val="16"/>
          <w:szCs w:val="16"/>
          <w:i w:val="1"/>
          <w:iCs w:val="1"/>
          <w:color w:val="auto"/>
        </w:rPr>
        <w:t>“Applying the Conditions of Paragraph 42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144 in Determining Whether to Report Discontinued Operations,” </w:t>
      </w:r>
      <w:r>
        <w:rPr>
          <w:rFonts w:ascii="Arial" w:cs="Arial" w:eastAsia="Arial" w:hAnsi="Arial"/>
          <w:sz w:val="16"/>
          <w:szCs w:val="16"/>
          <w:color w:val="auto"/>
        </w:rPr>
        <w:t>we have no significant continuing involvement in the operations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former Sensors &amp; Controls business and have classified the historical results of that business as discontinued operations.</w:t>
      </w:r>
    </w:p>
    <w:p>
      <w:pPr>
        <w:spacing w:after="0" w:line="212" w:lineRule="exact"/>
        <w:rPr>
          <w:sz w:val="20"/>
          <w:szCs w:val="20"/>
          <w:color w:val="auto"/>
        </w:rPr>
      </w:pPr>
    </w:p>
    <w:p>
      <w:pPr>
        <w:ind w:left="500" w:right="20" w:hanging="231"/>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 Computation of earnings per common share (EPS) for income from continuing operations, and a reconciliation between the basic and diluted basis, for the periods ending March 31,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8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5"/>
          </w:tcPr>
          <w:p>
            <w:pPr>
              <w:jc w:val="center"/>
              <w:ind w:left="30"/>
              <w:spacing w:after="0"/>
              <w:rPr>
                <w:sz w:val="20"/>
                <w:szCs w:val="20"/>
                <w:color w:val="auto"/>
              </w:rPr>
            </w:pPr>
            <w:r>
              <w:rPr>
                <w:rFonts w:ascii="Arial" w:cs="Arial" w:eastAsia="Arial" w:hAnsi="Arial"/>
                <w:sz w:val="18"/>
                <w:szCs w:val="18"/>
                <w:b w:val="1"/>
                <w:bCs w:val="1"/>
                <w:color w:val="auto"/>
                <w:w w:val="92"/>
              </w:rPr>
              <w:t>For Three Months Ended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8"/>
              </w:rPr>
              <w:t>March 31, 2007</w:t>
            </w: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w w:val="93"/>
              </w:rPr>
              <w:t>March 31, 2006</w:t>
            </w: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91"/>
        </w:trPr>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Income</w:t>
            </w:r>
          </w:p>
        </w:tc>
        <w:tc>
          <w:tcPr>
            <w:tcW w:w="480" w:type="dxa"/>
            <w:vAlign w:val="bottom"/>
          </w:tcPr>
          <w:p>
            <w:pPr>
              <w:spacing w:after="0"/>
              <w:rPr>
                <w:sz w:val="24"/>
                <w:szCs w:val="2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24"/>
                <w:szCs w:val="24"/>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EPS</w:t>
            </w:r>
          </w:p>
        </w:tc>
        <w:tc>
          <w:tcPr>
            <w:tcW w:w="14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w:t>
            </w:r>
          </w:p>
        </w:tc>
        <w:tc>
          <w:tcPr>
            <w:tcW w:w="36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EPS</w:t>
            </w:r>
          </w:p>
        </w:tc>
      </w:tr>
      <w:tr>
        <w:trPr>
          <w:trHeight w:val="237"/>
        </w:trPr>
        <w:tc>
          <w:tcPr>
            <w:tcW w:w="3600" w:type="dxa"/>
            <w:vAlign w:val="bottom"/>
            <w:shd w:val="clear" w:color="auto" w:fill="E2EEF6"/>
          </w:tcPr>
          <w:p>
            <w:pPr>
              <w:spacing w:after="0"/>
              <w:rPr>
                <w:sz w:val="20"/>
                <w:szCs w:val="20"/>
                <w:color w:val="auto"/>
              </w:rPr>
            </w:pPr>
          </w:p>
        </w:tc>
        <w:tc>
          <w:tcPr>
            <w:tcW w:w="120" w:type="dxa"/>
            <w:vAlign w:val="bottom"/>
            <w:tcBorders>
              <w:top w:val="single" w:sz="8" w:color="auto"/>
            </w:tcBorders>
            <w:shd w:val="clear" w:color="auto" w:fill="E2EEF6"/>
          </w:tcPr>
          <w:p>
            <w:pPr>
              <w:spacing w:after="0"/>
              <w:rPr>
                <w:sz w:val="20"/>
                <w:szCs w:val="20"/>
                <w:color w:val="auto"/>
              </w:rPr>
            </w:pPr>
          </w:p>
        </w:tc>
        <w:tc>
          <w:tcPr>
            <w:tcW w:w="820" w:type="dxa"/>
            <w:vAlign w:val="bottom"/>
            <w:tcBorders>
              <w:top w:val="single" w:sz="8" w:color="auto"/>
            </w:tcBorders>
            <w:shd w:val="clear" w:color="auto" w:fill="E2EEF6"/>
          </w:tcPr>
          <w:p>
            <w:pPr>
              <w:spacing w:after="0"/>
              <w:rPr>
                <w:sz w:val="20"/>
                <w:szCs w:val="20"/>
                <w:color w:val="auto"/>
              </w:rPr>
            </w:pPr>
          </w:p>
        </w:tc>
        <w:tc>
          <w:tcPr>
            <w:tcW w:w="480" w:type="dxa"/>
            <w:vAlign w:val="bottom"/>
            <w:shd w:val="clear" w:color="auto" w:fill="E2EEF6"/>
          </w:tcPr>
          <w:p>
            <w:pPr>
              <w:spacing w:after="0"/>
              <w:rPr>
                <w:sz w:val="20"/>
                <w:szCs w:val="20"/>
                <w:color w:val="auto"/>
              </w:rPr>
            </w:pPr>
          </w:p>
        </w:tc>
        <w:tc>
          <w:tcPr>
            <w:tcW w:w="940" w:type="dxa"/>
            <w:vAlign w:val="bottom"/>
            <w:tcBorders>
              <w:top w:val="single" w:sz="8" w:color="auto"/>
            </w:tcBorders>
            <w:shd w:val="clear" w:color="auto" w:fill="E2EEF6"/>
          </w:tcPr>
          <w:p>
            <w:pPr>
              <w:spacing w:after="0"/>
              <w:rPr>
                <w:sz w:val="20"/>
                <w:szCs w:val="20"/>
                <w:color w:val="auto"/>
              </w:rPr>
            </w:pPr>
          </w:p>
        </w:tc>
        <w:tc>
          <w:tcPr>
            <w:tcW w:w="480" w:type="dxa"/>
            <w:vAlign w:val="bottom"/>
            <w:shd w:val="clear" w:color="auto" w:fill="E2EEF6"/>
          </w:tcPr>
          <w:p>
            <w:pPr>
              <w:spacing w:after="0"/>
              <w:rPr>
                <w:sz w:val="20"/>
                <w:szCs w:val="20"/>
                <w:color w:val="auto"/>
              </w:rPr>
            </w:pPr>
          </w:p>
        </w:tc>
        <w:tc>
          <w:tcPr>
            <w:tcW w:w="280" w:type="dxa"/>
            <w:vAlign w:val="bottom"/>
            <w:tcBorders>
              <w:top w:val="single" w:sz="8" w:color="auto"/>
            </w:tcBorders>
            <w:shd w:val="clear" w:color="auto" w:fill="E2EEF6"/>
          </w:tcPr>
          <w:p>
            <w:pPr>
              <w:spacing w:after="0"/>
              <w:rPr>
                <w:sz w:val="20"/>
                <w:szCs w:val="20"/>
                <w:color w:val="auto"/>
              </w:rPr>
            </w:pPr>
          </w:p>
        </w:tc>
        <w:tc>
          <w:tcPr>
            <w:tcW w:w="66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140" w:type="dxa"/>
            <w:vAlign w:val="bottom"/>
            <w:tcBorders>
              <w:top w:val="single" w:sz="8" w:color="auto"/>
            </w:tcBorders>
            <w:shd w:val="clear" w:color="auto" w:fill="E2EEF6"/>
          </w:tcPr>
          <w:p>
            <w:pPr>
              <w:spacing w:after="0"/>
              <w:rPr>
                <w:sz w:val="20"/>
                <w:szCs w:val="20"/>
                <w:color w:val="auto"/>
              </w:rPr>
            </w:pPr>
          </w:p>
        </w:tc>
        <w:tc>
          <w:tcPr>
            <w:tcW w:w="82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360" w:type="dxa"/>
            <w:vAlign w:val="bottom"/>
            <w:shd w:val="clear" w:color="auto" w:fill="E2EEF6"/>
          </w:tcPr>
          <w:p>
            <w:pPr>
              <w:spacing w:after="0"/>
              <w:rPr>
                <w:sz w:val="20"/>
                <w:szCs w:val="20"/>
                <w:color w:val="auto"/>
              </w:rPr>
            </w:pPr>
          </w:p>
        </w:tc>
        <w:tc>
          <w:tcPr>
            <w:tcW w:w="960" w:type="dxa"/>
            <w:vAlign w:val="bottom"/>
            <w:tcBorders>
              <w:top w:val="single" w:sz="8" w:color="auto"/>
            </w:tcBorders>
            <w:shd w:val="clear" w:color="auto" w:fill="E2EEF6"/>
          </w:tcPr>
          <w:p>
            <w:pPr>
              <w:spacing w:after="0"/>
              <w:rPr>
                <w:sz w:val="20"/>
                <w:szCs w:val="20"/>
                <w:color w:val="auto"/>
              </w:rPr>
            </w:pPr>
          </w:p>
        </w:tc>
        <w:tc>
          <w:tcPr>
            <w:tcW w:w="42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300" w:type="dxa"/>
            <w:vAlign w:val="bottom"/>
            <w:tcBorders>
              <w:top w:val="single" w:sz="8" w:color="auto"/>
            </w:tcBorders>
            <w:shd w:val="clear" w:color="auto" w:fill="E2EEF6"/>
          </w:tcPr>
          <w:p>
            <w:pPr>
              <w:spacing w:after="0"/>
              <w:rPr>
                <w:sz w:val="20"/>
                <w:szCs w:val="20"/>
                <w:color w:val="auto"/>
              </w:rPr>
            </w:pPr>
          </w:p>
        </w:tc>
        <w:tc>
          <w:tcPr>
            <w:tcW w:w="680" w:type="dxa"/>
            <w:vAlign w:val="bottom"/>
            <w:tcBorders>
              <w:top w:val="single" w:sz="8" w:color="auto"/>
            </w:tcBorders>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r>
      <w:tr>
        <w:trPr>
          <w:trHeight w:val="243"/>
        </w:trPr>
        <w:tc>
          <w:tcPr>
            <w:tcW w:w="3600" w:type="dxa"/>
            <w:vAlign w:val="bottom"/>
          </w:tcPr>
          <w:p>
            <w:pPr>
              <w:ind w:left="480"/>
              <w:spacing w:after="0"/>
              <w:rPr>
                <w:sz w:val="20"/>
                <w:szCs w:val="20"/>
                <w:color w:val="auto"/>
              </w:rPr>
            </w:pPr>
            <w:r>
              <w:rPr>
                <w:rFonts w:ascii="Arial" w:cs="Arial" w:eastAsia="Arial" w:hAnsi="Arial"/>
                <w:sz w:val="18"/>
                <w:szCs w:val="18"/>
                <w:color w:val="auto"/>
              </w:rPr>
              <w:t>Basic EPS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516</w:t>
            </w:r>
          </w:p>
        </w:tc>
        <w:tc>
          <w:tcPr>
            <w:tcW w:w="1900" w:type="dxa"/>
            <w:vAlign w:val="bottom"/>
            <w:gridSpan w:val="3"/>
          </w:tcPr>
          <w:p>
            <w:pPr>
              <w:jc w:val="right"/>
              <w:ind w:right="480"/>
              <w:spacing w:after="0"/>
              <w:rPr>
                <w:sz w:val="20"/>
                <w:szCs w:val="20"/>
                <w:color w:val="auto"/>
              </w:rPr>
            </w:pPr>
            <w:r>
              <w:rPr>
                <w:rFonts w:ascii="Arial" w:cs="Arial" w:eastAsia="Arial" w:hAnsi="Arial"/>
                <w:sz w:val="18"/>
                <w:szCs w:val="18"/>
                <w:color w:val="auto"/>
              </w:rPr>
              <w:t>1,442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c>
          <w:tcPr>
            <w:tcW w:w="1740" w:type="dxa"/>
            <w:vAlign w:val="bottom"/>
            <w:gridSpan w:val="3"/>
          </w:tcPr>
          <w:p>
            <w:pPr>
              <w:jc w:val="right"/>
              <w:ind w:right="420"/>
              <w:spacing w:after="0"/>
              <w:rPr>
                <w:sz w:val="20"/>
                <w:szCs w:val="20"/>
                <w:color w:val="auto"/>
              </w:rPr>
            </w:pPr>
            <w:r>
              <w:rPr>
                <w:rFonts w:ascii="Arial" w:cs="Arial" w:eastAsia="Arial" w:hAnsi="Arial"/>
                <w:sz w:val="18"/>
                <w:szCs w:val="18"/>
                <w:color w:val="auto"/>
              </w:rPr>
              <w:t>1,585</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r>
      <w:tr>
        <w:trPr>
          <w:trHeight w:val="243"/>
        </w:trPr>
        <w:tc>
          <w:tcPr>
            <w:tcW w:w="3600" w:type="dxa"/>
            <w:vAlign w:val="bottom"/>
            <w:shd w:val="clear" w:color="auto" w:fill="E2EEF6"/>
          </w:tcPr>
          <w:p>
            <w:pPr>
              <w:ind w:left="480"/>
              <w:spacing w:after="0"/>
              <w:rPr>
                <w:sz w:val="20"/>
                <w:szCs w:val="20"/>
                <w:color w:val="auto"/>
              </w:rPr>
            </w:pPr>
            <w:r>
              <w:rPr>
                <w:rFonts w:ascii="Arial" w:cs="Arial" w:eastAsia="Arial" w:hAnsi="Arial"/>
                <w:sz w:val="18"/>
                <w:szCs w:val="18"/>
                <w:color w:val="auto"/>
              </w:rPr>
              <w:t>Dilutives:</w:t>
            </w:r>
          </w:p>
        </w:tc>
        <w:tc>
          <w:tcPr>
            <w:tcW w:w="120" w:type="dxa"/>
            <w:vAlign w:val="bottom"/>
            <w:shd w:val="clear" w:color="auto" w:fill="E2EEF6"/>
          </w:tcPr>
          <w:p>
            <w:pPr>
              <w:spacing w:after="0"/>
              <w:rPr>
                <w:sz w:val="21"/>
                <w:szCs w:val="21"/>
                <w:color w:val="auto"/>
              </w:rPr>
            </w:pPr>
          </w:p>
        </w:tc>
        <w:tc>
          <w:tcPr>
            <w:tcW w:w="820" w:type="dxa"/>
            <w:vAlign w:val="bottom"/>
            <w:shd w:val="clear" w:color="auto" w:fill="E2EEF6"/>
          </w:tcPr>
          <w:p>
            <w:pPr>
              <w:spacing w:after="0"/>
              <w:rPr>
                <w:sz w:val="21"/>
                <w:szCs w:val="21"/>
                <w:color w:val="auto"/>
              </w:rPr>
            </w:pPr>
          </w:p>
        </w:tc>
        <w:tc>
          <w:tcPr>
            <w:tcW w:w="480" w:type="dxa"/>
            <w:vAlign w:val="bottom"/>
            <w:shd w:val="clear" w:color="auto" w:fill="E2EEF6"/>
          </w:tcPr>
          <w:p>
            <w:pPr>
              <w:spacing w:after="0"/>
              <w:rPr>
                <w:sz w:val="21"/>
                <w:szCs w:val="21"/>
                <w:color w:val="auto"/>
              </w:rPr>
            </w:pPr>
          </w:p>
        </w:tc>
        <w:tc>
          <w:tcPr>
            <w:tcW w:w="940" w:type="dxa"/>
            <w:vAlign w:val="bottom"/>
            <w:shd w:val="clear" w:color="auto" w:fill="E2EEF6"/>
          </w:tcPr>
          <w:p>
            <w:pPr>
              <w:spacing w:after="0"/>
              <w:rPr>
                <w:sz w:val="21"/>
                <w:szCs w:val="21"/>
                <w:color w:val="auto"/>
              </w:rPr>
            </w:pPr>
          </w:p>
        </w:tc>
        <w:tc>
          <w:tcPr>
            <w:tcW w:w="480" w:type="dxa"/>
            <w:vAlign w:val="bottom"/>
            <w:shd w:val="clear" w:color="auto" w:fill="E2EEF6"/>
          </w:tcPr>
          <w:p>
            <w:pPr>
              <w:spacing w:after="0"/>
              <w:rPr>
                <w:sz w:val="21"/>
                <w:szCs w:val="21"/>
                <w:color w:val="auto"/>
              </w:rPr>
            </w:pPr>
          </w:p>
        </w:tc>
        <w:tc>
          <w:tcPr>
            <w:tcW w:w="280" w:type="dxa"/>
            <w:vAlign w:val="bottom"/>
            <w:shd w:val="clear" w:color="auto" w:fill="E2EEF6"/>
          </w:tcPr>
          <w:p>
            <w:pPr>
              <w:spacing w:after="0"/>
              <w:rPr>
                <w:sz w:val="21"/>
                <w:szCs w:val="21"/>
                <w:color w:val="auto"/>
              </w:rPr>
            </w:pPr>
          </w:p>
        </w:tc>
        <w:tc>
          <w:tcPr>
            <w:tcW w:w="6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82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360" w:type="dxa"/>
            <w:vAlign w:val="bottom"/>
            <w:shd w:val="clear" w:color="auto" w:fill="E2EEF6"/>
          </w:tcPr>
          <w:p>
            <w:pPr>
              <w:spacing w:after="0"/>
              <w:rPr>
                <w:sz w:val="21"/>
                <w:szCs w:val="21"/>
                <w:color w:val="auto"/>
              </w:rPr>
            </w:pPr>
          </w:p>
        </w:tc>
        <w:tc>
          <w:tcPr>
            <w:tcW w:w="96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4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6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r>
      <w:tr>
        <w:trPr>
          <w:trHeight w:val="270"/>
        </w:trPr>
        <w:tc>
          <w:tcPr>
            <w:tcW w:w="3600" w:type="dxa"/>
            <w:vAlign w:val="bottom"/>
          </w:tcPr>
          <w:p>
            <w:pPr>
              <w:ind w:left="800"/>
              <w:spacing w:after="0"/>
              <w:rPr>
                <w:sz w:val="20"/>
                <w:szCs w:val="20"/>
                <w:color w:val="auto"/>
              </w:rPr>
            </w:pPr>
            <w:r>
              <w:rPr>
                <w:rFonts w:ascii="Arial" w:cs="Arial" w:eastAsia="Arial" w:hAnsi="Arial"/>
                <w:sz w:val="18"/>
                <w:szCs w:val="18"/>
                <w:color w:val="auto"/>
              </w:rPr>
              <w:t>Stock-based compensation plans</w:t>
            </w: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264"/>
        </w:trPr>
        <w:tc>
          <w:tcPr>
            <w:tcW w:w="3600" w:type="dxa"/>
            <w:vAlign w:val="bottom"/>
          </w:tcPr>
          <w:p>
            <w:pPr>
              <w:ind w:left="480"/>
              <w:spacing w:after="0"/>
              <w:rPr>
                <w:sz w:val="20"/>
                <w:szCs w:val="20"/>
                <w:color w:val="auto"/>
              </w:rPr>
            </w:pPr>
            <w:r>
              <w:rPr>
                <w:rFonts w:ascii="Arial" w:cs="Arial" w:eastAsia="Arial" w:hAnsi="Arial"/>
                <w:sz w:val="18"/>
                <w:szCs w:val="18"/>
                <w:color w:val="auto"/>
              </w:rPr>
              <w:t>Diluted EPS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516</w:t>
            </w:r>
          </w:p>
        </w:tc>
        <w:tc>
          <w:tcPr>
            <w:tcW w:w="480" w:type="dxa"/>
            <w:vAlign w:val="bottom"/>
          </w:tcPr>
          <w:p>
            <w:pPr>
              <w:spacing w:after="0"/>
              <w:rPr>
                <w:sz w:val="22"/>
                <w:szCs w:val="22"/>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1,470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c>
          <w:tcPr>
            <w:tcW w:w="1740" w:type="dxa"/>
            <w:vAlign w:val="bottom"/>
            <w:gridSpan w:val="3"/>
          </w:tcPr>
          <w:p>
            <w:pPr>
              <w:jc w:val="right"/>
              <w:ind w:right="420"/>
              <w:spacing w:after="0"/>
              <w:rPr>
                <w:sz w:val="20"/>
                <w:szCs w:val="20"/>
                <w:color w:val="auto"/>
              </w:rPr>
            </w:pPr>
            <w:r>
              <w:rPr>
                <w:rFonts w:ascii="Arial" w:cs="Arial" w:eastAsia="Arial" w:hAnsi="Arial"/>
                <w:sz w:val="18"/>
                <w:szCs w:val="18"/>
                <w:color w:val="auto"/>
              </w:rPr>
              <w:t>1,618</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hanging="231"/>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Stock-based Compensation</w:t>
      </w:r>
      <w:r>
        <w:rPr>
          <w:rFonts w:ascii="Arial" w:cs="Arial" w:eastAsia="Arial" w:hAnsi="Arial"/>
          <w:sz w:val="18"/>
          <w:szCs w:val="18"/>
          <w:color w:val="auto"/>
        </w:rPr>
        <w:t>. We have several stock-based employee compensation plans, which are more fully described in Note 9 of our 2006 annual report on Form 10-K.</w:t>
      </w:r>
    </w:p>
    <w:p>
      <w:pPr>
        <w:sectPr>
          <w:pgSz w:w="11900" w:h="16838" w:orient="portrait"/>
          <w:cols w:equalWidth="0" w:num="1">
            <w:col w:w="11420"/>
          </w:cols>
          <w:pgMar w:left="240" w:top="125" w:right="2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8360" w:type="dxa"/>
            <w:vAlign w:val="bottom"/>
          </w:tcPr>
          <w:p>
            <w:pPr>
              <w:ind w:left="500"/>
              <w:spacing w:after="0"/>
              <w:rPr>
                <w:sz w:val="20"/>
                <w:szCs w:val="20"/>
                <w:color w:val="auto"/>
              </w:rPr>
            </w:pPr>
            <w:r>
              <w:rPr>
                <w:rFonts w:ascii="Arial" w:cs="Arial" w:eastAsia="Arial" w:hAnsi="Arial"/>
                <w:sz w:val="18"/>
                <w:szCs w:val="18"/>
                <w:color w:val="auto"/>
                <w:w w:val="94"/>
              </w:rPr>
              <w:t>The amounts of stock-based compensation expense recognized in the periods presented are as follows:</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360" w:type="dxa"/>
            <w:vAlign w:val="bottom"/>
          </w:tcPr>
          <w:p>
            <w:pPr>
              <w:spacing w:after="0"/>
              <w:rPr>
                <w:sz w:val="24"/>
                <w:szCs w:val="24"/>
                <w:color w:val="auto"/>
              </w:rPr>
            </w:pPr>
          </w:p>
        </w:tc>
        <w:tc>
          <w:tcPr>
            <w:tcW w:w="3060" w:type="dxa"/>
            <w:vAlign w:val="bottom"/>
            <w:gridSpan w:val="6"/>
          </w:tcPr>
          <w:p>
            <w:pPr>
              <w:ind w:left="80"/>
              <w:spacing w:after="0"/>
              <w:rPr>
                <w:sz w:val="20"/>
                <w:szCs w:val="20"/>
                <w:color w:val="auto"/>
              </w:rPr>
            </w:pPr>
            <w:r>
              <w:rPr>
                <w:rFonts w:ascii="Arial" w:cs="Arial" w:eastAsia="Arial" w:hAnsi="Arial"/>
                <w:sz w:val="18"/>
                <w:szCs w:val="18"/>
                <w:b w:val="1"/>
                <w:bCs w:val="1"/>
                <w:color w:val="auto"/>
                <w:w w:val="98"/>
              </w:rPr>
              <w:t>For Three Months Ended March 31,</w:t>
            </w:r>
          </w:p>
        </w:tc>
      </w:tr>
      <w:tr>
        <w:trPr>
          <w:trHeight w:val="264"/>
        </w:trPr>
        <w:tc>
          <w:tcPr>
            <w:tcW w:w="836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8360" w:type="dxa"/>
            <w:vAlign w:val="bottom"/>
            <w:shd w:val="clear" w:color="auto" w:fill="E2EEF6"/>
          </w:tcPr>
          <w:p>
            <w:pPr>
              <w:spacing w:after="0"/>
              <w:rPr>
                <w:sz w:val="20"/>
                <w:szCs w:val="20"/>
                <w:color w:val="auto"/>
              </w:rPr>
            </w:pPr>
          </w:p>
        </w:tc>
        <w:tc>
          <w:tcPr>
            <w:tcW w:w="1020" w:type="dxa"/>
            <w:vAlign w:val="bottom"/>
            <w:shd w:val="clear" w:color="auto" w:fill="E2EEF6"/>
          </w:tcPr>
          <w:p>
            <w:pPr>
              <w:spacing w:after="0"/>
              <w:rPr>
                <w:sz w:val="20"/>
                <w:szCs w:val="20"/>
                <w:color w:val="auto"/>
              </w:rPr>
            </w:pPr>
          </w:p>
        </w:tc>
        <w:tc>
          <w:tcPr>
            <w:tcW w:w="36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6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43"/>
        </w:trPr>
        <w:tc>
          <w:tcPr>
            <w:tcW w:w="8360" w:type="dxa"/>
            <w:vAlign w:val="bottom"/>
          </w:tcPr>
          <w:p>
            <w:pPr>
              <w:ind w:left="460"/>
              <w:spacing w:after="0"/>
              <w:rPr>
                <w:sz w:val="20"/>
                <w:szCs w:val="20"/>
                <w:color w:val="auto"/>
              </w:rPr>
            </w:pPr>
            <w:r>
              <w:rPr>
                <w:rFonts w:ascii="Arial" w:cs="Arial" w:eastAsia="Arial" w:hAnsi="Arial"/>
                <w:sz w:val="18"/>
                <w:szCs w:val="18"/>
                <w:color w:val="auto"/>
              </w:rPr>
              <w:t>Stock-based compensation expense recognized:</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60" w:type="dxa"/>
            <w:vAlign w:val="bottom"/>
            <w:shd w:val="clear" w:color="auto" w:fill="E2EEF6"/>
          </w:tcPr>
          <w:p>
            <w:pPr>
              <w:ind w:left="620"/>
              <w:spacing w:after="0"/>
              <w:rPr>
                <w:sz w:val="20"/>
                <w:szCs w:val="20"/>
                <w:color w:val="auto"/>
              </w:rPr>
            </w:pPr>
            <w:r>
              <w:rPr>
                <w:rFonts w:ascii="Arial" w:cs="Arial" w:eastAsia="Arial" w:hAnsi="Arial"/>
                <w:sz w:val="18"/>
                <w:szCs w:val="18"/>
                <w:color w:val="auto"/>
              </w:rPr>
              <w:t>COR</w:t>
            </w:r>
          </w:p>
        </w:tc>
        <w:tc>
          <w:tcPr>
            <w:tcW w:w="1020" w:type="dxa"/>
            <w:vAlign w:val="bottom"/>
            <w:shd w:val="clear" w:color="auto" w:fill="E2EEF6"/>
          </w:tcPr>
          <w:p>
            <w:pPr>
              <w:jc w:val="right"/>
              <w:ind w:right="85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15</w:t>
            </w:r>
          </w:p>
        </w:tc>
        <w:tc>
          <w:tcPr>
            <w:tcW w:w="520" w:type="dxa"/>
            <w:vAlign w:val="bottom"/>
            <w:gridSpan w:val="2"/>
            <w:shd w:val="clear" w:color="auto" w:fill="E2EEF6"/>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18</w:t>
            </w:r>
          </w:p>
        </w:tc>
      </w:tr>
      <w:tr>
        <w:trPr>
          <w:trHeight w:val="243"/>
        </w:trPr>
        <w:tc>
          <w:tcPr>
            <w:tcW w:w="8360" w:type="dxa"/>
            <w:vAlign w:val="bottom"/>
          </w:tcPr>
          <w:p>
            <w:pPr>
              <w:ind w:left="620"/>
              <w:spacing w:after="0"/>
              <w:rPr>
                <w:sz w:val="20"/>
                <w:szCs w:val="20"/>
                <w:color w:val="auto"/>
              </w:rPr>
            </w:pPr>
            <w:r>
              <w:rPr>
                <w:rFonts w:ascii="Arial" w:cs="Arial" w:eastAsia="Arial" w:hAnsi="Arial"/>
                <w:sz w:val="18"/>
                <w:szCs w:val="18"/>
                <w:color w:val="auto"/>
              </w:rPr>
              <w:t>R&amp;D</w:t>
            </w:r>
          </w:p>
        </w:tc>
        <w:tc>
          <w:tcPr>
            <w:tcW w:w="10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75"/>
        </w:trPr>
        <w:tc>
          <w:tcPr>
            <w:tcW w:w="8360" w:type="dxa"/>
            <w:vAlign w:val="bottom"/>
            <w:tcBorders>
              <w:bottom w:val="single" w:sz="8" w:color="E2EEF6"/>
            </w:tcBorders>
            <w:shd w:val="clear" w:color="auto" w:fill="E2EEF6"/>
          </w:tcPr>
          <w:p>
            <w:pPr>
              <w:ind w:left="620"/>
              <w:spacing w:after="0"/>
              <w:rPr>
                <w:sz w:val="20"/>
                <w:szCs w:val="20"/>
                <w:color w:val="auto"/>
              </w:rPr>
            </w:pPr>
            <w:r>
              <w:rPr>
                <w:rFonts w:ascii="Arial" w:cs="Arial" w:eastAsia="Arial" w:hAnsi="Arial"/>
                <w:sz w:val="18"/>
                <w:szCs w:val="18"/>
                <w:color w:val="auto"/>
              </w:rPr>
              <w:t>SG&amp;A</w:t>
            </w:r>
          </w:p>
        </w:tc>
        <w:tc>
          <w:tcPr>
            <w:tcW w:w="1020" w:type="dxa"/>
            <w:vAlign w:val="bottom"/>
            <w:tcBorders>
              <w:bottom w:val="single" w:sz="8" w:color="E2EEF6"/>
            </w:tcBorders>
            <w:shd w:val="clear" w:color="auto" w:fill="E2EEF6"/>
          </w:tcPr>
          <w:p>
            <w:pPr>
              <w:spacing w:after="0"/>
              <w:rPr>
                <w:sz w:val="23"/>
                <w:szCs w:val="23"/>
                <w:color w:val="auto"/>
              </w:rPr>
            </w:pPr>
          </w:p>
        </w:tc>
        <w:tc>
          <w:tcPr>
            <w:tcW w:w="36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E2EEF6"/>
            </w:tcBorders>
            <w:shd w:val="clear" w:color="auto" w:fill="E2EEF6"/>
          </w:tcPr>
          <w:p>
            <w:pPr>
              <w:spacing w:after="0"/>
              <w:rPr>
                <w:sz w:val="23"/>
                <w:szCs w:val="23"/>
                <w:color w:val="auto"/>
              </w:rPr>
            </w:pPr>
          </w:p>
        </w:tc>
        <w:tc>
          <w:tcPr>
            <w:tcW w:w="300" w:type="dxa"/>
            <w:vAlign w:val="bottom"/>
            <w:tcBorders>
              <w:bottom w:val="single" w:sz="8" w:color="E2EEF6"/>
            </w:tcBorders>
            <w:shd w:val="clear" w:color="auto" w:fill="E2EEF6"/>
          </w:tcPr>
          <w:p>
            <w:pPr>
              <w:spacing w:after="0"/>
              <w:rPr>
                <w:sz w:val="23"/>
                <w:szCs w:val="23"/>
                <w:color w:val="auto"/>
              </w:rPr>
            </w:pPr>
          </w:p>
        </w:tc>
        <w:tc>
          <w:tcPr>
            <w:tcW w:w="116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45</w:t>
            </w:r>
          </w:p>
        </w:tc>
      </w:tr>
      <w:tr>
        <w:trPr>
          <w:trHeight w:val="237"/>
        </w:trPr>
        <w:tc>
          <w:tcPr>
            <w:tcW w:w="8360" w:type="dxa"/>
            <w:vAlign w:val="bottom"/>
            <w:tcBorders>
              <w:top w:val="single" w:sz="8" w:color="E2EEF6"/>
            </w:tcBorders>
          </w:tcPr>
          <w:p>
            <w:pPr>
              <w:ind w:left="62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ind w:right="85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top w:val="single" w:sz="8" w:color="E2EEF6"/>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E2EEF6"/>
            </w:tcBorders>
          </w:tcPr>
          <w:p>
            <w:pPr>
              <w:spacing w:after="0"/>
              <w:rPr>
                <w:sz w:val="20"/>
                <w:szCs w:val="20"/>
                <w:color w:val="auto"/>
              </w:rPr>
            </w:pPr>
          </w:p>
        </w:tc>
      </w:tr>
      <w:tr>
        <w:trPr>
          <w:trHeight w:val="20"/>
        </w:trPr>
        <w:tc>
          <w:tcPr>
            <w:tcW w:w="8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right="140"/>
        <w:spacing w:after="0" w:line="264" w:lineRule="auto"/>
        <w:rPr>
          <w:sz w:val="20"/>
          <w:szCs w:val="20"/>
          <w:color w:val="auto"/>
        </w:rPr>
      </w:pPr>
      <w:r>
        <w:rPr>
          <w:rFonts w:ascii="Arial" w:cs="Arial" w:eastAsia="Arial" w:hAnsi="Arial"/>
          <w:sz w:val="18"/>
          <w:szCs w:val="18"/>
          <w:color w:val="auto"/>
        </w:rPr>
        <w:t>The amounts above include the impact of recognizing compensation expense related to restricted stock units (RSUs), nonqualified stock options and stock options offered under the employee stock purchase plan. Stock-based compensation expense has not been allocated to the various segments, but is reflected in Corporate.</w:t>
      </w:r>
    </w:p>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Postretirement Benefit Plans</w:t>
      </w:r>
      <w:r>
        <w:rPr>
          <w:rFonts w:ascii="Arial" w:cs="Arial" w:eastAsia="Arial" w:hAnsi="Arial"/>
          <w:sz w:val="18"/>
          <w:szCs w:val="18"/>
          <w:color w:val="auto"/>
        </w:rPr>
        <w:t>. Components of net periodic employee benefit cost is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U.S.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97"/>
              </w:rPr>
              <w:t>Non-U.S.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Defined Benefit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3"/>
          </w:tcPr>
          <w:p>
            <w:pPr>
              <w:ind w:left="160"/>
              <w:spacing w:after="0"/>
              <w:rPr>
                <w:sz w:val="20"/>
                <w:szCs w:val="20"/>
                <w:color w:val="auto"/>
              </w:rPr>
            </w:pPr>
            <w:r>
              <w:rPr>
                <w:rFonts w:ascii="Arial" w:cs="Arial" w:eastAsia="Arial" w:hAnsi="Arial"/>
                <w:sz w:val="18"/>
                <w:szCs w:val="18"/>
                <w:b w:val="1"/>
                <w:bCs w:val="1"/>
                <w:color w:val="auto"/>
              </w:rPr>
              <w:t>Retiree Health Care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Defined Benefit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460" w:type="dxa"/>
            <w:vAlign w:val="bottom"/>
          </w:tcPr>
          <w:p>
            <w:pPr>
              <w:spacing w:after="0"/>
              <w:rPr>
                <w:sz w:val="22"/>
                <w:szCs w:val="22"/>
                <w:color w:val="auto"/>
              </w:rPr>
            </w:pPr>
          </w:p>
        </w:tc>
        <w:tc>
          <w:tcPr>
            <w:tcW w:w="3440" w:type="dxa"/>
            <w:vAlign w:val="bottom"/>
            <w:gridSpan w:val="2"/>
          </w:tcPr>
          <w:p>
            <w:pPr>
              <w:ind w:left="280"/>
              <w:spacing w:after="0"/>
              <w:rPr>
                <w:sz w:val="20"/>
                <w:szCs w:val="20"/>
                <w:color w:val="auto"/>
              </w:rPr>
            </w:pPr>
            <w:r>
              <w:rPr>
                <w:rFonts w:ascii="Arial" w:cs="Arial" w:eastAsia="Arial" w:hAnsi="Arial"/>
                <w:sz w:val="18"/>
                <w:szCs w:val="18"/>
                <w:b w:val="1"/>
                <w:bCs w:val="1"/>
                <w:color w:val="auto"/>
              </w:rPr>
              <w:t>For Three Months Ended Mar. 31,</w:t>
            </w: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2007</w:t>
            </w: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2006</w:t>
            </w:r>
          </w:p>
        </w:tc>
        <w:tc>
          <w:tcPr>
            <w:tcW w:w="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3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2006</w:t>
            </w:r>
          </w:p>
        </w:tc>
        <w:tc>
          <w:tcPr>
            <w:tcW w:w="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460" w:type="dxa"/>
            <w:vAlign w:val="bottom"/>
            <w:shd w:val="clear" w:color="auto" w:fill="E2EEF6"/>
          </w:tcPr>
          <w:p>
            <w:pPr>
              <w:spacing w:after="0"/>
              <w:rPr>
                <w:sz w:val="20"/>
                <w:szCs w:val="20"/>
                <w:color w:val="auto"/>
              </w:rPr>
            </w:pPr>
          </w:p>
        </w:tc>
        <w:tc>
          <w:tcPr>
            <w:tcW w:w="3200" w:type="dxa"/>
            <w:vAlign w:val="bottom"/>
            <w:tcBorders>
              <w:top w:val="single" w:sz="8" w:color="auto"/>
            </w:tcBorders>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240" w:type="dxa"/>
            <w:vAlign w:val="bottom"/>
            <w:tcBorders>
              <w:top w:val="single" w:sz="8" w:color="auto"/>
            </w:tcBorders>
            <w:shd w:val="clear" w:color="auto" w:fill="E2EEF6"/>
          </w:tcPr>
          <w:p>
            <w:pPr>
              <w:spacing w:after="0"/>
              <w:rPr>
                <w:sz w:val="20"/>
                <w:szCs w:val="20"/>
                <w:color w:val="auto"/>
              </w:rPr>
            </w:pPr>
          </w:p>
        </w:tc>
        <w:tc>
          <w:tcPr>
            <w:tcW w:w="920" w:type="dxa"/>
            <w:vAlign w:val="bottom"/>
            <w:tcBorders>
              <w:top w:val="single" w:sz="8" w:color="auto"/>
            </w:tcBorders>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240" w:type="dxa"/>
            <w:vAlign w:val="bottom"/>
            <w:tcBorders>
              <w:top w:val="single" w:sz="8" w:color="auto"/>
            </w:tcBorders>
            <w:shd w:val="clear" w:color="auto" w:fill="E2EEF6"/>
          </w:tcPr>
          <w:p>
            <w:pPr>
              <w:spacing w:after="0"/>
              <w:rPr>
                <w:sz w:val="20"/>
                <w:szCs w:val="20"/>
                <w:color w:val="auto"/>
              </w:rPr>
            </w:pPr>
          </w:p>
        </w:tc>
        <w:tc>
          <w:tcPr>
            <w:tcW w:w="920" w:type="dxa"/>
            <w:vAlign w:val="bottom"/>
            <w:tcBorders>
              <w:top w:val="single" w:sz="8" w:color="auto"/>
            </w:tcBorders>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220" w:type="dxa"/>
            <w:vAlign w:val="bottom"/>
            <w:tcBorders>
              <w:top w:val="single" w:sz="8" w:color="auto"/>
            </w:tcBorders>
            <w:shd w:val="clear" w:color="auto" w:fill="E2EEF6"/>
          </w:tcPr>
          <w:p>
            <w:pPr>
              <w:spacing w:after="0"/>
              <w:rPr>
                <w:sz w:val="20"/>
                <w:szCs w:val="20"/>
                <w:color w:val="auto"/>
              </w:rPr>
            </w:pPr>
          </w:p>
        </w:tc>
        <w:tc>
          <w:tcPr>
            <w:tcW w:w="900" w:type="dxa"/>
            <w:vAlign w:val="bottom"/>
            <w:tcBorders>
              <w:top w:val="single" w:sz="8" w:color="auto"/>
            </w:tcBorders>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860" w:type="dxa"/>
            <w:vAlign w:val="bottom"/>
            <w:tcBorders>
              <w:top w:val="single" w:sz="8" w:color="auto"/>
            </w:tcBorders>
            <w:shd w:val="clear" w:color="auto" w:fill="E2EEF6"/>
          </w:tcPr>
          <w:p>
            <w:pPr>
              <w:spacing w:after="0"/>
              <w:rPr>
                <w:sz w:val="20"/>
                <w:szCs w:val="20"/>
                <w:color w:val="auto"/>
              </w:rPr>
            </w:pPr>
          </w:p>
        </w:tc>
        <w:tc>
          <w:tcPr>
            <w:tcW w:w="260" w:type="dxa"/>
            <w:vAlign w:val="bottom"/>
            <w:tcBorders>
              <w:top w:val="single" w:sz="8" w:color="auto"/>
            </w:tcBorders>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780" w:type="dxa"/>
            <w:vAlign w:val="bottom"/>
            <w:tcBorders>
              <w:top w:val="single" w:sz="8" w:color="auto"/>
            </w:tcBorders>
            <w:shd w:val="clear" w:color="auto" w:fill="E2EEF6"/>
          </w:tcPr>
          <w:p>
            <w:pPr>
              <w:spacing w:after="0"/>
              <w:rPr>
                <w:sz w:val="20"/>
                <w:szCs w:val="20"/>
                <w:color w:val="auto"/>
              </w:rPr>
            </w:pPr>
          </w:p>
        </w:tc>
        <w:tc>
          <w:tcPr>
            <w:tcW w:w="34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820" w:type="dxa"/>
            <w:vAlign w:val="bottom"/>
            <w:tcBorders>
              <w:top w:val="single" w:sz="8" w:color="auto"/>
            </w:tcBorders>
            <w:shd w:val="clear" w:color="auto" w:fill="E2EEF6"/>
          </w:tcPr>
          <w:p>
            <w:pPr>
              <w:spacing w:after="0"/>
              <w:rPr>
                <w:sz w:val="20"/>
                <w:szCs w:val="20"/>
                <w:color w:val="auto"/>
              </w:rPr>
            </w:pPr>
          </w:p>
        </w:tc>
        <w:tc>
          <w:tcPr>
            <w:tcW w:w="32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43"/>
        </w:trPr>
        <w:tc>
          <w:tcPr>
            <w:tcW w:w="460" w:type="dxa"/>
            <w:vAlign w:val="bottom"/>
          </w:tcPr>
          <w:p>
            <w:pPr>
              <w:spacing w:after="0"/>
              <w:rPr>
                <w:sz w:val="21"/>
                <w:szCs w:val="21"/>
                <w:color w:val="auto"/>
              </w:rPr>
            </w:pPr>
          </w:p>
        </w:tc>
        <w:tc>
          <w:tcPr>
            <w:tcW w:w="3440" w:type="dxa"/>
            <w:vAlign w:val="bottom"/>
            <w:gridSpan w:val="2"/>
          </w:tcPr>
          <w:p>
            <w:pPr>
              <w:ind w:left="50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60" w:type="dxa"/>
            <w:vAlign w:val="bottom"/>
          </w:tcPr>
          <w:p>
            <w:pPr>
              <w:jc w:val="right"/>
              <w:ind w:right="700"/>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780" w:type="dxa"/>
            <w:vAlign w:val="bottom"/>
          </w:tcPr>
          <w:p>
            <w:pPr>
              <w:jc w:val="right"/>
              <w:ind w:right="617"/>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840" w:type="dxa"/>
            <w:vAlign w:val="bottom"/>
            <w:gridSpan w:val="2"/>
          </w:tcPr>
          <w:p>
            <w:pPr>
              <w:jc w:val="right"/>
              <w:ind w:right="74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43"/>
        </w:trPr>
        <w:tc>
          <w:tcPr>
            <w:tcW w:w="460" w:type="dxa"/>
            <w:vAlign w:val="bottom"/>
            <w:shd w:val="clear" w:color="auto" w:fill="E2EEF6"/>
          </w:tcPr>
          <w:p>
            <w:pPr>
              <w:spacing w:after="0"/>
              <w:rPr>
                <w:sz w:val="21"/>
                <w:szCs w:val="21"/>
                <w:color w:val="auto"/>
              </w:rPr>
            </w:pPr>
          </w:p>
        </w:tc>
        <w:tc>
          <w:tcPr>
            <w:tcW w:w="3440" w:type="dxa"/>
            <w:vAlign w:val="bottom"/>
            <w:gridSpan w:val="2"/>
            <w:shd w:val="clear" w:color="auto" w:fill="E2EEF6"/>
          </w:tcPr>
          <w:p>
            <w:pPr>
              <w:ind w:left="50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E2EEF6"/>
          </w:tcPr>
          <w:p>
            <w:pPr>
              <w:spacing w:after="0"/>
              <w:rPr>
                <w:sz w:val="21"/>
                <w:szCs w:val="21"/>
                <w:color w:val="auto"/>
              </w:rPr>
            </w:pPr>
          </w:p>
        </w:tc>
        <w:tc>
          <w:tcPr>
            <w:tcW w:w="9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10</w:t>
            </w:r>
          </w:p>
        </w:tc>
        <w:tc>
          <w:tcPr>
            <w:tcW w:w="4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0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6</w:t>
            </w:r>
          </w:p>
        </w:tc>
        <w:tc>
          <w:tcPr>
            <w:tcW w:w="860" w:type="dxa"/>
            <w:vAlign w:val="bottom"/>
            <w:shd w:val="clear" w:color="auto" w:fill="E2EEF6"/>
          </w:tcPr>
          <w:p>
            <w:pPr>
              <w:spacing w:after="0"/>
              <w:rPr>
                <w:sz w:val="21"/>
                <w:szCs w:val="21"/>
                <w:color w:val="auto"/>
              </w:rPr>
            </w:pPr>
          </w:p>
        </w:tc>
        <w:tc>
          <w:tcPr>
            <w:tcW w:w="38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6</w:t>
            </w:r>
          </w:p>
        </w:tc>
        <w:tc>
          <w:tcPr>
            <w:tcW w:w="780" w:type="dxa"/>
            <w:vAlign w:val="bottom"/>
            <w:shd w:val="clear" w:color="auto" w:fill="E2EEF6"/>
          </w:tcPr>
          <w:p>
            <w:pPr>
              <w:spacing w:after="0"/>
              <w:rPr>
                <w:sz w:val="21"/>
                <w:szCs w:val="21"/>
                <w:color w:val="auto"/>
              </w:rPr>
            </w:pPr>
          </w:p>
        </w:tc>
        <w:tc>
          <w:tcPr>
            <w:tcW w:w="3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E2EEF6"/>
          </w:tcPr>
          <w:p>
            <w:pPr>
              <w:spacing w:after="0"/>
              <w:rPr>
                <w:sz w:val="21"/>
                <w:szCs w:val="21"/>
                <w:color w:val="auto"/>
              </w:rPr>
            </w:pPr>
          </w:p>
        </w:tc>
        <w:tc>
          <w:tcPr>
            <w:tcW w:w="20" w:type="dxa"/>
            <w:vAlign w:val="bottom"/>
            <w:shd w:val="clear" w:color="auto" w:fill="E2EEF6"/>
          </w:tcPr>
          <w:p>
            <w:pPr>
              <w:spacing w:after="0"/>
              <w:rPr>
                <w:sz w:val="21"/>
                <w:szCs w:val="21"/>
                <w:color w:val="auto"/>
              </w:rPr>
            </w:pPr>
          </w:p>
        </w:tc>
        <w:tc>
          <w:tcPr>
            <w:tcW w:w="820" w:type="dxa"/>
            <w:vAlign w:val="bottom"/>
            <w:shd w:val="clear" w:color="auto" w:fill="E2EEF6"/>
          </w:tcPr>
          <w:p>
            <w:pPr>
              <w:spacing w:after="0"/>
              <w:rPr>
                <w:sz w:val="21"/>
                <w:szCs w:val="21"/>
                <w:color w:val="auto"/>
              </w:rPr>
            </w:pPr>
          </w:p>
        </w:tc>
        <w:tc>
          <w:tcPr>
            <w:tcW w:w="4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11</w:t>
            </w:r>
          </w:p>
        </w:tc>
      </w:tr>
      <w:tr>
        <w:trPr>
          <w:trHeight w:val="243"/>
        </w:trPr>
        <w:tc>
          <w:tcPr>
            <w:tcW w:w="460" w:type="dxa"/>
            <w:vAlign w:val="bottom"/>
          </w:tcPr>
          <w:p>
            <w:pPr>
              <w:spacing w:after="0"/>
              <w:rPr>
                <w:sz w:val="21"/>
                <w:szCs w:val="21"/>
                <w:color w:val="auto"/>
              </w:rPr>
            </w:pPr>
          </w:p>
        </w:tc>
        <w:tc>
          <w:tcPr>
            <w:tcW w:w="3440" w:type="dxa"/>
            <w:vAlign w:val="bottom"/>
            <w:gridSpan w:val="2"/>
          </w:tcPr>
          <w:p>
            <w:pPr>
              <w:ind w:left="50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60" w:type="dxa"/>
            <w:vAlign w:val="bottom"/>
          </w:tcPr>
          <w:p>
            <w:pPr>
              <w:spacing w:after="0"/>
              <w:rPr>
                <w:sz w:val="21"/>
                <w:szCs w:val="21"/>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43"/>
        </w:trPr>
        <w:tc>
          <w:tcPr>
            <w:tcW w:w="460" w:type="dxa"/>
            <w:vAlign w:val="bottom"/>
            <w:shd w:val="clear" w:color="auto" w:fill="E2EEF6"/>
          </w:tcPr>
          <w:p>
            <w:pPr>
              <w:spacing w:after="0"/>
              <w:rPr>
                <w:sz w:val="21"/>
                <w:szCs w:val="21"/>
                <w:color w:val="auto"/>
              </w:rPr>
            </w:pPr>
          </w:p>
        </w:tc>
        <w:tc>
          <w:tcPr>
            <w:tcW w:w="3440" w:type="dxa"/>
            <w:vAlign w:val="bottom"/>
            <w:gridSpan w:val="2"/>
            <w:shd w:val="clear" w:color="auto" w:fill="E2EEF6"/>
          </w:tcPr>
          <w:p>
            <w:pPr>
              <w:ind w:left="50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shd w:val="clear" w:color="auto" w:fill="E2EEF6"/>
          </w:tcPr>
          <w:p>
            <w:pPr>
              <w:spacing w:after="0"/>
              <w:rPr>
                <w:sz w:val="21"/>
                <w:szCs w:val="21"/>
                <w:color w:val="auto"/>
              </w:rPr>
            </w:pPr>
          </w:p>
        </w:tc>
        <w:tc>
          <w:tcPr>
            <w:tcW w:w="9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0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w:t>
            </w:r>
          </w:p>
        </w:tc>
        <w:tc>
          <w:tcPr>
            <w:tcW w:w="860" w:type="dxa"/>
            <w:vAlign w:val="bottom"/>
            <w:shd w:val="clear" w:color="auto" w:fill="E2EEF6"/>
          </w:tcPr>
          <w:p>
            <w:pPr>
              <w:spacing w:after="0"/>
              <w:rPr>
                <w:sz w:val="21"/>
                <w:szCs w:val="21"/>
                <w:color w:val="auto"/>
              </w:rPr>
            </w:pPr>
          </w:p>
        </w:tc>
        <w:tc>
          <w:tcPr>
            <w:tcW w:w="38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w:t>
            </w:r>
          </w:p>
        </w:tc>
        <w:tc>
          <w:tcPr>
            <w:tcW w:w="780" w:type="dxa"/>
            <w:vAlign w:val="bottom"/>
            <w:shd w:val="clear" w:color="auto" w:fill="E2EEF6"/>
          </w:tcPr>
          <w:p>
            <w:pPr>
              <w:spacing w:after="0"/>
              <w:rPr>
                <w:sz w:val="21"/>
                <w:szCs w:val="21"/>
                <w:color w:val="auto"/>
              </w:rPr>
            </w:pPr>
          </w:p>
        </w:tc>
        <w:tc>
          <w:tcPr>
            <w:tcW w:w="44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shd w:val="clear" w:color="auto" w:fill="E2EEF6"/>
          </w:tcPr>
          <w:p>
            <w:pPr>
              <w:spacing w:after="0"/>
              <w:rPr>
                <w:sz w:val="21"/>
                <w:szCs w:val="21"/>
                <w:color w:val="auto"/>
              </w:rPr>
            </w:pPr>
          </w:p>
        </w:tc>
        <w:tc>
          <w:tcPr>
            <w:tcW w:w="820" w:type="dxa"/>
            <w:vAlign w:val="bottom"/>
            <w:shd w:val="clear" w:color="auto" w:fill="E2EEF6"/>
          </w:tcPr>
          <w:p>
            <w:pPr>
              <w:spacing w:after="0"/>
              <w:rPr>
                <w:sz w:val="21"/>
                <w:szCs w:val="21"/>
                <w:color w:val="auto"/>
              </w:rPr>
            </w:pPr>
          </w:p>
        </w:tc>
        <w:tc>
          <w:tcPr>
            <w:tcW w:w="42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w:t>
            </w:r>
          </w:p>
        </w:tc>
      </w:tr>
      <w:tr>
        <w:trPr>
          <w:trHeight w:val="270"/>
        </w:trPr>
        <w:tc>
          <w:tcPr>
            <w:tcW w:w="460" w:type="dxa"/>
            <w:vAlign w:val="bottom"/>
          </w:tcPr>
          <w:p>
            <w:pPr>
              <w:spacing w:after="0"/>
              <w:rPr>
                <w:sz w:val="23"/>
                <w:szCs w:val="23"/>
                <w:color w:val="auto"/>
              </w:rPr>
            </w:pPr>
          </w:p>
        </w:tc>
        <w:tc>
          <w:tcPr>
            <w:tcW w:w="3440" w:type="dxa"/>
            <w:vAlign w:val="bottom"/>
            <w:gridSpan w:val="2"/>
          </w:tcPr>
          <w:p>
            <w:pPr>
              <w:ind w:left="500"/>
              <w:spacing w:after="0"/>
              <w:rPr>
                <w:sz w:val="20"/>
                <w:szCs w:val="20"/>
                <w:color w:val="auto"/>
              </w:rPr>
            </w:pPr>
            <w:r>
              <w:rPr>
                <w:rFonts w:ascii="Arial" w:cs="Arial" w:eastAsia="Arial" w:hAnsi="Arial"/>
                <w:sz w:val="18"/>
                <w:szCs w:val="18"/>
                <w:color w:val="auto"/>
              </w:rPr>
              <w:t>Recognized net actuarial loss</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23"/>
                <w:szCs w:val="23"/>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23"/>
                <w:szCs w:val="2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0"/>
        </w:trPr>
        <w:tc>
          <w:tcPr>
            <w:tcW w:w="46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3440" w:type="dxa"/>
            <w:vAlign w:val="bottom"/>
            <w:gridSpan w:val="2"/>
          </w:tcPr>
          <w:p>
            <w:pPr>
              <w:ind w:left="500"/>
              <w:spacing w:after="0"/>
              <w:rPr>
                <w:sz w:val="20"/>
                <w:szCs w:val="20"/>
                <w:color w:val="auto"/>
              </w:rPr>
            </w:pPr>
            <w:r>
              <w:rPr>
                <w:rFonts w:ascii="Arial" w:cs="Arial" w:eastAsia="Arial" w:hAnsi="Arial"/>
                <w:sz w:val="18"/>
                <w:szCs w:val="18"/>
                <w:color w:val="auto"/>
              </w:rPr>
              <w:t>Net periodic benefit cost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60" w:type="dxa"/>
            <w:vAlign w:val="bottom"/>
          </w:tcPr>
          <w:p>
            <w:pPr>
              <w:jc w:val="right"/>
              <w:ind w:right="700"/>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780" w:type="dxa"/>
            <w:vAlign w:val="bottom"/>
          </w:tcPr>
          <w:p>
            <w:pPr>
              <w:jc w:val="right"/>
              <w:ind w:right="617"/>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74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0"/>
        </w:trPr>
        <w:tc>
          <w:tcPr>
            <w:tcW w:w="4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1"/>
        </w:trPr>
        <w:tc>
          <w:tcPr>
            <w:tcW w:w="460" w:type="dxa"/>
            <w:vAlign w:val="bottom"/>
            <w:shd w:val="clear" w:color="auto" w:fill="E2EEF6"/>
          </w:tcPr>
          <w:p>
            <w:pPr>
              <w:spacing w:after="0"/>
              <w:rPr>
                <w:sz w:val="21"/>
                <w:szCs w:val="21"/>
                <w:color w:val="auto"/>
              </w:rPr>
            </w:pPr>
          </w:p>
        </w:tc>
        <w:tc>
          <w:tcPr>
            <w:tcW w:w="320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9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92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4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9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86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78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0" w:type="dxa"/>
            <w:vAlign w:val="bottom"/>
            <w:shd w:val="clear" w:color="auto" w:fill="E2EEF6"/>
          </w:tcPr>
          <w:p>
            <w:pPr>
              <w:spacing w:after="0"/>
              <w:rPr>
                <w:sz w:val="21"/>
                <w:szCs w:val="21"/>
                <w:color w:val="auto"/>
              </w:rPr>
            </w:pPr>
          </w:p>
        </w:tc>
        <w:tc>
          <w:tcPr>
            <w:tcW w:w="820" w:type="dxa"/>
            <w:vAlign w:val="bottom"/>
            <w:shd w:val="clear" w:color="auto" w:fill="E2EEF6"/>
          </w:tcPr>
          <w:p>
            <w:pPr>
              <w:spacing w:after="0"/>
              <w:rPr>
                <w:sz w:val="21"/>
                <w:szCs w:val="21"/>
                <w:color w:val="auto"/>
              </w:rPr>
            </w:pPr>
          </w:p>
        </w:tc>
        <w:tc>
          <w:tcPr>
            <w:tcW w:w="32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1172"/>
        </w:trPr>
        <w:tc>
          <w:tcPr>
            <w:tcW w:w="46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ind w:left="500" w:right="3480" w:hanging="231"/>
        <w:spacing w:after="0" w:line="590"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Segment Data</w:t>
      </w:r>
      <w:r>
        <w:rPr>
          <w:rFonts w:ascii="Arial" w:cs="Arial" w:eastAsia="Arial" w:hAnsi="Arial"/>
          <w:sz w:val="18"/>
          <w:szCs w:val="18"/>
          <w:color w:val="auto"/>
        </w:rPr>
        <w:t>. We have two reportable operating segments: Semiconductor and Education Technology. Segment information for continuing operations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ind w:left="360"/>
              <w:spacing w:after="0"/>
              <w:rPr>
                <w:sz w:val="20"/>
                <w:szCs w:val="20"/>
                <w:color w:val="auto"/>
              </w:rPr>
            </w:pPr>
            <w:r>
              <w:rPr>
                <w:rFonts w:ascii="Arial" w:cs="Arial" w:eastAsia="Arial" w:hAnsi="Arial"/>
                <w:sz w:val="18"/>
                <w:szCs w:val="18"/>
                <w:b w:val="1"/>
                <w:bCs w:val="1"/>
                <w:color w:val="auto"/>
              </w:rPr>
              <w:t>For Three Months Ended</w:t>
            </w:r>
          </w:p>
        </w:tc>
      </w:tr>
      <w:tr>
        <w:trPr>
          <w:trHeight w:val="234"/>
        </w:trPr>
        <w:tc>
          <w:tcPr>
            <w:tcW w:w="46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6"/>
              </w:rPr>
              <w:t>March 31,</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4"/>
        </w:trPr>
        <w:tc>
          <w:tcPr>
            <w:tcW w:w="460" w:type="dxa"/>
            <w:vAlign w:val="bottom"/>
          </w:tcPr>
          <w:p>
            <w:pPr>
              <w:spacing w:after="0"/>
              <w:rPr>
                <w:sz w:val="22"/>
                <w:szCs w:val="22"/>
                <w:color w:val="auto"/>
              </w:rPr>
            </w:pPr>
          </w:p>
        </w:tc>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Segment Net Revenue</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5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r>
      <w:tr>
        <w:trPr>
          <w:trHeight w:val="237"/>
        </w:trPr>
        <w:tc>
          <w:tcPr>
            <w:tcW w:w="460" w:type="dxa"/>
            <w:vAlign w:val="bottom"/>
            <w:shd w:val="clear" w:color="auto" w:fill="E2EEF6"/>
          </w:tcPr>
          <w:p>
            <w:pPr>
              <w:spacing w:after="0"/>
              <w:rPr>
                <w:sz w:val="20"/>
                <w:szCs w:val="20"/>
                <w:color w:val="auto"/>
              </w:rPr>
            </w:pPr>
          </w:p>
        </w:tc>
        <w:tc>
          <w:tcPr>
            <w:tcW w:w="796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Semiconductor</w:t>
            </w:r>
          </w:p>
        </w:tc>
        <w:tc>
          <w:tcPr>
            <w:tcW w:w="26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3,115</w:t>
            </w:r>
          </w:p>
        </w:tc>
        <w:tc>
          <w:tcPr>
            <w:tcW w:w="920" w:type="dxa"/>
            <w:vAlign w:val="bottom"/>
            <w:gridSpan w:val="2"/>
            <w:shd w:val="clear" w:color="auto" w:fill="E2EEF6"/>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3,260</w:t>
            </w:r>
          </w:p>
        </w:tc>
        <w:tc>
          <w:tcPr>
            <w:tcW w:w="120" w:type="dxa"/>
            <w:vAlign w:val="bottom"/>
            <w:shd w:val="clear" w:color="auto" w:fill="E2EEF6"/>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Education Technology</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5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3"/>
                <w:szCs w:val="23"/>
                <w:color w:val="auto"/>
              </w:rPr>
            </w:pPr>
          </w:p>
        </w:tc>
      </w:tr>
      <w:tr>
        <w:trPr>
          <w:trHeight w:val="257"/>
        </w:trPr>
        <w:tc>
          <w:tcPr>
            <w:tcW w:w="460" w:type="dxa"/>
            <w:vAlign w:val="bottom"/>
            <w:shd w:val="clear" w:color="auto" w:fill="E2EEF6"/>
          </w:tcPr>
          <w:p>
            <w:pPr>
              <w:spacing w:after="0"/>
              <w:rPr>
                <w:sz w:val="22"/>
                <w:szCs w:val="22"/>
                <w:color w:val="auto"/>
              </w:rPr>
            </w:pPr>
          </w:p>
        </w:tc>
        <w:tc>
          <w:tcPr>
            <w:tcW w:w="796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Total net revenue</w:t>
            </w:r>
          </w:p>
        </w:tc>
        <w:tc>
          <w:tcPr>
            <w:tcW w:w="26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3,191</w:t>
            </w:r>
          </w:p>
        </w:tc>
        <w:tc>
          <w:tcPr>
            <w:tcW w:w="920" w:type="dxa"/>
            <w:vAlign w:val="bottom"/>
            <w:gridSpan w:val="2"/>
            <w:shd w:val="clear" w:color="auto" w:fill="E2EEF6"/>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3,334</w:t>
            </w:r>
          </w:p>
        </w:tc>
        <w:tc>
          <w:tcPr>
            <w:tcW w:w="120" w:type="dxa"/>
            <w:vAlign w:val="bottom"/>
            <w:shd w:val="clear" w:color="auto" w:fill="E2EEF6"/>
          </w:tcPr>
          <w:p>
            <w:pPr>
              <w:spacing w:after="0"/>
              <w:rPr>
                <w:sz w:val="22"/>
                <w:szCs w:val="22"/>
                <w:color w:val="auto"/>
              </w:rPr>
            </w:pPr>
          </w:p>
        </w:tc>
      </w:tr>
      <w:tr>
        <w:trPr>
          <w:trHeight w:val="20"/>
        </w:trPr>
        <w:tc>
          <w:tcPr>
            <w:tcW w:w="460" w:type="dxa"/>
            <w:vAlign w:val="bottom"/>
            <w:tcBorders>
              <w:top w:val="single" w:sz="8" w:color="E2EEF6"/>
            </w:tcBorders>
            <w:shd w:val="clear" w:color="auto" w:fill="E2EEF6"/>
          </w:tcPr>
          <w:p>
            <w:pPr>
              <w:spacing w:after="0" w:line="20" w:lineRule="exact"/>
              <w:rPr>
                <w:sz w:val="1"/>
                <w:szCs w:val="1"/>
                <w:color w:val="auto"/>
              </w:rPr>
            </w:pPr>
          </w:p>
        </w:tc>
        <w:tc>
          <w:tcPr>
            <w:tcW w:w="7740" w:type="dxa"/>
            <w:vAlign w:val="bottom"/>
            <w:tcBorders>
              <w:top w:val="single" w:sz="8" w:color="E2EEF6"/>
            </w:tcBorders>
            <w:shd w:val="clear" w:color="auto" w:fill="E2EEF6"/>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E2EEF6"/>
            </w:tcBorders>
            <w:shd w:val="clear" w:color="auto" w:fill="000000"/>
          </w:tcPr>
          <w:p>
            <w:pPr>
              <w:spacing w:after="0" w:line="20" w:lineRule="exact"/>
              <w:rPr>
                <w:sz w:val="1"/>
                <w:szCs w:val="1"/>
                <w:color w:val="auto"/>
              </w:rPr>
            </w:pPr>
          </w:p>
        </w:tc>
        <w:tc>
          <w:tcPr>
            <w:tcW w:w="540" w:type="dxa"/>
            <w:vAlign w:val="bottom"/>
            <w:tcBorders>
              <w:top w:val="single" w:sz="8" w:color="E2EEF6"/>
            </w:tcBorders>
            <w:shd w:val="clear" w:color="auto" w:fill="E2EEF6"/>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EF6"/>
            </w:tcBorders>
            <w:shd w:val="clear" w:color="auto" w:fill="E2EEF6"/>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For Three Months Ended</w:t>
            </w:r>
          </w:p>
        </w:tc>
      </w:tr>
      <w:tr>
        <w:trPr>
          <w:trHeight w:val="234"/>
        </w:trPr>
        <w:tc>
          <w:tcPr>
            <w:tcW w:w="46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3"/>
              </w:rPr>
              <w:t>March 31,</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4"/>
        </w:trPr>
        <w:tc>
          <w:tcPr>
            <w:tcW w:w="460" w:type="dxa"/>
            <w:vAlign w:val="bottom"/>
          </w:tcPr>
          <w:p>
            <w:pPr>
              <w:spacing w:after="0"/>
              <w:rPr>
                <w:sz w:val="22"/>
                <w:szCs w:val="22"/>
                <w:color w:val="auto"/>
              </w:rPr>
            </w:pPr>
          </w:p>
        </w:tc>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Segment Profit (Loss)</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5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r>
      <w:tr>
        <w:trPr>
          <w:trHeight w:val="237"/>
        </w:trPr>
        <w:tc>
          <w:tcPr>
            <w:tcW w:w="460" w:type="dxa"/>
            <w:vAlign w:val="bottom"/>
            <w:shd w:val="clear" w:color="auto" w:fill="E2EEF6"/>
          </w:tcPr>
          <w:p>
            <w:pPr>
              <w:spacing w:after="0"/>
              <w:rPr>
                <w:sz w:val="20"/>
                <w:szCs w:val="20"/>
                <w:color w:val="auto"/>
              </w:rPr>
            </w:pPr>
          </w:p>
        </w:tc>
        <w:tc>
          <w:tcPr>
            <w:tcW w:w="796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Semiconductor</w:t>
            </w:r>
          </w:p>
        </w:tc>
        <w:tc>
          <w:tcPr>
            <w:tcW w:w="26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831</w:t>
            </w:r>
          </w:p>
        </w:tc>
        <w:tc>
          <w:tcPr>
            <w:tcW w:w="900" w:type="dxa"/>
            <w:vAlign w:val="bottom"/>
            <w:gridSpan w:val="2"/>
            <w:shd w:val="clear" w:color="auto" w:fill="E2EEF6"/>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883</w:t>
            </w:r>
          </w:p>
        </w:tc>
      </w:tr>
      <w:tr>
        <w:trPr>
          <w:trHeight w:val="243"/>
        </w:trPr>
        <w:tc>
          <w:tcPr>
            <w:tcW w:w="460" w:type="dxa"/>
            <w:vAlign w:val="bottom"/>
          </w:tcPr>
          <w:p>
            <w:pPr>
              <w:spacing w:after="0"/>
              <w:rPr>
                <w:sz w:val="21"/>
                <w:szCs w:val="21"/>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Education Technology</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r>
      <w:tr>
        <w:trPr>
          <w:trHeight w:val="250"/>
        </w:trPr>
        <w:tc>
          <w:tcPr>
            <w:tcW w:w="460" w:type="dxa"/>
            <w:vAlign w:val="bottom"/>
            <w:tcBorders>
              <w:bottom w:val="single" w:sz="8" w:color="E2EEF6"/>
            </w:tcBorders>
            <w:shd w:val="clear" w:color="auto" w:fill="E2EEF6"/>
          </w:tcPr>
          <w:p>
            <w:pPr>
              <w:spacing w:after="0"/>
              <w:rPr>
                <w:sz w:val="21"/>
                <w:szCs w:val="21"/>
                <w:color w:val="auto"/>
              </w:rPr>
            </w:pPr>
          </w:p>
        </w:tc>
        <w:tc>
          <w:tcPr>
            <w:tcW w:w="7960" w:type="dxa"/>
            <w:vAlign w:val="bottom"/>
            <w:tcBorders>
              <w:bottom w:val="single" w:sz="8" w:color="E2EEF6"/>
            </w:tcBorders>
            <w:gridSpan w:val="2"/>
            <w:shd w:val="clear" w:color="auto" w:fill="E2EEF6"/>
          </w:tcPr>
          <w:p>
            <w:pPr>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E2EEF6"/>
            </w:tcBorders>
            <w:shd w:val="clear" w:color="auto" w:fill="E2EEF6"/>
          </w:tcPr>
          <w:p>
            <w:pPr>
              <w:spacing w:after="0"/>
              <w:rPr>
                <w:sz w:val="21"/>
                <w:szCs w:val="21"/>
                <w:color w:val="auto"/>
              </w:rPr>
            </w:pPr>
          </w:p>
        </w:tc>
        <w:tc>
          <w:tcPr>
            <w:tcW w:w="940" w:type="dxa"/>
            <w:vAlign w:val="bottom"/>
            <w:tcBorders>
              <w:bottom w:val="single" w:sz="8" w:color="E2EEF6"/>
              <w:right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(167)</w:t>
            </w:r>
          </w:p>
        </w:tc>
        <w:tc>
          <w:tcPr>
            <w:tcW w:w="520" w:type="dxa"/>
            <w:vAlign w:val="bottom"/>
            <w:tcBorders>
              <w:bottom w:val="single" w:sz="8" w:color="E2EEF6"/>
            </w:tcBorders>
            <w:shd w:val="clear" w:color="auto" w:fill="E2EEF6"/>
          </w:tcPr>
          <w:p>
            <w:pPr>
              <w:spacing w:after="0"/>
              <w:rPr>
                <w:sz w:val="21"/>
                <w:szCs w:val="21"/>
                <w:color w:val="auto"/>
              </w:rPr>
            </w:pPr>
          </w:p>
        </w:tc>
        <w:tc>
          <w:tcPr>
            <w:tcW w:w="380" w:type="dxa"/>
            <w:vAlign w:val="bottom"/>
            <w:tcBorders>
              <w:bottom w:val="single" w:sz="8" w:color="E2EEF6"/>
            </w:tcBorders>
            <w:shd w:val="clear" w:color="auto" w:fill="E2EEF6"/>
          </w:tcPr>
          <w:p>
            <w:pPr>
              <w:spacing w:after="0"/>
              <w:rPr>
                <w:sz w:val="21"/>
                <w:szCs w:val="21"/>
                <w:color w:val="auto"/>
              </w:rPr>
            </w:pPr>
          </w:p>
        </w:tc>
        <w:tc>
          <w:tcPr>
            <w:tcW w:w="900" w:type="dxa"/>
            <w:vAlign w:val="bottom"/>
            <w:tcBorders>
              <w:bottom w:val="single" w:sz="8" w:color="E2EEF6"/>
            </w:tcBorders>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(178)</w:t>
            </w:r>
          </w:p>
        </w:tc>
      </w:tr>
      <w:tr>
        <w:trPr>
          <w:trHeight w:val="20"/>
        </w:trPr>
        <w:tc>
          <w:tcPr>
            <w:tcW w:w="460" w:type="dxa"/>
            <w:vAlign w:val="bottom"/>
            <w:shd w:val="clear" w:color="auto" w:fill="E2EEF6"/>
          </w:tcPr>
          <w:p>
            <w:pPr>
              <w:spacing w:after="0" w:line="20" w:lineRule="exact"/>
              <w:rPr>
                <w:sz w:val="1"/>
                <w:szCs w:val="1"/>
                <w:color w:val="auto"/>
              </w:rPr>
            </w:pPr>
          </w:p>
        </w:tc>
        <w:tc>
          <w:tcPr>
            <w:tcW w:w="7740" w:type="dxa"/>
            <w:vAlign w:val="bottom"/>
            <w:shd w:val="clear" w:color="auto" w:fill="E2EEF6"/>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tcBorders>
              <w:right w:val="single" w:sz="8" w:color="E2EEF6"/>
            </w:tcBorders>
            <w:shd w:val="clear" w:color="auto" w:fill="000000"/>
          </w:tcPr>
          <w:p>
            <w:pPr>
              <w:spacing w:after="0" w:line="20" w:lineRule="exact"/>
              <w:rPr>
                <w:sz w:val="1"/>
                <w:szCs w:val="1"/>
                <w:color w:val="auto"/>
              </w:rPr>
            </w:pPr>
          </w:p>
        </w:tc>
        <w:tc>
          <w:tcPr>
            <w:tcW w:w="520" w:type="dxa"/>
            <w:vAlign w:val="bottom"/>
            <w:shd w:val="clear" w:color="auto" w:fill="E2EEF6"/>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Profit from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680</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718</w:t>
            </w:r>
          </w:p>
        </w:tc>
      </w:tr>
      <w:tr>
        <w:trPr>
          <w:trHeight w:val="20"/>
        </w:trPr>
        <w:tc>
          <w:tcPr>
            <w:tcW w:w="4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right="140" w:hanging="231"/>
        <w:spacing w:after="0" w:line="288"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Restructuring Actions</w:t>
      </w:r>
      <w:r>
        <w:rPr>
          <w:rFonts w:ascii="Arial" w:cs="Arial" w:eastAsia="Arial" w:hAnsi="Arial"/>
          <w:sz w:val="16"/>
          <w:szCs w:val="16"/>
          <w:color w:val="auto"/>
        </w:rPr>
        <w:t>. On January 22, 2007, we announced a plan to change the way we develop advanced digital manufacturing process technology. Instead of separately creating our own core process technology, we will work collaboratively with our foundry partners to specify and drive the next generations of digital process technology. Additionally, we will stop production at an older digital factory and move its manufacturing equipment into several of our analog factories to support greater analog output. Income from continuing operations for the first quarter of 2007 includes a charge of $14 million related to these actions, and is due primarily to termination benefit costs of $10 million and acceleration of depreciation on the facilities assets over the remaining service lives of $4 million. Of the total restructuring costs, $9 million is included in cost of revenue and $5 million in research and development expense, and has been reflected in Corporate. As of March 31, 2007, no severance and benefit payments have been made from this reserve. These actions will take place throughout 2007, and when complete are expected to reduce annualized costs by about $200 million. About 500 jobs are expected to be reduced by year end. In total, we will take restructuring charges of approximately $55 million, including about $40 million for termination benefits and about $15 million for accelerated depreciation.</w:t>
      </w:r>
    </w:p>
    <w:p>
      <w:pPr>
        <w:spacing w:after="0" w:line="223" w:lineRule="exact"/>
        <w:rPr>
          <w:rFonts w:ascii="Arial" w:cs="Arial" w:eastAsia="Arial" w:hAnsi="Arial"/>
          <w:sz w:val="16"/>
          <w:szCs w:val="16"/>
          <w:color w:val="auto"/>
        </w:rPr>
      </w:pPr>
    </w:p>
    <w:p>
      <w:pPr>
        <w:ind w:left="500" w:right="20" w:hanging="231"/>
        <w:spacing w:after="0" w:line="259"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Federal income taxes for the interim periods presented have been included in the accompanying financial statements on the basis of an estimated annual rate. As of March 31, 2007, the estimated annual effective tax rate for 2007 is about 28 percent. The effective annual tax rate for 2007 differs from the 35 percent statutory corporate tax rate due to the effects of non-U.S. tax rates, the federal research tax credit and the deduction for U.S. manufacturing.</w:t>
      </w:r>
    </w:p>
    <w:p>
      <w:pPr>
        <w:spacing w:after="0" w:line="240" w:lineRule="exact"/>
        <w:rPr>
          <w:rFonts w:ascii="Arial" w:cs="Arial" w:eastAsia="Arial" w:hAnsi="Arial"/>
          <w:sz w:val="18"/>
          <w:szCs w:val="18"/>
          <w:color w:val="auto"/>
        </w:rPr>
      </w:pPr>
    </w:p>
    <w:p>
      <w:pPr>
        <w:ind w:left="500" w:right="200" w:hanging="231"/>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We routinely sell products with a limited intellectual property indemnification included in the terms of sale. Historically, we have had only minimal and infrequent losses associated with these indemnities. Consequently, any future liabilities brought about by the intellectual property indemnities cannot reasonably be estimated or accrued.</w:t>
      </w:r>
    </w:p>
    <w:p>
      <w:pPr>
        <w:spacing w:after="0" w:line="235" w:lineRule="exact"/>
        <w:rPr>
          <w:rFonts w:ascii="Arial" w:cs="Arial" w:eastAsia="Arial" w:hAnsi="Arial"/>
          <w:sz w:val="18"/>
          <w:szCs w:val="18"/>
          <w:color w:val="auto"/>
        </w:rPr>
      </w:pPr>
    </w:p>
    <w:p>
      <w:pPr>
        <w:ind w:left="500" w:right="120"/>
        <w:spacing w:after="0" w:line="297" w:lineRule="auto"/>
        <w:rPr>
          <w:rFonts w:ascii="Arial" w:cs="Arial" w:eastAsia="Arial" w:hAnsi="Arial"/>
          <w:sz w:val="18"/>
          <w:szCs w:val="18"/>
          <w:color w:val="auto"/>
        </w:rPr>
      </w:pPr>
      <w:r>
        <w:rPr>
          <w:rFonts w:ascii="Arial" w:cs="Arial" w:eastAsia="Arial" w:hAnsi="Arial"/>
          <w:sz w:val="16"/>
          <w:szCs w:val="16"/>
          <w:color w:val="auto"/>
        </w:rPr>
        <w:t>We accrue for known product-related claims if a loss is probable and can be reasonably estimated. During the periods presented, there have been no material accruals or payments regarding product warranty or product liability, and historically we have experienced a low rate of payments on product claims. Consistent with general industry practice, we enter into formal contracts with certain customers in which the parties define warranty remedies. Typically, our warranty for semiconductor products covers three years, an obligation to repair, replace or refund, and a maximum payment obligation tied to the price paid for our products. In some cases, product claims may be disproportionate to the price of our products.</w:t>
      </w:r>
    </w:p>
    <w:p>
      <w:pPr>
        <w:spacing w:after="0" w:line="212" w:lineRule="exact"/>
        <w:rPr>
          <w:rFonts w:ascii="Arial" w:cs="Arial" w:eastAsia="Arial" w:hAnsi="Arial"/>
          <w:sz w:val="18"/>
          <w:szCs w:val="18"/>
          <w:color w:val="auto"/>
        </w:rPr>
      </w:pPr>
    </w:p>
    <w:p>
      <w:pPr>
        <w:ind w:left="500" w:right="300"/>
        <w:spacing w:after="0" w:line="342" w:lineRule="auto"/>
        <w:rPr>
          <w:rFonts w:ascii="Arial" w:cs="Arial" w:eastAsia="Arial" w:hAnsi="Arial"/>
          <w:sz w:val="18"/>
          <w:szCs w:val="18"/>
          <w:color w:val="auto"/>
        </w:rPr>
      </w:pPr>
      <w:r>
        <w:rPr>
          <w:rFonts w:ascii="Arial" w:cs="Arial" w:eastAsia="Arial" w:hAnsi="Arial"/>
          <w:sz w:val="16"/>
          <w:szCs w:val="16"/>
          <w:color w:val="auto"/>
        </w:rPr>
        <w:t>We are subject to various other legal and administrative proceedings. Although it is not possible to predict the outcome of these matters, we believe that the results of these proceedings will not have a material adverse effect upon our financial condition, results of operations or liquidity.</w:t>
      </w:r>
    </w:p>
    <w:p>
      <w:pPr>
        <w:spacing w:after="0" w:line="177" w:lineRule="exact"/>
        <w:rPr>
          <w:rFonts w:ascii="Arial" w:cs="Arial" w:eastAsia="Arial" w:hAnsi="Arial"/>
          <w:sz w:val="18"/>
          <w:szCs w:val="18"/>
          <w:color w:val="auto"/>
        </w:rPr>
      </w:pPr>
    </w:p>
    <w:p>
      <w:pPr>
        <w:ind w:left="500" w:right="200"/>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 xml:space="preserve">Discontinued Operation Indemnity - </w:t>
      </w:r>
      <w:r>
        <w:rPr>
          <w:rFonts w:ascii="Arial" w:cs="Arial" w:eastAsia="Arial" w:hAnsi="Arial"/>
          <w:sz w:val="18"/>
          <w:szCs w:val="18"/>
          <w:color w:val="auto"/>
        </w:rPr>
        <w:t>In connection with the sale of the former Sensors &amp; Controls business, we have agreed to indemnify Sensata for</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specified litigation matters, as well as other liabilities, including environmental liabilities. Our indemnification obligations with respect to breaches of representations and warranties and the specified litigation matters are, generally, subject to a total deductible of $30 million and our maximum potential exposure is limited to $300 million. As of March 31, 2007, there were no significant liabilities recorded under these indemnification obligations.</w:t>
      </w:r>
    </w:p>
    <w:p>
      <w:pPr>
        <w:spacing w:after="0" w:line="242" w:lineRule="exact"/>
        <w:rPr>
          <w:rFonts w:ascii="Arial" w:cs="Arial" w:eastAsia="Arial" w:hAnsi="Arial"/>
          <w:sz w:val="18"/>
          <w:szCs w:val="18"/>
          <w:color w:val="auto"/>
        </w:rPr>
      </w:pPr>
    </w:p>
    <w:p>
      <w:pPr>
        <w:ind w:left="500" w:right="120" w:hanging="321"/>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Subsequent Event</w:t>
      </w:r>
      <w:r>
        <w:rPr>
          <w:rFonts w:ascii="Arial" w:cs="Arial" w:eastAsia="Arial" w:hAnsi="Arial"/>
          <w:sz w:val="18"/>
          <w:szCs w:val="18"/>
          <w:color w:val="auto"/>
        </w:rPr>
        <w:t>. On April 18, 2007, we declared a 100 percent increase in our regular quarterly cash dividend on common stock, payable May 21, 2007, to stockholders of record on April 30, 2007. The new quarterly dividend rate will be $0.08 per quarter, resulting in annual dividend payments of $0.32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8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 All amounts in this discussion reference continuing operations unless otherwise noted.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Texas Instruments makes, markets and sells high-technology components; more than 50,000 customers all over the world buy our products. We have two separate segments: Semiconductor and Education Technology. Semiconductor is by far the larger of these segments. It accounted for 96 percent of our revenue in 2006, and historically it averages a higher growth rate than Education Technology, although the semiconductor market is characterized by wide swings in growth rates from year to year. We were the world’s third-largest semiconductor company in 2006 as measured by revenue, according to iSuppli Corporation, an industry analyst.</w:t>
      </w:r>
    </w:p>
    <w:p>
      <w:pPr>
        <w:spacing w:after="0" w:line="24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our Semiconductor segment, we focus primarily on technologies that make it possible for a variety of consumer and industrial electronic equipment to process both analog and digital signals in real time. These technologies are known as analog semiconductors and digital signal processors, or DSPs, and together they account for about three-fourths of our Semiconductor revenue. Almost all of today’s digital electronic equipment requires some form of analog or digital signal processing.</w:t>
      </w:r>
    </w:p>
    <w:p>
      <w:pPr>
        <w:spacing w:after="0" w:line="24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Analog semiconductors process “real world” inputs, such as sound, temperature, pressure and visual images, conditioning them, amplifying them and converting them into digital signals. They also assist in the management of power distribution and consumption, aspects critical to today’s portable electronic devices. Generally, analog products require less capital-intensive factories to manufacture than digital products.</w:t>
      </w:r>
    </w:p>
    <w:p>
      <w:pPr>
        <w:spacing w:after="0" w:line="23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analog semiconductors consist of custom products and standard products. Custom products are designed for specific applications for specific customers. Standard products include application-specific standard products (designed for a specific application and usable by multiple customers) and high-performance standard catalog products (usable in multiple applications by multiple customers). These standard products are characterized by differentiated features and specifications, as well as relatively high gross margins. Standard analog products tend to have long life spans. Many custom and standard products are proprietary and difficult for competitors to imitate. Analog products also include commodity products, which are sold in high volume and into a broad range of applications, and generally are differentiated by price and availability. We are the world’s largest supplier of analog semiconductors.</w:t>
      </w:r>
    </w:p>
    <w:p>
      <w:pPr>
        <w:spacing w:after="0" w:line="21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DSPs use complex algorithms and compression techniques to alter and improve a data stream. These products are ideal for applications that require precise, real-time processing of real-world signals that have been converted into digital form. Their power efficiency is important for battery-powered devices.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DSP portfolio includes custom, application-specific and standard products. Custom products are designed for specific customers with very high volumes in established markets. Application-specific products are implementations crafted for specific applications like wireless infrastructure, VoIP (Voice over Internet Protocol) gateways, digital still cameras and residential gateways, to name a few. Our standard DSP products are sold into a broad range of applications and seed the next generation of signal-processing innovation. We are the world’s largest supplier of DSPs.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expect that our inventory levels generally will increase from historical levels in order to meet the requirements of our customers. For example, the analog market consists of a very broad base of customers that order relatively small quantities of many different analog products. These customers typically expect very short order lead times, requiring us to maintain more on-hand inventory. Also, analog suppliers typically hold a broader range of inventory in order to serve their customers, while manufacturing in efficient quantities. Analog products will be a growing portion of our inventory as our analog business continues to grow and broaden its product portfolio. Additionally, our large customers are moving increasingly toward a business model that requires us to maintain inventory on a consignment basis on their behalf.</w:t>
      </w:r>
    </w:p>
    <w:p>
      <w:pPr>
        <w:spacing w:after="0" w:line="23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own and operate semiconductor manufacturing sites in the Americas, Japan, Europe and Asia. Our facilities require substantial investment to construct and are largely fixed-cost assets once in operation. Because we own most of our manufacturing capacity, a significant portion of our operating costs is fixed. In general, these costs do not decline with reductions in customer demand or our utilization of our manufacturing capacity, and can adversely affect profit margins as a result. Conversely, as product demand rises and factory utilization increases, the fixed costs are spread over increased output, which should improve profit margins.</w:t>
      </w:r>
    </w:p>
    <w:p>
      <w:pPr>
        <w:spacing w:after="0" w:line="24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manufacture most of our analog products in our own factories. To supplement our manufacturing capacity, especially for digital products, we outsource a portion of our product manufacturing to outside suppliers (foundries and assembly/test subcontractors), which reduces both the amount of capital expenditures and subsequent depreciation required to meet customer demands and fluctuations in profit margins. Outside foundries provided about 50 percent of our total wafers for advanced digital products in 2006. (A wafer is a thin slice of silicon on which an array of semiconductor devices has been fabricated.)</w:t>
      </w:r>
    </w:p>
    <w:p>
      <w:pPr>
        <w:spacing w:after="0" w:line="20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semiconductor market is characterized by constant and typically incremental innovation in product design and manufacturing technologies. We make significant investments in research and development (R&amp;D). Typically, products resulting from our R&amp;D investments in the current period do not contribute materially to revenue in that period, but should benefit us in future years. In general, new semiconductor products are shipped in limited quantities initially and will then ramp into high volumes over time. Prices and manufacturing costs tend to decline over time.</w:t>
      </w:r>
    </w:p>
    <w:p>
      <w:pPr>
        <w:spacing w:after="0" w:line="22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strive to keep improving performance. One way will be by changing how we develop advanced digital manufacturing process technology. Instead of separately creating our own process technology, we will work collaboratively with our foundry suppliers to specify and drive the next generations of digital process technology, and we will continue making products on these processes in our world-class factories. We expect that our 32-nanometer manufacturing process will be the first process technology developed entirely through this new collaboration. This is a natural extension of our existing relationships with foundries that will increase our R&amp;D efficiency and our capital efficiency while maintaining our responsiveness to customers. Additionally, we will stop production at an older digital factory and move its manufacturing equipment into several of our analog factories to support greater analog output.</w:t>
      </w:r>
    </w:p>
    <w:p>
      <w:pPr>
        <w:spacing w:after="0" w:line="21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These changes will be made throughout 2007 and, when complete, are expected to reduce costs by about $200 million annually. As a result of these actions, about 500 jobs are expected to be reduced by year end. In total, we expect to incur restructuring charges of approximately $55 million. For the first quarter of 2007, these restructuring charges were $14 million.</w:t>
      </w:r>
    </w:p>
    <w:p>
      <w:pPr>
        <w:sectPr>
          <w:pgSz w:w="11900" w:h="16838" w:orient="portrait"/>
          <w:cols w:equalWidth="0" w:num="1">
            <w:col w:w="11400"/>
          </w:cols>
          <w:pgMar w:left="240" w:top="364" w:right="259" w:bottom="0" w:gutter="0" w:footer="0" w:header="0"/>
        </w:sectPr>
      </w:pPr>
    </w:p>
    <w:bookmarkStart w:id="10" w:name="page11"/>
    <w:bookmarkEnd w:id="10"/>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Education Technology segment is a leading supplier of graphing handheld calculators. It also provides our customers with business and scientific calculators and a wide range of advanced classroom tools and professional development that enables students and teachers to explore math and science interactively. Our products are marketed primarily through retailers and to schools through instructional dealers. This business segment represented 4 percent of our revenue in 2006. Prices of Education Technology products tend to be stable.</w:t>
      </w:r>
    </w:p>
    <w:p>
      <w:pPr>
        <w:spacing w:after="0" w:line="24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operate in a number of tax jurisdictions and are subject to several types of taxes including taxes based on income, capital, property and payroll, and sales and other transactional taxes. The timing of the final determination of our tax liabilities varies among these jurisdictions and their taxing authorities. As a result, during any particular reporting period, we might reflect (in either income before income taxes, the provision for income taxes, or both) one or more tax refunds or assessments, or changes to tax liabilities, involving one or more taxing authorities (see Note 1 to the Financial Statements for a discussion of the effects of adopting Financial Accounting Standards Board (FASB) Interpretation No. 48, “</w:t>
      </w:r>
      <w:r>
        <w:rPr>
          <w:rFonts w:ascii="Arial" w:cs="Arial" w:eastAsia="Arial" w:hAnsi="Arial"/>
          <w:sz w:val="18"/>
          <w:szCs w:val="18"/>
          <w:i w:val="1"/>
          <w:iCs w:val="1"/>
          <w:color w:val="auto"/>
        </w:rPr>
        <w:t>Accounting for Uncertainty in Income Taxes - an interpretation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FASB Statement No. 109</w:t>
      </w:r>
      <w:r>
        <w:rPr>
          <w:rFonts w:ascii="Arial" w:cs="Arial" w:eastAsia="Arial" w:hAnsi="Arial"/>
          <w:sz w:val="18"/>
          <w:szCs w:val="18"/>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2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January 2006, we entered into a definitive agreement to sell substantially all of the former Sensors &amp; Controls segment to an affiliate of Bain Capital, LLC for $3 billion in cash (see Note 2 to the Financial Statements for additional information). The sale was completed on April 27, 2006. The former Sensors &amp; Controls business acquired by Bain Capital, LLC was renamed Sensata Technologies, Inc. (Sensata).</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First-Quarter 2007 Results</w:t>
      </w:r>
    </w:p>
    <w:p>
      <w:pPr>
        <w:spacing w:after="0" w:line="2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revenue was $3.19 billion in the first quarter of 2007. Revenue declined 8 percent compared with the prior quarter and 4 percent compared with the year-ago quarter. Revenue was impacted by customer reductions of inventory levels in the semiconductor market, which resulted in lower demand for our products.</w:t>
      </w:r>
    </w:p>
    <w:p>
      <w:pPr>
        <w:spacing w:after="0" w:line="23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Earnings per share (EPS) from continuing operations were $0.35, a decline of $0.10 from the prior quarter. The fourth quarter of 2006 included a benefit of $0.05 from the reinstatement of the federal research tax credit and a benefit of $0.01 from catch-up payments associated with new patent license agreements.</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believe the inventory correction that began in the second half of last year largely ended in the first quarter. Orders are beginning to rebound, and we expect sequential growth to resume in the second quarter.</w:t>
      </w:r>
    </w:p>
    <w:p>
      <w:pPr>
        <w:spacing w:after="0" w:line="22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performance in the first quarter was confirmation of fundamental and sustainable long-term changes we have made in the company. Even with an 8 percent decline in sequential revenue, gross margin remained above 50 percent and operating margin remained above 20 percent. We performed considerably better than in prior cyclical troughs because of a more resilient manufacturing strategy and a stronger portfolio of analog products.</w:t>
      </w:r>
    </w:p>
    <w:p>
      <w:pPr>
        <w:spacing w:after="0" w:line="22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Analog will continue to play an increasing role for us. Even though we are the world’s leading supplier, our share is low in this large but fragmented market. The opportunity for share gains combined with the attractive financial characteristics of the analog market is appealing. This represents a unique opportunity, especially alongside our strong position in DSP, which provides early entry into important new markets. We continue to keep customers at the core of our strategy, recognizing that we are successful only to the extent we help make them successful.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Statements of Income - Selected Items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(In millions, except per-share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center"/>
              <w:ind w:left="790"/>
              <w:spacing w:after="0"/>
              <w:rPr>
                <w:sz w:val="20"/>
                <w:szCs w:val="20"/>
                <w:color w:val="auto"/>
              </w:rPr>
            </w:pPr>
            <w:r>
              <w:rPr>
                <w:rFonts w:ascii="Arial" w:cs="Arial" w:eastAsia="Arial" w:hAnsi="Arial"/>
                <w:sz w:val="18"/>
                <w:szCs w:val="18"/>
                <w:b w:val="1"/>
                <w:bCs w:val="1"/>
                <w:color w:val="auto"/>
                <w:w w:val="92"/>
              </w:rPr>
              <w:t>For Three Months Ended</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6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line="191" w:lineRule="exact"/>
              <w:rPr>
                <w:sz w:val="20"/>
                <w:szCs w:val="20"/>
                <w:color w:val="auto"/>
              </w:rPr>
            </w:pPr>
            <w:r>
              <w:rPr>
                <w:rFonts w:ascii="Arial" w:cs="Arial" w:eastAsia="Arial" w:hAnsi="Arial"/>
                <w:sz w:val="18"/>
                <w:szCs w:val="18"/>
                <w:b w:val="1"/>
                <w:bCs w:val="1"/>
                <w:color w:val="auto"/>
              </w:rPr>
              <w:t>Mar. 31,</w:t>
            </w:r>
          </w:p>
        </w:tc>
        <w:tc>
          <w:tcPr>
            <w:tcW w:w="240" w:type="dxa"/>
            <w:vAlign w:val="bottom"/>
          </w:tcPr>
          <w:p>
            <w:pPr>
              <w:spacing w:after="0"/>
              <w:rPr>
                <w:sz w:val="16"/>
                <w:szCs w:val="16"/>
                <w:color w:val="auto"/>
              </w:rPr>
            </w:pPr>
          </w:p>
        </w:tc>
        <w:tc>
          <w:tcPr>
            <w:tcW w:w="132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88"/>
              </w:rPr>
              <w:t>Dec. 31,</w:t>
            </w:r>
          </w:p>
        </w:tc>
        <w:tc>
          <w:tcPr>
            <w:tcW w:w="240" w:type="dxa"/>
            <w:vAlign w:val="bottom"/>
          </w:tcPr>
          <w:p>
            <w:pPr>
              <w:spacing w:after="0"/>
              <w:rPr>
                <w:sz w:val="16"/>
                <w:szCs w:val="16"/>
                <w:color w:val="auto"/>
              </w:rPr>
            </w:pPr>
          </w:p>
        </w:tc>
        <w:tc>
          <w:tcPr>
            <w:tcW w:w="112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Mar. 31,</w:t>
            </w:r>
          </w:p>
        </w:tc>
        <w:tc>
          <w:tcPr>
            <w:tcW w:w="160" w:type="dxa"/>
            <w:vAlign w:val="bottom"/>
          </w:tcPr>
          <w:p>
            <w:pPr>
              <w:spacing w:after="0"/>
              <w:rPr>
                <w:sz w:val="16"/>
                <w:szCs w:val="16"/>
                <w:color w:val="auto"/>
              </w:rPr>
            </w:pPr>
          </w:p>
        </w:tc>
      </w:tr>
      <w:tr>
        <w:trPr>
          <w:trHeight w:val="234"/>
        </w:trPr>
        <w:tc>
          <w:tcPr>
            <w:tcW w:w="6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0"/>
                <w:szCs w:val="20"/>
                <w:color w:val="auto"/>
              </w:rPr>
            </w:pPr>
          </w:p>
        </w:tc>
      </w:tr>
      <w:tr>
        <w:trPr>
          <w:trHeight w:val="237"/>
        </w:trPr>
        <w:tc>
          <w:tcPr>
            <w:tcW w:w="674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114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112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112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3,191</w:t>
            </w:r>
          </w:p>
        </w:tc>
        <w:tc>
          <w:tcPr>
            <w:tcW w:w="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3,463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3,334</w:t>
            </w:r>
          </w:p>
        </w:tc>
      </w:tr>
      <w:tr>
        <w:trPr>
          <w:trHeight w:val="243"/>
        </w:trPr>
        <w:tc>
          <w:tcPr>
            <w:tcW w:w="67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Cost of revenue (COR)</w:t>
            </w:r>
          </w:p>
        </w:tc>
        <w:tc>
          <w:tcPr>
            <w:tcW w:w="240" w:type="dxa"/>
            <w:vAlign w:val="bottom"/>
            <w:tcBorders>
              <w:bottom w:val="single" w:sz="8" w:color="auto"/>
            </w:tcBorders>
            <w:shd w:val="clear" w:color="auto" w:fill="E2EEF6"/>
          </w:tcPr>
          <w:p>
            <w:pPr>
              <w:spacing w:after="0"/>
              <w:rPr>
                <w:sz w:val="21"/>
                <w:szCs w:val="21"/>
                <w:color w:val="auto"/>
              </w:rPr>
            </w:pPr>
          </w:p>
        </w:tc>
        <w:tc>
          <w:tcPr>
            <w:tcW w:w="11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1,554</w:t>
            </w:r>
          </w:p>
        </w:tc>
        <w:tc>
          <w:tcPr>
            <w:tcW w:w="220" w:type="dxa"/>
            <w:vAlign w:val="bottom"/>
            <w:tcBorders>
              <w:bottom w:val="single" w:sz="8" w:color="E2EEF6"/>
            </w:tcBorders>
            <w:shd w:val="clear" w:color="auto" w:fill="E2EEF6"/>
          </w:tcPr>
          <w:p>
            <w:pPr>
              <w:spacing w:after="0"/>
              <w:rPr>
                <w:sz w:val="21"/>
                <w:szCs w:val="21"/>
                <w:color w:val="auto"/>
              </w:rPr>
            </w:pPr>
          </w:p>
        </w:tc>
        <w:tc>
          <w:tcPr>
            <w:tcW w:w="240" w:type="dxa"/>
            <w:vAlign w:val="bottom"/>
            <w:tcBorders>
              <w:bottom w:val="single" w:sz="8" w:color="auto"/>
            </w:tcBorders>
            <w:shd w:val="clear" w:color="auto" w:fill="E2EEF6"/>
          </w:tcPr>
          <w:p>
            <w:pPr>
              <w:spacing w:after="0"/>
              <w:rPr>
                <w:sz w:val="21"/>
                <w:szCs w:val="21"/>
                <w:color w:val="auto"/>
              </w:rPr>
            </w:pPr>
          </w:p>
        </w:tc>
        <w:tc>
          <w:tcPr>
            <w:tcW w:w="11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1,715</w:t>
            </w:r>
          </w:p>
        </w:tc>
        <w:tc>
          <w:tcPr>
            <w:tcW w:w="200" w:type="dxa"/>
            <w:vAlign w:val="bottom"/>
            <w:tcBorders>
              <w:bottom w:val="single" w:sz="8" w:color="E2EEF6"/>
            </w:tcBorders>
            <w:shd w:val="clear" w:color="auto" w:fill="E2EEF6"/>
          </w:tcPr>
          <w:p>
            <w:pPr>
              <w:spacing w:after="0"/>
              <w:rPr>
                <w:sz w:val="21"/>
                <w:szCs w:val="21"/>
                <w:color w:val="auto"/>
              </w:rPr>
            </w:pPr>
          </w:p>
        </w:tc>
        <w:tc>
          <w:tcPr>
            <w:tcW w:w="240" w:type="dxa"/>
            <w:vAlign w:val="bottom"/>
            <w:tcBorders>
              <w:bottom w:val="single" w:sz="8" w:color="auto"/>
            </w:tcBorders>
            <w:shd w:val="clear" w:color="auto" w:fill="E2EEF6"/>
          </w:tcPr>
          <w:p>
            <w:pPr>
              <w:spacing w:after="0"/>
              <w:rPr>
                <w:sz w:val="21"/>
                <w:szCs w:val="21"/>
                <w:color w:val="auto"/>
              </w:rPr>
            </w:pPr>
          </w:p>
        </w:tc>
        <w:tc>
          <w:tcPr>
            <w:tcW w:w="11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1,662</w:t>
            </w:r>
          </w:p>
        </w:tc>
        <w:tc>
          <w:tcPr>
            <w:tcW w:w="160" w:type="dxa"/>
            <w:vAlign w:val="bottom"/>
            <w:tcBorders>
              <w:bottom w:val="single" w:sz="8" w:color="E2EEF6"/>
            </w:tcBorders>
            <w:shd w:val="clear" w:color="auto" w:fill="E2EEF6"/>
          </w:tcPr>
          <w:p>
            <w:pPr>
              <w:spacing w:after="0"/>
              <w:rPr>
                <w:sz w:val="21"/>
                <w:szCs w:val="2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1,637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1,748</w:t>
            </w:r>
          </w:p>
        </w:tc>
        <w:tc>
          <w:tcPr>
            <w:tcW w:w="2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1,672</w:t>
            </w: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Research and development (R&amp;D)</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552</w:t>
            </w:r>
          </w:p>
        </w:tc>
        <w:tc>
          <w:tcPr>
            <w:tcW w:w="2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32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556</w:t>
            </w:r>
          </w:p>
        </w:tc>
        <w:tc>
          <w:tcPr>
            <w:tcW w:w="240" w:type="dxa"/>
            <w:vAlign w:val="bottom"/>
            <w:shd w:val="clear" w:color="auto" w:fill="E2EEF6"/>
          </w:tcPr>
          <w:p>
            <w:pPr>
              <w:spacing w:after="0"/>
              <w:rPr>
                <w:sz w:val="21"/>
                <w:szCs w:val="21"/>
                <w:color w:val="auto"/>
              </w:rPr>
            </w:pPr>
          </w:p>
        </w:tc>
        <w:tc>
          <w:tcPr>
            <w:tcW w:w="12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533</w:t>
            </w: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Selling, general and administrative (SG&amp;A)</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w:t>
            </w: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23"/>
                <w:szCs w:val="23"/>
                <w:color w:val="auto"/>
              </w:rPr>
            </w:pPr>
          </w:p>
        </w:tc>
      </w:tr>
      <w:tr>
        <w:trPr>
          <w:trHeight w:val="237"/>
        </w:trPr>
        <w:tc>
          <w:tcPr>
            <w:tcW w:w="6740" w:type="dxa"/>
            <w:vAlign w:val="bottom"/>
            <w:tcBorders>
              <w:bottom w:val="single" w:sz="8" w:color="E2EEF6"/>
            </w:tcBorders>
            <w:shd w:val="clear" w:color="auto" w:fill="E2EEF6"/>
          </w:tcPr>
          <w:p>
            <w:pPr>
              <w:ind w:left="18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bottom w:val="single" w:sz="8" w:color="auto"/>
            </w:tcBorders>
            <w:shd w:val="clear" w:color="auto" w:fill="E2EEF6"/>
          </w:tcPr>
          <w:p>
            <w:pPr>
              <w:spacing w:after="0"/>
              <w:rPr>
                <w:sz w:val="20"/>
                <w:szCs w:val="20"/>
                <w:color w:val="auto"/>
              </w:rPr>
            </w:pPr>
          </w:p>
        </w:tc>
        <w:tc>
          <w:tcPr>
            <w:tcW w:w="11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2,511</w:t>
            </w:r>
          </w:p>
        </w:tc>
        <w:tc>
          <w:tcPr>
            <w:tcW w:w="220" w:type="dxa"/>
            <w:vAlign w:val="bottom"/>
            <w:tcBorders>
              <w:bottom w:val="single" w:sz="8" w:color="E2EEF6"/>
            </w:tcBorders>
            <w:shd w:val="clear" w:color="auto" w:fill="E2EEF6"/>
          </w:tcPr>
          <w:p>
            <w:pPr>
              <w:spacing w:after="0"/>
              <w:rPr>
                <w:sz w:val="20"/>
                <w:szCs w:val="20"/>
                <w:color w:val="auto"/>
              </w:rPr>
            </w:pPr>
          </w:p>
        </w:tc>
        <w:tc>
          <w:tcPr>
            <w:tcW w:w="240" w:type="dxa"/>
            <w:vAlign w:val="bottom"/>
            <w:tcBorders>
              <w:bottom w:val="single" w:sz="8" w:color="auto"/>
            </w:tcBorders>
            <w:shd w:val="clear" w:color="auto" w:fill="E2EEF6"/>
          </w:tcPr>
          <w:p>
            <w:pPr>
              <w:spacing w:after="0"/>
              <w:rPr>
                <w:sz w:val="20"/>
                <w:szCs w:val="20"/>
                <w:color w:val="auto"/>
              </w:rPr>
            </w:pPr>
          </w:p>
        </w:tc>
        <w:tc>
          <w:tcPr>
            <w:tcW w:w="11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2,696</w:t>
            </w:r>
          </w:p>
        </w:tc>
        <w:tc>
          <w:tcPr>
            <w:tcW w:w="200" w:type="dxa"/>
            <w:vAlign w:val="bottom"/>
            <w:tcBorders>
              <w:bottom w:val="single" w:sz="8" w:color="E2EEF6"/>
            </w:tcBorders>
            <w:shd w:val="clear" w:color="auto" w:fill="E2EEF6"/>
          </w:tcPr>
          <w:p>
            <w:pPr>
              <w:spacing w:after="0"/>
              <w:rPr>
                <w:sz w:val="20"/>
                <w:szCs w:val="20"/>
                <w:color w:val="auto"/>
              </w:rPr>
            </w:pPr>
          </w:p>
        </w:tc>
        <w:tc>
          <w:tcPr>
            <w:tcW w:w="240" w:type="dxa"/>
            <w:vAlign w:val="bottom"/>
            <w:tcBorders>
              <w:bottom w:val="single" w:sz="8" w:color="auto"/>
            </w:tcBorders>
            <w:shd w:val="clear" w:color="auto" w:fill="E2EEF6"/>
          </w:tcPr>
          <w:p>
            <w:pPr>
              <w:spacing w:after="0"/>
              <w:rPr>
                <w:sz w:val="20"/>
                <w:szCs w:val="20"/>
                <w:color w:val="auto"/>
              </w:rPr>
            </w:pPr>
          </w:p>
        </w:tc>
        <w:tc>
          <w:tcPr>
            <w:tcW w:w="11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2,616</w:t>
            </w:r>
          </w:p>
        </w:tc>
        <w:tc>
          <w:tcPr>
            <w:tcW w:w="160" w:type="dxa"/>
            <w:vAlign w:val="bottom"/>
            <w:tcBorders>
              <w:bottom w:val="single" w:sz="8" w:color="E2EEF6"/>
            </w:tcBorders>
            <w:shd w:val="clear" w:color="auto" w:fill="E2EEF6"/>
          </w:tcPr>
          <w:p>
            <w:pPr>
              <w:spacing w:after="0"/>
              <w:rPr>
                <w:sz w:val="20"/>
                <w:szCs w:val="20"/>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Profit from operations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680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767</w:t>
            </w:r>
          </w:p>
        </w:tc>
        <w:tc>
          <w:tcPr>
            <w:tcW w:w="2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718</w:t>
            </w: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40</w:t>
            </w:r>
          </w:p>
        </w:tc>
        <w:tc>
          <w:tcPr>
            <w:tcW w:w="2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32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E2EEF6"/>
          </w:tcPr>
          <w:p>
            <w:pPr>
              <w:spacing w:after="0"/>
              <w:rPr>
                <w:sz w:val="21"/>
                <w:szCs w:val="21"/>
                <w:color w:val="auto"/>
              </w:rPr>
            </w:pPr>
          </w:p>
        </w:tc>
        <w:tc>
          <w:tcPr>
            <w:tcW w:w="12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52</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Interest expense on loans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1"/>
                <w:szCs w:val="21"/>
                <w:color w:val="auto"/>
              </w:rPr>
            </w:pPr>
          </w:p>
        </w:tc>
      </w:tr>
      <w:tr>
        <w:trPr>
          <w:trHeight w:val="237"/>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shd w:val="clear" w:color="auto" w:fill="E2EEF6"/>
          </w:tcPr>
          <w:p>
            <w:pPr>
              <w:spacing w:after="0"/>
              <w:rPr>
                <w:sz w:val="20"/>
                <w:szCs w:val="20"/>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719</w:t>
            </w:r>
          </w:p>
        </w:tc>
        <w:tc>
          <w:tcPr>
            <w:tcW w:w="22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132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836</w:t>
            </w:r>
          </w:p>
        </w:tc>
        <w:tc>
          <w:tcPr>
            <w:tcW w:w="24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767</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21"/>
                <w:szCs w:val="21"/>
                <w:color w:val="auto"/>
              </w:rPr>
            </w:pPr>
          </w:p>
        </w:tc>
      </w:tr>
      <w:tr>
        <w:trPr>
          <w:trHeight w:val="237"/>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E2EEF6"/>
          </w:tcPr>
          <w:p>
            <w:pPr>
              <w:spacing w:after="0"/>
              <w:rPr>
                <w:sz w:val="20"/>
                <w:szCs w:val="20"/>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516</w:t>
            </w:r>
          </w:p>
        </w:tc>
        <w:tc>
          <w:tcPr>
            <w:tcW w:w="22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132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671</w:t>
            </w:r>
          </w:p>
        </w:tc>
        <w:tc>
          <w:tcPr>
            <w:tcW w:w="24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542</w:t>
            </w: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r>
      <w:tr>
        <w:trPr>
          <w:trHeight w:val="277"/>
        </w:trPr>
        <w:tc>
          <w:tcPr>
            <w:tcW w:w="67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shd w:val="clear" w:color="auto" w:fill="E2EEF6"/>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516</w:t>
            </w:r>
          </w:p>
        </w:tc>
        <w:tc>
          <w:tcPr>
            <w:tcW w:w="220" w:type="dxa"/>
            <w:vAlign w:val="bottom"/>
            <w:tcBorders>
              <w:bottom w:val="single" w:sz="8" w:color="E2EEF6"/>
            </w:tcBorders>
            <w:shd w:val="clear" w:color="auto" w:fill="E2EEF6"/>
          </w:tcPr>
          <w:p>
            <w:pPr>
              <w:spacing w:after="0"/>
              <w:rPr>
                <w:sz w:val="24"/>
                <w:szCs w:val="24"/>
                <w:color w:val="auto"/>
              </w:rPr>
            </w:pPr>
          </w:p>
        </w:tc>
        <w:tc>
          <w:tcPr>
            <w:tcW w:w="240" w:type="dxa"/>
            <w:vAlign w:val="bottom"/>
            <w:tcBorders>
              <w:top w:val="single" w:sz="8" w:color="auto"/>
              <w:bottom w:val="single" w:sz="8" w:color="auto"/>
            </w:tcBorders>
            <w:shd w:val="clear" w:color="auto" w:fill="E2EEF6"/>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668</w:t>
            </w:r>
          </w:p>
        </w:tc>
        <w:tc>
          <w:tcPr>
            <w:tcW w:w="200" w:type="dxa"/>
            <w:vAlign w:val="bottom"/>
            <w:tcBorders>
              <w:bottom w:val="single" w:sz="8" w:color="E2EEF6"/>
            </w:tcBorders>
            <w:shd w:val="clear" w:color="auto" w:fill="E2EEF6"/>
          </w:tcPr>
          <w:p>
            <w:pPr>
              <w:spacing w:after="0"/>
              <w:rPr>
                <w:sz w:val="24"/>
                <w:szCs w:val="24"/>
                <w:color w:val="auto"/>
              </w:rPr>
            </w:pPr>
          </w:p>
        </w:tc>
        <w:tc>
          <w:tcPr>
            <w:tcW w:w="240" w:type="dxa"/>
            <w:vAlign w:val="bottom"/>
            <w:tcBorders>
              <w:top w:val="single" w:sz="8" w:color="auto"/>
              <w:bottom w:val="single" w:sz="8" w:color="auto"/>
            </w:tcBorders>
            <w:shd w:val="clear" w:color="auto" w:fill="E2EEF6"/>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Borders>
              <w:bottom w:val="single" w:sz="8" w:color="E2EEF6"/>
            </w:tcBorders>
            <w:shd w:val="clear" w:color="auto" w:fill="E2EEF6"/>
          </w:tcPr>
          <w:p>
            <w:pPr>
              <w:spacing w:after="0"/>
              <w:rPr>
                <w:sz w:val="24"/>
                <w:szCs w:val="24"/>
                <w:color w:val="auto"/>
              </w:rPr>
            </w:pPr>
          </w:p>
        </w:tc>
      </w:tr>
      <w:tr>
        <w:trPr>
          <w:trHeight w:val="224"/>
        </w:trPr>
        <w:tc>
          <w:tcPr>
            <w:tcW w:w="6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12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1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r>
      <w:tr>
        <w:trPr>
          <w:trHeight w:val="283"/>
        </w:trPr>
        <w:tc>
          <w:tcPr>
            <w:tcW w:w="6740" w:type="dxa"/>
            <w:vAlign w:val="bottom"/>
            <w:shd w:val="clear" w:color="auto" w:fill="E2EEF6"/>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E2EEF6"/>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.36</w:t>
            </w:r>
          </w:p>
        </w:tc>
        <w:tc>
          <w:tcPr>
            <w:tcW w:w="220" w:type="dxa"/>
            <w:vAlign w:val="bottom"/>
            <w:shd w:val="clear" w:color="auto" w:fill="E2EEF6"/>
          </w:tcPr>
          <w:p>
            <w:pPr>
              <w:spacing w:after="0"/>
              <w:rPr>
                <w:sz w:val="24"/>
                <w:szCs w:val="24"/>
                <w:color w:val="auto"/>
              </w:rPr>
            </w:pPr>
          </w:p>
        </w:tc>
        <w:tc>
          <w:tcPr>
            <w:tcW w:w="240" w:type="dxa"/>
            <w:vAlign w:val="bottom"/>
            <w:shd w:val="clear" w:color="auto" w:fill="E2EEF6"/>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E2EEF6"/>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.37</w:t>
            </w:r>
          </w:p>
        </w:tc>
      </w:tr>
      <w:tr>
        <w:trPr>
          <w:trHeight w:val="224"/>
        </w:trPr>
        <w:tc>
          <w:tcPr>
            <w:tcW w:w="6740" w:type="dxa"/>
            <w:vAlign w:val="bottom"/>
            <w:tcBorders>
              <w:top w:val="single" w:sz="8" w:color="E2EEF6"/>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Borders>
              <w:top w:val="single" w:sz="8" w:color="E2EEF6"/>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00" w:type="dxa"/>
            <w:vAlign w:val="bottom"/>
            <w:tcBorders>
              <w:top w:val="single" w:sz="8" w:color="E2EEF6"/>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Borders>
              <w:top w:val="single" w:sz="8" w:color="E2EEF6"/>
            </w:tcBorders>
          </w:tcPr>
          <w:p>
            <w:pPr>
              <w:spacing w:after="0"/>
              <w:rPr>
                <w:sz w:val="19"/>
                <w:szCs w:val="19"/>
                <w:color w:val="auto"/>
              </w:rPr>
            </w:pP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12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1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r>
      <w:tr>
        <w:trPr>
          <w:trHeight w:val="111"/>
        </w:trPr>
        <w:tc>
          <w:tcPr>
            <w:tcW w:w="6740" w:type="dxa"/>
            <w:vAlign w:val="bottom"/>
            <w:shd w:val="clear" w:color="auto" w:fill="E2EEF6"/>
          </w:tcPr>
          <w:p>
            <w:pPr>
              <w:spacing w:after="0"/>
              <w:rPr>
                <w:sz w:val="9"/>
                <w:szCs w:val="9"/>
                <w:color w:val="auto"/>
              </w:rPr>
            </w:pPr>
          </w:p>
        </w:tc>
        <w:tc>
          <w:tcPr>
            <w:tcW w:w="240" w:type="dxa"/>
            <w:vAlign w:val="bottom"/>
            <w:shd w:val="clear" w:color="auto" w:fill="E2EEF6"/>
          </w:tcPr>
          <w:p>
            <w:pPr>
              <w:spacing w:after="0"/>
              <w:rPr>
                <w:sz w:val="9"/>
                <w:szCs w:val="9"/>
                <w:color w:val="auto"/>
              </w:rPr>
            </w:pPr>
          </w:p>
        </w:tc>
        <w:tc>
          <w:tcPr>
            <w:tcW w:w="1140" w:type="dxa"/>
            <w:vAlign w:val="bottom"/>
            <w:shd w:val="clear" w:color="auto" w:fill="E2EEF6"/>
          </w:tcPr>
          <w:p>
            <w:pPr>
              <w:spacing w:after="0"/>
              <w:rPr>
                <w:sz w:val="9"/>
                <w:szCs w:val="9"/>
                <w:color w:val="auto"/>
              </w:rPr>
            </w:pPr>
          </w:p>
        </w:tc>
        <w:tc>
          <w:tcPr>
            <w:tcW w:w="220" w:type="dxa"/>
            <w:vAlign w:val="bottom"/>
            <w:shd w:val="clear" w:color="auto" w:fill="E2EEF6"/>
          </w:tcPr>
          <w:p>
            <w:pPr>
              <w:spacing w:after="0"/>
              <w:rPr>
                <w:sz w:val="9"/>
                <w:szCs w:val="9"/>
                <w:color w:val="auto"/>
              </w:rPr>
            </w:pPr>
          </w:p>
        </w:tc>
        <w:tc>
          <w:tcPr>
            <w:tcW w:w="240" w:type="dxa"/>
            <w:vAlign w:val="bottom"/>
            <w:shd w:val="clear" w:color="auto" w:fill="E2EEF6"/>
          </w:tcPr>
          <w:p>
            <w:pPr>
              <w:spacing w:after="0"/>
              <w:rPr>
                <w:sz w:val="9"/>
                <w:szCs w:val="9"/>
                <w:color w:val="auto"/>
              </w:rPr>
            </w:pPr>
          </w:p>
        </w:tc>
        <w:tc>
          <w:tcPr>
            <w:tcW w:w="1120" w:type="dxa"/>
            <w:vAlign w:val="bottom"/>
            <w:shd w:val="clear" w:color="auto" w:fill="E2EEF6"/>
          </w:tcPr>
          <w:p>
            <w:pPr>
              <w:spacing w:after="0"/>
              <w:rPr>
                <w:sz w:val="9"/>
                <w:szCs w:val="9"/>
                <w:color w:val="auto"/>
              </w:rPr>
            </w:pPr>
          </w:p>
        </w:tc>
        <w:tc>
          <w:tcPr>
            <w:tcW w:w="200" w:type="dxa"/>
            <w:vAlign w:val="bottom"/>
            <w:shd w:val="clear" w:color="auto" w:fill="E2EEF6"/>
          </w:tcPr>
          <w:p>
            <w:pPr>
              <w:spacing w:after="0"/>
              <w:rPr>
                <w:sz w:val="9"/>
                <w:szCs w:val="9"/>
                <w:color w:val="auto"/>
              </w:rPr>
            </w:pPr>
          </w:p>
        </w:tc>
        <w:tc>
          <w:tcPr>
            <w:tcW w:w="240" w:type="dxa"/>
            <w:vAlign w:val="bottom"/>
            <w:shd w:val="clear" w:color="auto" w:fill="E2EEF6"/>
          </w:tcPr>
          <w:p>
            <w:pPr>
              <w:spacing w:after="0"/>
              <w:rPr>
                <w:sz w:val="9"/>
                <w:szCs w:val="9"/>
                <w:color w:val="auto"/>
              </w:rPr>
            </w:pPr>
          </w:p>
        </w:tc>
        <w:tc>
          <w:tcPr>
            <w:tcW w:w="1120" w:type="dxa"/>
            <w:vAlign w:val="bottom"/>
            <w:shd w:val="clear" w:color="auto" w:fill="E2EEF6"/>
          </w:tcPr>
          <w:p>
            <w:pPr>
              <w:spacing w:after="0"/>
              <w:rPr>
                <w:sz w:val="9"/>
                <w:szCs w:val="9"/>
                <w:color w:val="auto"/>
              </w:rPr>
            </w:pPr>
          </w:p>
        </w:tc>
        <w:tc>
          <w:tcPr>
            <w:tcW w:w="160" w:type="dxa"/>
            <w:vAlign w:val="bottom"/>
            <w:shd w:val="clear" w:color="auto" w:fill="E2EEF6"/>
          </w:tcPr>
          <w:p>
            <w:pPr>
              <w:spacing w:after="0"/>
              <w:rPr>
                <w:sz w:val="9"/>
                <w:szCs w:val="9"/>
                <w:color w:val="auto"/>
              </w:rPr>
            </w:pPr>
          </w:p>
        </w:tc>
      </w:tr>
    </w:tbl>
    <w:p>
      <w:pPr>
        <w:sectPr>
          <w:pgSz w:w="11900" w:h="16900" w:orient="portrait"/>
          <w:cols w:equalWidth="0" w:num="1">
            <w:col w:w="11420"/>
          </w:cols>
          <w:pgMar w:left="240" w:top="395"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520" w:type="dxa"/>
            <w:vAlign w:val="bottom"/>
            <w:shd w:val="clear" w:color="auto" w:fill="E2EEF6"/>
          </w:tcPr>
          <w:p>
            <w:pPr>
              <w:ind w:left="180"/>
              <w:spacing w:after="0"/>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E2EEF6"/>
          </w:tcPr>
          <w:p>
            <w:pPr>
              <w:jc w:val="right"/>
              <w:ind w:right="44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shd w:val="clear" w:color="auto" w:fill="E2EEF6"/>
          </w:tcPr>
          <w:p>
            <w:pPr>
              <w:spacing w:after="0"/>
              <w:rPr>
                <w:sz w:val="24"/>
                <w:szCs w:val="24"/>
                <w:color w:val="auto"/>
              </w:rPr>
            </w:pPr>
          </w:p>
        </w:tc>
        <w:tc>
          <w:tcPr>
            <w:tcW w:w="520" w:type="dxa"/>
            <w:vAlign w:val="bottom"/>
            <w:shd w:val="clear" w:color="auto" w:fill="E2EEF6"/>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.45</w:t>
            </w:r>
          </w:p>
        </w:tc>
        <w:tc>
          <w:tcPr>
            <w:tcW w:w="520" w:type="dxa"/>
            <w:vAlign w:val="bottom"/>
            <w:shd w:val="clear" w:color="auto" w:fill="E2EEF6"/>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.36</w:t>
            </w:r>
          </w:p>
        </w:tc>
      </w:tr>
      <w:tr>
        <w:trPr>
          <w:trHeight w:val="224"/>
        </w:trPr>
        <w:tc>
          <w:tcPr>
            <w:tcW w:w="6520" w:type="dxa"/>
            <w:vAlign w:val="bottom"/>
            <w:tcBorders>
              <w:top w:val="single" w:sz="8" w:color="E2EEF6"/>
            </w:tcBorders>
          </w:tcPr>
          <w:p>
            <w:pPr>
              <w:spacing w:after="0"/>
              <w:rPr>
                <w:sz w:val="19"/>
                <w:szCs w:val="19"/>
                <w:color w:val="auto"/>
              </w:rPr>
            </w:pPr>
          </w:p>
        </w:tc>
        <w:tc>
          <w:tcPr>
            <w:tcW w:w="220" w:type="dxa"/>
            <w:vAlign w:val="bottom"/>
            <w:tcBorders>
              <w:top w:val="single" w:sz="8" w:color="E2EEF6"/>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E2EEF6"/>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Borders>
              <w:top w:val="single" w:sz="8" w:color="E2EEF6"/>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Borders>
              <w:top w:val="single" w:sz="8" w:color="E2EEF6"/>
            </w:tcBorders>
          </w:tcPr>
          <w:p>
            <w:pPr>
              <w:spacing w:after="0"/>
              <w:rPr>
                <w:sz w:val="19"/>
                <w:szCs w:val="19"/>
                <w:color w:val="auto"/>
              </w:rPr>
            </w:pPr>
          </w:p>
        </w:tc>
      </w:tr>
      <w:tr>
        <w:trPr>
          <w:trHeight w:val="243"/>
        </w:trPr>
        <w:tc>
          <w:tcPr>
            <w:tcW w:w="6520" w:type="dxa"/>
            <w:vAlign w:val="bottom"/>
            <w:shd w:val="clear" w:color="auto" w:fill="E2EEF6"/>
          </w:tcPr>
          <w:p>
            <w:pPr>
              <w:spacing w:after="0"/>
              <w:rPr>
                <w:sz w:val="20"/>
                <w:szCs w:val="20"/>
                <w:color w:val="auto"/>
              </w:rPr>
            </w:pPr>
            <w:r>
              <w:rPr>
                <w:rFonts w:ascii="Arial" w:cs="Arial" w:eastAsia="Arial" w:hAnsi="Arial"/>
                <w:sz w:val="18"/>
                <w:szCs w:val="18"/>
                <w:color w:val="auto"/>
              </w:rPr>
              <w:t>Average shares outstanding:</w:t>
            </w:r>
          </w:p>
        </w:tc>
        <w:tc>
          <w:tcPr>
            <w:tcW w:w="22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52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52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1,442</w:t>
            </w:r>
          </w:p>
        </w:tc>
        <w:tc>
          <w:tcPr>
            <w:tcW w:w="2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2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w:t>
            </w:r>
          </w:p>
        </w:tc>
        <w:tc>
          <w:tcPr>
            <w:tcW w:w="160" w:type="dxa"/>
            <w:vAlign w:val="bottom"/>
          </w:tcPr>
          <w:p>
            <w:pPr>
              <w:spacing w:after="0"/>
              <w:rPr>
                <w:sz w:val="21"/>
                <w:szCs w:val="2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6520" w:type="dxa"/>
            <w:vAlign w:val="bottom"/>
            <w:tcBorders>
              <w:bottom w:val="single" w:sz="8" w:color="E2EEF6"/>
            </w:tcBorders>
            <w:shd w:val="clear" w:color="auto" w:fill="E2EEF6"/>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E2EEF6"/>
            </w:tcBorders>
            <w:shd w:val="clear" w:color="auto" w:fill="E2EEF6"/>
          </w:tcPr>
          <w:p>
            <w:pPr>
              <w:spacing w:after="0"/>
              <w:rPr>
                <w:sz w:val="22"/>
                <w:szCs w:val="22"/>
                <w:color w:val="auto"/>
              </w:rPr>
            </w:pPr>
          </w:p>
        </w:tc>
        <w:tc>
          <w:tcPr>
            <w:tcW w:w="540" w:type="dxa"/>
            <w:vAlign w:val="bottom"/>
            <w:tcBorders>
              <w:bottom w:val="single" w:sz="8" w:color="auto"/>
            </w:tcBorders>
            <w:shd w:val="clear" w:color="auto" w:fill="E2EEF6"/>
          </w:tcPr>
          <w:p>
            <w:pPr>
              <w:spacing w:after="0"/>
              <w:rPr>
                <w:sz w:val="22"/>
                <w:szCs w:val="22"/>
                <w:color w:val="auto"/>
              </w:rPr>
            </w:pPr>
          </w:p>
        </w:tc>
        <w:tc>
          <w:tcPr>
            <w:tcW w:w="8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1,470</w:t>
            </w:r>
          </w:p>
        </w:tc>
        <w:tc>
          <w:tcPr>
            <w:tcW w:w="220" w:type="dxa"/>
            <w:vAlign w:val="bottom"/>
            <w:tcBorders>
              <w:bottom w:val="single" w:sz="8" w:color="E2EEF6"/>
            </w:tcBorders>
            <w:shd w:val="clear" w:color="auto" w:fill="E2EEF6"/>
          </w:tcPr>
          <w:p>
            <w:pPr>
              <w:spacing w:after="0"/>
              <w:rPr>
                <w:sz w:val="22"/>
                <w:szCs w:val="22"/>
                <w:color w:val="auto"/>
              </w:rPr>
            </w:pPr>
          </w:p>
        </w:tc>
        <w:tc>
          <w:tcPr>
            <w:tcW w:w="520" w:type="dxa"/>
            <w:vAlign w:val="bottom"/>
            <w:tcBorders>
              <w:bottom w:val="single" w:sz="8" w:color="auto"/>
            </w:tcBorders>
            <w:shd w:val="clear" w:color="auto" w:fill="E2EEF6"/>
          </w:tcPr>
          <w:p>
            <w:pPr>
              <w:spacing w:after="0"/>
              <w:rPr>
                <w:sz w:val="22"/>
                <w:szCs w:val="22"/>
                <w:color w:val="auto"/>
              </w:rPr>
            </w:pPr>
          </w:p>
        </w:tc>
        <w:tc>
          <w:tcPr>
            <w:tcW w:w="8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1,499</w:t>
            </w:r>
          </w:p>
        </w:tc>
        <w:tc>
          <w:tcPr>
            <w:tcW w:w="200" w:type="dxa"/>
            <w:vAlign w:val="bottom"/>
            <w:tcBorders>
              <w:bottom w:val="single" w:sz="8" w:color="E2EEF6"/>
            </w:tcBorders>
            <w:shd w:val="clear" w:color="auto" w:fill="E2EEF6"/>
          </w:tcPr>
          <w:p>
            <w:pPr>
              <w:spacing w:after="0"/>
              <w:rPr>
                <w:sz w:val="22"/>
                <w:szCs w:val="22"/>
                <w:color w:val="auto"/>
              </w:rPr>
            </w:pPr>
          </w:p>
        </w:tc>
        <w:tc>
          <w:tcPr>
            <w:tcW w:w="520" w:type="dxa"/>
            <w:vAlign w:val="bottom"/>
            <w:tcBorders>
              <w:bottom w:val="single" w:sz="8" w:color="auto"/>
            </w:tcBorders>
            <w:shd w:val="clear" w:color="auto" w:fill="E2EEF6"/>
          </w:tcPr>
          <w:p>
            <w:pPr>
              <w:spacing w:after="0"/>
              <w:rPr>
                <w:sz w:val="22"/>
                <w:szCs w:val="22"/>
                <w:color w:val="auto"/>
              </w:rPr>
            </w:pPr>
          </w:p>
        </w:tc>
        <w:tc>
          <w:tcPr>
            <w:tcW w:w="8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1,618</w:t>
            </w:r>
          </w:p>
        </w:tc>
        <w:tc>
          <w:tcPr>
            <w:tcW w:w="160" w:type="dxa"/>
            <w:vAlign w:val="bottom"/>
            <w:tcBorders>
              <w:bottom w:val="single" w:sz="8" w:color="E2EEF6"/>
            </w:tcBorders>
            <w:shd w:val="clear" w:color="auto" w:fill="E2EEF6"/>
          </w:tcPr>
          <w:p>
            <w:pPr>
              <w:spacing w:after="0"/>
              <w:rPr>
                <w:sz w:val="22"/>
                <w:szCs w:val="22"/>
                <w:color w:val="auto"/>
              </w:rPr>
            </w:pPr>
          </w:p>
        </w:tc>
      </w:tr>
      <w:tr>
        <w:trPr>
          <w:trHeight w:val="224"/>
        </w:trPr>
        <w:tc>
          <w:tcPr>
            <w:tcW w:w="652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r>
      <w:tr>
        <w:trPr>
          <w:trHeight w:val="283"/>
        </w:trPr>
        <w:tc>
          <w:tcPr>
            <w:tcW w:w="6520" w:type="dxa"/>
            <w:vAlign w:val="bottom"/>
            <w:shd w:val="clear" w:color="auto" w:fill="E2EEF6"/>
          </w:tcPr>
          <w:p>
            <w:pPr>
              <w:spacing w:after="0"/>
              <w:rPr>
                <w:sz w:val="20"/>
                <w:szCs w:val="20"/>
                <w:color w:val="auto"/>
              </w:rPr>
            </w:pPr>
            <w:r>
              <w:rPr>
                <w:rFonts w:ascii="Arial" w:cs="Arial" w:eastAsia="Arial" w:hAnsi="Arial"/>
                <w:sz w:val="18"/>
                <w:szCs w:val="18"/>
                <w:color w:val="auto"/>
              </w:rPr>
              <w:t>Cash dividends declared per share of common stock</w:t>
            </w:r>
          </w:p>
        </w:tc>
        <w:tc>
          <w:tcPr>
            <w:tcW w:w="760" w:type="dxa"/>
            <w:vAlign w:val="bottom"/>
            <w:gridSpan w:val="2"/>
            <w:shd w:val="clear" w:color="auto" w:fill="E2EEF6"/>
          </w:tcPr>
          <w:p>
            <w:pPr>
              <w:jc w:val="right"/>
              <w:ind w:right="44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.04</w:t>
            </w:r>
          </w:p>
        </w:tc>
        <w:tc>
          <w:tcPr>
            <w:tcW w:w="220" w:type="dxa"/>
            <w:vAlign w:val="bottom"/>
            <w:shd w:val="clear" w:color="auto" w:fill="E2EEF6"/>
          </w:tcPr>
          <w:p>
            <w:pPr>
              <w:spacing w:after="0"/>
              <w:rPr>
                <w:sz w:val="24"/>
                <w:szCs w:val="24"/>
                <w:color w:val="auto"/>
              </w:rPr>
            </w:pPr>
          </w:p>
        </w:tc>
        <w:tc>
          <w:tcPr>
            <w:tcW w:w="520" w:type="dxa"/>
            <w:vAlign w:val="bottom"/>
            <w:shd w:val="clear" w:color="auto" w:fill="E2EEF6"/>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.04</w:t>
            </w:r>
          </w:p>
        </w:tc>
        <w:tc>
          <w:tcPr>
            <w:tcW w:w="520" w:type="dxa"/>
            <w:vAlign w:val="bottom"/>
            <w:shd w:val="clear" w:color="auto" w:fill="E2EEF6"/>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.03</w:t>
            </w:r>
          </w:p>
        </w:tc>
      </w:tr>
      <w:tr>
        <w:trPr>
          <w:trHeight w:val="224"/>
        </w:trPr>
        <w:tc>
          <w:tcPr>
            <w:tcW w:w="6520" w:type="dxa"/>
            <w:vAlign w:val="bottom"/>
            <w:tcBorders>
              <w:top w:val="single" w:sz="8" w:color="E2EEF6"/>
            </w:tcBorders>
          </w:tcPr>
          <w:p>
            <w:pPr>
              <w:spacing w:after="0"/>
              <w:rPr>
                <w:sz w:val="19"/>
                <w:szCs w:val="19"/>
                <w:color w:val="auto"/>
              </w:rPr>
            </w:pPr>
          </w:p>
        </w:tc>
        <w:tc>
          <w:tcPr>
            <w:tcW w:w="220" w:type="dxa"/>
            <w:vAlign w:val="bottom"/>
            <w:tcBorders>
              <w:top w:val="single" w:sz="8" w:color="E2EEF6"/>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E2EEF6"/>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Borders>
              <w:top w:val="single" w:sz="8" w:color="E2EEF6"/>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Borders>
              <w:top w:val="single" w:sz="8" w:color="E2EEF6"/>
            </w:tcBorders>
          </w:tcPr>
          <w:p>
            <w:pPr>
              <w:spacing w:after="0"/>
              <w:rPr>
                <w:sz w:val="19"/>
                <w:szCs w:val="19"/>
                <w:color w:val="auto"/>
              </w:rPr>
            </w:pPr>
          </w:p>
        </w:tc>
      </w:tr>
      <w:tr>
        <w:trPr>
          <w:trHeight w:val="243"/>
        </w:trPr>
        <w:tc>
          <w:tcPr>
            <w:tcW w:w="6520" w:type="dxa"/>
            <w:vAlign w:val="bottom"/>
            <w:shd w:val="clear" w:color="auto" w:fill="E2EEF6"/>
          </w:tcPr>
          <w:p>
            <w:pPr>
              <w:spacing w:after="0"/>
              <w:rPr>
                <w:sz w:val="20"/>
                <w:szCs w:val="20"/>
                <w:color w:val="auto"/>
              </w:rPr>
            </w:pPr>
            <w:r>
              <w:rPr>
                <w:rFonts w:ascii="Arial" w:cs="Arial" w:eastAsia="Arial" w:hAnsi="Arial"/>
                <w:sz w:val="18"/>
                <w:szCs w:val="18"/>
                <w:color w:val="auto"/>
              </w:rPr>
              <w:t>Percentage of revenue:</w:t>
            </w:r>
          </w:p>
        </w:tc>
        <w:tc>
          <w:tcPr>
            <w:tcW w:w="22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52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52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r>
      <w:tr>
        <w:trPr>
          <w:trHeight w:val="243"/>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520" w:type="dxa"/>
            <w:vAlign w:val="bottom"/>
            <w:shd w:val="clear" w:color="auto" w:fill="E2EEF6"/>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b w:val="1"/>
                <w:bCs w:val="1"/>
                <w:color w:val="auto"/>
              </w:rPr>
              <w:t>51.3%</w:t>
            </w:r>
          </w:p>
        </w:tc>
        <w:tc>
          <w:tcPr>
            <w:tcW w:w="5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50.5%</w:t>
            </w:r>
          </w:p>
        </w:tc>
        <w:tc>
          <w:tcPr>
            <w:tcW w:w="52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50.1%</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R&amp;D</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17.3%</w:t>
            </w:r>
          </w:p>
        </w:tc>
        <w:tc>
          <w:tcPr>
            <w:tcW w:w="52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52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r>
      <w:tr>
        <w:trPr>
          <w:trHeight w:val="243"/>
        </w:trPr>
        <w:tc>
          <w:tcPr>
            <w:tcW w:w="6520" w:type="dxa"/>
            <w:vAlign w:val="bottom"/>
            <w:shd w:val="clear" w:color="auto" w:fill="E2EEF6"/>
          </w:tcPr>
          <w:p>
            <w:pPr>
              <w:spacing w:after="0"/>
              <w:rPr>
                <w:sz w:val="20"/>
                <w:szCs w:val="20"/>
                <w:color w:val="auto"/>
              </w:rPr>
            </w:pPr>
            <w:r>
              <w:rPr>
                <w:rFonts w:ascii="Arial" w:cs="Arial" w:eastAsia="Arial" w:hAnsi="Arial"/>
                <w:sz w:val="18"/>
                <w:szCs w:val="18"/>
                <w:color w:val="auto"/>
              </w:rPr>
              <w:t>SG&amp;A</w:t>
            </w:r>
          </w:p>
        </w:tc>
        <w:tc>
          <w:tcPr>
            <w:tcW w:w="22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b w:val="1"/>
                <w:bCs w:val="1"/>
                <w:color w:val="auto"/>
              </w:rPr>
              <w:t>12.7%</w:t>
            </w:r>
          </w:p>
        </w:tc>
        <w:tc>
          <w:tcPr>
            <w:tcW w:w="5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12.3%</w:t>
            </w:r>
          </w:p>
        </w:tc>
        <w:tc>
          <w:tcPr>
            <w:tcW w:w="52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12.6%</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21.3%</w:t>
            </w:r>
          </w:p>
        </w:tc>
        <w:tc>
          <w:tcPr>
            <w:tcW w:w="52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c>
          <w:tcPr>
            <w:tcW w:w="52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for the first quarter of 2007 was $1.64 billion. This was down $111 million from the prior quarter and down $35 million from the year-ago quarter due to lower revenue.</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R&amp;D expense for the first quarter was $552 million. This was about even with the prior quarter, as cost-saving actions offset seasonally higher pay and benefits. R&amp;D expense increased $19 million, or 4 percent, from the year-ago quarter due to higher product development costs in our Semiconductor segment, particularly for wireless applications.</w:t>
      </w:r>
    </w:p>
    <w:p>
      <w:pPr>
        <w:spacing w:after="0" w:line="235"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SG&amp;A expense for the first quarter was $405 million. This was a decrease of $20 million, or 5 percent, from the prior quarter due to lower marketing expense, including seasonally lower advertising for products for the DLP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high-definition television market. SG&amp;A expense declined $16 million, or 4 percent, from the year-ago quarter due to cost-saving actions.</w:t>
      </w:r>
    </w:p>
    <w:p>
      <w:pPr>
        <w:spacing w:after="0" w:line="25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Operating profit for the first quarter was $680 million. This was a decrease of $87 million from the prior quarter and $38 million from the year-ago quarter primarily due to lower gross profit in our Semiconductor segment (see Notes 4 and 7 to the Financial Statements for additional information relating to Corporate items).</w:t>
      </w:r>
    </w:p>
    <w:p>
      <w:pPr>
        <w:spacing w:after="0" w:line="235"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Other income (expense) net (OI&amp;E) for the first quarter was $40 million. This was a decrease of $30 million from the prior quarter, which included a favorable settlement of all remaining matters related to grants from the Italian government regarding our former memory operations.</w:t>
      </w:r>
    </w:p>
    <w:p>
      <w:pPr>
        <w:spacing w:after="0" w:line="20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As of March 31, 2007, the effective annual tax rate for continuing operations in 2007 is expected to be about 28 percent (see Note 8 to the Financial Statements for additional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Quarterly income taxes are calculated using an estimate of the effective tax rate for the full year.</w:t>
      </w:r>
    </w:p>
    <w:p>
      <w:pPr>
        <w:spacing w:after="0" w:line="279"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The tax provision for continuing operations for the quarter was $203 million, compared with $165 million in the previous quarter. The increase in the tax provision for the quarter is due to a cumulative adjustment in the previous quarter for the reinstatement of the federal research tax credit and, to a lesser extent, the expiration of the deduction for export sales, which were partially offset by a decrease in income before income taxes.</w:t>
      </w:r>
    </w:p>
    <w:p>
      <w:pPr>
        <w:spacing w:after="0" w:line="22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Compared with the year-ago quarter, the tax provision decreased by $22 million, due to lower income before income taxes and, to a lesser extent, the effect of the federal research tax credit. These were partially offset by the expiration of the deduction for export sales.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from continuing operations for the first quarter was $516 million, or $0.35 per share, compared with $671 million, or $0.45 per share, for the prior quarter and $542 million, or $0.33 per share, for the year-ago quarter. Although income from continuing operations declined 5 percent from a year ago, on a per-share basis these earnings increased 6 percent reflecting the impact of our share repurchases over the past year.</w:t>
      </w:r>
    </w:p>
    <w:p>
      <w:pPr>
        <w:spacing w:after="0" w:line="23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Orders for the first quarter were $3.20 billion. This was an increase of $128 million from the prior quarter due to higher demand for products in Semiconductor and, to a lesser extent, Education Technology. Orders declined $399 million from the year-ago quarter due to lower demand in both segments.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Semiconductor</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Semiconductor revenue in the first quarter of 2007 was $3.12 billion. This was a decrease of 8 percent from the prior quarter due to lower shipments resulting from a broad-based decline in demand in the semiconductor market. Compared with a year ago, revenue decreased 4 percent primarily due to lower shipments resulting from lower demand for DSP products that more than offset increased shipments resulting from higher demand for analog products.</w:t>
      </w:r>
    </w:p>
    <w:p>
      <w:pPr>
        <w:spacing w:after="0" w:line="20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Analog product revenue for the first quarter was $1.25 billion, down 5 percent from the prior quarter due to the broad-based decline in demand. Compared with the year-ago quarter, analog revenue increased 2 percent as a decline in demand for analog products for wireless applications was more than offset by an increase in demand for a broad range of other analog products, especially high-performance analog. Revenue from high-performance analog products declined 5 percent from the prior quarter and increased 8 percent from a year ago.</w:t>
      </w:r>
    </w:p>
    <w:p>
      <w:pPr>
        <w:spacing w:after="0" w:line="24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DSP product revenue for the first quarter of $1.16 billion was down 5 percent from the prior quarter and down 10 percent from a year ago due to the broad-based decline in demand.</w:t>
      </w:r>
    </w:p>
    <w:p>
      <w:pPr>
        <w:sectPr>
          <w:pgSz w:w="11900" w:h="16838" w:orient="portrait"/>
          <w:cols w:equalWidth="0" w:num="1">
            <w:col w:w="11420"/>
          </w:cols>
          <w:pgMar w:left="240" w:top="140" w:right="239" w:bottom="0" w:gutter="0" w:footer="0" w:header="0"/>
        </w:sectPr>
      </w:pPr>
    </w:p>
    <w:bookmarkStart w:id="12" w:name="page13"/>
    <w:bookmarkEnd w:id="12"/>
    <w:p>
      <w:pPr>
        <w:ind w:right="20"/>
        <w:spacing w:after="0" w:line="255" w:lineRule="auto"/>
        <w:rPr>
          <w:sz w:val="20"/>
          <w:szCs w:val="20"/>
          <w:color w:val="auto"/>
        </w:rPr>
      </w:pPr>
      <w:r>
        <w:rPr>
          <w:rFonts w:ascii="Arial" w:cs="Arial" w:eastAsia="Arial" w:hAnsi="Arial"/>
          <w:sz w:val="18"/>
          <w:szCs w:val="18"/>
          <w:color w:val="auto"/>
        </w:rPr>
        <w:t>Our remaining Semiconductor product revenue of $713 million for the first quarter was 17 percent lower than the prior quarter due to declines in, in decreasing order, DLP products, royalties, microprocessors and standard logic. These declines offset increases in shipments due to growth in demand for microcontrollers. Royalties declined because new patent license agreements that were signed in the prior quarter included non-recurring catch-up payments. From a year ago, our remaining Semiconductor revenue decreased 5 percent in the first quarter as declines in shipments resulting from reduced demand for, in decreasing order, microprocessors, DLP products and standard logic more than offset growth in royalties and higher shipments from increased demand in microcontrollers.</w:t>
      </w:r>
    </w:p>
    <w:p>
      <w:pPr>
        <w:spacing w:after="0" w:line="24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an end-equipment basis, revenue from analog and DSP products for wireless applications declined 7 percent sequentially and was down 9 percent from a year ago as customers reduced their inventories. Revenue from products for 3G cell phones grew sequentially as we believe the excess inventory in this portion of the market was mostly cleared in the second half of last year. Revenue from products for mid-range and low-end cell phones declined as inventory was reduced in the market. Compared with a year ago, revenue from products for 3G cell phones was about even, while mid-range and low-end product revenue also declined due to the reduction of inventory in the market. Revenue from products for wireless infrastructure applications declined sequentially on lower shipments, although it was up strongly from a year ago due to higher shipments resulting from increased demand.</w:t>
      </w:r>
    </w:p>
    <w:p>
      <w:pPr>
        <w:spacing w:after="0" w:line="2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DLP products, first-quarter revenue declined 30 percent sequentially and 15 percent from a year ago, primarily due to decreased shipments resulting from lower demand for products for front projectors as customers reduced their inventories.</w:t>
      </w:r>
    </w:p>
    <w:p>
      <w:pPr>
        <w:spacing w:after="0" w:line="2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Gross profit for the first quarter was $1.63 billion, or 52.3 percent of revenue. This was a decrease of $103 million from the prior quarter and a decrease of $30 million from the year-ago quarter due to lower revenue.</w:t>
      </w:r>
    </w:p>
    <w:p>
      <w:pPr>
        <w:spacing w:after="0" w:line="2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Operating profit for the first quarter was $831 million, or 26.7 percent of revenue. This was a decline of $77 million from the prior quarter and a decline of $52 million from the year-ago quarter primarily due to lower gross profit.</w:t>
      </w:r>
    </w:p>
    <w:p>
      <w:pPr>
        <w:spacing w:after="0" w:line="2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Semiconductor orders in the first quarter were $3.08 billion. This was an increase of 3 percent from the prior quarter due to higher demand for DSP products and a decrease of 10 percent from the year-ago quarter due to broadly lower demand.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Education Technology</w:t>
      </w:r>
    </w:p>
    <w:p>
      <w:pPr>
        <w:spacing w:after="0" w:line="2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Education Technology revenue for the first quarter of 2007 was $76 million. This was a decrease of $2 million from the prior quarter and an increase of $2 million from the year-ago quarter.</w:t>
      </w:r>
    </w:p>
    <w:p>
      <w:pPr>
        <w:spacing w:after="0" w:line="2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Gross profit for the first quarter was $45 million, or 59.0 percent of revenue. Gross profit was even with the prior quarter and increased $4 million from the year-ago quarter due to a combination of higher revenue and, to a lesser extent, product cost reductions.</w:t>
      </w:r>
    </w:p>
    <w:p>
      <w:pPr>
        <w:spacing w:after="0" w:line="2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Operating profit for the first quarter was $16 million, or 20.6 percent of revenue. This was a decrease of $3 million compared with the prior quarter due to higher SG&amp;A expense. It was an increase of $3 million from the year-ago quarter due to higher gross profit.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At the end of the first quarter of 2007, total cash (cash and cash equivalents plus short-term investments) was $3.34 billion. This was a decrease of $381 million from the end of the prior quarter.</w:t>
      </w:r>
    </w:p>
    <w:p>
      <w:pPr>
        <w:spacing w:after="0" w:line="2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Accounts receivable were $1.76 billion at the end of the first quarter. This was about even with the end of 2006. Days sales outstanding were 50 at the end of the first quarter compared with 46 at the end of 2006.</w:t>
      </w:r>
    </w:p>
    <w:p>
      <w:pPr>
        <w:spacing w:after="0" w:line="22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Inventory was $1.41 billion at the end of the first quarter. This was a decrease of $28 million from the end of 2006 as we reduced inventory, especially of DSP products used in wireless applications, in response to lower demand. This was partially offset by planned replenishment of long-lived, high-performance analog product inventory. Days of inventory at the end of the first quarter were 82 compared with 75 at the end of 2006 as inventory decreased at a slower rate than cost of revenue. Additionally, compared with a year ago, inventory increased $163 million primarily due to replenishment of high-performance analog product inventory from less-than-desirable levels. Days of inventory were 67 at the end of the year-ago quarter.</w:t>
      </w:r>
    </w:p>
    <w:p>
      <w:pPr>
        <w:spacing w:after="0" w:line="21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Capital expenditures in the first three months of 2007 were $179 million. This was a decrease of $229 million from a year ago due to lower expenditures for semiconductor manufacturing equipment. Our capital expenditures in the first three months of 2007 were primarily for equipment used in the assembly and test of semiconductors, and wafer fabrication equipment used to manufacture analog semiconductors.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Depreciation in the first three months of 2007 was $252 million. This was a decrease of $18 million from a year ago.</w:t>
      </w:r>
    </w:p>
    <w:p>
      <w:pPr>
        <w:spacing w:after="0" w:line="27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Even with declining revenue in the first three months of 2007, depreciation was only 8 percent of revenue and capital expenditures were 6 percent of revenue, reflecting the increasing focus of our capital expenditures on analog products and our strategy of outsourcing much of our advanced digital production.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Cash flow from operations for the first quarter of 2007 was $554 million. This was an increase of $32 million from the year-ago quarter, as the decline in net income was more than offset by a reduction in cash needed for working capital requirements.</w:t>
      </w:r>
    </w:p>
    <w:p>
      <w:pPr>
        <w:spacing w:after="0" w:line="22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Net cash used in investing activities for the first quarter of 2007 was $44 million compared with net cash provided by investing activities of $609 million for the same period a year ago. We received cash of $165 million in the first quarter of 2007 from the sale of cash investments, net of purchases, and used $179 million for capital expenditures and $27 million in an asset acquisition. In the year-ago quarter, we received cash of $1.19 billion from the sale of cash investments, net of purchases, and used $408 million for capital expenditures and $177 million, net of cash, to acquire Chipcon.</w:t>
      </w:r>
    </w:p>
    <w:p>
      <w:pPr>
        <w:sectPr>
          <w:pgSz w:w="11900" w:h="16838" w:orient="portrait"/>
          <w:cols w:equalWidth="0" w:num="1">
            <w:col w:w="11420"/>
          </w:cols>
          <w:pgMar w:left="240" w:top="125" w:right="239" w:bottom="167" w:gutter="0" w:footer="0" w:header="0"/>
        </w:sectPr>
      </w:pPr>
    </w:p>
    <w:bookmarkStart w:id="13" w:name="page14"/>
    <w:bookmarkEnd w:id="13"/>
    <w:p>
      <w:pPr>
        <w:ind w:right="400"/>
        <w:spacing w:after="0" w:line="286" w:lineRule="auto"/>
        <w:rPr>
          <w:sz w:val="20"/>
          <w:szCs w:val="20"/>
          <w:color w:val="auto"/>
        </w:rPr>
      </w:pPr>
      <w:r>
        <w:rPr>
          <w:rFonts w:ascii="Arial" w:cs="Arial" w:eastAsia="Arial" w:hAnsi="Arial"/>
          <w:sz w:val="17"/>
          <w:szCs w:val="17"/>
          <w:color w:val="auto"/>
        </w:rPr>
        <w:t>In the first quarter of 2007, net cash used in financing activities was $727 million compared with $1.65 billion for the same period a year ago. In the first quarter, we used $857 million of cash to repurchase 28 million shares of common stock compared with $1.44 billion used in the year-ago quarter to repurchase 47 million shares of common stock. In addition, in the first quarter of last year, we used $311 million to retire debt.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At March 31, 2007, we had $43 million of 8.75% notes due 2007 outstanding. On April 2, 2007, we repaid the outstanding balance on this debt.</w:t>
      </w:r>
    </w:p>
    <w:p>
      <w:pPr>
        <w:spacing w:after="0" w:line="27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April 18, 2007, the Board of Directors declared a 100 percent increase in our regular quarterly cash dividend on common stock, payable May 21, 2007, to stockholders of record on April 30, 2007. The new quarterly dividend rate will be $0.08 per quarter, resulting in annual dividend payments of $0.32 per share.</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2007, we expect: an annual effective tax rate of about 28 percent; capital expenditures of about $0.9 billion and depreciation of about $1.0 billion; and R&amp;D expense of about $2.2 billion.</w:t>
      </w:r>
    </w:p>
    <w:p>
      <w:pPr>
        <w:spacing w:after="0" w:line="22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authorized stock repurchases, dividend payments and other business requirements for at least the next 12 months.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Contractual Obligations</w:t>
      </w:r>
    </w:p>
    <w:p>
      <w:pPr>
        <w:spacing w:after="0" w:line="27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 a result of the adoption of FIN 48, we have recorded a $158 million liability for uncertain tax positions. We are not updating the disclosures in our long-term contractual obligations table presented in our 2006 Form 10-K because of the difficulty in making reasonably reliable estimates of the timing of cash settlements with the respective taxing authorities (see Note 1 to the Financial Statements for additional discussion).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Information concerning market risk is contained on page 55 of Exhibit 13 to our Form 10-K for the year ended December 31, 2006, and is incorporated by reference to such exhibit.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providing reasonable assurance that information required to be disclosed in the reports that we file or submit under the Exchange Act is recorded, processed, summarized and reported, within the time periods specified in the Commission’s rules and forms.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center"/>
              <w:ind w:left="77"/>
              <w:spacing w:after="0"/>
              <w:rPr>
                <w:sz w:val="20"/>
                <w:szCs w:val="20"/>
                <w:color w:val="auto"/>
              </w:rPr>
            </w:pPr>
            <w:r>
              <w:rPr>
                <w:rFonts w:ascii="Arial" w:cs="Arial" w:eastAsia="Arial" w:hAnsi="Arial"/>
                <w:sz w:val="18"/>
                <w:szCs w:val="18"/>
                <w:b w:val="1"/>
                <w:bCs w:val="1"/>
                <w:color w:val="auto"/>
                <w:w w:val="93"/>
              </w:rPr>
              <w:t>Total Number</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left="77"/>
              <w:spacing w:after="0"/>
              <w:rPr>
                <w:sz w:val="20"/>
                <w:szCs w:val="20"/>
                <w:color w:val="auto"/>
              </w:rPr>
            </w:pPr>
            <w:r>
              <w:rPr>
                <w:rFonts w:ascii="Arial" w:cs="Arial" w:eastAsia="Arial" w:hAnsi="Arial"/>
                <w:sz w:val="18"/>
                <w:szCs w:val="18"/>
                <w:b w:val="1"/>
                <w:bCs w:val="1"/>
                <w:color w:val="auto"/>
                <w:w w:val="87"/>
              </w:rPr>
              <w:t>of Shares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Dollar Value of</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left="77"/>
              <w:spacing w:after="0"/>
              <w:rPr>
                <w:sz w:val="20"/>
                <w:szCs w:val="20"/>
                <w:color w:val="auto"/>
              </w:rPr>
            </w:pPr>
            <w:r>
              <w:rPr>
                <w:rFonts w:ascii="Arial" w:cs="Arial" w:eastAsia="Arial" w:hAnsi="Arial"/>
                <w:sz w:val="18"/>
                <w:szCs w:val="18"/>
                <w:b w:val="1"/>
                <w:bCs w:val="1"/>
                <w:color w:val="auto"/>
                <w:w w:val="85"/>
              </w:rPr>
              <w:t>Purchased as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Shares that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left="77"/>
              <w:spacing w:after="0"/>
              <w:rPr>
                <w:sz w:val="20"/>
                <w:szCs w:val="20"/>
                <w:color w:val="auto"/>
              </w:rPr>
            </w:pPr>
            <w:r>
              <w:rPr>
                <w:rFonts w:ascii="Arial" w:cs="Arial" w:eastAsia="Arial" w:hAnsi="Arial"/>
                <w:sz w:val="18"/>
                <w:szCs w:val="18"/>
                <w:b w:val="1"/>
                <w:bCs w:val="1"/>
                <w:color w:val="auto"/>
                <w:w w:val="91"/>
              </w:rPr>
              <w:t>Part of</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Total</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left="77"/>
              <w:spacing w:after="0"/>
              <w:rPr>
                <w:sz w:val="20"/>
                <w:szCs w:val="20"/>
                <w:color w:val="auto"/>
              </w:rPr>
            </w:pPr>
            <w:r>
              <w:rPr>
                <w:rFonts w:ascii="Arial" w:cs="Arial" w:eastAsia="Arial" w:hAnsi="Arial"/>
                <w:sz w:val="18"/>
                <w:szCs w:val="18"/>
                <w:b w:val="1"/>
                <w:bCs w:val="1"/>
                <w:color w:val="auto"/>
                <w:w w:val="92"/>
              </w:rPr>
              <w:t>Publicly</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Purchased</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tcPr>
          <w:p>
            <w:pPr>
              <w:jc w:val="center"/>
              <w:ind w:left="77"/>
              <w:spacing w:after="0"/>
              <w:rPr>
                <w:sz w:val="20"/>
                <w:szCs w:val="20"/>
                <w:color w:val="auto"/>
              </w:rPr>
            </w:pPr>
            <w:r>
              <w:rPr>
                <w:rFonts w:ascii="Arial" w:cs="Arial" w:eastAsia="Arial" w:hAnsi="Arial"/>
                <w:sz w:val="18"/>
                <w:szCs w:val="18"/>
                <w:b w:val="1"/>
                <w:bCs w:val="1"/>
                <w:color w:val="auto"/>
                <w:w w:val="88"/>
              </w:rPr>
              <w:t>Announced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Under the</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Price Paid</w:t>
            </w:r>
          </w:p>
        </w:tc>
        <w:tc>
          <w:tcPr>
            <w:tcW w:w="1360" w:type="dxa"/>
            <w:vAlign w:val="bottom"/>
          </w:tcPr>
          <w:p>
            <w:pPr>
              <w:jc w:val="center"/>
              <w:ind w:left="77"/>
              <w:spacing w:after="0"/>
              <w:rPr>
                <w:sz w:val="20"/>
                <w:szCs w:val="20"/>
                <w:color w:val="auto"/>
              </w:rPr>
            </w:pPr>
            <w:r>
              <w:rPr>
                <w:rFonts w:ascii="Arial" w:cs="Arial" w:eastAsia="Arial" w:hAnsi="Arial"/>
                <w:sz w:val="18"/>
                <w:szCs w:val="18"/>
                <w:b w:val="1"/>
                <w:bCs w:val="1"/>
                <w:color w:val="auto"/>
                <w:w w:val="90"/>
              </w:rPr>
              <w:t>Plans or</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Plans or</w:t>
            </w:r>
          </w:p>
        </w:tc>
        <w:tc>
          <w:tcPr>
            <w:tcW w:w="0" w:type="dxa"/>
            <w:vAlign w:val="bottom"/>
          </w:tcPr>
          <w:p>
            <w:pPr>
              <w:spacing w:after="0"/>
              <w:rPr>
                <w:sz w:val="1"/>
                <w:szCs w:val="1"/>
                <w:color w:val="auto"/>
              </w:rPr>
            </w:pPr>
          </w:p>
        </w:tc>
      </w:tr>
      <w:tr>
        <w:trPr>
          <w:trHeight w:val="270"/>
        </w:trPr>
        <w:tc>
          <w:tcPr>
            <w:tcW w:w="48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Period</w:t>
            </w:r>
          </w:p>
        </w:tc>
        <w:tc>
          <w:tcPr>
            <w:tcW w:w="220" w:type="dxa"/>
            <w:vAlign w:val="bottom"/>
          </w:tcPr>
          <w:p>
            <w:pPr>
              <w:spacing w:after="0"/>
              <w:rPr>
                <w:sz w:val="23"/>
                <w:szCs w:val="23"/>
                <w:color w:val="auto"/>
              </w:rPr>
            </w:pPr>
          </w:p>
        </w:tc>
        <w:tc>
          <w:tcPr>
            <w:tcW w:w="1340" w:type="dxa"/>
            <w:vAlign w:val="bottom"/>
            <w:tcBorders>
              <w:bottom w:val="single" w:sz="8" w:color="auto"/>
            </w:tcBorders>
          </w:tcPr>
          <w:p>
            <w:pPr>
              <w:jc w:val="center"/>
              <w:ind w:left="84"/>
              <w:spacing w:after="0"/>
              <w:rPr>
                <w:sz w:val="20"/>
                <w:szCs w:val="20"/>
                <w:color w:val="auto"/>
              </w:rPr>
            </w:pPr>
            <w:r>
              <w:rPr>
                <w:rFonts w:ascii="Arial" w:cs="Arial" w:eastAsia="Arial" w:hAnsi="Arial"/>
                <w:sz w:val="18"/>
                <w:szCs w:val="18"/>
                <w:b w:val="1"/>
                <w:bCs w:val="1"/>
                <w:color w:val="auto"/>
                <w:w w:val="89"/>
              </w:rPr>
              <w:t>Purchased</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 Share</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center"/>
              <w:ind w:left="77"/>
              <w:spacing w:after="0"/>
              <w:rPr>
                <w:sz w:val="20"/>
                <w:szCs w:val="20"/>
                <w:color w:val="auto"/>
              </w:rPr>
            </w:pPr>
            <w:r>
              <w:rPr>
                <w:rFonts w:ascii="Arial" w:cs="Arial" w:eastAsia="Arial" w:hAnsi="Arial"/>
                <w:sz w:val="18"/>
                <w:szCs w:val="18"/>
                <w:b w:val="1"/>
                <w:bCs w:val="1"/>
                <w:color w:val="auto"/>
                <w:w w:val="90"/>
              </w:rPr>
              <w:t>Programs</w:t>
            </w:r>
          </w:p>
        </w:tc>
        <w:tc>
          <w:tcPr>
            <w:tcW w:w="3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30"/>
                <w:szCs w:val="30"/>
                <w:b w:val="1"/>
                <w:bCs w:val="1"/>
                <w:color w:val="auto"/>
                <w:w w:val="86"/>
                <w:vertAlign w:val="superscript"/>
              </w:rPr>
              <w:t>(1)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20" w:type="dxa"/>
            <w:vAlign w:val="bottom"/>
            <w:shd w:val="clear" w:color="auto" w:fill="E2EEF6"/>
          </w:tcPr>
          <w:p>
            <w:pPr>
              <w:spacing w:after="0"/>
              <w:rPr>
                <w:sz w:val="20"/>
                <w:szCs w:val="20"/>
                <w:color w:val="auto"/>
              </w:rPr>
            </w:pPr>
            <w:r>
              <w:rPr>
                <w:rFonts w:ascii="Arial" w:cs="Arial" w:eastAsia="Arial" w:hAnsi="Arial"/>
                <w:sz w:val="18"/>
                <w:szCs w:val="18"/>
                <w:color w:val="auto"/>
              </w:rPr>
              <w:t>January 1 through January 31, 2007</w:t>
            </w:r>
          </w:p>
        </w:tc>
        <w:tc>
          <w:tcPr>
            <w:tcW w:w="1780" w:type="dxa"/>
            <w:vAlign w:val="bottom"/>
            <w:gridSpan w:val="3"/>
            <w:shd w:val="clear" w:color="auto" w:fill="E2EEF6"/>
          </w:tcPr>
          <w:p>
            <w:pPr>
              <w:jc w:val="right"/>
              <w:ind w:right="220"/>
              <w:spacing w:after="0"/>
              <w:rPr>
                <w:sz w:val="20"/>
                <w:szCs w:val="20"/>
                <w:color w:val="auto"/>
              </w:rPr>
            </w:pPr>
            <w:r>
              <w:rPr>
                <w:rFonts w:ascii="Arial" w:cs="Arial" w:eastAsia="Arial" w:hAnsi="Arial"/>
                <w:sz w:val="18"/>
                <w:szCs w:val="18"/>
                <w:color w:val="auto"/>
              </w:rPr>
              <w:t>12,728,500</w:t>
            </w:r>
          </w:p>
        </w:tc>
        <w:tc>
          <w:tcPr>
            <w:tcW w:w="220" w:type="dxa"/>
            <w:vAlign w:val="bottom"/>
            <w:shd w:val="clear" w:color="auto" w:fill="E2EEF6"/>
          </w:tcPr>
          <w:p>
            <w:pPr>
              <w:jc w:val="right"/>
              <w:ind w:right="82"/>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29.24</w:t>
            </w:r>
          </w:p>
        </w:tc>
        <w:tc>
          <w:tcPr>
            <w:tcW w:w="13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12,728,500</w:t>
            </w:r>
          </w:p>
        </w:tc>
        <w:tc>
          <w:tcPr>
            <w:tcW w:w="380" w:type="dxa"/>
            <w:vAlign w:val="bottom"/>
            <w:tcBorders>
              <w:right w:val="single" w:sz="8" w:color="E2EEF6"/>
            </w:tcBorders>
            <w:shd w:val="clear" w:color="auto" w:fill="E2EEF6"/>
          </w:tcPr>
          <w:p>
            <w:pPr>
              <w:spacing w:after="0"/>
              <w:rPr>
                <w:sz w:val="20"/>
                <w:szCs w:val="20"/>
                <w:color w:val="auto"/>
              </w:rPr>
            </w:pP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5,122,449,933</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February 1 through February 28, 2007</w:t>
            </w:r>
          </w:p>
        </w:tc>
        <w:tc>
          <w:tcPr>
            <w:tcW w:w="1780" w:type="dxa"/>
            <w:vAlign w:val="bottom"/>
            <w:gridSpan w:val="3"/>
          </w:tcPr>
          <w:p>
            <w:pPr>
              <w:jc w:val="right"/>
              <w:ind w:right="220"/>
              <w:spacing w:after="0"/>
              <w:rPr>
                <w:sz w:val="20"/>
                <w:szCs w:val="20"/>
                <w:color w:val="auto"/>
              </w:rPr>
            </w:pPr>
            <w:r>
              <w:rPr>
                <w:rFonts w:ascii="Arial" w:cs="Arial" w:eastAsia="Arial" w:hAnsi="Arial"/>
                <w:sz w:val="18"/>
                <w:szCs w:val="18"/>
                <w:color w:val="auto"/>
              </w:rPr>
              <w:t>6,675,000</w:t>
            </w:r>
          </w:p>
        </w:tc>
        <w:tc>
          <w:tcPr>
            <w:tcW w:w="22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31.18</w:t>
            </w:r>
          </w:p>
        </w:tc>
        <w:tc>
          <w:tcPr>
            <w:tcW w:w="1360" w:type="dxa"/>
            <w:vAlign w:val="bottom"/>
          </w:tcPr>
          <w:p>
            <w:pPr>
              <w:jc w:val="right"/>
              <w:spacing w:after="0"/>
              <w:rPr>
                <w:sz w:val="20"/>
                <w:szCs w:val="20"/>
                <w:color w:val="auto"/>
              </w:rPr>
            </w:pPr>
            <w:r>
              <w:rPr>
                <w:rFonts w:ascii="Arial" w:cs="Arial" w:eastAsia="Arial" w:hAnsi="Arial"/>
                <w:sz w:val="18"/>
                <w:szCs w:val="18"/>
                <w:color w:val="auto"/>
              </w:rPr>
              <w:t>6,675,000</w:t>
            </w:r>
          </w:p>
        </w:tc>
        <w:tc>
          <w:tcPr>
            <w:tcW w:w="3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4,914,314,056</w:t>
            </w:r>
          </w:p>
        </w:tc>
        <w:tc>
          <w:tcPr>
            <w:tcW w:w="0" w:type="dxa"/>
            <w:vAlign w:val="bottom"/>
          </w:tcPr>
          <w:p>
            <w:pPr>
              <w:spacing w:after="0"/>
              <w:rPr>
                <w:sz w:val="1"/>
                <w:szCs w:val="1"/>
                <w:color w:val="auto"/>
              </w:rPr>
            </w:pPr>
          </w:p>
        </w:tc>
      </w:tr>
      <w:tr>
        <w:trPr>
          <w:trHeight w:val="243"/>
        </w:trPr>
        <w:tc>
          <w:tcPr>
            <w:tcW w:w="4820" w:type="dxa"/>
            <w:vAlign w:val="bottom"/>
            <w:shd w:val="clear" w:color="auto" w:fill="E2EEF6"/>
          </w:tcPr>
          <w:p>
            <w:pPr>
              <w:spacing w:after="0"/>
              <w:rPr>
                <w:sz w:val="20"/>
                <w:szCs w:val="20"/>
                <w:color w:val="auto"/>
              </w:rPr>
            </w:pPr>
            <w:r>
              <w:rPr>
                <w:rFonts w:ascii="Arial" w:cs="Arial" w:eastAsia="Arial" w:hAnsi="Arial"/>
                <w:sz w:val="18"/>
                <w:szCs w:val="18"/>
                <w:color w:val="auto"/>
              </w:rPr>
              <w:t>March 1 through March 31, 2007</w:t>
            </w:r>
          </w:p>
        </w:tc>
        <w:tc>
          <w:tcPr>
            <w:tcW w:w="220" w:type="dxa"/>
            <w:vAlign w:val="bottom"/>
            <w:shd w:val="clear" w:color="auto" w:fill="E2EEF6"/>
          </w:tcPr>
          <w:p>
            <w:pPr>
              <w:spacing w:after="0"/>
              <w:rPr>
                <w:sz w:val="21"/>
                <w:szCs w:val="21"/>
                <w:color w:val="auto"/>
              </w:rPr>
            </w:pPr>
          </w:p>
        </w:tc>
        <w:tc>
          <w:tcPr>
            <w:tcW w:w="15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7,760,000</w:t>
            </w:r>
          </w:p>
        </w:tc>
        <w:tc>
          <w:tcPr>
            <w:tcW w:w="220" w:type="dxa"/>
            <w:vAlign w:val="bottom"/>
            <w:shd w:val="clear" w:color="auto" w:fill="E2EEF6"/>
          </w:tcPr>
          <w:p>
            <w:pPr>
              <w:jc w:val="right"/>
              <w:ind w:right="82"/>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31.33</w:t>
            </w:r>
          </w:p>
        </w:tc>
        <w:tc>
          <w:tcPr>
            <w:tcW w:w="13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7,760,000</w:t>
            </w:r>
          </w:p>
        </w:tc>
        <w:tc>
          <w:tcPr>
            <w:tcW w:w="380" w:type="dxa"/>
            <w:vAlign w:val="bottom"/>
            <w:tcBorders>
              <w:right w:val="single" w:sz="8" w:color="E2EEF6"/>
            </w:tcBorders>
            <w:shd w:val="clear" w:color="auto" w:fill="E2EEF6"/>
          </w:tcPr>
          <w:p>
            <w:pPr>
              <w:spacing w:after="0"/>
              <w:rPr>
                <w:sz w:val="21"/>
                <w:szCs w:val="21"/>
                <w:color w:val="auto"/>
              </w:rPr>
            </w:pP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4,671,226,381</w:t>
            </w:r>
          </w:p>
        </w:tc>
        <w:tc>
          <w:tcPr>
            <w:tcW w:w="0" w:type="dxa"/>
            <w:vAlign w:val="bottom"/>
          </w:tcPr>
          <w:p>
            <w:pPr>
              <w:spacing w:after="0"/>
              <w:rPr>
                <w:sz w:val="1"/>
                <w:szCs w:val="1"/>
                <w:color w:val="auto"/>
              </w:rPr>
            </w:pPr>
          </w:p>
        </w:tc>
      </w:tr>
      <w:tr>
        <w:trPr>
          <w:trHeight w:val="20"/>
        </w:trPr>
        <w:tc>
          <w:tcPr>
            <w:tcW w:w="482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80" w:type="dxa"/>
            <w:vAlign w:val="bottom"/>
            <w:tcBorders>
              <w:right w:val="single" w:sz="8" w:color="E2EEF6"/>
            </w:tcBorders>
            <w:shd w:val="clear" w:color="auto" w:fill="E2EEF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
        </w:trPr>
        <w:tc>
          <w:tcPr>
            <w:tcW w:w="4820" w:type="dxa"/>
            <w:vAlign w:val="bottom"/>
          </w:tcPr>
          <w:p>
            <w:pPr>
              <w:spacing w:after="0" w:line="9" w:lineRule="exact"/>
              <w:rPr>
                <w:sz w:val="20"/>
                <w:szCs w:val="20"/>
                <w:color w:val="auto"/>
              </w:rPr>
            </w:pPr>
            <w:r>
              <w:rPr>
                <w:rFonts w:ascii="Arial" w:cs="Arial" w:eastAsia="Arial" w:hAnsi="Arial"/>
                <w:sz w:val="1"/>
                <w:szCs w:val="1"/>
                <w:color w:val="auto"/>
              </w:rPr>
              <w:t>Total</w:t>
            </w:r>
          </w:p>
        </w:tc>
        <w:tc>
          <w:tcPr>
            <w:tcW w:w="220" w:type="dxa"/>
            <w:vAlign w:val="bottom"/>
          </w:tcPr>
          <w:p>
            <w:pPr>
              <w:spacing w:after="0" w:line="20" w:lineRule="exact"/>
              <w:rPr>
                <w:sz w:val="1"/>
                <w:szCs w:val="1"/>
                <w:color w:val="auto"/>
              </w:rPr>
            </w:pPr>
          </w:p>
        </w:tc>
        <w:tc>
          <w:tcPr>
            <w:tcW w:w="1560" w:type="dxa"/>
            <w:vAlign w:val="bottom"/>
            <w:gridSpan w:val="2"/>
          </w:tcPr>
          <w:p>
            <w:pPr>
              <w:jc w:val="right"/>
              <w:ind w:right="220"/>
              <w:spacing w:after="0" w:line="9" w:lineRule="exact"/>
              <w:rPr>
                <w:sz w:val="20"/>
                <w:szCs w:val="20"/>
                <w:color w:val="auto"/>
              </w:rPr>
            </w:pPr>
            <w:r>
              <w:rPr>
                <w:rFonts w:ascii="Arial" w:cs="Arial" w:eastAsia="Arial" w:hAnsi="Arial"/>
                <w:sz w:val="1"/>
                <w:szCs w:val="1"/>
                <w:color w:val="auto"/>
              </w:rPr>
              <w:t>27,163,500</w:t>
            </w:r>
          </w:p>
        </w:tc>
        <w:tc>
          <w:tcPr>
            <w:tcW w:w="220" w:type="dxa"/>
            <w:vAlign w:val="bottom"/>
          </w:tcPr>
          <w:p>
            <w:pPr>
              <w:jc w:val="right"/>
              <w:ind w:right="82"/>
              <w:spacing w:after="0" w:line="9" w:lineRule="exact"/>
              <w:rPr>
                <w:sz w:val="20"/>
                <w:szCs w:val="20"/>
                <w:color w:val="auto"/>
              </w:rPr>
            </w:pPr>
            <w:r>
              <w:rPr>
                <w:rFonts w:ascii="Arial" w:cs="Arial" w:eastAsia="Arial" w:hAnsi="Arial"/>
                <w:sz w:val="1"/>
                <w:szCs w:val="1"/>
                <w:color w:val="auto"/>
              </w:rPr>
              <w:t>$</w:t>
            </w:r>
          </w:p>
        </w:tc>
        <w:tc>
          <w:tcPr>
            <w:tcW w:w="1340" w:type="dxa"/>
            <w:vAlign w:val="bottom"/>
            <w:gridSpan w:val="2"/>
          </w:tcPr>
          <w:p>
            <w:pPr>
              <w:jc w:val="right"/>
              <w:ind w:right="220"/>
              <w:spacing w:after="0" w:line="9" w:lineRule="exact"/>
              <w:rPr>
                <w:sz w:val="20"/>
                <w:szCs w:val="20"/>
                <w:color w:val="auto"/>
              </w:rPr>
            </w:pPr>
            <w:r>
              <w:rPr>
                <w:rFonts w:ascii="Arial" w:cs="Arial" w:eastAsia="Arial" w:hAnsi="Arial"/>
                <w:sz w:val="1"/>
                <w:szCs w:val="1"/>
                <w:color w:val="auto"/>
              </w:rPr>
              <w:t>30.31</w:t>
            </w:r>
          </w:p>
        </w:tc>
        <w:tc>
          <w:tcPr>
            <w:tcW w:w="1360" w:type="dxa"/>
            <w:vAlign w:val="bottom"/>
          </w:tcPr>
          <w:p>
            <w:pPr>
              <w:jc w:val="right"/>
              <w:spacing w:after="0" w:line="9" w:lineRule="exact"/>
              <w:rPr>
                <w:sz w:val="20"/>
                <w:szCs w:val="20"/>
                <w:color w:val="auto"/>
              </w:rPr>
            </w:pPr>
            <w:r>
              <w:rPr>
                <w:rFonts w:ascii="Arial" w:cs="Arial" w:eastAsia="Arial" w:hAnsi="Arial"/>
                <w:sz w:val="1"/>
                <w:szCs w:val="1"/>
                <w:color w:val="auto"/>
              </w:rPr>
              <w:t>27,163,500</w:t>
            </w:r>
          </w:p>
        </w:tc>
        <w:tc>
          <w:tcPr>
            <w:tcW w:w="380" w:type="dxa"/>
            <w:vAlign w:val="bottom"/>
            <w:vMerge w:val="restart"/>
          </w:tcPr>
          <w:p>
            <w:pPr>
              <w:jc w:val="right"/>
              <w:spacing w:after="0"/>
              <w:rPr>
                <w:sz w:val="20"/>
                <w:szCs w:val="20"/>
                <w:color w:val="auto"/>
              </w:rPr>
            </w:pPr>
            <w:r>
              <w:rPr>
                <w:rFonts w:ascii="Arial" w:cs="Arial" w:eastAsia="Arial" w:hAnsi="Arial"/>
                <w:sz w:val="15"/>
                <w:szCs w:val="15"/>
                <w:color w:val="auto"/>
                <w:w w:val="87"/>
              </w:rPr>
              <w:t>(2)(3)</w:t>
            </w:r>
          </w:p>
        </w:tc>
        <w:tc>
          <w:tcPr>
            <w:tcW w:w="120" w:type="dxa"/>
            <w:vAlign w:val="bottom"/>
          </w:tcPr>
          <w:p>
            <w:pPr>
              <w:jc w:val="right"/>
              <w:spacing w:after="0" w:line="9" w:lineRule="exact"/>
              <w:rPr>
                <w:sz w:val="20"/>
                <w:szCs w:val="20"/>
                <w:color w:val="auto"/>
              </w:rPr>
            </w:pPr>
            <w:r>
              <w:rPr>
                <w:rFonts w:ascii="Arial" w:cs="Arial" w:eastAsia="Arial" w:hAnsi="Arial"/>
                <w:sz w:val="1"/>
                <w:szCs w:val="1"/>
                <w:color w:val="auto"/>
              </w:rPr>
              <w:t>$</w:t>
            </w:r>
          </w:p>
        </w:tc>
        <w:tc>
          <w:tcPr>
            <w:tcW w:w="1400" w:type="dxa"/>
            <w:vAlign w:val="bottom"/>
            <w:gridSpan w:val="2"/>
          </w:tcPr>
          <w:p>
            <w:pPr>
              <w:jc w:val="right"/>
              <w:ind w:right="180"/>
              <w:spacing w:after="0" w:line="9" w:lineRule="exact"/>
              <w:rPr>
                <w:sz w:val="20"/>
                <w:szCs w:val="20"/>
                <w:color w:val="auto"/>
              </w:rPr>
            </w:pPr>
            <w:r>
              <w:rPr>
                <w:rFonts w:ascii="Arial" w:cs="Arial" w:eastAsia="Arial" w:hAnsi="Arial"/>
                <w:sz w:val="1"/>
                <w:szCs w:val="1"/>
                <w:color w:val="auto"/>
              </w:rPr>
              <w:t>4,671,226,381</w:t>
            </w:r>
          </w:p>
        </w:tc>
        <w:tc>
          <w:tcPr>
            <w:tcW w:w="0" w:type="dxa"/>
            <w:vAlign w:val="bottom"/>
          </w:tcPr>
          <w:p>
            <w:pPr>
              <w:spacing w:after="0" w:line="20" w:lineRule="exact"/>
              <w:rPr>
                <w:sz w:val="1"/>
                <w:szCs w:val="1"/>
                <w:color w:val="auto"/>
              </w:rPr>
            </w:pPr>
          </w:p>
        </w:tc>
      </w:tr>
      <w:tr>
        <w:trPr>
          <w:trHeight w:val="190"/>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left="340" w:hanging="308"/>
        <w:spacing w:after="0" w:line="286"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purchases during the quarter were made under one of the following two authorizations from our Board of Directors: (a) authorization to purchase up to $5 billion of additional shares of TI common stock (announced on January 23, 2006) and (b) authorization to purchase up to $5 billion of additional shares of TI common stock (announced on September 21, 2006). No expiration date has been specified for these authorizations.</w:t>
      </w:r>
    </w:p>
    <w:p>
      <w:pPr>
        <w:spacing w:after="0" w:line="219" w:lineRule="exact"/>
        <w:rPr>
          <w:rFonts w:ascii="Arial" w:cs="Arial" w:eastAsia="Arial" w:hAnsi="Arial"/>
          <w:sz w:val="17"/>
          <w:szCs w:val="17"/>
          <w:color w:val="auto"/>
        </w:rPr>
      </w:pPr>
    </w:p>
    <w:p>
      <w:pPr>
        <w:jc w:val="both"/>
        <w:ind w:left="340" w:hanging="308"/>
        <w:spacing w:after="0" w:line="31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purchases were made through open-market purchases except for 130,000 shares that were acquired during the quarter through a privately negotiated forward purchase contract with a non-affiliated financial institution. The forward purchase contract was designed to minimize the adverse impact on our earnings from the effect of stock market value fluctuations on the portion of our deferred compensation obligations that are denominated in TI stock.</w:t>
      </w:r>
    </w:p>
    <w:p>
      <w:pPr>
        <w:spacing w:after="0" w:line="200" w:lineRule="exact"/>
        <w:rPr>
          <w:rFonts w:ascii="Arial" w:cs="Arial" w:eastAsia="Arial" w:hAnsi="Arial"/>
          <w:sz w:val="16"/>
          <w:szCs w:val="16"/>
          <w:color w:val="auto"/>
        </w:rPr>
      </w:pPr>
    </w:p>
    <w:p>
      <w:pPr>
        <w:jc w:val="both"/>
        <w:ind w:left="340" w:hanging="308"/>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the purchase of 1,050,000 shares for which trades were settled in the first three business days of April 2007 for $32 million. The table does not include the purchase of 2,250,000 shares pursuant to orders placed in the fourth quarter of 2006, for which trades were settled in the first three business days of the first quarter for $65 million. The purchase of these shares was reflected in this item in our report on Form 10-K for the year ended December 31, 2006.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420"/>
          </w:cols>
          <w:pgMar w:left="240" w:top="634" w:right="239" w:bottom="0" w:gutter="0" w:footer="0" w:header="0"/>
        </w:sectPr>
      </w:pPr>
    </w:p>
    <w:p>
      <w:pPr>
        <w:spacing w:after="0" w:line="200" w:lineRule="exact"/>
        <w:rPr>
          <w:sz w:val="20"/>
          <w:szCs w:val="20"/>
          <w:color w:val="auto"/>
        </w:rPr>
      </w:pPr>
    </w:p>
    <w:p>
      <w:pPr>
        <w:spacing w:after="0" w:line="322" w:lineRule="exact"/>
        <w:rPr>
          <w:sz w:val="20"/>
          <w:szCs w:val="20"/>
          <w:color w:val="auto"/>
        </w:rPr>
      </w:pPr>
    </w:p>
    <w:p>
      <w:pPr>
        <w:ind w:left="180"/>
        <w:spacing w:after="0" w:line="289" w:lineRule="auto"/>
        <w:rPr>
          <w:sz w:val="20"/>
          <w:szCs w:val="20"/>
          <w:color w:val="auto"/>
        </w:rPr>
      </w:pPr>
      <w:r>
        <w:rPr>
          <w:rFonts w:ascii="Arial" w:cs="Arial" w:eastAsia="Arial" w:hAnsi="Arial"/>
          <w:sz w:val="16"/>
          <w:szCs w:val="16"/>
          <w:b w:val="1"/>
          <w:bCs w:val="1"/>
          <w:color w:val="auto"/>
        </w:rPr>
        <w:t>Designation of Exhibits in 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Exhibit</w:t>
      </w:r>
    </w:p>
    <w:p>
      <w:pPr>
        <w:spacing w:after="0" w:line="50" w:lineRule="exact"/>
        <w:rPr>
          <w:sz w:val="20"/>
          <w:szCs w:val="20"/>
          <w:color w:val="auto"/>
        </w:rPr>
      </w:pPr>
    </w:p>
    <w:p>
      <w:pPr>
        <w:sectPr>
          <w:pgSz w:w="11900" w:h="16838" w:orient="portrait"/>
          <w:cols w:equalWidth="0" w:num="2">
            <w:col w:w="1200" w:space="200"/>
            <w:col w:w="10020"/>
          </w:cols>
          <w:pgMar w:left="240" w:top="634" w:right="239" w:bottom="0" w:gutter="0" w:footer="0" w:header="0"/>
          <w:type w:val="continuous"/>
        </w:sectPr>
      </w:pPr>
    </w:p>
    <w:p>
      <w:pPr>
        <w:ind w:left="540"/>
        <w:spacing w:after="0"/>
        <w:tabs>
          <w:tab w:leader="none" w:pos="12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of Periodic Report Pursuant to Rule 13a-15(e) or Rule 15d-15(e).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p>
      <w:pPr>
        <w:ind w:left="540"/>
        <w:spacing w:after="0"/>
        <w:tabs>
          <w:tab w:leader="none" w:pos="12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of Periodic Report Pursuant to Rule 13a-15(e) or Rule 15d-15(e).</w:t>
      </w:r>
    </w:p>
    <w:p>
      <w:pPr>
        <w:spacing w:after="0" w:line="252" w:lineRule="exact"/>
        <w:rPr>
          <w:sz w:val="20"/>
          <w:szCs w:val="20"/>
          <w:color w:val="auto"/>
        </w:rPr>
      </w:pPr>
    </w:p>
    <w:p>
      <w:pPr>
        <w:ind w:left="540"/>
        <w:spacing w:after="0"/>
        <w:tabs>
          <w:tab w:leader="none" w:pos="12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by Chief Executive Officer of Periodic Report Pursuant to 18 U.S.C. Section 1350.</w:t>
      </w:r>
    </w:p>
    <w:p>
      <w:pPr>
        <w:spacing w:after="0" w:line="252" w:lineRule="exact"/>
        <w:rPr>
          <w:sz w:val="20"/>
          <w:szCs w:val="20"/>
          <w:color w:val="auto"/>
        </w:rPr>
      </w:pPr>
    </w:p>
    <w:p>
      <w:pPr>
        <w:ind w:left="540"/>
        <w:spacing w:after="0"/>
        <w:tabs>
          <w:tab w:leader="none" w:pos="12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by Chief Financial Officer of Periodic Report Pursuant to 18 U.S.C. Section 1350.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7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224" w:lineRule="exact"/>
        <w:rPr>
          <w:sz w:val="20"/>
          <w:szCs w:val="20"/>
          <w:color w:val="auto"/>
        </w:rPr>
      </w:pPr>
    </w:p>
    <w:p>
      <w:pPr>
        <w:ind w:left="660" w:hanging="139"/>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ectPr>
          <w:pgSz w:w="11900" w:h="16838" w:orient="portrait"/>
          <w:cols w:equalWidth="0" w:num="1">
            <w:col w:w="11420"/>
          </w:cols>
          <w:pgMar w:left="240" w:top="634" w:right="239" w:bottom="0" w:gutter="0" w:footer="0" w:header="0"/>
          <w:type w:val="continuous"/>
        </w:sectPr>
      </w:pPr>
    </w:p>
    <w:bookmarkStart w:id="15" w:name="page16"/>
    <w:bookmarkEnd w:id="15"/>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3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quarterly report on Form 10-Q are made only as of the date of this report, and we undertake no obligation to update the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jc w:val="center"/>
        <w:ind w:right="-79"/>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8040"/>
        <w:spacing w:after="0"/>
        <w:rPr>
          <w:sz w:val="20"/>
          <w:szCs w:val="20"/>
          <w:color w:val="auto"/>
        </w:rPr>
      </w:pPr>
      <w:r>
        <w:rPr>
          <w:rFonts w:ascii="Arial" w:cs="Arial" w:eastAsia="Arial" w:hAnsi="Arial"/>
          <w:sz w:val="17"/>
          <w:szCs w:val="17"/>
          <w:color w:val="auto"/>
        </w:rPr>
        <w:t>TEXAS INSTRUMENTS INCORPORATED</w:t>
      </w:r>
    </w:p>
    <w:p>
      <w:pPr>
        <w:spacing w:after="0" w:line="237"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Kevin P.</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-19050</wp:posOffset>
            </wp:positionV>
            <wp:extent cx="13843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84300" cy="8890"/>
                    </a:xfrm>
                    <a:prstGeom prst="rect">
                      <a:avLst/>
                    </a:prstGeom>
                    <a:noFill/>
                  </pic:spPr>
                </pic:pic>
              </a:graphicData>
            </a:graphic>
          </wp:anchor>
        </w:drawing>
      </w:r>
    </w:p>
    <w:p>
      <w:pPr>
        <w:ind w:left="83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Chief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May 3, 2007</w:t>
      </w:r>
    </w:p>
    <w:p>
      <w:pPr>
        <w:sectPr>
          <w:pgSz w:w="11900" w:h="16838" w:orient="portrait"/>
          <w:cols w:equalWidth="0" w:num="1">
            <w:col w:w="11340"/>
          </w:cols>
          <w:pgMar w:left="240" w:top="395" w:right="31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79" w:lineRule="exact"/>
        <w:rPr>
          <w:sz w:val="20"/>
          <w:szCs w:val="20"/>
          <w:color w:val="auto"/>
        </w:rPr>
      </w:pPr>
    </w:p>
    <w:p>
      <w:pPr>
        <w:ind w:left="680" w:hanging="186"/>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79"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sz w:val="20"/>
          <w:szCs w:val="20"/>
          <w:color w:val="auto"/>
        </w:rPr>
      </w:pPr>
    </w:p>
    <w:p>
      <w:pPr>
        <w:ind w:left="500" w:right="20" w:hanging="6"/>
        <w:spacing w:after="0" w:line="264" w:lineRule="auto"/>
        <w:tabs>
          <w:tab w:leader="none" w:pos="6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sz w:val="20"/>
          <w:szCs w:val="20"/>
          <w:color w:val="auto"/>
        </w:rPr>
      </w:pPr>
    </w:p>
    <w:p>
      <w:pPr>
        <w:ind w:right="240" w:firstLine="494"/>
        <w:spacing w:after="0" w:line="308" w:lineRule="auto"/>
        <w:tabs>
          <w:tab w:leader="none" w:pos="66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01" w:lineRule="exact"/>
        <w:rPr>
          <w:sz w:val="20"/>
          <w:szCs w:val="20"/>
          <w:color w:val="auto"/>
        </w:rPr>
      </w:pPr>
    </w:p>
    <w:p>
      <w:pPr>
        <w:ind w:left="500" w:right="440" w:hanging="6"/>
        <w:spacing w:after="0" w:line="277" w:lineRule="auto"/>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3, 2007</w:t>
      </w:r>
    </w:p>
    <w:p>
      <w:pPr>
        <w:spacing w:after="0" w:line="27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79" w:lineRule="exact"/>
        <w:rPr>
          <w:sz w:val="20"/>
          <w:szCs w:val="20"/>
          <w:color w:val="auto"/>
        </w:rPr>
      </w:pPr>
    </w:p>
    <w:p>
      <w:pPr>
        <w:ind w:left="680" w:hanging="186"/>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79"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sz w:val="20"/>
          <w:szCs w:val="20"/>
          <w:color w:val="auto"/>
        </w:rPr>
      </w:pPr>
    </w:p>
    <w:p>
      <w:pPr>
        <w:ind w:left="500" w:right="20" w:hanging="6"/>
        <w:spacing w:after="0" w:line="264" w:lineRule="auto"/>
        <w:tabs>
          <w:tab w:leader="none" w:pos="6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sz w:val="20"/>
          <w:szCs w:val="20"/>
          <w:color w:val="auto"/>
        </w:rPr>
      </w:pPr>
    </w:p>
    <w:p>
      <w:pPr>
        <w:ind w:right="240" w:firstLine="494"/>
        <w:spacing w:after="0" w:line="308" w:lineRule="auto"/>
        <w:tabs>
          <w:tab w:leader="none" w:pos="66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01" w:lineRule="exact"/>
        <w:rPr>
          <w:sz w:val="20"/>
          <w:szCs w:val="20"/>
          <w:color w:val="auto"/>
        </w:rPr>
      </w:pPr>
    </w:p>
    <w:p>
      <w:pPr>
        <w:ind w:left="500" w:right="440" w:hanging="6"/>
        <w:spacing w:after="0" w:line="277"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3, 2007</w:t>
      </w:r>
    </w:p>
    <w:p>
      <w:pPr>
        <w:spacing w:after="0" w:line="27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Kevin P. March</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6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Templeton, the President and Chief Executive Officer of Texas Instruments Incorporated (the “Company”), hereby certifies that, to his knowledge:</w:t>
      </w:r>
    </w:p>
    <w:p>
      <w:pPr>
        <w:spacing w:after="0" w:line="276" w:lineRule="exact"/>
        <w:rPr>
          <w:sz w:val="20"/>
          <w:szCs w:val="20"/>
          <w:color w:val="auto"/>
        </w:rPr>
      </w:pPr>
    </w:p>
    <w:p>
      <w:pPr>
        <w:ind w:left="500" w:right="180" w:hanging="6"/>
        <w:spacing w:after="0" w:line="342" w:lineRule="auto"/>
        <w:tabs>
          <w:tab w:leader="none" w:pos="7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2007, as filed with the Securities and Exchange Commission on the date hereof (the “Report”) fully complies with the requirements of Section 13(a) or 15(d) of the Securities Exchange Act of 1934; and</w:t>
      </w:r>
    </w:p>
    <w:p>
      <w:pPr>
        <w:spacing w:after="0" w:line="177" w:lineRule="exact"/>
        <w:rPr>
          <w:rFonts w:ascii="Arial" w:cs="Arial" w:eastAsia="Arial" w:hAnsi="Arial"/>
          <w:sz w:val="16"/>
          <w:szCs w:val="16"/>
          <w:color w:val="auto"/>
        </w:rPr>
      </w:pPr>
    </w:p>
    <w:p>
      <w:pPr>
        <w:ind w:right="280" w:firstLine="494"/>
        <w:spacing w:after="0" w:line="563" w:lineRule="auto"/>
        <w:tabs>
          <w:tab w:leader="none" w:pos="75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3, 2007</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65"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78" w:lineRule="exact"/>
        <w:rPr>
          <w:sz w:val="20"/>
          <w:szCs w:val="20"/>
          <w:color w:val="auto"/>
        </w:rPr>
      </w:pPr>
    </w:p>
    <w:p>
      <w:pPr>
        <w:ind w:left="500" w:right="180" w:hanging="6"/>
        <w:spacing w:after="0" w:line="342" w:lineRule="auto"/>
        <w:tabs>
          <w:tab w:leader="none" w:pos="7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2007, as filed with the Securities and Exchange Commission on the date hereof (the “Report”) fully complies with the requirements of Section 13(a) or 15(d) of the Securities Exchange Act of 1934; and</w:t>
      </w:r>
    </w:p>
    <w:p>
      <w:pPr>
        <w:spacing w:after="0" w:line="177" w:lineRule="exact"/>
        <w:rPr>
          <w:rFonts w:ascii="Arial" w:cs="Arial" w:eastAsia="Arial" w:hAnsi="Arial"/>
          <w:sz w:val="16"/>
          <w:szCs w:val="16"/>
          <w:color w:val="auto"/>
        </w:rPr>
      </w:pPr>
    </w:p>
    <w:p>
      <w:pPr>
        <w:ind w:right="280" w:firstLine="494"/>
        <w:spacing w:after="0" w:line="563" w:lineRule="auto"/>
        <w:tabs>
          <w:tab w:leader="none" w:pos="75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3, 2007</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Kevin P. March</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6"/>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5"/>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2019-12-13T07:35:21Z</dcterms:created>
  <dcterms:modified xsi:type="dcterms:W3CDTF">2019-12-13T07:35:21Z</dcterms:modified>
</cp:coreProperties>
</file>