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5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3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3392805</wp:posOffset>
            </wp:positionH>
            <wp:positionV relativeFrom="paragraph">
              <wp:posOffset>245110</wp:posOffset>
            </wp:positionV>
            <wp:extent cx="47180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7180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3392805</wp:posOffset>
            </wp:positionH>
            <wp:positionV relativeFrom="paragraph">
              <wp:posOffset>273050</wp:posOffset>
            </wp:positionV>
            <wp:extent cx="47180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7180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3" w:lineRule="exact"/>
        <w:rPr>
          <w:sz w:val="24"/>
          <w:szCs w:val="24"/>
          <w:color w:val="auto"/>
        </w:rPr>
      </w:pPr>
    </w:p>
    <w:p>
      <w:pPr>
        <w:ind w:left="660" w:right="2380" w:hanging="652"/>
        <w:spacing w:after="0" w:line="578" w:lineRule="auto"/>
        <w:tabs>
          <w:tab w:leader="none" w:pos="642"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QUARTERLY REPORT UNDER SECTION 13 or 15(d) OF THE SECURITIES EXCHANGE ACT OF 1934 For the quarterly period ended June 30, 2006</w:t>
      </w:r>
    </w:p>
    <w:p>
      <w:pPr>
        <w:spacing w:after="0" w:line="29" w:lineRule="exact"/>
        <w:rPr>
          <w:sz w:val="24"/>
          <w:szCs w:val="24"/>
          <w:color w:val="auto"/>
        </w:rPr>
      </w:pPr>
    </w:p>
    <w:p>
      <w:pPr>
        <w:ind w:left="720" w:hanging="712"/>
        <w:spacing w:after="0"/>
        <w:tabs>
          <w:tab w:leader="none" w:pos="72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293" w:lineRule="exact"/>
        <w:rPr>
          <w:sz w:val="24"/>
          <w:szCs w:val="24"/>
          <w:color w:val="auto"/>
        </w:rPr>
      </w:pPr>
    </w:p>
    <w:p>
      <w:pPr>
        <w:ind w:left="660"/>
        <w:spacing w:after="0"/>
        <w:tabs>
          <w:tab w:leader="none" w:pos="36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1922780</wp:posOffset>
            </wp:positionH>
            <wp:positionV relativeFrom="paragraph">
              <wp:posOffset>-7620</wp:posOffset>
            </wp:positionV>
            <wp:extent cx="8382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838200" cy="8890"/>
                    </a:xfrm>
                    <a:prstGeom prst="rect">
                      <a:avLst/>
                    </a:prstGeom>
                    <a:noFill/>
                  </pic:spPr>
                </pic:pic>
              </a:graphicData>
            </a:graphic>
          </wp:anchor>
        </w:drawing>
      </w:r>
    </w:p>
    <w:p>
      <w:pPr>
        <w:spacing w:after="0" w:line="25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001-03761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3392805</wp:posOffset>
            </wp:positionH>
            <wp:positionV relativeFrom="paragraph">
              <wp:posOffset>257810</wp:posOffset>
            </wp:positionV>
            <wp:extent cx="47180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7180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61"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TEXAS INSTRUMENTS INCORPORATED</w:t>
      </w:r>
    </w:p>
    <w:p>
      <w:pPr>
        <w:spacing w:after="0" w:line="6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3392805</wp:posOffset>
            </wp:positionH>
            <wp:positionV relativeFrom="paragraph">
              <wp:posOffset>245110</wp:posOffset>
            </wp:positionV>
            <wp:extent cx="47180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7180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2" w:lineRule="exact"/>
        <w:rPr>
          <w:sz w:val="24"/>
          <w:szCs w:val="24"/>
          <w:color w:val="auto"/>
        </w:rPr>
      </w:pPr>
    </w:p>
    <w:tbl>
      <w:tblPr>
        <w:tblLayout w:type="fixed"/>
        <w:tblInd w:w="880" w:type="dxa"/>
        <w:tblCellMar>
          <w:top w:w="0" w:type="dxa"/>
          <w:left w:w="0" w:type="dxa"/>
          <w:bottom w:w="0" w:type="dxa"/>
          <w:right w:w="0" w:type="dxa"/>
        </w:tblCellMar>
      </w:tblPr>
      <w:tr>
        <w:trPr>
          <w:trHeight w:val="216"/>
        </w:trPr>
        <w:tc>
          <w:tcPr>
            <w:tcW w:w="5140" w:type="dxa"/>
            <w:vAlign w:val="bottom"/>
          </w:tcPr>
          <w:p>
            <w:pPr>
              <w:jc w:val="center"/>
              <w:ind w:right="1090"/>
              <w:spacing w:after="0"/>
              <w:rPr>
                <w:sz w:val="20"/>
                <w:szCs w:val="20"/>
                <w:color w:val="auto"/>
              </w:rPr>
            </w:pPr>
            <w:r>
              <w:rPr>
                <w:rFonts w:ascii="Arial" w:cs="Arial" w:eastAsia="Arial" w:hAnsi="Arial"/>
                <w:sz w:val="18"/>
                <w:szCs w:val="18"/>
                <w:b w:val="1"/>
                <w:bCs w:val="1"/>
                <w:color w:val="auto"/>
                <w:w w:val="91"/>
              </w:rPr>
              <w:t>Delaware</w:t>
            </w:r>
          </w:p>
        </w:tc>
        <w:tc>
          <w:tcPr>
            <w:tcW w:w="3920" w:type="dxa"/>
            <w:vAlign w:val="bottom"/>
          </w:tcPr>
          <w:p>
            <w:pPr>
              <w:jc w:val="center"/>
              <w:ind w:left="1070"/>
              <w:spacing w:after="0"/>
              <w:rPr>
                <w:sz w:val="20"/>
                <w:szCs w:val="20"/>
                <w:color w:val="auto"/>
              </w:rPr>
            </w:pPr>
            <w:r>
              <w:rPr>
                <w:rFonts w:ascii="Arial" w:cs="Arial" w:eastAsia="Arial" w:hAnsi="Arial"/>
                <w:sz w:val="18"/>
                <w:szCs w:val="18"/>
                <w:b w:val="1"/>
                <w:bCs w:val="1"/>
                <w:color w:val="auto"/>
                <w:w w:val="91"/>
              </w:rPr>
              <w:t>75-0289970</w:t>
            </w:r>
          </w:p>
        </w:tc>
      </w:tr>
      <w:tr>
        <w:trPr>
          <w:trHeight w:val="234"/>
        </w:trPr>
        <w:tc>
          <w:tcPr>
            <w:tcW w:w="5140" w:type="dxa"/>
            <w:vAlign w:val="bottom"/>
          </w:tcPr>
          <w:p>
            <w:pPr>
              <w:jc w:val="center"/>
              <w:ind w:right="1090"/>
              <w:spacing w:after="0"/>
              <w:rPr>
                <w:sz w:val="20"/>
                <w:szCs w:val="20"/>
                <w:color w:val="auto"/>
              </w:rPr>
            </w:pPr>
            <w:r>
              <w:rPr>
                <w:rFonts w:ascii="Arial" w:cs="Arial" w:eastAsia="Arial" w:hAnsi="Arial"/>
                <w:sz w:val="18"/>
                <w:szCs w:val="18"/>
                <w:b w:val="1"/>
                <w:bCs w:val="1"/>
                <w:color w:val="auto"/>
                <w:w w:val="92"/>
              </w:rPr>
              <w:t>(State of Incorporation)</w:t>
            </w:r>
          </w:p>
        </w:tc>
        <w:tc>
          <w:tcPr>
            <w:tcW w:w="3920" w:type="dxa"/>
            <w:vAlign w:val="bottom"/>
          </w:tcPr>
          <w:p>
            <w:pPr>
              <w:jc w:val="center"/>
              <w:ind w:left="1070"/>
              <w:spacing w:after="0"/>
              <w:rPr>
                <w:sz w:val="20"/>
                <w:szCs w:val="20"/>
                <w:color w:val="auto"/>
              </w:rPr>
            </w:pPr>
            <w:r>
              <w:rPr>
                <w:rFonts w:ascii="Arial" w:cs="Arial" w:eastAsia="Arial" w:hAnsi="Arial"/>
                <w:sz w:val="18"/>
                <w:szCs w:val="18"/>
                <w:b w:val="1"/>
                <w:bCs w:val="1"/>
                <w:color w:val="auto"/>
                <w:w w:val="93"/>
              </w:rPr>
              <w:t>(I.R.S. Employer Identification No.)</w:t>
            </w:r>
          </w:p>
        </w:tc>
      </w:tr>
      <w:tr>
        <w:trPr>
          <w:trHeight w:val="711"/>
        </w:trPr>
        <w:tc>
          <w:tcPr>
            <w:tcW w:w="5140" w:type="dxa"/>
            <w:vAlign w:val="bottom"/>
          </w:tcPr>
          <w:p>
            <w:pPr>
              <w:jc w:val="center"/>
              <w:ind w:right="1090"/>
              <w:spacing w:after="0"/>
              <w:rPr>
                <w:sz w:val="20"/>
                <w:szCs w:val="20"/>
                <w:color w:val="auto"/>
              </w:rPr>
            </w:pPr>
            <w:r>
              <w:rPr>
                <w:rFonts w:ascii="Arial" w:cs="Arial" w:eastAsia="Arial" w:hAnsi="Arial"/>
                <w:sz w:val="18"/>
                <w:szCs w:val="18"/>
                <w:b w:val="1"/>
                <w:bCs w:val="1"/>
                <w:color w:val="auto"/>
                <w:w w:val="90"/>
              </w:rPr>
              <w:t>12500 TI Boulevard, P.O. Box 660199, Dallas, Texas</w:t>
            </w:r>
          </w:p>
        </w:tc>
        <w:tc>
          <w:tcPr>
            <w:tcW w:w="3920" w:type="dxa"/>
            <w:vAlign w:val="bottom"/>
          </w:tcPr>
          <w:p>
            <w:pPr>
              <w:jc w:val="center"/>
              <w:ind w:left="1070"/>
              <w:spacing w:after="0"/>
              <w:rPr>
                <w:sz w:val="20"/>
                <w:szCs w:val="20"/>
                <w:color w:val="auto"/>
              </w:rPr>
            </w:pPr>
            <w:r>
              <w:rPr>
                <w:rFonts w:ascii="Arial" w:cs="Arial" w:eastAsia="Arial" w:hAnsi="Arial"/>
                <w:sz w:val="18"/>
                <w:szCs w:val="18"/>
                <w:b w:val="1"/>
                <w:bCs w:val="1"/>
                <w:color w:val="auto"/>
                <w:w w:val="91"/>
              </w:rPr>
              <w:t>75266-0199</w:t>
            </w:r>
          </w:p>
        </w:tc>
      </w:tr>
      <w:tr>
        <w:trPr>
          <w:trHeight w:val="234"/>
        </w:trPr>
        <w:tc>
          <w:tcPr>
            <w:tcW w:w="5140" w:type="dxa"/>
            <w:vAlign w:val="bottom"/>
          </w:tcPr>
          <w:p>
            <w:pPr>
              <w:jc w:val="center"/>
              <w:ind w:right="1110"/>
              <w:spacing w:after="0"/>
              <w:rPr>
                <w:sz w:val="20"/>
                <w:szCs w:val="20"/>
                <w:color w:val="auto"/>
              </w:rPr>
            </w:pPr>
            <w:r>
              <w:rPr>
                <w:rFonts w:ascii="Arial" w:cs="Arial" w:eastAsia="Arial" w:hAnsi="Arial"/>
                <w:sz w:val="18"/>
                <w:szCs w:val="18"/>
                <w:b w:val="1"/>
                <w:bCs w:val="1"/>
                <w:color w:val="auto"/>
                <w:w w:val="88"/>
              </w:rPr>
              <w:t>(Address of principal executive offices)</w:t>
            </w:r>
          </w:p>
        </w:tc>
        <w:tc>
          <w:tcPr>
            <w:tcW w:w="3920" w:type="dxa"/>
            <w:vAlign w:val="bottom"/>
          </w:tcPr>
          <w:p>
            <w:pPr>
              <w:jc w:val="center"/>
              <w:ind w:left="1070"/>
              <w:spacing w:after="0"/>
              <w:rPr>
                <w:sz w:val="20"/>
                <w:szCs w:val="20"/>
                <w:color w:val="auto"/>
              </w:rPr>
            </w:pPr>
            <w:r>
              <w:rPr>
                <w:rFonts w:ascii="Arial" w:cs="Arial" w:eastAsia="Arial" w:hAnsi="Arial"/>
                <w:sz w:val="18"/>
                <w:szCs w:val="18"/>
                <w:b w:val="1"/>
                <w:bCs w:val="1"/>
                <w:color w:val="auto"/>
                <w:w w:val="94"/>
              </w:rPr>
              <w:t>(Zip Code)</w:t>
            </w:r>
          </w:p>
        </w:tc>
      </w:tr>
    </w:tbl>
    <w:p>
      <w:pPr>
        <w:spacing w:after="0" w:line="25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972-995-3773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3392805</wp:posOffset>
            </wp:positionH>
            <wp:positionV relativeFrom="paragraph">
              <wp:posOffset>257810</wp:posOffset>
            </wp:positionV>
            <wp:extent cx="47180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7180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63" w:lineRule="exact"/>
        <w:rPr>
          <w:sz w:val="24"/>
          <w:szCs w:val="24"/>
          <w:color w:val="auto"/>
        </w:rPr>
      </w:pPr>
    </w:p>
    <w:p>
      <w:pPr>
        <w:ind w:right="42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S No </w:t>
      </w:r>
      <w:r>
        <w:rPr>
          <w:rFonts w:ascii="MS PGothic" w:cs="MS PGothic" w:eastAsia="MS PGothic" w:hAnsi="MS PGothic"/>
          <w:sz w:val="18"/>
          <w:szCs w:val="18"/>
          <w:color w:val="auto"/>
        </w:rPr>
        <w:t>☐</w:t>
      </w:r>
    </w:p>
    <w:p>
      <w:pPr>
        <w:spacing w:after="0" w:line="238"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 large accelerated filer, an accelerated filer or a non-accelerated filer. See definition of "accelerated filer and large accelerated filer" in Rule 12b-2 of the Exchange Act. (Check one):</w:t>
      </w:r>
    </w:p>
    <w:p>
      <w:pPr>
        <w:spacing w:after="0" w:line="257" w:lineRule="exact"/>
        <w:rPr>
          <w:sz w:val="24"/>
          <w:szCs w:val="24"/>
          <w:color w:val="auto"/>
        </w:rPr>
      </w:pPr>
    </w:p>
    <w:tbl>
      <w:tblPr>
        <w:tblLayout w:type="fixed"/>
        <w:tblInd w:w="60" w:type="dxa"/>
        <w:tblCellMar>
          <w:top w:w="0" w:type="dxa"/>
          <w:left w:w="0" w:type="dxa"/>
          <w:bottom w:w="0" w:type="dxa"/>
          <w:right w:w="0" w:type="dxa"/>
        </w:tblCellMar>
      </w:tblPr>
      <w:tr>
        <w:trPr>
          <w:trHeight w:val="222"/>
        </w:trPr>
        <w:tc>
          <w:tcPr>
            <w:tcW w:w="360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4720" w:type="dxa"/>
            <w:vAlign w:val="bottom"/>
            <w:vMerge w:val="restart"/>
          </w:tcPr>
          <w:p>
            <w:pPr>
              <w:ind w:left="2020"/>
              <w:spacing w:after="0" w:line="207"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p>
        </w:tc>
        <w:tc>
          <w:tcPr>
            <w:tcW w:w="3040" w:type="dxa"/>
            <w:vAlign w:val="bottom"/>
            <w:vMerge w:val="restart"/>
          </w:tcPr>
          <w:p>
            <w:pPr>
              <w:ind w:left="1320"/>
              <w:spacing w:after="0" w:line="207" w:lineRule="exact"/>
              <w:rPr>
                <w:sz w:val="20"/>
                <w:szCs w:val="20"/>
                <w:color w:val="auto"/>
              </w:rPr>
            </w:pPr>
            <w:r>
              <w:rPr>
                <w:rFonts w:ascii="Arial" w:cs="Arial" w:eastAsia="Arial" w:hAnsi="Arial"/>
                <w:sz w:val="18"/>
                <w:szCs w:val="18"/>
                <w:color w:val="auto"/>
                <w:w w:val="89"/>
              </w:rPr>
              <w:t xml:space="preserve">Non-accelerated filer </w:t>
            </w:r>
            <w:r>
              <w:rPr>
                <w:rFonts w:ascii="MS PGothic" w:cs="MS PGothic" w:eastAsia="MS PGothic" w:hAnsi="MS PGothic"/>
                <w:sz w:val="18"/>
                <w:szCs w:val="18"/>
                <w:color w:val="auto"/>
                <w:w w:val="89"/>
              </w:rPr>
              <w:t>☐</w:t>
            </w:r>
          </w:p>
        </w:tc>
        <w:tc>
          <w:tcPr>
            <w:tcW w:w="0" w:type="dxa"/>
            <w:vAlign w:val="bottom"/>
          </w:tcPr>
          <w:p>
            <w:pPr>
              <w:spacing w:after="0"/>
              <w:rPr>
                <w:sz w:val="1"/>
                <w:szCs w:val="1"/>
                <w:color w:val="auto"/>
              </w:rPr>
            </w:pPr>
          </w:p>
        </w:tc>
      </w:tr>
      <w:tr>
        <w:trPr>
          <w:trHeight w:val="31"/>
        </w:trPr>
        <w:tc>
          <w:tcPr>
            <w:tcW w:w="3600" w:type="dxa"/>
            <w:vAlign w:val="bottom"/>
          </w:tcPr>
          <w:p>
            <w:pPr>
              <w:spacing w:after="0"/>
              <w:rPr>
                <w:sz w:val="2"/>
                <w:szCs w:val="2"/>
                <w:color w:val="auto"/>
              </w:rPr>
            </w:pPr>
          </w:p>
        </w:tc>
        <w:tc>
          <w:tcPr>
            <w:tcW w:w="4720" w:type="dxa"/>
            <w:vAlign w:val="bottom"/>
            <w:vMerge w:val="continue"/>
          </w:tcPr>
          <w:p>
            <w:pPr>
              <w:spacing w:after="0"/>
              <w:rPr>
                <w:sz w:val="2"/>
                <w:szCs w:val="2"/>
                <w:color w:val="auto"/>
              </w:rPr>
            </w:pPr>
          </w:p>
        </w:tc>
        <w:tc>
          <w:tcPr>
            <w:tcW w:w="30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rPr>
          <w:sz w:val="20"/>
          <w:szCs w:val="20"/>
          <w:color w:val="auto"/>
        </w:rPr>
      </w:pPr>
      <w:r>
        <w:rPr>
          <w:rFonts w:ascii="Arial" w:cs="Arial" w:eastAsia="Arial" w:hAnsi="Arial"/>
          <w:sz w:val="18"/>
          <w:szCs w:val="18"/>
          <w:color w:val="auto"/>
        </w:rPr>
        <w:t>S</w:t>
      </w:r>
    </w:p>
    <w:p>
      <w:pPr>
        <w:spacing w:after="0" w:line="263"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18" w:lineRule="exact"/>
        <w:rPr>
          <w:sz w:val="24"/>
          <w:szCs w:val="24"/>
          <w:color w:val="auto"/>
        </w:rPr>
      </w:pPr>
    </w:p>
    <w:p>
      <w:pPr>
        <w:jc w:val="right"/>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S</w:t>
      </w:r>
    </w:p>
    <w:p>
      <w:pPr>
        <w:spacing w:after="0" w:line="27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1,532,585,091</w:t>
      </w:r>
    </w:p>
    <w:p>
      <w:pPr>
        <w:spacing w:after="0" w:line="27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Number of shares of Registrant’s common stock outstanding as of</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June 30, 2006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97790</wp:posOffset>
            </wp:positionV>
            <wp:extent cx="7250430" cy="450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450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200660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14" w:right="2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(Millions of dollars, except per-share amounts)</w:t>
      </w: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5160" w:type="dxa"/>
            <w:vAlign w:val="bottom"/>
          </w:tcPr>
          <w:p>
            <w:pPr>
              <w:spacing w:after="0"/>
              <w:rPr>
                <w:sz w:val="21"/>
                <w:szCs w:val="21"/>
                <w:color w:val="auto"/>
              </w:rPr>
            </w:pPr>
          </w:p>
        </w:tc>
        <w:tc>
          <w:tcPr>
            <w:tcW w:w="3200" w:type="dxa"/>
            <w:vAlign w:val="bottom"/>
            <w:tcBorders>
              <w:bottom w:val="single" w:sz="8" w:color="auto"/>
            </w:tcBorders>
            <w:gridSpan w:val="7"/>
          </w:tcPr>
          <w:p>
            <w:pPr>
              <w:ind w:left="420"/>
              <w:spacing w:after="0"/>
              <w:rPr>
                <w:sz w:val="20"/>
                <w:szCs w:val="20"/>
                <w:color w:val="auto"/>
              </w:rPr>
            </w:pPr>
            <w:r>
              <w:rPr>
                <w:rFonts w:ascii="Arial" w:cs="Arial" w:eastAsia="Arial" w:hAnsi="Arial"/>
                <w:sz w:val="18"/>
                <w:szCs w:val="18"/>
                <w:b w:val="1"/>
                <w:bCs w:val="1"/>
                <w:color w:val="auto"/>
                <w:w w:val="95"/>
              </w:rPr>
              <w:t>For Three Months Ended June 30,</w:t>
            </w:r>
          </w:p>
        </w:tc>
        <w:tc>
          <w:tcPr>
            <w:tcW w:w="200" w:type="dxa"/>
            <w:vAlign w:val="bottom"/>
            <w:tcBorders>
              <w:bottom w:val="single" w:sz="8" w:color="auto"/>
            </w:tcBorders>
          </w:tcPr>
          <w:p>
            <w:pPr>
              <w:spacing w:after="0"/>
              <w:rPr>
                <w:sz w:val="21"/>
                <w:szCs w:val="21"/>
                <w:color w:val="auto"/>
              </w:rPr>
            </w:pPr>
          </w:p>
        </w:tc>
        <w:tc>
          <w:tcPr>
            <w:tcW w:w="2860" w:type="dxa"/>
            <w:vAlign w:val="bottom"/>
            <w:tcBorders>
              <w:bottom w:val="single" w:sz="8" w:color="auto"/>
            </w:tcBorders>
            <w:gridSpan w:val="5"/>
          </w:tcPr>
          <w:p>
            <w:pPr>
              <w:ind w:left="120"/>
              <w:spacing w:after="0"/>
              <w:rPr>
                <w:sz w:val="20"/>
                <w:szCs w:val="20"/>
                <w:color w:val="auto"/>
              </w:rPr>
            </w:pPr>
            <w:r>
              <w:rPr>
                <w:rFonts w:ascii="Arial" w:cs="Arial" w:eastAsia="Arial" w:hAnsi="Arial"/>
                <w:sz w:val="18"/>
                <w:szCs w:val="18"/>
                <w:b w:val="1"/>
                <w:bCs w:val="1"/>
                <w:color w:val="auto"/>
              </w:rPr>
              <w:t>For Six Months Ended June 30,</w:t>
            </w:r>
          </w:p>
        </w:tc>
      </w:tr>
      <w:tr>
        <w:trPr>
          <w:trHeight w:val="264"/>
        </w:trPr>
        <w:tc>
          <w:tcPr>
            <w:tcW w:w="5160" w:type="dxa"/>
            <w:vAlign w:val="bottom"/>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2006</w:t>
            </w:r>
          </w:p>
        </w:tc>
        <w:tc>
          <w:tcPr>
            <w:tcW w:w="44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2005</w:t>
            </w:r>
          </w:p>
        </w:tc>
        <w:tc>
          <w:tcPr>
            <w:tcW w:w="2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2006</w:t>
            </w:r>
          </w:p>
        </w:tc>
        <w:tc>
          <w:tcPr>
            <w:tcW w:w="2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2005</w:t>
            </w:r>
          </w:p>
        </w:tc>
        <w:tc>
          <w:tcPr>
            <w:tcW w:w="100" w:type="dxa"/>
            <w:vAlign w:val="bottom"/>
          </w:tcPr>
          <w:p>
            <w:pPr>
              <w:spacing w:after="0"/>
              <w:rPr>
                <w:sz w:val="22"/>
                <w:szCs w:val="22"/>
                <w:color w:val="auto"/>
              </w:rPr>
            </w:pPr>
          </w:p>
        </w:tc>
      </w:tr>
      <w:tr>
        <w:trPr>
          <w:trHeight w:val="237"/>
        </w:trPr>
        <w:tc>
          <w:tcPr>
            <w:tcW w:w="516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43"/>
        </w:trPr>
        <w:tc>
          <w:tcPr>
            <w:tcW w:w="5160" w:type="dxa"/>
            <w:vAlign w:val="bottom"/>
          </w:tcPr>
          <w:p>
            <w:pPr>
              <w:spacing w:after="0"/>
              <w:rPr>
                <w:sz w:val="20"/>
                <w:szCs w:val="20"/>
                <w:color w:val="auto"/>
              </w:rPr>
            </w:pPr>
            <w:r>
              <w:rPr>
                <w:rFonts w:ascii="Arial" w:cs="Arial" w:eastAsia="Arial" w:hAnsi="Arial"/>
                <w:sz w:val="18"/>
                <w:szCs w:val="18"/>
                <w:color w:val="auto"/>
              </w:rPr>
              <w:t>Net revenue</w:t>
            </w:r>
          </w:p>
        </w:tc>
        <w:tc>
          <w:tcPr>
            <w:tcW w:w="940" w:type="dxa"/>
            <w:vAlign w:val="bottom"/>
          </w:tcPr>
          <w:p>
            <w:pPr>
              <w:jc w:val="right"/>
              <w:ind w:right="782"/>
              <w:spacing w:after="0"/>
              <w:rPr>
                <w:sz w:val="20"/>
                <w:szCs w:val="20"/>
                <w:color w:val="auto"/>
              </w:rPr>
            </w:pPr>
            <w:r>
              <w:rPr>
                <w:rFonts w:ascii="Arial" w:cs="Arial" w:eastAsia="Arial" w:hAnsi="Arial"/>
                <w:sz w:val="15"/>
                <w:szCs w:val="15"/>
                <w:b w:val="1"/>
                <w:bCs w:val="1"/>
                <w:color w:val="auto"/>
                <w:w w:val="71"/>
              </w:rPr>
              <w:t>$</w:t>
            </w:r>
          </w:p>
        </w:tc>
        <w:tc>
          <w:tcPr>
            <w:tcW w:w="5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w w:val="93"/>
              </w:rPr>
              <w:t>3,697</w:t>
            </w:r>
          </w:p>
        </w:tc>
        <w:tc>
          <w:tcPr>
            <w:tcW w:w="460" w:type="dxa"/>
            <w:vAlign w:val="bottom"/>
            <w:gridSpan w:val="2"/>
          </w:tcPr>
          <w:p>
            <w:pPr>
              <w:jc w:val="right"/>
              <w:ind w:right="150"/>
              <w:spacing w:after="0"/>
              <w:rPr>
                <w:sz w:val="20"/>
                <w:szCs w:val="20"/>
                <w:color w:val="auto"/>
              </w:rPr>
            </w:pPr>
            <w:r>
              <w:rPr>
                <w:rFonts w:ascii="Arial" w:cs="Arial" w:eastAsia="Arial" w:hAnsi="Arial"/>
                <w:sz w:val="18"/>
                <w:szCs w:val="18"/>
                <w:b w:val="1"/>
                <w:bCs w:val="1"/>
                <w:color w:val="auto"/>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2,971</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7,031</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5,673</w:t>
            </w:r>
          </w:p>
        </w:tc>
      </w:tr>
      <w:tr>
        <w:trPr>
          <w:trHeight w:val="243"/>
        </w:trPr>
        <w:tc>
          <w:tcPr>
            <w:tcW w:w="516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43"/>
        </w:trPr>
        <w:tc>
          <w:tcPr>
            <w:tcW w:w="5160" w:type="dxa"/>
            <w:vAlign w:val="bottom"/>
          </w:tcPr>
          <w:p>
            <w:pPr>
              <w:spacing w:after="0"/>
              <w:rPr>
                <w:sz w:val="20"/>
                <w:szCs w:val="20"/>
                <w:color w:val="auto"/>
              </w:rPr>
            </w:pPr>
            <w:r>
              <w:rPr>
                <w:rFonts w:ascii="Arial" w:cs="Arial" w:eastAsia="Arial" w:hAnsi="Arial"/>
                <w:sz w:val="18"/>
                <w:szCs w:val="18"/>
                <w:color w:val="auto"/>
              </w:rPr>
              <w:t>Operating costs and expenses:</w:t>
            </w:r>
          </w:p>
        </w:tc>
        <w:tc>
          <w:tcPr>
            <w:tcW w:w="9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5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Cost of revenue</w:t>
            </w:r>
          </w:p>
        </w:tc>
        <w:tc>
          <w:tcPr>
            <w:tcW w:w="940" w:type="dxa"/>
            <w:vAlign w:val="bottom"/>
            <w:shd w:val="clear" w:color="auto" w:fill="CCEEFF"/>
          </w:tcPr>
          <w:p>
            <w:pPr>
              <w:spacing w:after="0"/>
              <w:rPr>
                <w:sz w:val="21"/>
                <w:szCs w:val="21"/>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w w:val="93"/>
              </w:rPr>
              <w:t>1,790</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1,545</w:t>
            </w:r>
          </w:p>
        </w:tc>
        <w:tc>
          <w:tcPr>
            <w:tcW w:w="200" w:type="dxa"/>
            <w:vAlign w:val="bottom"/>
            <w:shd w:val="clear" w:color="auto" w:fill="CCEEFF"/>
          </w:tcPr>
          <w:p>
            <w:pPr>
              <w:spacing w:after="0"/>
              <w:rPr>
                <w:sz w:val="21"/>
                <w:szCs w:val="21"/>
                <w:color w:val="auto"/>
              </w:rPr>
            </w:pP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3,452</w:t>
            </w:r>
          </w:p>
        </w:tc>
        <w:tc>
          <w:tcPr>
            <w:tcW w:w="32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3,004</w:t>
            </w: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Research and development (R&amp;D)</w:t>
            </w:r>
          </w:p>
        </w:tc>
        <w:tc>
          <w:tcPr>
            <w:tcW w:w="940" w:type="dxa"/>
            <w:vAlign w:val="bottom"/>
          </w:tcPr>
          <w:p>
            <w:pPr>
              <w:spacing w:after="0"/>
              <w:rPr>
                <w:sz w:val="21"/>
                <w:szCs w:val="21"/>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536</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485</w:t>
            </w:r>
          </w:p>
        </w:tc>
        <w:tc>
          <w:tcPr>
            <w:tcW w:w="200" w:type="dxa"/>
            <w:vAlign w:val="bottom"/>
          </w:tcPr>
          <w:p>
            <w:pPr>
              <w:spacing w:after="0"/>
              <w:rPr>
                <w:sz w:val="21"/>
                <w:szCs w:val="21"/>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1,069</w:t>
            </w:r>
          </w:p>
        </w:tc>
        <w:tc>
          <w:tcPr>
            <w:tcW w:w="320" w:type="dxa"/>
            <w:vAlign w:val="bottom"/>
          </w:tcPr>
          <w:p>
            <w:pPr>
              <w:spacing w:after="0"/>
              <w:rPr>
                <w:sz w:val="21"/>
                <w:szCs w:val="21"/>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972</w:t>
            </w: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 (SG&amp;A)</w:t>
            </w:r>
          </w:p>
        </w:tc>
        <w:tc>
          <w:tcPr>
            <w:tcW w:w="9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418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339</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839</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659</w:t>
            </w:r>
          </w:p>
        </w:tc>
      </w:tr>
      <w:tr>
        <w:trPr>
          <w:trHeight w:val="20"/>
        </w:trPr>
        <w:tc>
          <w:tcPr>
            <w:tcW w:w="5160" w:type="dxa"/>
            <w:vAlign w:val="bottom"/>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37"/>
        </w:trPr>
        <w:tc>
          <w:tcPr>
            <w:tcW w:w="5160" w:type="dxa"/>
            <w:vAlign w:val="bottom"/>
          </w:tcPr>
          <w:p>
            <w:pPr>
              <w:ind w:left="180"/>
              <w:spacing w:after="0"/>
              <w:rPr>
                <w:sz w:val="20"/>
                <w:szCs w:val="20"/>
                <w:color w:val="auto"/>
              </w:rPr>
            </w:pPr>
            <w:r>
              <w:rPr>
                <w:rFonts w:ascii="Arial" w:cs="Arial" w:eastAsia="Arial" w:hAnsi="Arial"/>
                <w:sz w:val="18"/>
                <w:szCs w:val="18"/>
                <w:color w:val="auto"/>
              </w:rPr>
              <w:t>Total</w:t>
            </w:r>
          </w:p>
        </w:tc>
        <w:tc>
          <w:tcPr>
            <w:tcW w:w="94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8"/>
                <w:szCs w:val="18"/>
                <w:b w:val="1"/>
                <w:bCs w:val="1"/>
                <w:color w:val="auto"/>
                <w:w w:val="93"/>
              </w:rPr>
              <w:t>2,744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2,369</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5,360</w:t>
            </w:r>
          </w:p>
        </w:tc>
        <w:tc>
          <w:tcPr>
            <w:tcW w:w="320" w:type="dxa"/>
            <w:vAlign w:val="bottom"/>
          </w:tcPr>
          <w:p>
            <w:pPr>
              <w:spacing w:after="0"/>
              <w:rPr>
                <w:sz w:val="20"/>
                <w:szCs w:val="20"/>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4,635</w:t>
            </w:r>
          </w:p>
        </w:tc>
      </w:tr>
      <w:tr>
        <w:trPr>
          <w:trHeight w:val="20"/>
        </w:trPr>
        <w:tc>
          <w:tcPr>
            <w:tcW w:w="51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Profit from operations</w:t>
            </w:r>
          </w:p>
        </w:tc>
        <w:tc>
          <w:tcPr>
            <w:tcW w:w="940" w:type="dxa"/>
            <w:vAlign w:val="bottom"/>
            <w:shd w:val="clear" w:color="auto" w:fill="CCEEFF"/>
          </w:tcPr>
          <w:p>
            <w:pPr>
              <w:spacing w:after="0"/>
              <w:rPr>
                <w:sz w:val="20"/>
                <w:szCs w:val="20"/>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953</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602</w:t>
            </w:r>
          </w:p>
        </w:tc>
        <w:tc>
          <w:tcPr>
            <w:tcW w:w="2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1,671</w:t>
            </w:r>
          </w:p>
        </w:tc>
        <w:tc>
          <w:tcPr>
            <w:tcW w:w="32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1,038</w:t>
            </w:r>
          </w:p>
        </w:tc>
      </w:tr>
      <w:tr>
        <w:trPr>
          <w:trHeight w:val="243"/>
        </w:trPr>
        <w:tc>
          <w:tcPr>
            <w:tcW w:w="516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94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8"/>
                <w:szCs w:val="18"/>
                <w:b w:val="1"/>
                <w:bCs w:val="1"/>
                <w:color w:val="auto"/>
              </w:rPr>
              <w:t>88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56</w:t>
            </w:r>
          </w:p>
        </w:tc>
        <w:tc>
          <w:tcPr>
            <w:tcW w:w="200" w:type="dxa"/>
            <w:vAlign w:val="bottom"/>
          </w:tcPr>
          <w:p>
            <w:pPr>
              <w:spacing w:after="0"/>
              <w:rPr>
                <w:sz w:val="21"/>
                <w:szCs w:val="21"/>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140</w:t>
            </w:r>
          </w:p>
        </w:tc>
        <w:tc>
          <w:tcPr>
            <w:tcW w:w="320" w:type="dxa"/>
            <w:vAlign w:val="bottom"/>
          </w:tcPr>
          <w:p>
            <w:pPr>
              <w:spacing w:after="0"/>
              <w:rPr>
                <w:sz w:val="21"/>
                <w:szCs w:val="21"/>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105</w:t>
            </w:r>
          </w:p>
        </w:tc>
      </w:tr>
      <w:tr>
        <w:trPr>
          <w:trHeight w:val="243"/>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on loans</w:t>
            </w:r>
          </w:p>
        </w:tc>
        <w:tc>
          <w:tcPr>
            <w:tcW w:w="940" w:type="dxa"/>
            <w:vAlign w:val="bottom"/>
            <w:shd w:val="clear" w:color="auto" w:fill="CCEEFF"/>
          </w:tcPr>
          <w:p>
            <w:pPr>
              <w:spacing w:after="0"/>
              <w:rPr>
                <w:sz w:val="21"/>
                <w:szCs w:val="21"/>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2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w:t>
            </w:r>
          </w:p>
        </w:tc>
        <w:tc>
          <w:tcPr>
            <w:tcW w:w="32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w:t>
            </w:r>
          </w:p>
        </w:tc>
      </w:tr>
      <w:tr>
        <w:trPr>
          <w:trHeight w:val="20"/>
        </w:trPr>
        <w:tc>
          <w:tcPr>
            <w:tcW w:w="5160" w:type="dxa"/>
            <w:vAlign w:val="bottom"/>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37"/>
        </w:trPr>
        <w:tc>
          <w:tcPr>
            <w:tcW w:w="5160" w:type="dxa"/>
            <w:vAlign w:val="bottom"/>
          </w:tcPr>
          <w:p>
            <w:pPr>
              <w:spacing w:after="0"/>
              <w:rPr>
                <w:sz w:val="20"/>
                <w:szCs w:val="20"/>
                <w:color w:val="auto"/>
              </w:rPr>
            </w:pPr>
            <w:r>
              <w:rPr>
                <w:rFonts w:ascii="Arial" w:cs="Arial" w:eastAsia="Arial" w:hAnsi="Arial"/>
                <w:sz w:val="18"/>
                <w:szCs w:val="18"/>
                <w:color w:val="auto"/>
              </w:rPr>
              <w:t>Income from continuing operations before income taxes</w:t>
            </w:r>
          </w:p>
        </w:tc>
        <w:tc>
          <w:tcPr>
            <w:tcW w:w="94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8"/>
                <w:szCs w:val="18"/>
                <w:b w:val="1"/>
                <w:bCs w:val="1"/>
                <w:color w:val="auto"/>
                <w:w w:val="93"/>
              </w:rPr>
              <w:t>1,039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656</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1,806</w:t>
            </w:r>
          </w:p>
        </w:tc>
        <w:tc>
          <w:tcPr>
            <w:tcW w:w="320" w:type="dxa"/>
            <w:vAlign w:val="bottom"/>
          </w:tcPr>
          <w:p>
            <w:pPr>
              <w:spacing w:after="0"/>
              <w:rPr>
                <w:sz w:val="20"/>
                <w:szCs w:val="20"/>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1,139</w:t>
            </w:r>
          </w:p>
        </w:tc>
      </w:tr>
      <w:tr>
        <w:trPr>
          <w:trHeight w:val="243"/>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940" w:type="dxa"/>
            <w:vAlign w:val="bottom"/>
            <w:shd w:val="clear" w:color="auto" w:fill="CCEEFF"/>
          </w:tcPr>
          <w:p>
            <w:pPr>
              <w:spacing w:after="0"/>
              <w:rPr>
                <w:sz w:val="21"/>
                <w:szCs w:val="21"/>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300</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72</w:t>
            </w:r>
          </w:p>
        </w:tc>
        <w:tc>
          <w:tcPr>
            <w:tcW w:w="2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524</w:t>
            </w:r>
          </w:p>
        </w:tc>
        <w:tc>
          <w:tcPr>
            <w:tcW w:w="32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184</w:t>
            </w:r>
          </w:p>
        </w:tc>
      </w:tr>
      <w:tr>
        <w:trPr>
          <w:trHeight w:val="20"/>
        </w:trPr>
        <w:tc>
          <w:tcPr>
            <w:tcW w:w="5160" w:type="dxa"/>
            <w:vAlign w:val="bottom"/>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37"/>
        </w:trPr>
        <w:tc>
          <w:tcPr>
            <w:tcW w:w="5160" w:type="dxa"/>
            <w:vAlign w:val="bottom"/>
          </w:tcPr>
          <w:p>
            <w:pPr>
              <w:spacing w:after="0"/>
              <w:rPr>
                <w:sz w:val="20"/>
                <w:szCs w:val="20"/>
                <w:color w:val="auto"/>
              </w:rPr>
            </w:pPr>
            <w:r>
              <w:rPr>
                <w:rFonts w:ascii="Arial" w:cs="Arial" w:eastAsia="Arial" w:hAnsi="Arial"/>
                <w:sz w:val="18"/>
                <w:szCs w:val="18"/>
                <w:color w:val="auto"/>
              </w:rPr>
              <w:t>Income from continuing operations</w:t>
            </w:r>
          </w:p>
        </w:tc>
        <w:tc>
          <w:tcPr>
            <w:tcW w:w="94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8"/>
                <w:szCs w:val="18"/>
                <w:b w:val="1"/>
                <w:bCs w:val="1"/>
                <w:color w:val="auto"/>
              </w:rPr>
              <w:t>739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584</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1,282</w:t>
            </w:r>
          </w:p>
        </w:tc>
        <w:tc>
          <w:tcPr>
            <w:tcW w:w="320" w:type="dxa"/>
            <w:vAlign w:val="bottom"/>
          </w:tcPr>
          <w:p>
            <w:pPr>
              <w:spacing w:after="0"/>
              <w:rPr>
                <w:sz w:val="20"/>
                <w:szCs w:val="20"/>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955</w:t>
            </w:r>
          </w:p>
        </w:tc>
      </w:tr>
      <w:tr>
        <w:trPr>
          <w:trHeight w:val="250"/>
        </w:trPr>
        <w:tc>
          <w:tcPr>
            <w:tcW w:w="51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from discontinued operations, net of income taxes</w:t>
            </w:r>
          </w:p>
        </w:tc>
        <w:tc>
          <w:tcPr>
            <w:tcW w:w="9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w w:val="93"/>
              </w:rPr>
              <w:t>1,648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44</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1,690</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w:t>
            </w:r>
          </w:p>
        </w:tc>
      </w:tr>
      <w:tr>
        <w:trPr>
          <w:trHeight w:val="20"/>
        </w:trPr>
        <w:tc>
          <w:tcPr>
            <w:tcW w:w="5160" w:type="dxa"/>
            <w:vAlign w:val="bottom"/>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37"/>
        </w:trPr>
        <w:tc>
          <w:tcPr>
            <w:tcW w:w="5160" w:type="dxa"/>
            <w:vAlign w:val="bottom"/>
          </w:tcPr>
          <w:p>
            <w:pPr>
              <w:spacing w:after="0"/>
              <w:rPr>
                <w:sz w:val="20"/>
                <w:szCs w:val="20"/>
                <w:color w:val="auto"/>
              </w:rPr>
            </w:pPr>
            <w:r>
              <w:rPr>
                <w:rFonts w:ascii="Arial" w:cs="Arial" w:eastAsia="Arial" w:hAnsi="Arial"/>
                <w:sz w:val="18"/>
                <w:szCs w:val="18"/>
                <w:color w:val="auto"/>
              </w:rPr>
              <w:t>Net income</w:t>
            </w:r>
          </w:p>
        </w:tc>
        <w:tc>
          <w:tcPr>
            <w:tcW w:w="940" w:type="dxa"/>
            <w:vAlign w:val="bottom"/>
          </w:tcPr>
          <w:p>
            <w:pPr>
              <w:jc w:val="right"/>
              <w:ind w:right="782"/>
              <w:spacing w:after="0"/>
              <w:rPr>
                <w:sz w:val="20"/>
                <w:szCs w:val="20"/>
                <w:color w:val="auto"/>
              </w:rPr>
            </w:pPr>
            <w:r>
              <w:rPr>
                <w:rFonts w:ascii="Arial" w:cs="Arial" w:eastAsia="Arial" w:hAnsi="Arial"/>
                <w:sz w:val="15"/>
                <w:szCs w:val="15"/>
                <w:b w:val="1"/>
                <w:bCs w:val="1"/>
                <w:color w:val="auto"/>
                <w:w w:val="71"/>
              </w:rPr>
              <w:t>$</w:t>
            </w:r>
          </w:p>
        </w:tc>
        <w:tc>
          <w:tcPr>
            <w:tcW w:w="440" w:type="dxa"/>
            <w:vAlign w:val="bottom"/>
          </w:tcPr>
          <w:p>
            <w:pPr>
              <w:jc w:val="right"/>
              <w:spacing w:after="0"/>
              <w:rPr>
                <w:sz w:val="20"/>
                <w:szCs w:val="20"/>
                <w:color w:val="auto"/>
              </w:rPr>
            </w:pPr>
            <w:r>
              <w:rPr>
                <w:rFonts w:ascii="Arial" w:cs="Arial" w:eastAsia="Arial" w:hAnsi="Arial"/>
                <w:sz w:val="18"/>
                <w:szCs w:val="18"/>
                <w:b w:val="1"/>
                <w:bCs w:val="1"/>
                <w:color w:val="auto"/>
                <w:w w:val="93"/>
              </w:rPr>
              <w:t>2,387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628</w:t>
            </w:r>
          </w:p>
        </w:tc>
        <w:tc>
          <w:tcPr>
            <w:tcW w:w="22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2,972</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1,038</w:t>
            </w:r>
          </w:p>
        </w:tc>
      </w:tr>
      <w:tr>
        <w:trPr>
          <w:trHeight w:val="20"/>
        </w:trPr>
        <w:tc>
          <w:tcPr>
            <w:tcW w:w="516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4"/>
        </w:trPr>
        <w:tc>
          <w:tcPr>
            <w:tcW w:w="5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43"/>
        </w:trPr>
        <w:tc>
          <w:tcPr>
            <w:tcW w:w="5160" w:type="dxa"/>
            <w:vAlign w:val="bottom"/>
          </w:tcPr>
          <w:p>
            <w:pPr>
              <w:spacing w:after="0"/>
              <w:rPr>
                <w:sz w:val="20"/>
                <w:szCs w:val="20"/>
                <w:color w:val="auto"/>
              </w:rPr>
            </w:pPr>
            <w:r>
              <w:rPr>
                <w:rFonts w:ascii="Arial" w:cs="Arial" w:eastAsia="Arial" w:hAnsi="Arial"/>
                <w:sz w:val="18"/>
                <w:szCs w:val="18"/>
                <w:color w:val="auto"/>
              </w:rPr>
              <w:t>Basic earnings per common share:</w:t>
            </w:r>
          </w:p>
        </w:tc>
        <w:tc>
          <w:tcPr>
            <w:tcW w:w="9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63"/>
        </w:trPr>
        <w:tc>
          <w:tcPr>
            <w:tcW w:w="5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Income from continuing operations</w:t>
            </w:r>
          </w:p>
        </w:tc>
        <w:tc>
          <w:tcPr>
            <w:tcW w:w="940" w:type="dxa"/>
            <w:vAlign w:val="bottom"/>
            <w:shd w:val="clear" w:color="auto" w:fill="CCEEFF"/>
          </w:tcPr>
          <w:p>
            <w:pPr>
              <w:jc w:val="right"/>
              <w:ind w:right="782"/>
              <w:spacing w:after="0"/>
              <w:rPr>
                <w:sz w:val="20"/>
                <w:szCs w:val="20"/>
                <w:color w:val="auto"/>
              </w:rPr>
            </w:pPr>
            <w:r>
              <w:rPr>
                <w:rFonts w:ascii="Arial" w:cs="Arial" w:eastAsia="Arial" w:hAnsi="Arial"/>
                <w:sz w:val="15"/>
                <w:szCs w:val="15"/>
                <w:b w:val="1"/>
                <w:bCs w:val="1"/>
                <w:color w:val="auto"/>
                <w:w w:val="71"/>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.48</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.36</w:t>
            </w:r>
          </w:p>
        </w:tc>
        <w:tc>
          <w:tcPr>
            <w:tcW w:w="22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.82</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w:t>
            </w:r>
          </w:p>
        </w:tc>
      </w:tr>
      <w:tr>
        <w:trPr>
          <w:trHeight w:val="20"/>
        </w:trPr>
        <w:tc>
          <w:tcPr>
            <w:tcW w:w="516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224"/>
        </w:trPr>
        <w:tc>
          <w:tcPr>
            <w:tcW w:w="516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940" w:type="dxa"/>
            <w:vAlign w:val="bottom"/>
          </w:tcPr>
          <w:p>
            <w:pPr>
              <w:jc w:val="right"/>
              <w:ind w:right="782"/>
              <w:spacing w:after="0"/>
              <w:rPr>
                <w:sz w:val="20"/>
                <w:szCs w:val="20"/>
                <w:color w:val="auto"/>
              </w:rPr>
            </w:pPr>
            <w:r>
              <w:rPr>
                <w:rFonts w:ascii="Arial" w:cs="Arial" w:eastAsia="Arial" w:hAnsi="Arial"/>
                <w:sz w:val="15"/>
                <w:szCs w:val="15"/>
                <w:b w:val="1"/>
                <w:bCs w:val="1"/>
                <w:color w:val="auto"/>
                <w:w w:val="71"/>
              </w:rPr>
              <w:t>$</w:t>
            </w:r>
          </w:p>
        </w:tc>
        <w:tc>
          <w:tcPr>
            <w:tcW w:w="440" w:type="dxa"/>
            <w:vAlign w:val="bottom"/>
          </w:tcPr>
          <w:p>
            <w:pPr>
              <w:jc w:val="right"/>
              <w:spacing w:after="0"/>
              <w:rPr>
                <w:sz w:val="20"/>
                <w:szCs w:val="20"/>
                <w:color w:val="auto"/>
              </w:rPr>
            </w:pPr>
            <w:r>
              <w:rPr>
                <w:rFonts w:ascii="Arial" w:cs="Arial" w:eastAsia="Arial" w:hAnsi="Arial"/>
                <w:sz w:val="18"/>
                <w:szCs w:val="18"/>
                <w:b w:val="1"/>
                <w:bCs w:val="1"/>
                <w:color w:val="auto"/>
              </w:rPr>
              <w:t>1.54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.38</w:t>
            </w:r>
          </w:p>
        </w:tc>
        <w:tc>
          <w:tcPr>
            <w:tcW w:w="2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1.89</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.62</w:t>
            </w:r>
          </w:p>
        </w:tc>
      </w:tr>
      <w:tr>
        <w:trPr>
          <w:trHeight w:val="20"/>
        </w:trPr>
        <w:tc>
          <w:tcPr>
            <w:tcW w:w="516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4"/>
        </w:trPr>
        <w:tc>
          <w:tcPr>
            <w:tcW w:w="5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43"/>
        </w:trPr>
        <w:tc>
          <w:tcPr>
            <w:tcW w:w="5160" w:type="dxa"/>
            <w:vAlign w:val="bottom"/>
          </w:tcPr>
          <w:p>
            <w:pPr>
              <w:spacing w:after="0"/>
              <w:rPr>
                <w:sz w:val="20"/>
                <w:szCs w:val="20"/>
                <w:color w:val="auto"/>
              </w:rPr>
            </w:pPr>
            <w:r>
              <w:rPr>
                <w:rFonts w:ascii="Arial" w:cs="Arial" w:eastAsia="Arial" w:hAnsi="Arial"/>
                <w:sz w:val="18"/>
                <w:szCs w:val="18"/>
                <w:color w:val="auto"/>
              </w:rPr>
              <w:t>Diluted earnings per common share:</w:t>
            </w:r>
          </w:p>
        </w:tc>
        <w:tc>
          <w:tcPr>
            <w:tcW w:w="9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63"/>
        </w:trPr>
        <w:tc>
          <w:tcPr>
            <w:tcW w:w="5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Income from continuing operations</w:t>
            </w:r>
          </w:p>
        </w:tc>
        <w:tc>
          <w:tcPr>
            <w:tcW w:w="940" w:type="dxa"/>
            <w:vAlign w:val="bottom"/>
            <w:shd w:val="clear" w:color="auto" w:fill="CCEEFF"/>
          </w:tcPr>
          <w:p>
            <w:pPr>
              <w:jc w:val="right"/>
              <w:ind w:right="782"/>
              <w:spacing w:after="0"/>
              <w:rPr>
                <w:sz w:val="20"/>
                <w:szCs w:val="20"/>
                <w:color w:val="auto"/>
              </w:rPr>
            </w:pPr>
            <w:r>
              <w:rPr>
                <w:rFonts w:ascii="Arial" w:cs="Arial" w:eastAsia="Arial" w:hAnsi="Arial"/>
                <w:sz w:val="15"/>
                <w:szCs w:val="15"/>
                <w:b w:val="1"/>
                <w:bCs w:val="1"/>
                <w:color w:val="auto"/>
                <w:w w:val="71"/>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.47</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.35</w:t>
            </w:r>
          </w:p>
        </w:tc>
        <w:tc>
          <w:tcPr>
            <w:tcW w:w="22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.80</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w:t>
            </w:r>
          </w:p>
        </w:tc>
      </w:tr>
      <w:tr>
        <w:trPr>
          <w:trHeight w:val="20"/>
        </w:trPr>
        <w:tc>
          <w:tcPr>
            <w:tcW w:w="516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224"/>
        </w:trPr>
        <w:tc>
          <w:tcPr>
            <w:tcW w:w="516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940" w:type="dxa"/>
            <w:vAlign w:val="bottom"/>
          </w:tcPr>
          <w:p>
            <w:pPr>
              <w:jc w:val="right"/>
              <w:ind w:right="782"/>
              <w:spacing w:after="0"/>
              <w:rPr>
                <w:sz w:val="20"/>
                <w:szCs w:val="20"/>
                <w:color w:val="auto"/>
              </w:rPr>
            </w:pPr>
            <w:r>
              <w:rPr>
                <w:rFonts w:ascii="Arial" w:cs="Arial" w:eastAsia="Arial" w:hAnsi="Arial"/>
                <w:sz w:val="15"/>
                <w:szCs w:val="15"/>
                <w:b w:val="1"/>
                <w:bCs w:val="1"/>
                <w:color w:val="auto"/>
                <w:w w:val="71"/>
              </w:rPr>
              <w:t>$</w:t>
            </w:r>
          </w:p>
        </w:tc>
        <w:tc>
          <w:tcPr>
            <w:tcW w:w="440" w:type="dxa"/>
            <w:vAlign w:val="bottom"/>
          </w:tcPr>
          <w:p>
            <w:pPr>
              <w:jc w:val="right"/>
              <w:spacing w:after="0"/>
              <w:rPr>
                <w:sz w:val="20"/>
                <w:szCs w:val="20"/>
                <w:color w:val="auto"/>
              </w:rPr>
            </w:pPr>
            <w:r>
              <w:rPr>
                <w:rFonts w:ascii="Arial" w:cs="Arial" w:eastAsia="Arial" w:hAnsi="Arial"/>
                <w:sz w:val="18"/>
                <w:szCs w:val="18"/>
                <w:b w:val="1"/>
                <w:bCs w:val="1"/>
                <w:color w:val="auto"/>
              </w:rPr>
              <w:t>1.50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.38</w:t>
            </w:r>
          </w:p>
        </w:tc>
        <w:tc>
          <w:tcPr>
            <w:tcW w:w="2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1.85</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.61</w:t>
            </w:r>
          </w:p>
        </w:tc>
      </w:tr>
      <w:tr>
        <w:trPr>
          <w:trHeight w:val="20"/>
        </w:trPr>
        <w:tc>
          <w:tcPr>
            <w:tcW w:w="516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4"/>
        </w:trPr>
        <w:tc>
          <w:tcPr>
            <w:tcW w:w="5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43"/>
        </w:trPr>
        <w:tc>
          <w:tcPr>
            <w:tcW w:w="5160" w:type="dxa"/>
            <w:vAlign w:val="bottom"/>
          </w:tcPr>
          <w:p>
            <w:pPr>
              <w:spacing w:after="0"/>
              <w:rPr>
                <w:sz w:val="20"/>
                <w:szCs w:val="20"/>
                <w:color w:val="auto"/>
              </w:rPr>
            </w:pPr>
            <w:r>
              <w:rPr>
                <w:rFonts w:ascii="Arial" w:cs="Arial" w:eastAsia="Arial" w:hAnsi="Arial"/>
                <w:sz w:val="18"/>
                <w:szCs w:val="18"/>
                <w:color w:val="auto"/>
              </w:rPr>
              <w:t>Average shares outstanding (millions):</w:t>
            </w:r>
          </w:p>
        </w:tc>
        <w:tc>
          <w:tcPr>
            <w:tcW w:w="9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63"/>
        </w:trPr>
        <w:tc>
          <w:tcPr>
            <w:tcW w:w="5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940" w:type="dxa"/>
            <w:vAlign w:val="bottom"/>
            <w:shd w:val="clear" w:color="auto" w:fill="CCEEFF"/>
          </w:tcPr>
          <w:p>
            <w:pPr>
              <w:spacing w:after="0"/>
              <w:rPr>
                <w:sz w:val="22"/>
                <w:szCs w:val="22"/>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3"/>
              </w:rPr>
              <w:t>1,553</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1,633</w:t>
            </w:r>
          </w:p>
        </w:tc>
        <w:tc>
          <w:tcPr>
            <w:tcW w:w="2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1,569</w:t>
            </w:r>
          </w:p>
        </w:tc>
        <w:tc>
          <w:tcPr>
            <w:tcW w:w="32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1,667</w:t>
            </w:r>
          </w:p>
        </w:tc>
      </w:tr>
      <w:tr>
        <w:trPr>
          <w:trHeight w:val="20"/>
        </w:trPr>
        <w:tc>
          <w:tcPr>
            <w:tcW w:w="516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224"/>
        </w:trPr>
        <w:tc>
          <w:tcPr>
            <w:tcW w:w="5160" w:type="dxa"/>
            <w:vAlign w:val="bottom"/>
          </w:tcPr>
          <w:p>
            <w:pPr>
              <w:ind w:left="180"/>
              <w:spacing w:after="0"/>
              <w:rPr>
                <w:sz w:val="20"/>
                <w:szCs w:val="20"/>
                <w:color w:val="auto"/>
              </w:rPr>
            </w:pPr>
            <w:r>
              <w:rPr>
                <w:rFonts w:ascii="Arial" w:cs="Arial" w:eastAsia="Arial" w:hAnsi="Arial"/>
                <w:sz w:val="18"/>
                <w:szCs w:val="18"/>
                <w:color w:val="auto"/>
              </w:rPr>
              <w:t>Diluted</w:t>
            </w:r>
          </w:p>
        </w:tc>
        <w:tc>
          <w:tcPr>
            <w:tcW w:w="9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b w:val="1"/>
                <w:bCs w:val="1"/>
                <w:color w:val="auto"/>
                <w:w w:val="93"/>
              </w:rPr>
              <w:t>1,586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1,669</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1,602</w:t>
            </w:r>
          </w:p>
        </w:tc>
        <w:tc>
          <w:tcPr>
            <w:tcW w:w="32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1,702</w:t>
            </w:r>
          </w:p>
        </w:tc>
      </w:tr>
      <w:tr>
        <w:trPr>
          <w:trHeight w:val="20"/>
        </w:trPr>
        <w:tc>
          <w:tcPr>
            <w:tcW w:w="516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4"/>
        </w:trPr>
        <w:tc>
          <w:tcPr>
            <w:tcW w:w="5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43"/>
        </w:trPr>
        <w:tc>
          <w:tcPr>
            <w:tcW w:w="5160" w:type="dxa"/>
            <w:vAlign w:val="bottom"/>
          </w:tcPr>
          <w:p>
            <w:pPr>
              <w:spacing w:after="0"/>
              <w:rPr>
                <w:sz w:val="20"/>
                <w:szCs w:val="20"/>
                <w:color w:val="auto"/>
              </w:rPr>
            </w:pPr>
            <w:r>
              <w:rPr>
                <w:rFonts w:ascii="Arial" w:cs="Arial" w:eastAsia="Arial" w:hAnsi="Arial"/>
                <w:sz w:val="18"/>
                <w:szCs w:val="18"/>
                <w:color w:val="auto"/>
              </w:rPr>
              <w:t>Cash dividends declared per share of common stock</w:t>
            </w:r>
          </w:p>
        </w:tc>
        <w:tc>
          <w:tcPr>
            <w:tcW w:w="940" w:type="dxa"/>
            <w:vAlign w:val="bottom"/>
          </w:tcPr>
          <w:p>
            <w:pPr>
              <w:jc w:val="right"/>
              <w:ind w:right="782"/>
              <w:spacing w:after="0"/>
              <w:rPr>
                <w:sz w:val="20"/>
                <w:szCs w:val="20"/>
                <w:color w:val="auto"/>
              </w:rPr>
            </w:pPr>
            <w:r>
              <w:rPr>
                <w:rFonts w:ascii="Arial" w:cs="Arial" w:eastAsia="Arial" w:hAnsi="Arial"/>
                <w:sz w:val="15"/>
                <w:szCs w:val="15"/>
                <w:b w:val="1"/>
                <w:bCs w:val="1"/>
                <w:color w:val="auto"/>
                <w:w w:val="71"/>
              </w:rPr>
              <w:t>$</w:t>
            </w:r>
          </w:p>
        </w:tc>
        <w:tc>
          <w:tcPr>
            <w:tcW w:w="5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.030</w:t>
            </w:r>
          </w:p>
        </w:tc>
        <w:tc>
          <w:tcPr>
            <w:tcW w:w="460" w:type="dxa"/>
            <w:vAlign w:val="bottom"/>
            <w:gridSpan w:val="2"/>
          </w:tcPr>
          <w:p>
            <w:pPr>
              <w:jc w:val="right"/>
              <w:ind w:right="150"/>
              <w:spacing w:after="0"/>
              <w:rPr>
                <w:sz w:val="20"/>
                <w:szCs w:val="20"/>
                <w:color w:val="auto"/>
              </w:rPr>
            </w:pPr>
            <w:r>
              <w:rPr>
                <w:rFonts w:ascii="Arial" w:cs="Arial" w:eastAsia="Arial" w:hAnsi="Arial"/>
                <w:sz w:val="18"/>
                <w:szCs w:val="18"/>
                <w:b w:val="1"/>
                <w:bCs w:val="1"/>
                <w:color w:val="auto"/>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.025</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.060</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.050</w:t>
            </w:r>
          </w:p>
        </w:tc>
      </w:tr>
      <w:tr>
        <w:trPr>
          <w:trHeight w:val="20"/>
        </w:trPr>
        <w:tc>
          <w:tcPr>
            <w:tcW w:w="516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4"/>
        </w:trPr>
        <w:tc>
          <w:tcPr>
            <w:tcW w:w="5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486"/>
        </w:trPr>
        <w:tc>
          <w:tcPr>
            <w:tcW w:w="5160" w:type="dxa"/>
            <w:vAlign w:val="bottom"/>
          </w:tcPr>
          <w:p>
            <w:pPr>
              <w:spacing w:after="0"/>
              <w:rPr>
                <w:sz w:val="20"/>
                <w:szCs w:val="20"/>
                <w:color w:val="auto"/>
              </w:rPr>
            </w:pPr>
            <w:r>
              <w:rPr>
                <w:rFonts w:ascii="Arial" w:cs="Arial" w:eastAsia="Arial" w:hAnsi="Arial"/>
                <w:sz w:val="18"/>
                <w:szCs w:val="18"/>
                <w:b w:val="1"/>
                <w:bCs w:val="1"/>
                <w:color w:val="auto"/>
              </w:rPr>
              <w:t>See accompanying notes.</w:t>
            </w:r>
          </w:p>
        </w:tc>
        <w:tc>
          <w:tcPr>
            <w:tcW w:w="9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(Millions of dollars)</w:t>
      </w:r>
    </w:p>
    <w:p>
      <w:pPr>
        <w:spacing w:after="0" w:line="200" w:lineRule="exact"/>
        <w:rPr>
          <w:sz w:val="20"/>
          <w:szCs w:val="20"/>
          <w:color w:val="auto"/>
        </w:rPr>
      </w:pP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20" w:type="dxa"/>
            <w:vAlign w:val="bottom"/>
          </w:tcPr>
          <w:p>
            <w:pPr>
              <w:spacing w:after="0"/>
              <w:rPr>
                <w:sz w:val="21"/>
                <w:szCs w:val="21"/>
                <w:color w:val="auto"/>
              </w:rPr>
            </w:pPr>
          </w:p>
        </w:tc>
        <w:tc>
          <w:tcPr>
            <w:tcW w:w="5140" w:type="dxa"/>
            <w:vAlign w:val="bottom"/>
          </w:tcPr>
          <w:p>
            <w:pPr>
              <w:spacing w:after="0"/>
              <w:rPr>
                <w:sz w:val="21"/>
                <w:szCs w:val="21"/>
                <w:color w:val="auto"/>
              </w:rPr>
            </w:pPr>
          </w:p>
        </w:tc>
        <w:tc>
          <w:tcPr>
            <w:tcW w:w="3200" w:type="dxa"/>
            <w:vAlign w:val="bottom"/>
            <w:tcBorders>
              <w:bottom w:val="single" w:sz="8" w:color="auto"/>
            </w:tcBorders>
            <w:gridSpan w:val="7"/>
          </w:tcPr>
          <w:p>
            <w:pPr>
              <w:ind w:left="420"/>
              <w:spacing w:after="0"/>
              <w:rPr>
                <w:sz w:val="20"/>
                <w:szCs w:val="20"/>
                <w:color w:val="auto"/>
              </w:rPr>
            </w:pPr>
            <w:r>
              <w:rPr>
                <w:rFonts w:ascii="Arial" w:cs="Arial" w:eastAsia="Arial" w:hAnsi="Arial"/>
                <w:sz w:val="18"/>
                <w:szCs w:val="18"/>
                <w:b w:val="1"/>
                <w:bCs w:val="1"/>
                <w:color w:val="auto"/>
                <w:w w:val="95"/>
              </w:rPr>
              <w:t>For Three Months Ended June 30,</w:t>
            </w:r>
          </w:p>
        </w:tc>
        <w:tc>
          <w:tcPr>
            <w:tcW w:w="200" w:type="dxa"/>
            <w:vAlign w:val="bottom"/>
            <w:tcBorders>
              <w:bottom w:val="single" w:sz="8" w:color="auto"/>
            </w:tcBorders>
          </w:tcPr>
          <w:p>
            <w:pPr>
              <w:spacing w:after="0"/>
              <w:rPr>
                <w:sz w:val="21"/>
                <w:szCs w:val="21"/>
                <w:color w:val="auto"/>
              </w:rPr>
            </w:pPr>
          </w:p>
        </w:tc>
        <w:tc>
          <w:tcPr>
            <w:tcW w:w="2860" w:type="dxa"/>
            <w:vAlign w:val="bottom"/>
            <w:tcBorders>
              <w:bottom w:val="single" w:sz="8" w:color="auto"/>
            </w:tcBorders>
            <w:gridSpan w:val="5"/>
          </w:tcPr>
          <w:p>
            <w:pPr>
              <w:ind w:left="120"/>
              <w:spacing w:after="0"/>
              <w:rPr>
                <w:sz w:val="20"/>
                <w:szCs w:val="20"/>
                <w:color w:val="auto"/>
              </w:rPr>
            </w:pPr>
            <w:r>
              <w:rPr>
                <w:rFonts w:ascii="Arial" w:cs="Arial" w:eastAsia="Arial" w:hAnsi="Arial"/>
                <w:sz w:val="18"/>
                <w:szCs w:val="18"/>
                <w:b w:val="1"/>
                <w:bCs w:val="1"/>
                <w:color w:val="auto"/>
              </w:rPr>
              <w:t>For Six Months Ended June 30,</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5140" w:type="dxa"/>
            <w:vAlign w:val="bottom"/>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2006</w:t>
            </w:r>
          </w:p>
        </w:tc>
        <w:tc>
          <w:tcPr>
            <w:tcW w:w="440" w:type="dxa"/>
            <w:vAlign w:val="bottom"/>
            <w:tcBorders>
              <w:bottom w:val="single" w:sz="8" w:color="auto"/>
            </w:tcBorders>
          </w:tcPr>
          <w:p>
            <w:pPr>
              <w:spacing w:after="0"/>
              <w:rPr>
                <w:sz w:val="22"/>
                <w:szCs w:val="22"/>
                <w:color w:val="auto"/>
              </w:rPr>
            </w:pP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2005</w:t>
            </w:r>
          </w:p>
        </w:tc>
        <w:tc>
          <w:tcPr>
            <w:tcW w:w="2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2006</w:t>
            </w:r>
          </w:p>
        </w:tc>
        <w:tc>
          <w:tcPr>
            <w:tcW w:w="2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2005</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14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160" w:type="dxa"/>
            <w:vAlign w:val="bottom"/>
            <w:gridSpan w:val="2"/>
          </w:tcPr>
          <w:p>
            <w:pPr>
              <w:spacing w:after="0"/>
              <w:rPr>
                <w:sz w:val="20"/>
                <w:szCs w:val="20"/>
                <w:color w:val="auto"/>
              </w:rPr>
            </w:pPr>
            <w:r>
              <w:rPr>
                <w:rFonts w:ascii="Arial" w:cs="Arial" w:eastAsia="Arial" w:hAnsi="Arial"/>
                <w:sz w:val="18"/>
                <w:szCs w:val="18"/>
                <w:color w:val="auto"/>
              </w:rPr>
              <w:t>Income from continuing operations</w:t>
            </w:r>
          </w:p>
        </w:tc>
        <w:tc>
          <w:tcPr>
            <w:tcW w:w="940" w:type="dxa"/>
            <w:vAlign w:val="bottom"/>
          </w:tcPr>
          <w:p>
            <w:pPr>
              <w:jc w:val="right"/>
              <w:ind w:right="780"/>
              <w:spacing w:after="0"/>
              <w:rPr>
                <w:sz w:val="20"/>
                <w:szCs w:val="20"/>
                <w:color w:val="auto"/>
              </w:rPr>
            </w:pPr>
            <w:r>
              <w:rPr>
                <w:rFonts w:ascii="Arial" w:cs="Arial" w:eastAsia="Arial" w:hAnsi="Arial"/>
                <w:sz w:val="15"/>
                <w:szCs w:val="15"/>
                <w:b w:val="1"/>
                <w:bCs w:val="1"/>
                <w:color w:val="auto"/>
                <w:w w:val="71"/>
              </w:rPr>
              <w:t>$</w:t>
            </w:r>
          </w:p>
        </w:tc>
        <w:tc>
          <w:tcPr>
            <w:tcW w:w="5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739</w:t>
            </w:r>
          </w:p>
        </w:tc>
        <w:tc>
          <w:tcPr>
            <w:tcW w:w="420" w:type="dxa"/>
            <w:vAlign w:val="bottom"/>
            <w:gridSpan w:val="2"/>
          </w:tcPr>
          <w:p>
            <w:pPr>
              <w:jc w:val="right"/>
              <w:ind w:right="150"/>
              <w:spacing w:after="0"/>
              <w:rPr>
                <w:sz w:val="20"/>
                <w:szCs w:val="20"/>
                <w:color w:val="auto"/>
              </w:rPr>
            </w:pPr>
            <w:r>
              <w:rPr>
                <w:rFonts w:ascii="Arial" w:cs="Arial" w:eastAsia="Arial" w:hAnsi="Arial"/>
                <w:sz w:val="18"/>
                <w:szCs w:val="18"/>
                <w:b w:val="1"/>
                <w:bCs w:val="1"/>
                <w:color w:val="auto"/>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584</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1,282</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955</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14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gridSpan w:val="2"/>
          </w:tcPr>
          <w:p>
            <w:pPr>
              <w:spacing w:after="0"/>
              <w:rPr>
                <w:sz w:val="20"/>
                <w:szCs w:val="20"/>
                <w:color w:val="auto"/>
              </w:rPr>
            </w:pPr>
            <w:r>
              <w:rPr>
                <w:rFonts w:ascii="Arial" w:cs="Arial" w:eastAsia="Arial" w:hAnsi="Arial"/>
                <w:sz w:val="18"/>
                <w:szCs w:val="18"/>
                <w:color w:val="auto"/>
              </w:rPr>
              <w:t>Accumulated other comprehensive income (loss):</w:t>
            </w:r>
          </w:p>
        </w:tc>
        <w:tc>
          <w:tcPr>
            <w:tcW w:w="9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1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Minimum pension liability:</w:t>
            </w:r>
          </w:p>
        </w:tc>
        <w:tc>
          <w:tcPr>
            <w:tcW w:w="94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140" w:type="dxa"/>
            <w:vAlign w:val="bottom"/>
          </w:tcPr>
          <w:p>
            <w:pPr>
              <w:ind w:left="320"/>
              <w:spacing w:after="0" w:line="201" w:lineRule="exact"/>
              <w:rPr>
                <w:sz w:val="20"/>
                <w:szCs w:val="20"/>
                <w:color w:val="auto"/>
              </w:rPr>
            </w:pPr>
            <w:r>
              <w:rPr>
                <w:rFonts w:ascii="Arial" w:cs="Arial" w:eastAsia="Arial" w:hAnsi="Arial"/>
                <w:sz w:val="18"/>
                <w:szCs w:val="18"/>
                <w:color w:val="auto"/>
              </w:rPr>
              <w:t>Adjustment, net of tax benefit (expense) of:</w:t>
            </w:r>
          </w:p>
        </w:tc>
        <w:tc>
          <w:tcPr>
            <w:tcW w:w="940" w:type="dxa"/>
            <w:vAlign w:val="bottom"/>
          </w:tcPr>
          <w:p>
            <w:pPr>
              <w:spacing w:after="0"/>
              <w:rPr>
                <w:sz w:val="17"/>
                <w:szCs w:val="17"/>
                <w:color w:val="auto"/>
              </w:rPr>
            </w:pPr>
          </w:p>
        </w:tc>
        <w:tc>
          <w:tcPr>
            <w:tcW w:w="580" w:type="dxa"/>
            <w:vAlign w:val="bottom"/>
            <w:gridSpan w:val="2"/>
            <w:vMerge w:val="restart"/>
          </w:tcPr>
          <w:p>
            <w:pPr>
              <w:jc w:val="right"/>
              <w:ind w:right="80"/>
              <w:spacing w:after="0"/>
              <w:rPr>
                <w:sz w:val="20"/>
                <w:szCs w:val="20"/>
                <w:color w:val="auto"/>
              </w:rPr>
            </w:pPr>
            <w:r>
              <w:rPr>
                <w:rFonts w:ascii="Arial" w:cs="Arial" w:eastAsia="Arial" w:hAnsi="Arial"/>
                <w:sz w:val="18"/>
                <w:szCs w:val="18"/>
                <w:b w:val="1"/>
                <w:bCs w:val="1"/>
                <w:color w:val="auto"/>
              </w:rPr>
              <w:t>(1)</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60" w:type="dxa"/>
            <w:vAlign w:val="bottom"/>
            <w:gridSpan w:val="2"/>
            <w:vMerge w:val="restart"/>
          </w:tcPr>
          <w:p>
            <w:pPr>
              <w:jc w:val="right"/>
              <w:ind w:right="220"/>
              <w:spacing w:after="0"/>
              <w:rPr>
                <w:sz w:val="20"/>
                <w:szCs w:val="20"/>
                <w:color w:val="auto"/>
              </w:rPr>
            </w:pPr>
            <w:r>
              <w:rPr>
                <w:rFonts w:ascii="Arial" w:cs="Arial" w:eastAsia="Arial" w:hAnsi="Arial"/>
                <w:sz w:val="18"/>
                <w:szCs w:val="18"/>
                <w:b w:val="1"/>
                <w:bCs w:val="1"/>
                <w:color w:val="auto"/>
              </w:rPr>
              <w:t>4</w:t>
            </w:r>
          </w:p>
        </w:tc>
        <w:tc>
          <w:tcPr>
            <w:tcW w:w="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40" w:type="dxa"/>
            <w:vAlign w:val="bottom"/>
          </w:tcPr>
          <w:p>
            <w:pPr>
              <w:ind w:left="320"/>
              <w:spacing w:after="0"/>
              <w:rPr>
                <w:sz w:val="20"/>
                <w:szCs w:val="20"/>
                <w:color w:val="auto"/>
              </w:rPr>
            </w:pPr>
            <w:r>
              <w:rPr>
                <w:rFonts w:ascii="Arial" w:cs="Arial" w:eastAsia="Arial" w:hAnsi="Arial"/>
                <w:sz w:val="18"/>
                <w:szCs w:val="18"/>
                <w:color w:val="auto"/>
              </w:rPr>
              <w:t>2006 - $0 and $1; 2005 - ($3) and ($8)</w:t>
            </w:r>
          </w:p>
        </w:tc>
        <w:tc>
          <w:tcPr>
            <w:tcW w:w="940" w:type="dxa"/>
            <w:vAlign w:val="bottom"/>
          </w:tcPr>
          <w:p>
            <w:pPr>
              <w:spacing w:after="0"/>
              <w:rPr>
                <w:sz w:val="20"/>
                <w:szCs w:val="20"/>
                <w:color w:val="auto"/>
              </w:rPr>
            </w:pPr>
          </w:p>
        </w:tc>
        <w:tc>
          <w:tcPr>
            <w:tcW w:w="580" w:type="dxa"/>
            <w:vAlign w:val="bottom"/>
            <w:gridSpan w:val="2"/>
            <w:vMerge w:val="continue"/>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60" w:type="dxa"/>
            <w:vAlign w:val="bottom"/>
            <w:gridSpan w:val="2"/>
            <w:vMerge w:val="continue"/>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320" w:type="dxa"/>
            <w:vAlign w:val="bottom"/>
          </w:tcPr>
          <w:p>
            <w:pPr>
              <w:spacing w:after="0"/>
              <w:rPr>
                <w:sz w:val="20"/>
                <w:szCs w:val="20"/>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14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140" w:type="dxa"/>
            <w:vAlign w:val="bottom"/>
          </w:tcPr>
          <w:p>
            <w:pPr>
              <w:ind w:left="160"/>
              <w:spacing w:after="0"/>
              <w:rPr>
                <w:sz w:val="20"/>
                <w:szCs w:val="20"/>
                <w:color w:val="auto"/>
              </w:rPr>
            </w:pPr>
            <w:r>
              <w:rPr>
                <w:rFonts w:ascii="Arial" w:cs="Arial" w:eastAsia="Arial" w:hAnsi="Arial"/>
                <w:sz w:val="18"/>
                <w:szCs w:val="18"/>
                <w:color w:val="auto"/>
              </w:rPr>
              <w:t>Changes in available-for-sale investments:</w:t>
            </w:r>
          </w:p>
        </w:tc>
        <w:tc>
          <w:tcPr>
            <w:tcW w:w="9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140" w:type="dxa"/>
            <w:vAlign w:val="bottom"/>
            <w:shd w:val="clear" w:color="auto" w:fill="CCEEFF"/>
          </w:tcPr>
          <w:p>
            <w:pPr>
              <w:ind w:left="320"/>
              <w:spacing w:after="0" w:line="201" w:lineRule="exact"/>
              <w:rPr>
                <w:sz w:val="20"/>
                <w:szCs w:val="20"/>
                <w:color w:val="auto"/>
              </w:rPr>
            </w:pPr>
            <w:r>
              <w:rPr>
                <w:rFonts w:ascii="Arial" w:cs="Arial" w:eastAsia="Arial" w:hAnsi="Arial"/>
                <w:sz w:val="18"/>
                <w:szCs w:val="18"/>
                <w:color w:val="auto"/>
              </w:rPr>
              <w:t>Adjustment, net of tax benefit (expense) of:</w:t>
            </w:r>
          </w:p>
        </w:tc>
        <w:tc>
          <w:tcPr>
            <w:tcW w:w="9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1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2006 - $3 and $4; 2005 - ($7) and ($2)</w:t>
            </w:r>
          </w:p>
        </w:tc>
        <w:tc>
          <w:tcPr>
            <w:tcW w:w="940" w:type="dxa"/>
            <w:vAlign w:val="bottom"/>
            <w:shd w:val="clear" w:color="auto" w:fill="CCEEFF"/>
          </w:tcPr>
          <w:p>
            <w:pPr>
              <w:spacing w:after="0"/>
              <w:rPr>
                <w:sz w:val="22"/>
                <w:szCs w:val="22"/>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(6)</w:t>
            </w:r>
          </w:p>
        </w:tc>
        <w:tc>
          <w:tcPr>
            <w:tcW w:w="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13</w:t>
            </w:r>
          </w:p>
        </w:tc>
        <w:tc>
          <w:tcPr>
            <w:tcW w:w="200" w:type="dxa"/>
            <w:vAlign w:val="bottom"/>
            <w:shd w:val="clear" w:color="auto" w:fill="CCEEFF"/>
          </w:tcPr>
          <w:p>
            <w:pPr>
              <w:spacing w:after="0"/>
              <w:rPr>
                <w:sz w:val="22"/>
                <w:szCs w:val="22"/>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w:t>
            </w:r>
          </w:p>
        </w:tc>
        <w:tc>
          <w:tcPr>
            <w:tcW w:w="32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140" w:type="dxa"/>
            <w:vAlign w:val="bottom"/>
            <w:tcBorders>
              <w:top w:val="single" w:sz="8" w:color="CCEEFF"/>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40" w:type="dxa"/>
            <w:vAlign w:val="bottom"/>
            <w:tcBorders>
              <w:top w:val="single" w:sz="8" w:color="CCEEFF"/>
            </w:tcBorders>
          </w:tcPr>
          <w:p>
            <w:pPr>
              <w:spacing w:after="0"/>
              <w:rPr>
                <w:sz w:val="20"/>
                <w:szCs w:val="20"/>
                <w:color w:val="auto"/>
              </w:rPr>
            </w:pPr>
          </w:p>
        </w:tc>
        <w:tc>
          <w:tcPr>
            <w:tcW w:w="80" w:type="dxa"/>
            <w:vAlign w:val="bottom"/>
            <w:tcBorders>
              <w:top w:val="single" w:sz="8" w:color="CCEEFF"/>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220" w:type="dxa"/>
            <w:vAlign w:val="bottom"/>
            <w:tcBorders>
              <w:top w:val="single" w:sz="8" w:color="CCEEFF"/>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220" w:type="dxa"/>
            <w:vAlign w:val="bottom"/>
            <w:tcBorders>
              <w:top w:val="single" w:sz="8" w:color="CCEEFF"/>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100" w:type="dxa"/>
            <w:vAlign w:val="bottom"/>
            <w:tcBorders>
              <w:top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1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940" w:type="dxa"/>
            <w:vAlign w:val="bottom"/>
            <w:shd w:val="clear" w:color="auto" w:fill="CCEEFF"/>
          </w:tcPr>
          <w:p>
            <w:pPr>
              <w:spacing w:after="0"/>
              <w:rPr>
                <w:sz w:val="21"/>
                <w:szCs w:val="21"/>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(7)</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17</w:t>
            </w:r>
          </w:p>
        </w:tc>
        <w:tc>
          <w:tcPr>
            <w:tcW w:w="200" w:type="dxa"/>
            <w:vAlign w:val="bottom"/>
            <w:shd w:val="clear" w:color="auto" w:fill="CCEEFF"/>
          </w:tcPr>
          <w:p>
            <w:pPr>
              <w:spacing w:after="0"/>
              <w:rPr>
                <w:sz w:val="21"/>
                <w:szCs w:val="21"/>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w:t>
            </w:r>
          </w:p>
        </w:tc>
        <w:tc>
          <w:tcPr>
            <w:tcW w:w="32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5140" w:type="dxa"/>
            <w:vAlign w:val="bottom"/>
            <w:tcBorders>
              <w:top w:val="single" w:sz="8" w:color="CCEEFF"/>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40" w:type="dxa"/>
            <w:vAlign w:val="bottom"/>
            <w:tcBorders>
              <w:top w:val="single" w:sz="8" w:color="CCEEFF"/>
            </w:tcBorders>
          </w:tcPr>
          <w:p>
            <w:pPr>
              <w:spacing w:after="0"/>
              <w:rPr>
                <w:sz w:val="20"/>
                <w:szCs w:val="20"/>
                <w:color w:val="auto"/>
              </w:rPr>
            </w:pPr>
          </w:p>
        </w:tc>
        <w:tc>
          <w:tcPr>
            <w:tcW w:w="80" w:type="dxa"/>
            <w:vAlign w:val="bottom"/>
            <w:tcBorders>
              <w:top w:val="single" w:sz="8" w:color="CCEEFF"/>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220" w:type="dxa"/>
            <w:vAlign w:val="bottom"/>
            <w:tcBorders>
              <w:top w:val="single" w:sz="8" w:color="CCEEFF"/>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220" w:type="dxa"/>
            <w:vAlign w:val="bottom"/>
            <w:tcBorders>
              <w:top w:val="single" w:sz="8" w:color="CCEEFF"/>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100" w:type="dxa"/>
            <w:vAlign w:val="bottom"/>
            <w:tcBorders>
              <w:top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Total from continuing operations</w:t>
            </w:r>
          </w:p>
        </w:tc>
        <w:tc>
          <w:tcPr>
            <w:tcW w:w="940" w:type="dxa"/>
            <w:vAlign w:val="bottom"/>
            <w:shd w:val="clear" w:color="auto" w:fill="CCEEFF"/>
          </w:tcPr>
          <w:p>
            <w:pPr>
              <w:spacing w:after="0"/>
              <w:rPr>
                <w:sz w:val="21"/>
                <w:szCs w:val="21"/>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732</w:t>
            </w:r>
          </w:p>
        </w:tc>
        <w:tc>
          <w:tcPr>
            <w:tcW w:w="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601</w:t>
            </w:r>
          </w:p>
        </w:tc>
        <w:tc>
          <w:tcPr>
            <w:tcW w:w="2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1,274</w:t>
            </w:r>
          </w:p>
        </w:tc>
        <w:tc>
          <w:tcPr>
            <w:tcW w:w="32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964</w:t>
            </w: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5140" w:type="dxa"/>
            <w:vAlign w:val="bottom"/>
            <w:tcBorders>
              <w:top w:val="single" w:sz="8" w:color="CCEEFF"/>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40" w:type="dxa"/>
            <w:vAlign w:val="bottom"/>
            <w:tcBorders>
              <w:top w:val="single" w:sz="8" w:color="CCEEFF"/>
            </w:tcBorders>
          </w:tcPr>
          <w:p>
            <w:pPr>
              <w:spacing w:after="0"/>
              <w:rPr>
                <w:sz w:val="20"/>
                <w:szCs w:val="20"/>
                <w:color w:val="auto"/>
              </w:rPr>
            </w:pPr>
          </w:p>
        </w:tc>
        <w:tc>
          <w:tcPr>
            <w:tcW w:w="80" w:type="dxa"/>
            <w:vAlign w:val="bottom"/>
            <w:tcBorders>
              <w:top w:val="single" w:sz="8" w:color="CCEEFF"/>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220" w:type="dxa"/>
            <w:vAlign w:val="bottom"/>
            <w:tcBorders>
              <w:top w:val="single" w:sz="8" w:color="CCEEFF"/>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220" w:type="dxa"/>
            <w:vAlign w:val="bottom"/>
            <w:tcBorders>
              <w:top w:val="single" w:sz="8" w:color="CCEEFF"/>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100" w:type="dxa"/>
            <w:vAlign w:val="bottom"/>
            <w:tcBorders>
              <w:top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Income from discontinued operations</w:t>
            </w:r>
          </w:p>
        </w:tc>
        <w:tc>
          <w:tcPr>
            <w:tcW w:w="940" w:type="dxa"/>
            <w:vAlign w:val="bottom"/>
            <w:shd w:val="clear" w:color="auto" w:fill="CCEEFF"/>
          </w:tcPr>
          <w:p>
            <w:pPr>
              <w:spacing w:after="0"/>
              <w:rPr>
                <w:sz w:val="21"/>
                <w:szCs w:val="21"/>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3"/>
              </w:rPr>
              <w:t>1,648</w:t>
            </w:r>
          </w:p>
        </w:tc>
        <w:tc>
          <w:tcPr>
            <w:tcW w:w="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44</w:t>
            </w:r>
          </w:p>
        </w:tc>
        <w:tc>
          <w:tcPr>
            <w:tcW w:w="2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1,690</w:t>
            </w:r>
          </w:p>
        </w:tc>
        <w:tc>
          <w:tcPr>
            <w:tcW w:w="32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140" w:type="dxa"/>
            <w:vAlign w:val="bottom"/>
            <w:tcBorders>
              <w:top w:val="single" w:sz="8" w:color="CCEEFF"/>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40" w:type="dxa"/>
            <w:vAlign w:val="bottom"/>
            <w:tcBorders>
              <w:top w:val="single" w:sz="8" w:color="CCEEFF"/>
            </w:tcBorders>
          </w:tcPr>
          <w:p>
            <w:pPr>
              <w:spacing w:after="0"/>
              <w:rPr>
                <w:sz w:val="20"/>
                <w:szCs w:val="20"/>
                <w:color w:val="auto"/>
              </w:rPr>
            </w:pPr>
          </w:p>
        </w:tc>
        <w:tc>
          <w:tcPr>
            <w:tcW w:w="80" w:type="dxa"/>
            <w:vAlign w:val="bottom"/>
            <w:tcBorders>
              <w:top w:val="single" w:sz="8" w:color="CCEEFF"/>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220" w:type="dxa"/>
            <w:vAlign w:val="bottom"/>
            <w:tcBorders>
              <w:top w:val="single" w:sz="8" w:color="CCEEFF"/>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220" w:type="dxa"/>
            <w:vAlign w:val="bottom"/>
            <w:tcBorders>
              <w:top w:val="single" w:sz="8" w:color="CCEEFF"/>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100" w:type="dxa"/>
            <w:vAlign w:val="bottom"/>
            <w:tcBorders>
              <w:top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Total comprehensive income</w:t>
            </w:r>
          </w:p>
        </w:tc>
        <w:tc>
          <w:tcPr>
            <w:tcW w:w="940" w:type="dxa"/>
            <w:vAlign w:val="bottom"/>
            <w:shd w:val="clear" w:color="auto" w:fill="CCEEFF"/>
          </w:tcPr>
          <w:p>
            <w:pPr>
              <w:jc w:val="right"/>
              <w:ind w:right="780"/>
              <w:spacing w:after="0"/>
              <w:rPr>
                <w:sz w:val="20"/>
                <w:szCs w:val="20"/>
                <w:color w:val="auto"/>
              </w:rPr>
            </w:pPr>
            <w:r>
              <w:rPr>
                <w:rFonts w:ascii="Arial" w:cs="Arial" w:eastAsia="Arial" w:hAnsi="Arial"/>
                <w:sz w:val="15"/>
                <w:szCs w:val="15"/>
                <w:b w:val="1"/>
                <w:bCs w:val="1"/>
                <w:color w:val="auto"/>
                <w:w w:val="71"/>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3"/>
              </w:rPr>
              <w:t>2,380</w:t>
            </w:r>
          </w:p>
        </w:tc>
        <w:tc>
          <w:tcPr>
            <w:tcW w:w="1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645</w:t>
            </w:r>
          </w:p>
        </w:tc>
        <w:tc>
          <w:tcPr>
            <w:tcW w:w="22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2,964</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7"/>
        </w:trPr>
        <w:tc>
          <w:tcPr>
            <w:tcW w:w="5160" w:type="dxa"/>
            <w:vAlign w:val="bottom"/>
            <w:gridSpan w:val="2"/>
          </w:tcPr>
          <w:p>
            <w:pPr>
              <w:spacing w:after="0"/>
              <w:rPr>
                <w:sz w:val="20"/>
                <w:szCs w:val="20"/>
                <w:color w:val="auto"/>
              </w:rPr>
            </w:pPr>
            <w:r>
              <w:rPr>
                <w:rFonts w:ascii="Arial" w:cs="Arial" w:eastAsia="Arial" w:hAnsi="Arial"/>
                <w:sz w:val="18"/>
                <w:szCs w:val="18"/>
                <w:b w:val="1"/>
                <w:bCs w:val="1"/>
                <w:color w:val="auto"/>
              </w:rPr>
              <w:t>See accompanying notes.</w:t>
            </w:r>
          </w:p>
        </w:tc>
        <w:tc>
          <w:tcPr>
            <w:tcW w:w="9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7"/>
        </w:trPr>
        <w:tc>
          <w:tcPr>
            <w:tcW w:w="20" w:type="dxa"/>
            <w:vAlign w:val="bottom"/>
          </w:tcPr>
          <w:p>
            <w:pPr>
              <w:spacing w:after="0"/>
              <w:rPr>
                <w:sz w:val="24"/>
                <w:szCs w:val="24"/>
                <w:color w:val="auto"/>
              </w:rPr>
            </w:pPr>
          </w:p>
        </w:tc>
        <w:tc>
          <w:tcPr>
            <w:tcW w:w="5140" w:type="dxa"/>
            <w:vAlign w:val="bottom"/>
          </w:tcPr>
          <w:p>
            <w:pPr>
              <w:spacing w:after="0"/>
              <w:rPr>
                <w:sz w:val="24"/>
                <w:szCs w:val="24"/>
                <w:color w:val="auto"/>
              </w:rPr>
            </w:pPr>
          </w:p>
        </w:tc>
        <w:tc>
          <w:tcPr>
            <w:tcW w:w="940" w:type="dxa"/>
            <w:vAlign w:val="bottom"/>
          </w:tcPr>
          <w:p>
            <w:pPr>
              <w:jc w:val="right"/>
              <w:ind w:right="280"/>
              <w:spacing w:after="0"/>
              <w:rPr>
                <w:sz w:val="20"/>
                <w:szCs w:val="20"/>
                <w:color w:val="auto"/>
              </w:rPr>
            </w:pPr>
            <w:r>
              <w:rPr>
                <w:rFonts w:ascii="Arial" w:cs="Arial" w:eastAsia="Arial" w:hAnsi="Arial"/>
                <w:sz w:val="14"/>
                <w:szCs w:val="14"/>
                <w:color w:val="auto"/>
              </w:rPr>
              <w:t>3</w:t>
            </w: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5140" w:type="dxa"/>
            <w:vAlign w:val="bottom"/>
            <w:tcBorders>
              <w:bottom w:val="single" w:sz="8" w:color="808080"/>
            </w:tcBorders>
          </w:tcPr>
          <w:p>
            <w:pPr>
              <w:spacing w:after="0"/>
              <w:rPr>
                <w:sz w:val="8"/>
                <w:szCs w:val="8"/>
                <w:color w:val="auto"/>
              </w:rPr>
            </w:pPr>
          </w:p>
        </w:tc>
        <w:tc>
          <w:tcPr>
            <w:tcW w:w="94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104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118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104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634"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320" w:type="dxa"/>
            <w:vAlign w:val="bottom"/>
          </w:tcPr>
          <w:p>
            <w:pPr>
              <w:ind w:left="4020"/>
              <w:spacing w:after="0"/>
              <w:rPr>
                <w:sz w:val="20"/>
                <w:szCs w:val="20"/>
                <w:color w:val="auto"/>
              </w:rPr>
            </w:pPr>
            <w:r>
              <w:rPr>
                <w:rFonts w:ascii="Arial" w:cs="Arial" w:eastAsia="Arial" w:hAnsi="Arial"/>
                <w:sz w:val="18"/>
                <w:szCs w:val="18"/>
                <w:b w:val="1"/>
                <w:bCs w:val="1"/>
                <w:color w:val="auto"/>
              </w:rPr>
              <w:t>(Millions of dollars, except share amounts)</w:t>
            </w:r>
          </w:p>
        </w:tc>
        <w:tc>
          <w:tcPr>
            <w:tcW w:w="2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22"/>
        </w:trPr>
        <w:tc>
          <w:tcPr>
            <w:tcW w:w="20" w:type="dxa"/>
            <w:vAlign w:val="bottom"/>
          </w:tcPr>
          <w:p>
            <w:pPr>
              <w:spacing w:after="0"/>
              <w:rPr>
                <w:sz w:val="24"/>
                <w:szCs w:val="24"/>
                <w:color w:val="auto"/>
              </w:rPr>
            </w:pPr>
          </w:p>
        </w:tc>
        <w:tc>
          <w:tcPr>
            <w:tcW w:w="8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4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June 30,</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93"/>
              </w:rPr>
              <w:t>December 31,</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832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2006</w:t>
            </w: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2005</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8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34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2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and cash equivalents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1,678</w:t>
            </w:r>
          </w:p>
        </w:tc>
        <w:tc>
          <w:tcPr>
            <w:tcW w:w="140" w:type="dxa"/>
            <w:vAlign w:val="bottom"/>
            <w:shd w:val="clear" w:color="auto" w:fill="CCEEFF"/>
          </w:tcPr>
          <w:p>
            <w:pPr>
              <w:spacing w:after="0"/>
              <w:rPr>
                <w:sz w:val="21"/>
                <w:szCs w:val="21"/>
                <w:color w:val="auto"/>
              </w:rPr>
            </w:pP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1,214</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320" w:type="dxa"/>
            <w:vAlign w:val="bottom"/>
          </w:tcPr>
          <w:p>
            <w:pPr>
              <w:ind w:left="160"/>
              <w:spacing w:after="0"/>
              <w:rPr>
                <w:sz w:val="20"/>
                <w:szCs w:val="20"/>
                <w:color w:val="auto"/>
              </w:rPr>
            </w:pPr>
            <w:r>
              <w:rPr>
                <w:rFonts w:ascii="Arial" w:cs="Arial" w:eastAsia="Arial" w:hAnsi="Arial"/>
                <w:sz w:val="18"/>
                <w:szCs w:val="18"/>
                <w:color w:val="auto"/>
              </w:rPr>
              <w:t>Short-term investments</w:t>
            </w:r>
          </w:p>
        </w:tc>
        <w:tc>
          <w:tcPr>
            <w:tcW w:w="2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3,992</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4,116</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Accounts receivable, net of allowances of ($28) and ($34)</w:t>
            </w:r>
          </w:p>
        </w:tc>
        <w:tc>
          <w:tcPr>
            <w:tcW w:w="28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1,929</w:t>
            </w:r>
          </w:p>
        </w:tc>
        <w:tc>
          <w:tcPr>
            <w:tcW w:w="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1,648</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320" w:type="dxa"/>
            <w:vAlign w:val="bottom"/>
          </w:tcPr>
          <w:p>
            <w:pPr>
              <w:ind w:left="160"/>
              <w:spacing w:after="0"/>
              <w:rPr>
                <w:sz w:val="20"/>
                <w:szCs w:val="20"/>
                <w:color w:val="auto"/>
              </w:rPr>
            </w:pPr>
            <w:r>
              <w:rPr>
                <w:rFonts w:ascii="Arial" w:cs="Arial" w:eastAsia="Arial" w:hAnsi="Arial"/>
                <w:sz w:val="18"/>
                <w:szCs w:val="18"/>
                <w:color w:val="auto"/>
              </w:rPr>
              <w:t>Raw materials</w:t>
            </w:r>
          </w:p>
        </w:tc>
        <w:tc>
          <w:tcPr>
            <w:tcW w:w="2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108</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Work in process</w:t>
            </w:r>
          </w:p>
        </w:tc>
        <w:tc>
          <w:tcPr>
            <w:tcW w:w="28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818</w:t>
            </w:r>
          </w:p>
        </w:tc>
        <w:tc>
          <w:tcPr>
            <w:tcW w:w="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813</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8320" w:type="dxa"/>
            <w:vAlign w:val="bottom"/>
          </w:tcPr>
          <w:p>
            <w:pPr>
              <w:ind w:left="160"/>
              <w:spacing w:after="0"/>
              <w:rPr>
                <w:sz w:val="20"/>
                <w:szCs w:val="20"/>
                <w:color w:val="auto"/>
              </w:rPr>
            </w:pPr>
            <w:r>
              <w:rPr>
                <w:rFonts w:ascii="Arial" w:cs="Arial" w:eastAsia="Arial" w:hAnsi="Arial"/>
                <w:sz w:val="18"/>
                <w:szCs w:val="18"/>
                <w:color w:val="auto"/>
              </w:rPr>
              <w:t>Finished goods</w:t>
            </w:r>
          </w:p>
        </w:tc>
        <w:tc>
          <w:tcPr>
            <w:tcW w:w="28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409</w:t>
            </w: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289</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3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Inventories</w:t>
            </w:r>
          </w:p>
        </w:tc>
        <w:tc>
          <w:tcPr>
            <w:tcW w:w="28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1,335</w:t>
            </w:r>
          </w:p>
        </w:tc>
        <w:tc>
          <w:tcPr>
            <w:tcW w:w="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1,185</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320" w:type="dxa"/>
            <w:vAlign w:val="bottom"/>
          </w:tcPr>
          <w:p>
            <w:pPr>
              <w:ind w:left="160"/>
              <w:spacing w:after="0"/>
              <w:rPr>
                <w:sz w:val="20"/>
                <w:szCs w:val="20"/>
                <w:color w:val="auto"/>
              </w:rPr>
            </w:pPr>
            <w:r>
              <w:rPr>
                <w:rFonts w:ascii="Arial" w:cs="Arial" w:eastAsia="Arial" w:hAnsi="Arial"/>
                <w:sz w:val="18"/>
                <w:szCs w:val="18"/>
                <w:color w:val="auto"/>
              </w:rPr>
              <w:t>Deferred income taxes</w:t>
            </w:r>
          </w:p>
        </w:tc>
        <w:tc>
          <w:tcPr>
            <w:tcW w:w="2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632</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619</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Prepaid expenses and other current assets</w:t>
            </w:r>
          </w:p>
        </w:tc>
        <w:tc>
          <w:tcPr>
            <w:tcW w:w="28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215</w:t>
            </w:r>
          </w:p>
        </w:tc>
        <w:tc>
          <w:tcPr>
            <w:tcW w:w="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8320" w:type="dxa"/>
            <w:vAlign w:val="bottom"/>
          </w:tcPr>
          <w:p>
            <w:pPr>
              <w:ind w:left="160"/>
              <w:spacing w:after="0"/>
              <w:rPr>
                <w:sz w:val="20"/>
                <w:szCs w:val="20"/>
                <w:color w:val="auto"/>
              </w:rPr>
            </w:pPr>
            <w:r>
              <w:rPr>
                <w:rFonts w:ascii="Arial" w:cs="Arial" w:eastAsia="Arial" w:hAnsi="Arial"/>
                <w:sz w:val="18"/>
                <w:szCs w:val="18"/>
                <w:color w:val="auto"/>
              </w:rPr>
              <w:t>Assets of discontinued operations</w:t>
            </w:r>
          </w:p>
        </w:tc>
        <w:tc>
          <w:tcPr>
            <w:tcW w:w="28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w:t>
            </w: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495</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3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current assets</w:t>
            </w:r>
          </w:p>
        </w:tc>
        <w:tc>
          <w:tcPr>
            <w:tcW w:w="28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9,792</w:t>
            </w:r>
          </w:p>
        </w:tc>
        <w:tc>
          <w:tcPr>
            <w:tcW w:w="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9,412</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8340" w:type="dxa"/>
            <w:vAlign w:val="bottom"/>
            <w:gridSpan w:val="2"/>
          </w:tcPr>
          <w:p>
            <w:pPr>
              <w:spacing w:after="0"/>
              <w:rPr>
                <w:sz w:val="20"/>
                <w:szCs w:val="20"/>
                <w:color w:val="auto"/>
              </w:rPr>
            </w:pPr>
            <w:r>
              <w:rPr>
                <w:rFonts w:ascii="Arial" w:cs="Arial" w:eastAsia="Arial" w:hAnsi="Arial"/>
                <w:sz w:val="18"/>
                <w:szCs w:val="18"/>
                <w:color w:val="auto"/>
              </w:rPr>
              <w:t>Property, plant and equipment at cost</w:t>
            </w:r>
          </w:p>
        </w:tc>
        <w:tc>
          <w:tcPr>
            <w:tcW w:w="2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8,406</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8,374</w:t>
            </w:r>
          </w:p>
        </w:tc>
        <w:tc>
          <w:tcPr>
            <w:tcW w:w="0" w:type="dxa"/>
            <w:vAlign w:val="bottom"/>
          </w:tcPr>
          <w:p>
            <w:pPr>
              <w:spacing w:after="0"/>
              <w:rPr>
                <w:sz w:val="1"/>
                <w:szCs w:val="1"/>
                <w:color w:val="auto"/>
              </w:rPr>
            </w:pPr>
          </w:p>
        </w:tc>
      </w:tr>
      <w:tr>
        <w:trPr>
          <w:trHeight w:val="275"/>
        </w:trPr>
        <w:tc>
          <w:tcPr>
            <w:tcW w:w="20" w:type="dxa"/>
            <w:vAlign w:val="bottom"/>
          </w:tcPr>
          <w:p>
            <w:pPr>
              <w:spacing w:after="0"/>
              <w:rPr>
                <w:sz w:val="23"/>
                <w:szCs w:val="23"/>
                <w:color w:val="auto"/>
              </w:rPr>
            </w:pPr>
          </w:p>
        </w:tc>
        <w:tc>
          <w:tcPr>
            <w:tcW w:w="8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Less accumulated depreciation</w:t>
            </w:r>
          </w:p>
        </w:tc>
        <w:tc>
          <w:tcPr>
            <w:tcW w:w="2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(4,422)</w:t>
            </w:r>
          </w:p>
        </w:tc>
        <w:tc>
          <w:tcPr>
            <w:tcW w:w="8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(4,644)</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32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Property, plant and equipment, net</w:t>
            </w:r>
          </w:p>
        </w:tc>
        <w:tc>
          <w:tcPr>
            <w:tcW w:w="280" w:type="dxa"/>
            <w:vAlign w:val="bottom"/>
            <w:tcBorders>
              <w:top w:val="single" w:sz="8" w:color="auto"/>
              <w:bottom w:val="single" w:sz="8" w:color="auto"/>
            </w:tcBorders>
          </w:tcPr>
          <w:p>
            <w:pPr>
              <w:spacing w:after="0"/>
              <w:rPr>
                <w:sz w:val="20"/>
                <w:szCs w:val="20"/>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3,984</w:t>
            </w:r>
          </w:p>
        </w:tc>
        <w:tc>
          <w:tcPr>
            <w:tcW w:w="140" w:type="dxa"/>
            <w:vAlign w:val="bottom"/>
            <w:tcBorders>
              <w:top w:val="single" w:sz="8" w:color="CCEEFF"/>
            </w:tcBorders>
          </w:tcPr>
          <w:p>
            <w:pPr>
              <w:spacing w:after="0"/>
              <w:rPr>
                <w:sz w:val="20"/>
                <w:szCs w:val="20"/>
                <w:color w:val="auto"/>
              </w:rPr>
            </w:pPr>
          </w:p>
        </w:tc>
        <w:tc>
          <w:tcPr>
            <w:tcW w:w="80" w:type="dxa"/>
            <w:vAlign w:val="bottom"/>
            <w:tcBorders>
              <w:top w:val="single" w:sz="8" w:color="CCEEFF"/>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3,730</w:t>
            </w:r>
          </w:p>
        </w:tc>
        <w:tc>
          <w:tcPr>
            <w:tcW w:w="100" w:type="dxa"/>
            <w:vAlign w:val="bottom"/>
            <w:tcBorders>
              <w:top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Equity and debt investments</w:t>
            </w:r>
          </w:p>
        </w:tc>
        <w:tc>
          <w:tcPr>
            <w:tcW w:w="28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253</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236</w:t>
            </w:r>
          </w:p>
        </w:tc>
        <w:tc>
          <w:tcPr>
            <w:tcW w:w="0" w:type="dxa"/>
            <w:vAlign w:val="bottom"/>
          </w:tcPr>
          <w:p>
            <w:pPr>
              <w:spacing w:after="0"/>
              <w:rPr>
                <w:sz w:val="1"/>
                <w:szCs w:val="1"/>
                <w:color w:val="auto"/>
              </w:rPr>
            </w:pPr>
          </w:p>
        </w:tc>
      </w:tr>
      <w:tr>
        <w:trPr>
          <w:trHeight w:val="243"/>
        </w:trPr>
        <w:tc>
          <w:tcPr>
            <w:tcW w:w="8340" w:type="dxa"/>
            <w:vAlign w:val="bottom"/>
            <w:gridSpan w:val="2"/>
          </w:tcPr>
          <w:p>
            <w:pPr>
              <w:spacing w:after="0"/>
              <w:rPr>
                <w:sz w:val="20"/>
                <w:szCs w:val="20"/>
                <w:color w:val="auto"/>
              </w:rPr>
            </w:pPr>
            <w:r>
              <w:rPr>
                <w:rFonts w:ascii="Arial" w:cs="Arial" w:eastAsia="Arial" w:hAnsi="Arial"/>
                <w:sz w:val="18"/>
                <w:szCs w:val="18"/>
                <w:color w:val="auto"/>
              </w:rPr>
              <w:t>Goodwill</w:t>
            </w:r>
          </w:p>
        </w:tc>
        <w:tc>
          <w:tcPr>
            <w:tcW w:w="2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792</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677</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Acquisition-related intangibles</w:t>
            </w:r>
          </w:p>
        </w:tc>
        <w:tc>
          <w:tcPr>
            <w:tcW w:w="28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117</w:t>
            </w:r>
          </w:p>
        </w:tc>
        <w:tc>
          <w:tcPr>
            <w:tcW w:w="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43"/>
        </w:trPr>
        <w:tc>
          <w:tcPr>
            <w:tcW w:w="8340" w:type="dxa"/>
            <w:vAlign w:val="bottom"/>
            <w:gridSpan w:val="2"/>
          </w:tcPr>
          <w:p>
            <w:pPr>
              <w:spacing w:after="0"/>
              <w:rPr>
                <w:sz w:val="20"/>
                <w:szCs w:val="20"/>
                <w:color w:val="auto"/>
              </w:rPr>
            </w:pPr>
            <w:r>
              <w:rPr>
                <w:rFonts w:ascii="Arial" w:cs="Arial" w:eastAsia="Arial" w:hAnsi="Arial"/>
                <w:sz w:val="18"/>
                <w:szCs w:val="18"/>
                <w:color w:val="auto"/>
              </w:rPr>
              <w:t>Deferred income taxes</w:t>
            </w:r>
          </w:p>
        </w:tc>
        <w:tc>
          <w:tcPr>
            <w:tcW w:w="2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428</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393</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Capitalized software licenses, net</w:t>
            </w:r>
          </w:p>
        </w:tc>
        <w:tc>
          <w:tcPr>
            <w:tcW w:w="28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197</w:t>
            </w:r>
          </w:p>
        </w:tc>
        <w:tc>
          <w:tcPr>
            <w:tcW w:w="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243</w:t>
            </w:r>
          </w:p>
        </w:tc>
        <w:tc>
          <w:tcPr>
            <w:tcW w:w="0" w:type="dxa"/>
            <w:vAlign w:val="bottom"/>
          </w:tcPr>
          <w:p>
            <w:pPr>
              <w:spacing w:after="0"/>
              <w:rPr>
                <w:sz w:val="1"/>
                <w:szCs w:val="1"/>
                <w:color w:val="auto"/>
              </w:rPr>
            </w:pPr>
          </w:p>
        </w:tc>
      </w:tr>
      <w:tr>
        <w:trPr>
          <w:trHeight w:val="243"/>
        </w:trPr>
        <w:tc>
          <w:tcPr>
            <w:tcW w:w="8340" w:type="dxa"/>
            <w:vAlign w:val="bottom"/>
            <w:gridSpan w:val="2"/>
          </w:tcPr>
          <w:p>
            <w:pPr>
              <w:spacing w:after="0"/>
              <w:rPr>
                <w:sz w:val="20"/>
                <w:szCs w:val="20"/>
                <w:color w:val="auto"/>
              </w:rPr>
            </w:pPr>
            <w:r>
              <w:rPr>
                <w:rFonts w:ascii="Arial" w:cs="Arial" w:eastAsia="Arial" w:hAnsi="Arial"/>
                <w:sz w:val="18"/>
                <w:szCs w:val="18"/>
                <w:color w:val="auto"/>
              </w:rPr>
              <w:t>Prepaid retirement costs</w:t>
            </w:r>
          </w:p>
        </w:tc>
        <w:tc>
          <w:tcPr>
            <w:tcW w:w="2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219</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assets</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146</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2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34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280" w:type="dxa"/>
            <w:vAlign w:val="bottom"/>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15,928</w:t>
            </w:r>
          </w:p>
        </w:tc>
        <w:tc>
          <w:tcPr>
            <w:tcW w:w="140" w:type="dxa"/>
            <w:vAlign w:val="bottom"/>
          </w:tcPr>
          <w:p>
            <w:pPr>
              <w:spacing w:after="0"/>
              <w:rPr>
                <w:sz w:val="20"/>
                <w:szCs w:val="20"/>
                <w:color w:val="auto"/>
              </w:rPr>
            </w:pP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15,063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0" w:type="dxa"/>
            <w:vAlign w:val="bottom"/>
          </w:tcPr>
          <w:p>
            <w:pPr>
              <w:spacing w:after="0"/>
              <w:rPr>
                <w:sz w:val="19"/>
                <w:szCs w:val="19"/>
                <w:color w:val="auto"/>
              </w:rPr>
            </w:pPr>
          </w:p>
        </w:tc>
        <w:tc>
          <w:tcPr>
            <w:tcW w:w="83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8340" w:type="dxa"/>
            <w:vAlign w:val="bottom"/>
            <w:gridSpan w:val="2"/>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2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8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320" w:type="dxa"/>
            <w:vAlign w:val="bottom"/>
          </w:tcPr>
          <w:p>
            <w:pPr>
              <w:ind w:left="160"/>
              <w:spacing w:after="0"/>
              <w:rPr>
                <w:sz w:val="20"/>
                <w:szCs w:val="20"/>
                <w:color w:val="auto"/>
              </w:rPr>
            </w:pPr>
            <w:r>
              <w:rPr>
                <w:rFonts w:ascii="Arial" w:cs="Arial" w:eastAsia="Arial" w:hAnsi="Arial"/>
                <w:sz w:val="18"/>
                <w:szCs w:val="18"/>
                <w:color w:val="auto"/>
              </w:rPr>
              <w:t>Loans payable and current portion of long-term debt</w:t>
            </w:r>
          </w:p>
        </w:tc>
        <w:tc>
          <w:tcPr>
            <w:tcW w:w="280" w:type="dxa"/>
            <w:vAlign w:val="bottom"/>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43</w:t>
            </w:r>
          </w:p>
        </w:tc>
        <w:tc>
          <w:tcPr>
            <w:tcW w:w="140" w:type="dxa"/>
            <w:vAlign w:val="bottom"/>
          </w:tcPr>
          <w:p>
            <w:pPr>
              <w:spacing w:after="0"/>
              <w:rPr>
                <w:sz w:val="21"/>
                <w:szCs w:val="21"/>
                <w:color w:val="auto"/>
              </w:rPr>
            </w:pP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301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Accounts payable</w:t>
            </w:r>
          </w:p>
        </w:tc>
        <w:tc>
          <w:tcPr>
            <w:tcW w:w="28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788</w:t>
            </w:r>
          </w:p>
        </w:tc>
        <w:tc>
          <w:tcPr>
            <w:tcW w:w="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702</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320" w:type="dxa"/>
            <w:vAlign w:val="bottom"/>
          </w:tcPr>
          <w:p>
            <w:pPr>
              <w:ind w:left="160"/>
              <w:spacing w:after="0"/>
              <w:rPr>
                <w:sz w:val="20"/>
                <w:szCs w:val="20"/>
                <w:color w:val="auto"/>
              </w:rPr>
            </w:pPr>
            <w:r>
              <w:rPr>
                <w:rFonts w:ascii="Arial" w:cs="Arial" w:eastAsia="Arial" w:hAnsi="Arial"/>
                <w:sz w:val="18"/>
                <w:szCs w:val="18"/>
                <w:color w:val="auto"/>
              </w:rPr>
              <w:t>Accrued expenses and other liabilities</w:t>
            </w:r>
          </w:p>
        </w:tc>
        <w:tc>
          <w:tcPr>
            <w:tcW w:w="2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994</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948</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Income taxes payable</w:t>
            </w:r>
          </w:p>
        </w:tc>
        <w:tc>
          <w:tcPr>
            <w:tcW w:w="28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870</w:t>
            </w:r>
          </w:p>
        </w:tc>
        <w:tc>
          <w:tcPr>
            <w:tcW w:w="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320" w:type="dxa"/>
            <w:vAlign w:val="bottom"/>
          </w:tcPr>
          <w:p>
            <w:pPr>
              <w:ind w:left="160"/>
              <w:spacing w:after="0"/>
              <w:rPr>
                <w:sz w:val="20"/>
                <w:szCs w:val="20"/>
                <w:color w:val="auto"/>
              </w:rPr>
            </w:pPr>
            <w:r>
              <w:rPr>
                <w:rFonts w:ascii="Arial" w:cs="Arial" w:eastAsia="Arial" w:hAnsi="Arial"/>
                <w:sz w:val="18"/>
                <w:szCs w:val="18"/>
                <w:color w:val="auto"/>
              </w:rPr>
              <w:t>Accrued profit sharing and retirement</w:t>
            </w:r>
          </w:p>
        </w:tc>
        <w:tc>
          <w:tcPr>
            <w:tcW w:w="2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77</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75"/>
        </w:trPr>
        <w:tc>
          <w:tcPr>
            <w:tcW w:w="20" w:type="dxa"/>
            <w:vAlign w:val="bottom"/>
          </w:tcPr>
          <w:p>
            <w:pPr>
              <w:spacing w:after="0"/>
              <w:rPr>
                <w:sz w:val="23"/>
                <w:szCs w:val="23"/>
                <w:color w:val="auto"/>
              </w:rPr>
            </w:pPr>
          </w:p>
        </w:tc>
        <w:tc>
          <w:tcPr>
            <w:tcW w:w="83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Liabilities of discontinued operations</w:t>
            </w:r>
          </w:p>
        </w:tc>
        <w:tc>
          <w:tcPr>
            <w:tcW w:w="2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11</w:t>
            </w:r>
          </w:p>
        </w:tc>
        <w:tc>
          <w:tcPr>
            <w:tcW w:w="8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320" w:type="dxa"/>
            <w:vAlign w:val="bottom"/>
            <w:tcBorders>
              <w:top w:val="single" w:sz="8" w:color="CCEEFF"/>
            </w:tcBorders>
          </w:tcPr>
          <w:p>
            <w:pPr>
              <w:ind w:left="160"/>
              <w:spacing w:after="0"/>
              <w:rPr>
                <w:sz w:val="20"/>
                <w:szCs w:val="20"/>
                <w:color w:val="auto"/>
              </w:rPr>
            </w:pPr>
            <w:r>
              <w:rPr>
                <w:rFonts w:ascii="Arial" w:cs="Arial" w:eastAsia="Arial" w:hAnsi="Arial"/>
                <w:sz w:val="18"/>
                <w:szCs w:val="18"/>
                <w:color w:val="auto"/>
              </w:rPr>
              <w:t>Total current liabilities</w:t>
            </w:r>
          </w:p>
        </w:tc>
        <w:tc>
          <w:tcPr>
            <w:tcW w:w="280" w:type="dxa"/>
            <w:vAlign w:val="bottom"/>
            <w:tcBorders>
              <w:top w:val="single" w:sz="8" w:color="auto"/>
              <w:bottom w:val="single" w:sz="8" w:color="auto"/>
            </w:tcBorders>
          </w:tcPr>
          <w:p>
            <w:pPr>
              <w:spacing w:after="0"/>
              <w:rPr>
                <w:sz w:val="20"/>
                <w:szCs w:val="20"/>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2,783</w:t>
            </w:r>
          </w:p>
        </w:tc>
        <w:tc>
          <w:tcPr>
            <w:tcW w:w="140" w:type="dxa"/>
            <w:vAlign w:val="bottom"/>
            <w:tcBorders>
              <w:top w:val="single" w:sz="8" w:color="CCEEFF"/>
            </w:tcBorders>
          </w:tcPr>
          <w:p>
            <w:pPr>
              <w:spacing w:after="0"/>
              <w:rPr>
                <w:sz w:val="20"/>
                <w:szCs w:val="20"/>
                <w:color w:val="auto"/>
              </w:rPr>
            </w:pPr>
          </w:p>
        </w:tc>
        <w:tc>
          <w:tcPr>
            <w:tcW w:w="80" w:type="dxa"/>
            <w:vAlign w:val="bottom"/>
            <w:tcBorders>
              <w:top w:val="single" w:sz="8" w:color="CCEEFF"/>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2,377</w:t>
            </w:r>
          </w:p>
        </w:tc>
        <w:tc>
          <w:tcPr>
            <w:tcW w:w="100" w:type="dxa"/>
            <w:vAlign w:val="bottom"/>
            <w:tcBorders>
              <w:top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Long-term debt</w:t>
            </w:r>
          </w:p>
        </w:tc>
        <w:tc>
          <w:tcPr>
            <w:tcW w:w="28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329</w:t>
            </w:r>
          </w:p>
        </w:tc>
        <w:tc>
          <w:tcPr>
            <w:tcW w:w="0" w:type="dxa"/>
            <w:vAlign w:val="bottom"/>
          </w:tcPr>
          <w:p>
            <w:pPr>
              <w:spacing w:after="0"/>
              <w:rPr>
                <w:sz w:val="1"/>
                <w:szCs w:val="1"/>
                <w:color w:val="auto"/>
              </w:rPr>
            </w:pPr>
          </w:p>
        </w:tc>
      </w:tr>
      <w:tr>
        <w:trPr>
          <w:trHeight w:val="243"/>
        </w:trPr>
        <w:tc>
          <w:tcPr>
            <w:tcW w:w="8340" w:type="dxa"/>
            <w:vAlign w:val="bottom"/>
            <w:gridSpan w:val="2"/>
          </w:tcPr>
          <w:p>
            <w:pPr>
              <w:spacing w:after="0"/>
              <w:rPr>
                <w:sz w:val="20"/>
                <w:szCs w:val="20"/>
                <w:color w:val="auto"/>
              </w:rPr>
            </w:pPr>
            <w:r>
              <w:rPr>
                <w:rFonts w:ascii="Arial" w:cs="Arial" w:eastAsia="Arial" w:hAnsi="Arial"/>
                <w:sz w:val="18"/>
                <w:szCs w:val="18"/>
                <w:color w:val="auto"/>
              </w:rPr>
              <w:t>Accrued retirement costs</w:t>
            </w:r>
          </w:p>
        </w:tc>
        <w:tc>
          <w:tcPr>
            <w:tcW w:w="2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103</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28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w:t>
            </w:r>
          </w:p>
        </w:tc>
        <w:tc>
          <w:tcPr>
            <w:tcW w:w="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70"/>
        </w:trPr>
        <w:tc>
          <w:tcPr>
            <w:tcW w:w="8340" w:type="dxa"/>
            <w:vAlign w:val="bottom"/>
            <w:gridSpan w:val="2"/>
          </w:tcPr>
          <w:p>
            <w:pPr>
              <w:spacing w:after="0"/>
              <w:rPr>
                <w:sz w:val="20"/>
                <w:szCs w:val="20"/>
                <w:color w:val="auto"/>
              </w:rPr>
            </w:pPr>
            <w:r>
              <w:rPr>
                <w:rFonts w:ascii="Arial" w:cs="Arial" w:eastAsia="Arial" w:hAnsi="Arial"/>
                <w:sz w:val="18"/>
                <w:szCs w:val="18"/>
                <w:color w:val="auto"/>
              </w:rPr>
              <w:t>Deferred credits and other liabilities</w:t>
            </w:r>
          </w:p>
        </w:tc>
        <w:tc>
          <w:tcPr>
            <w:tcW w:w="28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239</w:t>
            </w: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261</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28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3,140</w:t>
            </w:r>
          </w:p>
        </w:tc>
        <w:tc>
          <w:tcPr>
            <w:tcW w:w="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3,126</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8340" w:type="dxa"/>
            <w:vAlign w:val="bottom"/>
            <w:gridSpan w:val="2"/>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28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320" w:type="dxa"/>
            <w:vAlign w:val="bottom"/>
          </w:tcPr>
          <w:p>
            <w:pPr>
              <w:ind w:left="160"/>
              <w:spacing w:after="0" w:line="201" w:lineRule="exact"/>
              <w:rPr>
                <w:sz w:val="20"/>
                <w:szCs w:val="20"/>
                <w:color w:val="auto"/>
              </w:rPr>
            </w:pPr>
            <w:r>
              <w:rPr>
                <w:rFonts w:ascii="Arial" w:cs="Arial" w:eastAsia="Arial" w:hAnsi="Arial"/>
                <w:sz w:val="18"/>
                <w:szCs w:val="18"/>
                <w:color w:val="auto"/>
              </w:rPr>
              <w:t>Preferred stock, $25 par value. Authorized - 10,000,000 shares.</w:t>
            </w:r>
          </w:p>
        </w:tc>
        <w:tc>
          <w:tcPr>
            <w:tcW w:w="280" w:type="dxa"/>
            <w:vAlign w:val="bottom"/>
          </w:tcPr>
          <w:p>
            <w:pPr>
              <w:spacing w:after="0"/>
              <w:rPr>
                <w:sz w:val="17"/>
                <w:szCs w:val="17"/>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320" w:type="dxa"/>
            <w:vAlign w:val="bottom"/>
          </w:tcPr>
          <w:p>
            <w:pPr>
              <w:ind w:left="320"/>
              <w:spacing w:after="0"/>
              <w:rPr>
                <w:sz w:val="20"/>
                <w:szCs w:val="20"/>
                <w:color w:val="auto"/>
              </w:rPr>
            </w:pPr>
            <w:r>
              <w:rPr>
                <w:rFonts w:ascii="Arial" w:cs="Arial" w:eastAsia="Arial" w:hAnsi="Arial"/>
                <w:sz w:val="18"/>
                <w:szCs w:val="18"/>
                <w:color w:val="auto"/>
              </w:rPr>
              <w:t>Participating cumulative preferred. None issued.</w:t>
            </w:r>
          </w:p>
        </w:tc>
        <w:tc>
          <w:tcPr>
            <w:tcW w:w="280" w:type="dxa"/>
            <w:vAlign w:val="bottom"/>
          </w:tcPr>
          <w:p>
            <w:pPr>
              <w:spacing w:after="0"/>
              <w:rPr>
                <w:sz w:val="20"/>
                <w:szCs w:val="20"/>
                <w:color w:val="auto"/>
              </w:rPr>
            </w:pPr>
          </w:p>
        </w:tc>
        <w:tc>
          <w:tcPr>
            <w:tcW w:w="110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32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Common stock, $1 par value. Authorized - 2,400,000,000 shares.</w:t>
            </w:r>
          </w:p>
        </w:tc>
        <w:tc>
          <w:tcPr>
            <w:tcW w:w="280" w:type="dxa"/>
            <w:vAlign w:val="bottom"/>
            <w:shd w:val="clear" w:color="auto" w:fill="CCEEFF"/>
          </w:tcPr>
          <w:p>
            <w:pPr>
              <w:spacing w:after="0"/>
              <w:rPr>
                <w:sz w:val="17"/>
                <w:szCs w:val="17"/>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1,739</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Shares issued: 2006 - 1,739,086,194; 2005 - 1,738,780,512</w:t>
            </w:r>
          </w:p>
        </w:tc>
        <w:tc>
          <w:tcPr>
            <w:tcW w:w="280" w:type="dxa"/>
            <w:vAlign w:val="bottom"/>
            <w:shd w:val="clear" w:color="auto" w:fill="CCEEFF"/>
          </w:tcPr>
          <w:p>
            <w:pPr>
              <w:spacing w:after="0"/>
              <w:rPr>
                <w:sz w:val="20"/>
                <w:szCs w:val="20"/>
                <w:color w:val="auto"/>
              </w:rPr>
            </w:pPr>
          </w:p>
        </w:tc>
        <w:tc>
          <w:tcPr>
            <w:tcW w:w="1100" w:type="dxa"/>
            <w:vAlign w:val="bottom"/>
            <w:vMerge w:val="continue"/>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1,739</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320" w:type="dxa"/>
            <w:vAlign w:val="bottom"/>
          </w:tcPr>
          <w:p>
            <w:pPr>
              <w:ind w:left="160"/>
              <w:spacing w:after="0"/>
              <w:rPr>
                <w:sz w:val="20"/>
                <w:szCs w:val="20"/>
                <w:color w:val="auto"/>
              </w:rPr>
            </w:pPr>
            <w:r>
              <w:rPr>
                <w:rFonts w:ascii="Arial" w:cs="Arial" w:eastAsia="Arial" w:hAnsi="Arial"/>
                <w:sz w:val="18"/>
                <w:szCs w:val="18"/>
                <w:color w:val="auto"/>
              </w:rPr>
              <w:t>Paid-in capital</w:t>
            </w:r>
          </w:p>
        </w:tc>
        <w:tc>
          <w:tcPr>
            <w:tcW w:w="2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779</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742</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Retained earnings</w:t>
            </w:r>
          </w:p>
        </w:tc>
        <w:tc>
          <w:tcPr>
            <w:tcW w:w="28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16,271</w:t>
            </w:r>
          </w:p>
        </w:tc>
        <w:tc>
          <w:tcPr>
            <w:tcW w:w="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13,394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320" w:type="dxa"/>
            <w:vAlign w:val="bottom"/>
          </w:tcPr>
          <w:p>
            <w:pPr>
              <w:ind w:left="160"/>
              <w:spacing w:after="0" w:line="201" w:lineRule="exact"/>
              <w:rPr>
                <w:sz w:val="20"/>
                <w:szCs w:val="20"/>
                <w:color w:val="auto"/>
              </w:rPr>
            </w:pPr>
            <w:r>
              <w:rPr>
                <w:rFonts w:ascii="Arial" w:cs="Arial" w:eastAsia="Arial" w:hAnsi="Arial"/>
                <w:sz w:val="18"/>
                <w:szCs w:val="18"/>
                <w:color w:val="auto"/>
              </w:rPr>
              <w:t>Less treasury common stock at cost:</w:t>
            </w:r>
          </w:p>
        </w:tc>
        <w:tc>
          <w:tcPr>
            <w:tcW w:w="280" w:type="dxa"/>
            <w:vAlign w:val="bottom"/>
          </w:tcPr>
          <w:p>
            <w:pPr>
              <w:spacing w:after="0"/>
              <w:rPr>
                <w:sz w:val="17"/>
                <w:szCs w:val="17"/>
                <w:color w:val="auto"/>
              </w:rPr>
            </w:pPr>
          </w:p>
        </w:tc>
        <w:tc>
          <w:tcPr>
            <w:tcW w:w="1240" w:type="dxa"/>
            <w:vAlign w:val="bottom"/>
            <w:gridSpan w:val="2"/>
            <w:vMerge w:val="restart"/>
          </w:tcPr>
          <w:p>
            <w:pPr>
              <w:jc w:val="right"/>
              <w:ind w:right="80"/>
              <w:spacing w:after="0"/>
              <w:rPr>
                <w:sz w:val="20"/>
                <w:szCs w:val="20"/>
                <w:color w:val="auto"/>
              </w:rPr>
            </w:pPr>
            <w:r>
              <w:rPr>
                <w:rFonts w:ascii="Arial" w:cs="Arial" w:eastAsia="Arial" w:hAnsi="Arial"/>
                <w:sz w:val="18"/>
                <w:szCs w:val="18"/>
                <w:b w:val="1"/>
                <w:bCs w:val="1"/>
                <w:color w:val="auto"/>
              </w:rPr>
              <w:t>(5,911)</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320" w:type="dxa"/>
            <w:vAlign w:val="bottom"/>
          </w:tcPr>
          <w:p>
            <w:pPr>
              <w:ind w:left="320"/>
              <w:spacing w:after="0"/>
              <w:rPr>
                <w:sz w:val="20"/>
                <w:szCs w:val="20"/>
                <w:color w:val="auto"/>
              </w:rPr>
            </w:pPr>
            <w:r>
              <w:rPr>
                <w:rFonts w:ascii="Arial" w:cs="Arial" w:eastAsia="Arial" w:hAnsi="Arial"/>
                <w:sz w:val="18"/>
                <w:szCs w:val="18"/>
                <w:color w:val="auto"/>
              </w:rPr>
              <w:t>Shares: 2006 - 206,501,103; 2005 - 142,190,707</w:t>
            </w:r>
          </w:p>
        </w:tc>
        <w:tc>
          <w:tcPr>
            <w:tcW w:w="280" w:type="dxa"/>
            <w:vAlign w:val="bottom"/>
          </w:tcPr>
          <w:p>
            <w:pPr>
              <w:spacing w:after="0"/>
              <w:rPr>
                <w:sz w:val="20"/>
                <w:szCs w:val="20"/>
                <w:color w:val="auto"/>
              </w:rPr>
            </w:pPr>
          </w:p>
        </w:tc>
        <w:tc>
          <w:tcPr>
            <w:tcW w:w="1240" w:type="dxa"/>
            <w:vAlign w:val="bottom"/>
            <w:gridSpan w:val="2"/>
            <w:vMerge w:val="continue"/>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(3,856)</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Accumulated other comprehensive income (loss), net of tax:</w:t>
            </w:r>
          </w:p>
        </w:tc>
        <w:tc>
          <w:tcPr>
            <w:tcW w:w="28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320" w:type="dxa"/>
            <w:vAlign w:val="bottom"/>
          </w:tcPr>
          <w:p>
            <w:pPr>
              <w:ind w:left="320"/>
              <w:spacing w:after="0"/>
              <w:rPr>
                <w:sz w:val="20"/>
                <w:szCs w:val="20"/>
                <w:color w:val="auto"/>
              </w:rPr>
            </w:pPr>
            <w:r>
              <w:rPr>
                <w:rFonts w:ascii="Arial" w:cs="Arial" w:eastAsia="Arial" w:hAnsi="Arial"/>
                <w:sz w:val="18"/>
                <w:szCs w:val="18"/>
                <w:color w:val="auto"/>
              </w:rPr>
              <w:t>Minimum pension liability</w:t>
            </w:r>
          </w:p>
        </w:tc>
        <w:tc>
          <w:tcPr>
            <w:tcW w:w="280" w:type="dxa"/>
            <w:vAlign w:val="bottom"/>
          </w:tcPr>
          <w:p>
            <w:pPr>
              <w:spacing w:after="0"/>
              <w:rPr>
                <w:sz w:val="21"/>
                <w:szCs w:val="21"/>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(66)</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Unrealized gains (losses) on available-for-sale investments</w:t>
            </w:r>
          </w:p>
        </w:tc>
        <w:tc>
          <w:tcPr>
            <w:tcW w:w="28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(23)</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8320" w:type="dxa"/>
            <w:vAlign w:val="bottom"/>
          </w:tcPr>
          <w:p>
            <w:pPr>
              <w:ind w:left="160"/>
              <w:spacing w:after="0"/>
              <w:rPr>
                <w:sz w:val="20"/>
                <w:szCs w:val="20"/>
                <w:color w:val="auto"/>
              </w:rPr>
            </w:pPr>
            <w:r>
              <w:rPr>
                <w:rFonts w:ascii="Arial" w:cs="Arial" w:eastAsia="Arial" w:hAnsi="Arial"/>
                <w:sz w:val="18"/>
                <w:szCs w:val="18"/>
                <w:color w:val="auto"/>
              </w:rPr>
              <w:t>Unearned compensation</w:t>
            </w:r>
          </w:p>
        </w:tc>
        <w:tc>
          <w:tcPr>
            <w:tcW w:w="280" w:type="dxa"/>
            <w:vAlign w:val="bottom"/>
          </w:tcPr>
          <w:p>
            <w:pPr>
              <w:spacing w:after="0"/>
              <w:rPr>
                <w:sz w:val="23"/>
                <w:szCs w:val="23"/>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(1)</w:t>
            </w: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3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stockholders’ equity</w:t>
            </w:r>
          </w:p>
        </w:tc>
        <w:tc>
          <w:tcPr>
            <w:tcW w:w="280" w:type="dxa"/>
            <w:vAlign w:val="bottom"/>
            <w:tcBorders>
              <w:top w:val="single" w:sz="8" w:color="auto"/>
              <w:bottom w:val="single" w:sz="8" w:color="auto"/>
            </w:tcBorders>
            <w:shd w:val="clear" w:color="auto" w:fill="CCEEFF"/>
          </w:tcPr>
          <w:p>
            <w:pPr>
              <w:spacing w:after="0"/>
              <w:rPr>
                <w:sz w:val="20"/>
                <w:szCs w:val="20"/>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12,788</w:t>
            </w:r>
          </w:p>
        </w:tc>
        <w:tc>
          <w:tcPr>
            <w:tcW w:w="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11,937</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8340" w:type="dxa"/>
            <w:vAlign w:val="bottom"/>
            <w:gridSpan w:val="2"/>
          </w:tcPr>
          <w:p>
            <w:pPr>
              <w:spacing w:after="0"/>
              <w:rPr>
                <w:sz w:val="20"/>
                <w:szCs w:val="20"/>
                <w:color w:val="auto"/>
              </w:rPr>
            </w:pPr>
            <w:r>
              <w:rPr>
                <w:rFonts w:ascii="Arial" w:cs="Arial" w:eastAsia="Arial" w:hAnsi="Arial"/>
                <w:sz w:val="18"/>
                <w:szCs w:val="18"/>
                <w:color w:val="auto"/>
              </w:rPr>
              <w:t>Total liabilities and stockholders’ equity</w:t>
            </w:r>
          </w:p>
        </w:tc>
        <w:tc>
          <w:tcPr>
            <w:tcW w:w="280" w:type="dxa"/>
            <w:vAlign w:val="bottom"/>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15,928</w:t>
            </w:r>
          </w:p>
        </w:tc>
        <w:tc>
          <w:tcPr>
            <w:tcW w:w="140" w:type="dxa"/>
            <w:vAlign w:val="bottom"/>
          </w:tcPr>
          <w:p>
            <w:pPr>
              <w:spacing w:after="0"/>
              <w:rPr>
                <w:sz w:val="20"/>
                <w:szCs w:val="20"/>
                <w:color w:val="auto"/>
              </w:rPr>
            </w:pP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15,063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See accompanying notes.</w:t>
      </w:r>
    </w:p>
    <w:p>
      <w:pPr>
        <w:sectPr>
          <w:pgSz w:w="11900" w:h="16838" w:orient="portrait"/>
          <w:cols w:equalWidth="0" w:num="1">
            <w:col w:w="11420"/>
          </w:cols>
          <w:pgMar w:left="240" w:top="364" w:right="239" w:bottom="0" w:gutter="0" w:footer="0" w:header="0"/>
        </w:sect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108585</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4" w:right="239" w:bottom="0" w:gutter="0" w:footer="0" w:header="0"/>
          <w:type w:val="continuous"/>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320" w:type="dxa"/>
            <w:vAlign w:val="bottom"/>
          </w:tcPr>
          <w:p>
            <w:pPr>
              <w:ind w:left="4880"/>
              <w:spacing w:after="0"/>
              <w:rPr>
                <w:sz w:val="20"/>
                <w:szCs w:val="20"/>
                <w:color w:val="auto"/>
              </w:rPr>
            </w:pPr>
            <w:r>
              <w:rPr>
                <w:rFonts w:ascii="Arial" w:cs="Arial" w:eastAsia="Arial" w:hAnsi="Arial"/>
                <w:sz w:val="18"/>
                <w:szCs w:val="18"/>
                <w:b w:val="1"/>
                <w:bCs w:val="1"/>
                <w:color w:val="auto"/>
              </w:rPr>
              <w:t>(Millions of dollars)</w:t>
            </w: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2"/>
        </w:trPr>
        <w:tc>
          <w:tcPr>
            <w:tcW w:w="20" w:type="dxa"/>
            <w:vAlign w:val="bottom"/>
          </w:tcPr>
          <w:p>
            <w:pPr>
              <w:spacing w:after="0"/>
              <w:rPr>
                <w:sz w:val="23"/>
                <w:szCs w:val="23"/>
                <w:color w:val="auto"/>
              </w:rPr>
            </w:pPr>
          </w:p>
        </w:tc>
        <w:tc>
          <w:tcPr>
            <w:tcW w:w="832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2840" w:type="dxa"/>
            <w:vAlign w:val="bottom"/>
            <w:tcBorders>
              <w:bottom w:val="single" w:sz="8" w:color="auto"/>
            </w:tcBorders>
            <w:gridSpan w:val="6"/>
          </w:tcPr>
          <w:p>
            <w:pPr>
              <w:jc w:val="right"/>
              <w:ind w:right="280"/>
              <w:spacing w:after="0"/>
              <w:rPr>
                <w:sz w:val="20"/>
                <w:szCs w:val="20"/>
                <w:color w:val="auto"/>
              </w:rPr>
            </w:pPr>
            <w:r>
              <w:rPr>
                <w:rFonts w:ascii="Arial" w:cs="Arial" w:eastAsia="Arial" w:hAnsi="Arial"/>
                <w:sz w:val="18"/>
                <w:szCs w:val="18"/>
                <w:b w:val="1"/>
                <w:bCs w:val="1"/>
                <w:color w:val="auto"/>
                <w:w w:val="95"/>
              </w:rPr>
              <w:t>For Six Months Ended June 30,</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832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2006</w:t>
            </w: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2005</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320" w:type="dxa"/>
            <w:vAlign w:val="bottom"/>
          </w:tcPr>
          <w:p>
            <w:pPr>
              <w:ind w:left="160"/>
              <w:spacing w:after="0"/>
              <w:rPr>
                <w:sz w:val="20"/>
                <w:szCs w:val="20"/>
                <w:color w:val="auto"/>
              </w:rPr>
            </w:pPr>
            <w:r>
              <w:rPr>
                <w:rFonts w:ascii="Arial" w:cs="Arial" w:eastAsia="Arial" w:hAnsi="Arial"/>
                <w:sz w:val="18"/>
                <w:szCs w:val="18"/>
                <w:color w:val="auto"/>
              </w:rPr>
              <w:t>Net income</w:t>
            </w:r>
          </w:p>
        </w:tc>
        <w:tc>
          <w:tcPr>
            <w:tcW w:w="240" w:type="dxa"/>
            <w:vAlign w:val="bottom"/>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2,972</w:t>
            </w:r>
          </w:p>
        </w:tc>
        <w:tc>
          <w:tcPr>
            <w:tcW w:w="140" w:type="dxa"/>
            <w:vAlign w:val="bottom"/>
          </w:tcPr>
          <w:p>
            <w:pPr>
              <w:spacing w:after="0"/>
              <w:rPr>
                <w:sz w:val="21"/>
                <w:szCs w:val="21"/>
                <w:color w:val="auto"/>
              </w:rPr>
            </w:pPr>
          </w:p>
        </w:tc>
        <w:tc>
          <w:tcPr>
            <w:tcW w:w="42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1,038</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Adjustments to reconcile net income to cash provided by operating activities of continuing operations:</w:t>
            </w:r>
          </w:p>
        </w:tc>
        <w:tc>
          <w:tcPr>
            <w:tcW w:w="2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320" w:type="dxa"/>
            <w:vAlign w:val="bottom"/>
          </w:tcPr>
          <w:p>
            <w:pPr>
              <w:ind w:left="320"/>
              <w:spacing w:after="0"/>
              <w:rPr>
                <w:sz w:val="20"/>
                <w:szCs w:val="20"/>
                <w:color w:val="auto"/>
              </w:rPr>
            </w:pPr>
            <w:r>
              <w:rPr>
                <w:rFonts w:ascii="Arial" w:cs="Arial" w:eastAsia="Arial" w:hAnsi="Arial"/>
                <w:sz w:val="18"/>
                <w:szCs w:val="18"/>
                <w:color w:val="auto"/>
              </w:rPr>
              <w:t>Income from discontinued operations</w:t>
            </w:r>
          </w:p>
        </w:tc>
        <w:tc>
          <w:tcPr>
            <w:tcW w:w="240" w:type="dxa"/>
            <w:vAlign w:val="bottom"/>
          </w:tcPr>
          <w:p>
            <w:pPr>
              <w:spacing w:after="0"/>
              <w:rPr>
                <w:sz w:val="21"/>
                <w:szCs w:val="21"/>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(1,690)</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Depreciation</w:t>
            </w:r>
          </w:p>
        </w:tc>
        <w:tc>
          <w:tcPr>
            <w:tcW w:w="2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537</w:t>
            </w:r>
          </w:p>
        </w:tc>
        <w:tc>
          <w:tcPr>
            <w:tcW w:w="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678</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320" w:type="dxa"/>
            <w:vAlign w:val="bottom"/>
          </w:tcPr>
          <w:p>
            <w:pPr>
              <w:ind w:left="320"/>
              <w:spacing w:after="0"/>
              <w:rPr>
                <w:sz w:val="20"/>
                <w:szCs w:val="20"/>
                <w:color w:val="auto"/>
              </w:rPr>
            </w:pPr>
            <w:r>
              <w:rPr>
                <w:rFonts w:ascii="Arial" w:cs="Arial" w:eastAsia="Arial" w:hAnsi="Arial"/>
                <w:sz w:val="18"/>
                <w:szCs w:val="18"/>
                <w:color w:val="auto"/>
              </w:rPr>
              <w:t>Stock-based compensation</w:t>
            </w:r>
          </w:p>
        </w:tc>
        <w:tc>
          <w:tcPr>
            <w:tcW w:w="2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175</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Amortization of capitalized software</w:t>
            </w:r>
          </w:p>
        </w:tc>
        <w:tc>
          <w:tcPr>
            <w:tcW w:w="2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59</w:t>
            </w:r>
          </w:p>
        </w:tc>
        <w:tc>
          <w:tcPr>
            <w:tcW w:w="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320" w:type="dxa"/>
            <w:vAlign w:val="bottom"/>
          </w:tcPr>
          <w:p>
            <w:pPr>
              <w:ind w:left="320"/>
              <w:spacing w:after="0"/>
              <w:rPr>
                <w:sz w:val="20"/>
                <w:szCs w:val="20"/>
                <w:color w:val="auto"/>
              </w:rPr>
            </w:pPr>
            <w:r>
              <w:rPr>
                <w:rFonts w:ascii="Arial" w:cs="Arial" w:eastAsia="Arial" w:hAnsi="Arial"/>
                <w:sz w:val="18"/>
                <w:szCs w:val="18"/>
                <w:color w:val="auto"/>
              </w:rPr>
              <w:t>Amortization of acquisition-related intangibles</w:t>
            </w:r>
          </w:p>
        </w:tc>
        <w:tc>
          <w:tcPr>
            <w:tcW w:w="2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31</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Deferred income taxes</w:t>
            </w:r>
          </w:p>
        </w:tc>
        <w:tc>
          <w:tcPr>
            <w:tcW w:w="24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(77)</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320" w:type="dxa"/>
            <w:vAlign w:val="bottom"/>
          </w:tcPr>
          <w:p>
            <w:pPr>
              <w:ind w:left="160"/>
              <w:spacing w:after="0"/>
              <w:rPr>
                <w:sz w:val="20"/>
                <w:szCs w:val="20"/>
                <w:color w:val="auto"/>
              </w:rPr>
            </w:pPr>
            <w:r>
              <w:rPr>
                <w:rFonts w:ascii="Arial" w:cs="Arial" w:eastAsia="Arial" w:hAnsi="Arial"/>
                <w:sz w:val="18"/>
                <w:szCs w:val="18"/>
                <w:color w:val="auto"/>
              </w:rPr>
              <w:t>Increase/(decrease) from changes in:</w:t>
            </w:r>
          </w:p>
        </w:tc>
        <w:tc>
          <w:tcPr>
            <w:tcW w:w="2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Accounts receivable</w:t>
            </w:r>
          </w:p>
        </w:tc>
        <w:tc>
          <w:tcPr>
            <w:tcW w:w="24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(282)</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(213)</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320" w:type="dxa"/>
            <w:vAlign w:val="bottom"/>
          </w:tcPr>
          <w:p>
            <w:pPr>
              <w:ind w:left="320"/>
              <w:spacing w:after="0"/>
              <w:rPr>
                <w:sz w:val="20"/>
                <w:szCs w:val="20"/>
                <w:color w:val="auto"/>
              </w:rPr>
            </w:pPr>
            <w:r>
              <w:rPr>
                <w:rFonts w:ascii="Arial" w:cs="Arial" w:eastAsia="Arial" w:hAnsi="Arial"/>
                <w:sz w:val="18"/>
                <w:szCs w:val="18"/>
                <w:color w:val="auto"/>
              </w:rPr>
              <w:t>Inventories</w:t>
            </w:r>
          </w:p>
        </w:tc>
        <w:tc>
          <w:tcPr>
            <w:tcW w:w="240" w:type="dxa"/>
            <w:vAlign w:val="bottom"/>
          </w:tcPr>
          <w:p>
            <w:pPr>
              <w:spacing w:after="0"/>
              <w:rPr>
                <w:sz w:val="21"/>
                <w:szCs w:val="21"/>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(146)</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Prepaid expenses and other current assets</w:t>
            </w:r>
          </w:p>
        </w:tc>
        <w:tc>
          <w:tcPr>
            <w:tcW w:w="24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(85)</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320" w:type="dxa"/>
            <w:vAlign w:val="bottom"/>
          </w:tcPr>
          <w:p>
            <w:pPr>
              <w:ind w:left="320"/>
              <w:spacing w:after="0"/>
              <w:rPr>
                <w:sz w:val="20"/>
                <w:szCs w:val="20"/>
                <w:color w:val="auto"/>
              </w:rPr>
            </w:pPr>
            <w:r>
              <w:rPr>
                <w:rFonts w:ascii="Arial" w:cs="Arial" w:eastAsia="Arial" w:hAnsi="Arial"/>
                <w:sz w:val="18"/>
                <w:szCs w:val="18"/>
                <w:color w:val="auto"/>
              </w:rPr>
              <w:t>Accounts payable and accrued expenses</w:t>
            </w:r>
          </w:p>
        </w:tc>
        <w:tc>
          <w:tcPr>
            <w:tcW w:w="2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23</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Income taxes payable</w:t>
            </w:r>
          </w:p>
        </w:tc>
        <w:tc>
          <w:tcPr>
            <w:tcW w:w="24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(183)</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320" w:type="dxa"/>
            <w:vAlign w:val="bottom"/>
          </w:tcPr>
          <w:p>
            <w:pPr>
              <w:ind w:left="320"/>
              <w:spacing w:after="0"/>
              <w:rPr>
                <w:sz w:val="20"/>
                <w:szCs w:val="20"/>
                <w:color w:val="auto"/>
              </w:rPr>
            </w:pPr>
            <w:r>
              <w:rPr>
                <w:rFonts w:ascii="Arial" w:cs="Arial" w:eastAsia="Arial" w:hAnsi="Arial"/>
                <w:sz w:val="18"/>
                <w:szCs w:val="18"/>
                <w:color w:val="auto"/>
              </w:rPr>
              <w:t>Accrued profit sharing and retirement</w:t>
            </w:r>
          </w:p>
        </w:tc>
        <w:tc>
          <w:tcPr>
            <w:tcW w:w="240" w:type="dxa"/>
            <w:vAlign w:val="bottom"/>
          </w:tcPr>
          <w:p>
            <w:pPr>
              <w:spacing w:after="0"/>
              <w:rPr>
                <w:sz w:val="21"/>
                <w:szCs w:val="21"/>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(43)</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Noncurrent accrued retirement costs</w:t>
            </w:r>
          </w:p>
        </w:tc>
        <w:tc>
          <w:tcPr>
            <w:tcW w:w="24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(51)</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8320" w:type="dxa"/>
            <w:vAlign w:val="bottom"/>
          </w:tcPr>
          <w:p>
            <w:pPr>
              <w:ind w:left="160"/>
              <w:spacing w:after="0"/>
              <w:rPr>
                <w:sz w:val="20"/>
                <w:szCs w:val="20"/>
                <w:color w:val="auto"/>
              </w:rPr>
            </w:pPr>
            <w:r>
              <w:rPr>
                <w:rFonts w:ascii="Arial" w:cs="Arial" w:eastAsia="Arial" w:hAnsi="Arial"/>
                <w:sz w:val="18"/>
                <w:szCs w:val="18"/>
                <w:color w:val="auto"/>
              </w:rPr>
              <w:t>Other</w:t>
            </w:r>
          </w:p>
        </w:tc>
        <w:tc>
          <w:tcPr>
            <w:tcW w:w="240" w:type="dxa"/>
            <w:vAlign w:val="bottom"/>
          </w:tcPr>
          <w:p>
            <w:pPr>
              <w:spacing w:after="0"/>
              <w:rPr>
                <w:sz w:val="23"/>
                <w:szCs w:val="23"/>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(51)</w:t>
            </w:r>
          </w:p>
        </w:tc>
        <w:tc>
          <w:tcPr>
            <w:tcW w:w="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provided by operating activities of continuing operations</w:t>
            </w: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1,189</w:t>
            </w:r>
          </w:p>
        </w:tc>
        <w:tc>
          <w:tcPr>
            <w:tcW w:w="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auto"/>
            </w:tcBorders>
            <w:shd w:val="clear" w:color="auto" w:fill="CCEEFF"/>
          </w:tcPr>
          <w:p>
            <w:pPr>
              <w:spacing w:after="0"/>
              <w:rPr>
                <w:sz w:val="20"/>
                <w:szCs w:val="20"/>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1,262</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2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320" w:type="dxa"/>
            <w:vAlign w:val="bottom"/>
          </w:tcPr>
          <w:p>
            <w:pPr>
              <w:ind w:left="160"/>
              <w:spacing w:after="0"/>
              <w:rPr>
                <w:sz w:val="20"/>
                <w:szCs w:val="20"/>
                <w:color w:val="auto"/>
              </w:rPr>
            </w:pPr>
            <w:r>
              <w:rPr>
                <w:rFonts w:ascii="Arial" w:cs="Arial" w:eastAsia="Arial" w:hAnsi="Arial"/>
                <w:sz w:val="18"/>
                <w:szCs w:val="18"/>
                <w:color w:val="auto"/>
              </w:rPr>
              <w:t>Additions to property, plant and equipment</w:t>
            </w:r>
          </w:p>
        </w:tc>
        <w:tc>
          <w:tcPr>
            <w:tcW w:w="240" w:type="dxa"/>
            <w:vAlign w:val="bottom"/>
          </w:tcPr>
          <w:p>
            <w:pPr>
              <w:spacing w:after="0"/>
              <w:rPr>
                <w:sz w:val="21"/>
                <w:szCs w:val="21"/>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(782)</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(514)</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Proceeds from sales of assets</w:t>
            </w:r>
          </w:p>
        </w:tc>
        <w:tc>
          <w:tcPr>
            <w:tcW w:w="2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2,986</w:t>
            </w:r>
          </w:p>
        </w:tc>
        <w:tc>
          <w:tcPr>
            <w:tcW w:w="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320" w:type="dxa"/>
            <w:vAlign w:val="bottom"/>
          </w:tcPr>
          <w:p>
            <w:pPr>
              <w:ind w:left="160"/>
              <w:spacing w:after="0"/>
              <w:rPr>
                <w:sz w:val="20"/>
                <w:szCs w:val="20"/>
                <w:color w:val="auto"/>
              </w:rPr>
            </w:pPr>
            <w:r>
              <w:rPr>
                <w:rFonts w:ascii="Arial" w:cs="Arial" w:eastAsia="Arial" w:hAnsi="Arial"/>
                <w:sz w:val="18"/>
                <w:szCs w:val="18"/>
                <w:color w:val="auto"/>
              </w:rPr>
              <w:t>Purchases of cash investments</w:t>
            </w:r>
          </w:p>
        </w:tc>
        <w:tc>
          <w:tcPr>
            <w:tcW w:w="240" w:type="dxa"/>
            <w:vAlign w:val="bottom"/>
          </w:tcPr>
          <w:p>
            <w:pPr>
              <w:spacing w:after="0"/>
              <w:rPr>
                <w:sz w:val="21"/>
                <w:szCs w:val="21"/>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(4,216)</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(1,066)</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Sales and maturities of cash investments</w:t>
            </w:r>
          </w:p>
        </w:tc>
        <w:tc>
          <w:tcPr>
            <w:tcW w:w="2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4,324</w:t>
            </w:r>
          </w:p>
        </w:tc>
        <w:tc>
          <w:tcPr>
            <w:tcW w:w="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2,396</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320" w:type="dxa"/>
            <w:vAlign w:val="bottom"/>
          </w:tcPr>
          <w:p>
            <w:pPr>
              <w:ind w:left="160"/>
              <w:spacing w:after="0"/>
              <w:rPr>
                <w:sz w:val="20"/>
                <w:szCs w:val="20"/>
                <w:color w:val="auto"/>
              </w:rPr>
            </w:pPr>
            <w:r>
              <w:rPr>
                <w:rFonts w:ascii="Arial" w:cs="Arial" w:eastAsia="Arial" w:hAnsi="Arial"/>
                <w:sz w:val="18"/>
                <w:szCs w:val="18"/>
                <w:color w:val="auto"/>
              </w:rPr>
              <w:t>Purchases of equity investments</w:t>
            </w:r>
          </w:p>
        </w:tc>
        <w:tc>
          <w:tcPr>
            <w:tcW w:w="240" w:type="dxa"/>
            <w:vAlign w:val="bottom"/>
          </w:tcPr>
          <w:p>
            <w:pPr>
              <w:spacing w:after="0"/>
              <w:rPr>
                <w:sz w:val="21"/>
                <w:szCs w:val="21"/>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(22)</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Sales of equity and debt investments</w:t>
            </w:r>
          </w:p>
        </w:tc>
        <w:tc>
          <w:tcPr>
            <w:tcW w:w="2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w:t>
            </w:r>
          </w:p>
        </w:tc>
        <w:tc>
          <w:tcPr>
            <w:tcW w:w="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8320" w:type="dxa"/>
            <w:vAlign w:val="bottom"/>
          </w:tcPr>
          <w:p>
            <w:pPr>
              <w:ind w:left="160"/>
              <w:spacing w:after="0"/>
              <w:rPr>
                <w:sz w:val="20"/>
                <w:szCs w:val="20"/>
                <w:color w:val="auto"/>
              </w:rPr>
            </w:pPr>
            <w:r>
              <w:rPr>
                <w:rFonts w:ascii="Arial" w:cs="Arial" w:eastAsia="Arial" w:hAnsi="Arial"/>
                <w:sz w:val="18"/>
                <w:szCs w:val="18"/>
                <w:color w:val="auto"/>
              </w:rPr>
              <w:t>Acquisition of businesses, net of cash acquired</w:t>
            </w:r>
          </w:p>
        </w:tc>
        <w:tc>
          <w:tcPr>
            <w:tcW w:w="240" w:type="dxa"/>
            <w:vAlign w:val="bottom"/>
          </w:tcPr>
          <w:p>
            <w:pPr>
              <w:spacing w:after="0"/>
              <w:rPr>
                <w:sz w:val="23"/>
                <w:szCs w:val="23"/>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(205)</w:t>
            </w:r>
          </w:p>
        </w:tc>
        <w:tc>
          <w:tcPr>
            <w:tcW w:w="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provided by investing activities of continuing operations</w:t>
            </w: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2,094</w:t>
            </w:r>
          </w:p>
        </w:tc>
        <w:tc>
          <w:tcPr>
            <w:tcW w:w="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auto"/>
            </w:tcBorders>
            <w:shd w:val="clear" w:color="auto" w:fill="CCEEFF"/>
          </w:tcPr>
          <w:p>
            <w:pPr>
              <w:spacing w:after="0"/>
              <w:rPr>
                <w:sz w:val="20"/>
                <w:szCs w:val="20"/>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850</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r>
              <w:rPr>
                <w:rFonts w:ascii="Arial" w:cs="Arial" w:eastAsia="Arial" w:hAnsi="Arial"/>
                <w:sz w:val="18"/>
                <w:szCs w:val="18"/>
                <w:color w:val="auto"/>
              </w:rPr>
              <w:t>:</w:t>
            </w:r>
          </w:p>
        </w:tc>
        <w:tc>
          <w:tcPr>
            <w:tcW w:w="2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320" w:type="dxa"/>
            <w:vAlign w:val="bottom"/>
          </w:tcPr>
          <w:p>
            <w:pPr>
              <w:ind w:left="160"/>
              <w:spacing w:after="0"/>
              <w:rPr>
                <w:sz w:val="20"/>
                <w:szCs w:val="20"/>
                <w:color w:val="auto"/>
              </w:rPr>
            </w:pPr>
            <w:r>
              <w:rPr>
                <w:rFonts w:ascii="Arial" w:cs="Arial" w:eastAsia="Arial" w:hAnsi="Arial"/>
                <w:sz w:val="18"/>
                <w:szCs w:val="18"/>
                <w:color w:val="auto"/>
              </w:rPr>
              <w:t>Payments on loans and long-term debt</w:t>
            </w:r>
          </w:p>
        </w:tc>
        <w:tc>
          <w:tcPr>
            <w:tcW w:w="240" w:type="dxa"/>
            <w:vAlign w:val="bottom"/>
          </w:tcPr>
          <w:p>
            <w:pPr>
              <w:spacing w:after="0"/>
              <w:rPr>
                <w:sz w:val="21"/>
                <w:szCs w:val="21"/>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(586)</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Dividends paid on common stock</w:t>
            </w:r>
          </w:p>
        </w:tc>
        <w:tc>
          <w:tcPr>
            <w:tcW w:w="24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(95)</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320" w:type="dxa"/>
            <w:vAlign w:val="bottom"/>
          </w:tcPr>
          <w:p>
            <w:pPr>
              <w:ind w:left="160"/>
              <w:spacing w:after="0"/>
              <w:rPr>
                <w:sz w:val="20"/>
                <w:szCs w:val="20"/>
                <w:color w:val="auto"/>
              </w:rPr>
            </w:pPr>
            <w:r>
              <w:rPr>
                <w:rFonts w:ascii="Arial" w:cs="Arial" w:eastAsia="Arial" w:hAnsi="Arial"/>
                <w:sz w:val="18"/>
                <w:szCs w:val="18"/>
                <w:color w:val="auto"/>
              </w:rPr>
              <w:t>Sales and other common stock transactions</w:t>
            </w:r>
          </w:p>
        </w:tc>
        <w:tc>
          <w:tcPr>
            <w:tcW w:w="2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279</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Excess tax benefit from stock option exercises</w:t>
            </w:r>
          </w:p>
        </w:tc>
        <w:tc>
          <w:tcPr>
            <w:tcW w:w="2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64</w:t>
            </w:r>
          </w:p>
        </w:tc>
        <w:tc>
          <w:tcPr>
            <w:tcW w:w="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8320" w:type="dxa"/>
            <w:vAlign w:val="bottom"/>
          </w:tcPr>
          <w:p>
            <w:pPr>
              <w:ind w:left="160"/>
              <w:spacing w:after="0"/>
              <w:rPr>
                <w:sz w:val="20"/>
                <w:szCs w:val="20"/>
                <w:color w:val="auto"/>
              </w:rPr>
            </w:pPr>
            <w:r>
              <w:rPr>
                <w:rFonts w:ascii="Arial" w:cs="Arial" w:eastAsia="Arial" w:hAnsi="Arial"/>
                <w:sz w:val="18"/>
                <w:szCs w:val="18"/>
                <w:color w:val="auto"/>
              </w:rPr>
              <w:t>Stock repurchases</w:t>
            </w:r>
          </w:p>
        </w:tc>
        <w:tc>
          <w:tcPr>
            <w:tcW w:w="240" w:type="dxa"/>
            <w:vAlign w:val="bottom"/>
          </w:tcPr>
          <w:p>
            <w:pPr>
              <w:spacing w:after="0"/>
              <w:rPr>
                <w:sz w:val="23"/>
                <w:szCs w:val="23"/>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(2,477)</w:t>
            </w:r>
          </w:p>
        </w:tc>
        <w:tc>
          <w:tcPr>
            <w:tcW w:w="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(2,785)</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3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financing activities of continuing operations</w:t>
            </w:r>
          </w:p>
        </w:tc>
        <w:tc>
          <w:tcPr>
            <w:tcW w:w="24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(2,815)</w:t>
            </w: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(2,706)</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320" w:type="dxa"/>
            <w:vAlign w:val="bottom"/>
            <w:tcBorders>
              <w:top w:val="single" w:sz="8" w:color="CCEEFF"/>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40" w:type="dxa"/>
            <w:vAlign w:val="bottom"/>
            <w:tcBorders>
              <w:top w:val="single" w:sz="8" w:color="CCEEFF"/>
            </w:tcBorders>
          </w:tcPr>
          <w:p>
            <w:pPr>
              <w:spacing w:after="0"/>
              <w:rPr>
                <w:sz w:val="20"/>
                <w:szCs w:val="20"/>
                <w:color w:val="auto"/>
              </w:rPr>
            </w:pPr>
          </w:p>
        </w:tc>
        <w:tc>
          <w:tcPr>
            <w:tcW w:w="80" w:type="dxa"/>
            <w:vAlign w:val="bottom"/>
            <w:tcBorders>
              <w:top w:val="single" w:sz="8" w:color="CCEEFF"/>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100" w:type="dxa"/>
            <w:vAlign w:val="bottom"/>
            <w:tcBorders>
              <w:top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discontinued operations:</w:t>
            </w:r>
          </w:p>
        </w:tc>
        <w:tc>
          <w:tcPr>
            <w:tcW w:w="2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320" w:type="dxa"/>
            <w:vAlign w:val="bottom"/>
          </w:tcPr>
          <w:p>
            <w:pPr>
              <w:ind w:left="160"/>
              <w:spacing w:after="0"/>
              <w:rPr>
                <w:sz w:val="20"/>
                <w:szCs w:val="20"/>
                <w:color w:val="auto"/>
              </w:rPr>
            </w:pPr>
            <w:r>
              <w:rPr>
                <w:rFonts w:ascii="Arial" w:cs="Arial" w:eastAsia="Arial" w:hAnsi="Arial"/>
                <w:sz w:val="18"/>
                <w:szCs w:val="18"/>
                <w:color w:val="auto"/>
              </w:rPr>
              <w:t>Operating activities</w:t>
            </w:r>
          </w:p>
        </w:tc>
        <w:tc>
          <w:tcPr>
            <w:tcW w:w="2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7</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3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Investing activities</w:t>
            </w: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(16)</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3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8320" w:type="dxa"/>
            <w:vAlign w:val="bottom"/>
          </w:tcPr>
          <w:p>
            <w:pPr>
              <w:spacing w:after="0"/>
              <w:rPr>
                <w:sz w:val="20"/>
                <w:szCs w:val="20"/>
                <w:color w:val="auto"/>
              </w:rPr>
            </w:pPr>
            <w:r>
              <w:rPr>
                <w:rFonts w:ascii="Arial" w:cs="Arial" w:eastAsia="Arial" w:hAnsi="Arial"/>
                <w:sz w:val="18"/>
                <w:szCs w:val="18"/>
                <w:color w:val="auto"/>
              </w:rPr>
              <w:t>Net cash (used in)/provided by discontinued operations</w:t>
            </w:r>
          </w:p>
        </w:tc>
        <w:tc>
          <w:tcPr>
            <w:tcW w:w="240" w:type="dxa"/>
            <w:vAlign w:val="bottom"/>
          </w:tcPr>
          <w:p>
            <w:pPr>
              <w:spacing w:after="0"/>
              <w:rPr>
                <w:sz w:val="20"/>
                <w:szCs w:val="20"/>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(9)</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8320" w:type="dxa"/>
            <w:vAlign w:val="bottom"/>
            <w:shd w:val="clear" w:color="auto" w:fill="CCEEFF"/>
          </w:tcPr>
          <w:p>
            <w:pPr>
              <w:spacing w:after="0"/>
              <w:rPr>
                <w:sz w:val="20"/>
                <w:szCs w:val="20"/>
                <w:color w:val="auto"/>
              </w:rPr>
            </w:pPr>
          </w:p>
        </w:tc>
        <w:tc>
          <w:tcPr>
            <w:tcW w:w="240" w:type="dxa"/>
            <w:vAlign w:val="bottom"/>
            <w:tcBorders>
              <w:top w:val="single" w:sz="8" w:color="auto"/>
            </w:tcBorders>
            <w:shd w:val="clear" w:color="auto" w:fill="CCEEFF"/>
          </w:tcPr>
          <w:p>
            <w:pPr>
              <w:spacing w:after="0"/>
              <w:rPr>
                <w:sz w:val="20"/>
                <w:szCs w:val="20"/>
                <w:color w:val="auto"/>
              </w:rPr>
            </w:pPr>
          </w:p>
        </w:tc>
        <w:tc>
          <w:tcPr>
            <w:tcW w:w="1140" w:type="dxa"/>
            <w:vAlign w:val="bottom"/>
            <w:tcBorders>
              <w:top w:val="single" w:sz="8" w:color="auto"/>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40" w:type="dxa"/>
            <w:vAlign w:val="bottom"/>
            <w:tcBorders>
              <w:top w:val="single" w:sz="8" w:color="auto"/>
            </w:tcBorders>
            <w:shd w:val="clear" w:color="auto" w:fill="CCEEFF"/>
          </w:tcPr>
          <w:p>
            <w:pPr>
              <w:spacing w:after="0"/>
              <w:rPr>
                <w:sz w:val="20"/>
                <w:szCs w:val="20"/>
                <w:color w:val="auto"/>
              </w:rPr>
            </w:pPr>
          </w:p>
        </w:tc>
        <w:tc>
          <w:tcPr>
            <w:tcW w:w="1040" w:type="dxa"/>
            <w:vAlign w:val="bottom"/>
            <w:tcBorders>
              <w:top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8320" w:type="dxa"/>
            <w:vAlign w:val="bottom"/>
          </w:tcPr>
          <w:p>
            <w:pPr>
              <w:spacing w:after="0"/>
              <w:rPr>
                <w:sz w:val="20"/>
                <w:szCs w:val="20"/>
                <w:color w:val="auto"/>
              </w:rPr>
            </w:pPr>
            <w:r>
              <w:rPr>
                <w:rFonts w:ascii="Arial" w:cs="Arial" w:eastAsia="Arial" w:hAnsi="Arial"/>
                <w:sz w:val="18"/>
                <w:szCs w:val="18"/>
                <w:color w:val="auto"/>
              </w:rPr>
              <w:t>Effect of exchange rate changes on cash</w:t>
            </w:r>
          </w:p>
        </w:tc>
        <w:tc>
          <w:tcPr>
            <w:tcW w:w="2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Net increase/(decrease) in cash and cash equivalents</w:t>
            </w:r>
          </w:p>
        </w:tc>
        <w:tc>
          <w:tcPr>
            <w:tcW w:w="24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464</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(535)</w:t>
            </w:r>
          </w:p>
        </w:tc>
        <w:tc>
          <w:tcPr>
            <w:tcW w:w="0" w:type="dxa"/>
            <w:vAlign w:val="bottom"/>
          </w:tcPr>
          <w:p>
            <w:pPr>
              <w:spacing w:after="0"/>
              <w:rPr>
                <w:sz w:val="1"/>
                <w:szCs w:val="1"/>
                <w:color w:val="auto"/>
              </w:rPr>
            </w:pPr>
          </w:p>
        </w:tc>
      </w:tr>
      <w:tr>
        <w:trPr>
          <w:trHeight w:val="270"/>
        </w:trPr>
        <w:tc>
          <w:tcPr>
            <w:tcW w:w="8340" w:type="dxa"/>
            <w:vAlign w:val="bottom"/>
            <w:gridSpan w:val="2"/>
          </w:tcPr>
          <w:p>
            <w:pPr>
              <w:spacing w:after="0"/>
              <w:rPr>
                <w:sz w:val="20"/>
                <w:szCs w:val="20"/>
                <w:color w:val="auto"/>
              </w:rPr>
            </w:pPr>
            <w:r>
              <w:rPr>
                <w:rFonts w:ascii="Arial" w:cs="Arial" w:eastAsia="Arial" w:hAnsi="Arial"/>
                <w:sz w:val="18"/>
                <w:szCs w:val="18"/>
                <w:color w:val="auto"/>
              </w:rPr>
              <w:t>Cash and cash equivalents, January 1</w:t>
            </w:r>
          </w:p>
        </w:tc>
        <w:tc>
          <w:tcPr>
            <w:tcW w:w="24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1,214</w:t>
            </w: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2,663</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8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 June 30</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1,678</w:t>
            </w:r>
          </w:p>
        </w:tc>
        <w:tc>
          <w:tcPr>
            <w:tcW w:w="14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2,128</w:t>
            </w:r>
          </w:p>
        </w:tc>
        <w:tc>
          <w:tcPr>
            <w:tcW w:w="10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See accompanying notes.</w:t>
      </w:r>
    </w:p>
    <w:p>
      <w:pPr>
        <w:sectPr>
          <w:pgSz w:w="11900" w:h="16838" w:orient="portrait"/>
          <w:cols w:equalWidth="0" w:num="1">
            <w:col w:w="11420"/>
          </w:cols>
          <w:pgMar w:left="240" w:top="391" w:right="239" w:bottom="1440" w:gutter="0" w:footer="0" w:header="0"/>
        </w:sect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99695</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type w:val="continuous"/>
        </w:sectPr>
      </w:pPr>
    </w:p>
    <w:bookmarkStart w:id="5" w:name="page6"/>
    <w:bookmarkEnd w:id="5"/>
    <w:p>
      <w:pPr>
        <w:jc w:val="center"/>
        <w:ind w:right="240"/>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7" w:lineRule="exact"/>
        <w:rPr>
          <w:sz w:val="20"/>
          <w:szCs w:val="20"/>
          <w:color w:val="auto"/>
        </w:rPr>
      </w:pPr>
    </w:p>
    <w:p>
      <w:pPr>
        <w:jc w:val="center"/>
        <w:ind w:right="240"/>
        <w:spacing w:after="0"/>
        <w:rPr>
          <w:sz w:val="20"/>
          <w:szCs w:val="20"/>
          <w:color w:val="auto"/>
        </w:rPr>
      </w:pPr>
      <w:r>
        <w:rPr>
          <w:rFonts w:ascii="Arial" w:cs="Arial" w:eastAsia="Arial" w:hAnsi="Arial"/>
          <w:sz w:val="18"/>
          <w:szCs w:val="18"/>
          <w:b w:val="1"/>
          <w:bCs w:val="1"/>
          <w:color w:val="auto"/>
        </w:rPr>
        <w:t>Notes to Financial Statements</w:t>
      </w:r>
    </w:p>
    <w:p>
      <w:pPr>
        <w:spacing w:after="0" w:line="265" w:lineRule="exact"/>
        <w:rPr>
          <w:sz w:val="20"/>
          <w:szCs w:val="20"/>
          <w:color w:val="auto"/>
        </w:rPr>
      </w:pPr>
    </w:p>
    <w:p>
      <w:pPr>
        <w:ind w:left="240" w:right="760" w:hanging="231"/>
        <w:spacing w:after="0" w:line="277" w:lineRule="auto"/>
        <w:tabs>
          <w:tab w:leader="none" w:pos="240" w:val="left"/>
        </w:tabs>
        <w:numPr>
          <w:ilvl w:val="0"/>
          <w:numId w:val="3"/>
        </w:numPr>
        <w:rPr>
          <w:rFonts w:ascii="Arial" w:cs="Arial" w:eastAsia="Arial" w:hAnsi="Arial"/>
          <w:sz w:val="18"/>
          <w:szCs w:val="18"/>
          <w:color w:val="auto"/>
        </w:rPr>
      </w:pPr>
      <w:r>
        <w:rPr>
          <w:rFonts w:ascii="Arial" w:cs="Arial" w:eastAsia="Arial" w:hAnsi="Arial"/>
          <w:sz w:val="18"/>
          <w:szCs w:val="18"/>
          <w:u w:val="single" w:color="auto"/>
          <w:color w:val="auto"/>
        </w:rPr>
        <w:t>Description of Business and Significant Accounting Policies and Practices</w:t>
      </w:r>
      <w:r>
        <w:rPr>
          <w:rFonts w:ascii="Arial" w:cs="Arial" w:eastAsia="Arial" w:hAnsi="Arial"/>
          <w:sz w:val="18"/>
          <w:szCs w:val="18"/>
          <w:color w:val="auto"/>
        </w:rPr>
        <w:t>. Texas Instruments (TI) makes, markets and sells high-technology components; more than 50,000 customers all over the world buy TI products.</w:t>
      </w:r>
    </w:p>
    <w:p>
      <w:pPr>
        <w:spacing w:after="0" w:line="224" w:lineRule="exact"/>
        <w:rPr>
          <w:rFonts w:ascii="Arial" w:cs="Arial" w:eastAsia="Arial" w:hAnsi="Arial"/>
          <w:sz w:val="18"/>
          <w:szCs w:val="18"/>
          <w:color w:val="auto"/>
        </w:rPr>
      </w:pPr>
    </w:p>
    <w:p>
      <w:pPr>
        <w:ind w:left="240" w:right="140"/>
        <w:spacing w:after="0" w:line="271" w:lineRule="auto"/>
        <w:rPr>
          <w:rFonts w:ascii="Arial" w:cs="Arial" w:eastAsia="Arial" w:hAnsi="Arial"/>
          <w:sz w:val="18"/>
          <w:szCs w:val="18"/>
          <w:color w:val="auto"/>
        </w:rPr>
      </w:pPr>
      <w:r>
        <w:rPr>
          <w:rFonts w:ascii="Arial" w:cs="Arial" w:eastAsia="Arial" w:hAnsi="Arial"/>
          <w:sz w:val="17"/>
          <w:szCs w:val="17"/>
          <w:i w:val="1"/>
          <w:iCs w:val="1"/>
          <w:color w:val="auto"/>
        </w:rPr>
        <w:t xml:space="preserve">Acquisitions </w:t>
      </w:r>
      <w:r>
        <w:rPr>
          <w:rFonts w:ascii="Arial" w:cs="Arial" w:eastAsia="Arial" w:hAnsi="Arial"/>
          <w:sz w:val="17"/>
          <w:szCs w:val="17"/>
          <w:color w:val="auto"/>
        </w:rPr>
        <w:t>- In January 2006, we acquired 100 percent of the equity of Chipcon Group ASA (Chipcon), a leading company in the design of short-range, low-power wireless radio frequency semiconductors, based in Oslo, Norway, for $183 million in cash. The acquisition will enhance our ability to offer customers complete short-range wireless solutions for consumer, home and building automation applications. The acquisition was accounted for as a purchase business combination, and the results of operations of this business have been included in the Semiconductor segment of our consolidated statements of income from the date of acquisition. Pro forma information has not been presented as it would not be materially different from amounts reported. As a result of the acquisition, we recorded a $5 million charge for in-process R&amp;D in Corporate. We also recognized $115 million of goodwill and $86 million of other acquisition-related intangible assets, acquired $6 million of cash and assumed $29 million of other net liabilities. The following table contains a summary of the other intangible assets acquired:</w:t>
      </w:r>
    </w:p>
    <w:p>
      <w:pPr>
        <w:spacing w:after="0" w:line="229" w:lineRule="exact"/>
        <w:rPr>
          <w:sz w:val="20"/>
          <w:szCs w:val="20"/>
          <w:color w:val="auto"/>
        </w:rPr>
      </w:pPr>
    </w:p>
    <w:tbl>
      <w:tblPr>
        <w:tblLayout w:type="fixed"/>
        <w:tblInd w:w="2420" w:type="dxa"/>
        <w:tblCellMar>
          <w:top w:w="0" w:type="dxa"/>
          <w:left w:w="0" w:type="dxa"/>
          <w:bottom w:w="0" w:type="dxa"/>
          <w:right w:w="0" w:type="dxa"/>
        </w:tblCellMar>
      </w:tblPr>
      <w:tr>
        <w:trPr>
          <w:trHeight w:val="216"/>
        </w:trPr>
        <w:tc>
          <w:tcPr>
            <w:tcW w:w="4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40" w:type="dxa"/>
            <w:vAlign w:val="bottom"/>
            <w:gridSpan w:val="3"/>
          </w:tcPr>
          <w:p>
            <w:pPr>
              <w:ind w:left="60"/>
              <w:spacing w:after="0"/>
              <w:rPr>
                <w:sz w:val="20"/>
                <w:szCs w:val="20"/>
                <w:color w:val="auto"/>
              </w:rPr>
            </w:pPr>
            <w:r>
              <w:rPr>
                <w:rFonts w:ascii="Arial" w:cs="Arial" w:eastAsia="Arial" w:hAnsi="Arial"/>
                <w:sz w:val="18"/>
                <w:szCs w:val="18"/>
                <w:b w:val="1"/>
                <w:bCs w:val="1"/>
                <w:color w:val="auto"/>
                <w:w w:val="96"/>
              </w:rPr>
              <w:t>Amortization</w:t>
            </w:r>
          </w:p>
        </w:tc>
      </w:tr>
      <w:tr>
        <w:trPr>
          <w:trHeight w:val="234"/>
        </w:trPr>
        <w:tc>
          <w:tcPr>
            <w:tcW w:w="44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Acquired Intangible Assets</w:t>
            </w:r>
          </w:p>
        </w:tc>
        <w:tc>
          <w:tcPr>
            <w:tcW w:w="120" w:type="dxa"/>
            <w:vAlign w:val="bottom"/>
          </w:tcPr>
          <w:p>
            <w:pPr>
              <w:spacing w:after="0"/>
              <w:rPr>
                <w:sz w:val="20"/>
                <w:szCs w:val="20"/>
                <w:color w:val="auto"/>
              </w:rPr>
            </w:pPr>
          </w:p>
        </w:tc>
        <w:tc>
          <w:tcPr>
            <w:tcW w:w="8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Amount</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20" w:type="dxa"/>
            <w:vAlign w:val="bottom"/>
            <w:tcBorders>
              <w:bottom w:val="single" w:sz="8" w:color="auto"/>
            </w:tcBorders>
          </w:tcPr>
          <w:p>
            <w:pPr>
              <w:ind w:left="260"/>
              <w:spacing w:after="0"/>
              <w:rPr>
                <w:sz w:val="20"/>
                <w:szCs w:val="20"/>
                <w:color w:val="auto"/>
              </w:rPr>
            </w:pPr>
            <w:r>
              <w:rPr>
                <w:rFonts w:ascii="Arial" w:cs="Arial" w:eastAsia="Arial" w:hAnsi="Arial"/>
                <w:sz w:val="18"/>
                <w:szCs w:val="18"/>
                <w:b w:val="1"/>
                <w:bCs w:val="1"/>
                <w:color w:val="auto"/>
              </w:rPr>
              <w:t>Period</w:t>
            </w:r>
          </w:p>
        </w:tc>
        <w:tc>
          <w:tcPr>
            <w:tcW w:w="60" w:type="dxa"/>
            <w:vAlign w:val="bottom"/>
          </w:tcPr>
          <w:p>
            <w:pPr>
              <w:spacing w:after="0"/>
              <w:rPr>
                <w:sz w:val="20"/>
                <w:szCs w:val="20"/>
                <w:color w:val="auto"/>
              </w:rPr>
            </w:pPr>
          </w:p>
        </w:tc>
      </w:tr>
      <w:tr>
        <w:trPr>
          <w:trHeight w:val="237"/>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Developed technology</w:t>
            </w:r>
          </w:p>
        </w:tc>
        <w:tc>
          <w:tcPr>
            <w:tcW w:w="48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65</w:t>
            </w:r>
          </w:p>
        </w:tc>
        <w:tc>
          <w:tcPr>
            <w:tcW w:w="6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5 years</w:t>
            </w:r>
          </w:p>
        </w:tc>
      </w:tr>
      <w:tr>
        <w:trPr>
          <w:trHeight w:val="243"/>
        </w:trPr>
        <w:tc>
          <w:tcPr>
            <w:tcW w:w="4440" w:type="dxa"/>
            <w:vAlign w:val="bottom"/>
          </w:tcPr>
          <w:p>
            <w:pPr>
              <w:spacing w:after="0"/>
              <w:rPr>
                <w:sz w:val="20"/>
                <w:szCs w:val="20"/>
                <w:color w:val="auto"/>
              </w:rPr>
            </w:pPr>
            <w:r>
              <w:rPr>
                <w:rFonts w:ascii="Arial" w:cs="Arial" w:eastAsia="Arial" w:hAnsi="Arial"/>
                <w:sz w:val="18"/>
                <w:szCs w:val="18"/>
                <w:color w:val="auto"/>
              </w:rPr>
              <w:t>Non-compete agreements</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8"/>
                <w:szCs w:val="18"/>
                <w:color w:val="auto"/>
              </w:rPr>
              <w:t>6</w:t>
            </w:r>
          </w:p>
        </w:tc>
        <w:tc>
          <w:tcPr>
            <w:tcW w:w="60" w:type="dxa"/>
            <w:vAlign w:val="bottom"/>
          </w:tcPr>
          <w:p>
            <w:pPr>
              <w:spacing w:after="0"/>
              <w:rPr>
                <w:sz w:val="21"/>
                <w:szCs w:val="21"/>
                <w:color w:val="auto"/>
              </w:rPr>
            </w:pPr>
          </w:p>
        </w:tc>
        <w:tc>
          <w:tcPr>
            <w:tcW w:w="1080" w:type="dxa"/>
            <w:vAlign w:val="bottom"/>
            <w:gridSpan w:val="2"/>
          </w:tcPr>
          <w:p>
            <w:pPr>
              <w:ind w:left="280"/>
              <w:spacing w:after="0"/>
              <w:rPr>
                <w:sz w:val="20"/>
                <w:szCs w:val="20"/>
                <w:color w:val="auto"/>
              </w:rPr>
            </w:pPr>
            <w:r>
              <w:rPr>
                <w:rFonts w:ascii="Arial" w:cs="Arial" w:eastAsia="Arial" w:hAnsi="Arial"/>
                <w:sz w:val="18"/>
                <w:szCs w:val="18"/>
                <w:color w:val="auto"/>
              </w:rPr>
              <w:t>2 years</w:t>
            </w:r>
          </w:p>
        </w:tc>
      </w:tr>
      <w:tr>
        <w:trPr>
          <w:trHeight w:val="243"/>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w:t>
            </w:r>
          </w:p>
        </w:tc>
        <w:tc>
          <w:tcPr>
            <w:tcW w:w="6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5 years</w:t>
            </w:r>
          </w:p>
        </w:tc>
      </w:tr>
      <w:tr>
        <w:trPr>
          <w:trHeight w:val="243"/>
        </w:trPr>
        <w:tc>
          <w:tcPr>
            <w:tcW w:w="4440" w:type="dxa"/>
            <w:vAlign w:val="bottom"/>
          </w:tcPr>
          <w:p>
            <w:pPr>
              <w:spacing w:after="0"/>
              <w:rPr>
                <w:sz w:val="20"/>
                <w:szCs w:val="20"/>
                <w:color w:val="auto"/>
              </w:rPr>
            </w:pPr>
            <w:r>
              <w:rPr>
                <w:rFonts w:ascii="Arial" w:cs="Arial" w:eastAsia="Arial" w:hAnsi="Arial"/>
                <w:sz w:val="18"/>
                <w:szCs w:val="18"/>
                <w:color w:val="auto"/>
              </w:rPr>
              <w:t>Trademark/trade name</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8"/>
                <w:szCs w:val="18"/>
                <w:color w:val="auto"/>
              </w:rPr>
              <w:t>2</w:t>
            </w:r>
          </w:p>
        </w:tc>
        <w:tc>
          <w:tcPr>
            <w:tcW w:w="60" w:type="dxa"/>
            <w:vAlign w:val="bottom"/>
          </w:tcPr>
          <w:p>
            <w:pPr>
              <w:spacing w:after="0"/>
              <w:rPr>
                <w:sz w:val="21"/>
                <w:szCs w:val="21"/>
                <w:color w:val="auto"/>
              </w:rPr>
            </w:pPr>
          </w:p>
        </w:tc>
        <w:tc>
          <w:tcPr>
            <w:tcW w:w="1080" w:type="dxa"/>
            <w:vAlign w:val="bottom"/>
            <w:gridSpan w:val="2"/>
          </w:tcPr>
          <w:p>
            <w:pPr>
              <w:ind w:left="280"/>
              <w:spacing w:after="0"/>
              <w:rPr>
                <w:sz w:val="20"/>
                <w:szCs w:val="20"/>
                <w:color w:val="auto"/>
              </w:rPr>
            </w:pPr>
            <w:r>
              <w:rPr>
                <w:rFonts w:ascii="Arial" w:cs="Arial" w:eastAsia="Arial" w:hAnsi="Arial"/>
                <w:sz w:val="18"/>
                <w:szCs w:val="18"/>
                <w:color w:val="auto"/>
              </w:rPr>
              <w:t>3 years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5662930</wp:posOffset>
            </wp:positionH>
            <wp:positionV relativeFrom="paragraph">
              <wp:posOffset>-625475</wp:posOffset>
            </wp:positionV>
            <wp:extent cx="34290" cy="1631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4290" cy="16319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-307975</wp:posOffset>
            </wp:positionV>
            <wp:extent cx="34290" cy="1543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4290" cy="154305"/>
                    </a:xfrm>
                    <a:prstGeom prst="rect">
                      <a:avLst/>
                    </a:prstGeom>
                    <a:noFill/>
                  </pic:spPr>
                </pic:pic>
              </a:graphicData>
            </a:graphic>
          </wp:anchor>
        </w:drawing>
      </w:r>
    </w:p>
    <w:p>
      <w:pPr>
        <w:spacing w:after="0" w:line="236" w:lineRule="exact"/>
        <w:rPr>
          <w:sz w:val="20"/>
          <w:szCs w:val="20"/>
          <w:color w:val="auto"/>
        </w:rPr>
      </w:pPr>
    </w:p>
    <w:p>
      <w:pPr>
        <w:ind w:left="240"/>
        <w:spacing w:after="0"/>
        <w:rPr>
          <w:sz w:val="20"/>
          <w:szCs w:val="20"/>
          <w:color w:val="auto"/>
        </w:rPr>
      </w:pPr>
      <w:r>
        <w:rPr>
          <w:rFonts w:ascii="Arial" w:cs="Arial" w:eastAsia="Arial" w:hAnsi="Arial"/>
          <w:sz w:val="16"/>
          <w:szCs w:val="16"/>
          <w:color w:val="auto"/>
        </w:rPr>
        <w:t>In the second quarter of 2006, we also made an acquisition, which was not material, that was integrated into the Semiconductor business segment.</w:t>
      </w:r>
    </w:p>
    <w:p>
      <w:pPr>
        <w:spacing w:after="0" w:line="302" w:lineRule="exact"/>
        <w:rPr>
          <w:sz w:val="20"/>
          <w:szCs w:val="20"/>
          <w:color w:val="auto"/>
        </w:rPr>
      </w:pPr>
    </w:p>
    <w:p>
      <w:pPr>
        <w:ind w:left="240"/>
        <w:spacing w:after="0" w:line="271" w:lineRule="auto"/>
        <w:rPr>
          <w:sz w:val="20"/>
          <w:szCs w:val="20"/>
          <w:color w:val="auto"/>
        </w:rPr>
      </w:pPr>
      <w:r>
        <w:rPr>
          <w:rFonts w:ascii="Arial" w:cs="Arial" w:eastAsia="Arial" w:hAnsi="Arial"/>
          <w:sz w:val="17"/>
          <w:szCs w:val="17"/>
          <w:i w:val="1"/>
          <w:iCs w:val="1"/>
          <w:color w:val="auto"/>
        </w:rPr>
        <w:t xml:space="preserve">Dispositions - </w:t>
      </w:r>
      <w:r>
        <w:rPr>
          <w:rFonts w:ascii="Arial" w:cs="Arial" w:eastAsia="Arial" w:hAnsi="Arial"/>
          <w:sz w:val="17"/>
          <w:szCs w:val="17"/>
          <w:color w:val="auto"/>
        </w:rPr>
        <w:t>In January 2006, we entered into a definitive agreement to sell substantially all of our Sensors &amp; Controls segment, excluding the radio</w:t>
      </w:r>
      <w:r>
        <w:rPr>
          <w:rFonts w:ascii="Arial" w:cs="Arial" w:eastAsia="Arial" w:hAnsi="Arial"/>
          <w:sz w:val="17"/>
          <w:szCs w:val="17"/>
          <w:i w:val="1"/>
          <w:iCs w:val="1"/>
          <w:color w:val="auto"/>
        </w:rPr>
        <w:t xml:space="preserve"> </w:t>
      </w:r>
      <w:r>
        <w:rPr>
          <w:rFonts w:ascii="Arial" w:cs="Arial" w:eastAsia="Arial" w:hAnsi="Arial"/>
          <w:sz w:val="17"/>
          <w:szCs w:val="17"/>
          <w:color w:val="auto"/>
        </w:rPr>
        <w:t>frequency identification (RFID) systems operations that had been operated as a part of that segment, to an affiliate of Bain Capital, LLC, a leading global private equity investment firm, for $3 billion in cash. The sale was completed on April 27, 2006. The operations and cash flows of the former Sensors &amp; Controls business have been eliminated from the ongoing operations of TI and we have no significant continuing involvement in the operations of the sold business. Beginning in the first quarter of 2006, the former Sensors &amp; Controls business is presented as a discontinued operation and the RFID operations retained are included within the Semiconductor business segment. Prior period financial statements, including segment information, have been reclassified to reflect these changes for all periods presented (see Note 2 for detailed information on discontinued operations and Note 6 for restated segment information).</w:t>
      </w:r>
    </w:p>
    <w:p>
      <w:pPr>
        <w:spacing w:after="0" w:line="233" w:lineRule="exact"/>
        <w:rPr>
          <w:sz w:val="20"/>
          <w:szCs w:val="20"/>
          <w:color w:val="auto"/>
        </w:rPr>
      </w:pPr>
    </w:p>
    <w:p>
      <w:pPr>
        <w:ind w:left="240" w:right="40"/>
        <w:spacing w:after="0" w:line="277" w:lineRule="auto"/>
        <w:rPr>
          <w:sz w:val="20"/>
          <w:szCs w:val="20"/>
          <w:color w:val="auto"/>
        </w:rPr>
      </w:pPr>
      <w:r>
        <w:rPr>
          <w:rFonts w:ascii="Arial" w:cs="Arial" w:eastAsia="Arial" w:hAnsi="Arial"/>
          <w:sz w:val="18"/>
          <w:szCs w:val="18"/>
          <w:i w:val="1"/>
          <w:iCs w:val="1"/>
          <w:color w:val="auto"/>
        </w:rPr>
        <w:t xml:space="preserve">Change in Capitalization - </w:t>
      </w:r>
      <w:r>
        <w:rPr>
          <w:rFonts w:ascii="Arial" w:cs="Arial" w:eastAsia="Arial" w:hAnsi="Arial"/>
          <w:sz w:val="18"/>
          <w:szCs w:val="18"/>
          <w:color w:val="auto"/>
        </w:rPr>
        <w:t>During the second quarter of 2006, TI’s Japan subsidiary prepaid $275 million of variable-rate bank notes. A portion of this</w:t>
      </w:r>
      <w:r>
        <w:rPr>
          <w:rFonts w:ascii="Arial" w:cs="Arial" w:eastAsia="Arial" w:hAnsi="Arial"/>
          <w:sz w:val="18"/>
          <w:szCs w:val="18"/>
          <w:i w:val="1"/>
          <w:iCs w:val="1"/>
          <w:color w:val="auto"/>
        </w:rPr>
        <w:t xml:space="preserve"> </w:t>
      </w:r>
      <w:r>
        <w:rPr>
          <w:rFonts w:ascii="Arial" w:cs="Arial" w:eastAsia="Arial" w:hAnsi="Arial"/>
          <w:sz w:val="18"/>
          <w:szCs w:val="18"/>
          <w:color w:val="auto"/>
        </w:rPr>
        <w:t>debt had been due in 2008 and the remainder had been due in 2010.</w:t>
      </w:r>
    </w:p>
    <w:p>
      <w:pPr>
        <w:spacing w:after="0" w:line="224" w:lineRule="exact"/>
        <w:rPr>
          <w:sz w:val="20"/>
          <w:szCs w:val="20"/>
          <w:color w:val="auto"/>
        </w:rPr>
      </w:pPr>
    </w:p>
    <w:p>
      <w:pPr>
        <w:ind w:left="240" w:right="60"/>
        <w:spacing w:after="0" w:line="287" w:lineRule="auto"/>
        <w:rPr>
          <w:sz w:val="20"/>
          <w:szCs w:val="20"/>
          <w:color w:val="auto"/>
        </w:rPr>
      </w:pPr>
      <w:r>
        <w:rPr>
          <w:rFonts w:ascii="Arial" w:cs="Arial" w:eastAsia="Arial" w:hAnsi="Arial"/>
          <w:sz w:val="16"/>
          <w:szCs w:val="16"/>
          <w:i w:val="1"/>
          <w:iCs w:val="1"/>
          <w:color w:val="auto"/>
        </w:rPr>
        <w:t xml:space="preserve">Basis of Presentation - </w:t>
      </w:r>
      <w:r>
        <w:rPr>
          <w:rFonts w:ascii="Arial" w:cs="Arial" w:eastAsia="Arial" w:hAnsi="Arial"/>
          <w:sz w:val="16"/>
          <w:szCs w:val="16"/>
          <w:color w:val="auto"/>
        </w:rPr>
        <w:t>The consolidated financial statements have been prepared in accordance with accounting principles generally accepted in the</w:t>
      </w:r>
      <w:r>
        <w:rPr>
          <w:rFonts w:ascii="Arial" w:cs="Arial" w:eastAsia="Arial" w:hAnsi="Arial"/>
          <w:sz w:val="16"/>
          <w:szCs w:val="16"/>
          <w:i w:val="1"/>
          <w:iCs w:val="1"/>
          <w:color w:val="auto"/>
        </w:rPr>
        <w:t xml:space="preserve"> </w:t>
      </w:r>
      <w:r>
        <w:rPr>
          <w:rFonts w:ascii="Arial" w:cs="Arial" w:eastAsia="Arial" w:hAnsi="Arial"/>
          <w:sz w:val="16"/>
          <w:szCs w:val="16"/>
          <w:color w:val="auto"/>
        </w:rPr>
        <w:t>U.S. (US GAAP) and, except for the adoption of a change in depreciation method in the first quarter of 2006 and the presentation of discontinued operations, on the same basis as the audited financial statements included in our annual report on Form 10-K for the year ended December 31, 2005. The consolidated statements of income, statements of comprehensive income and statements of cash flows for the periods ended June 30, 2006 and 2005, and the balance sheet as of June 30, 2006, are not audited but reflect all adjustments that are of a normal recurring nature and are necessary for a fair statement of the results of the periods shown. The consolidated balance sheet at December 31, 2005, was derived from the audited consolidated balance sheet at that date and restated to reflect discontinued operations. Certain amounts in the prior periods’ financial statements have been reclassified to conform to the current period presentation. Certain information and note disclosures normally included in annual consolidated financial statements have been omitted pursuant to the rules and regulations of the U.S. Securities and Exchange Commission. Because the consolidated interim financial statements do not include all of the information and notes required by US GAAP for a complete set of financial statements, they should be read in conjunction with the audited consolidated financial statements and notes included in our annual report on Form 10-K for the year ended December 31, 2005. The results for the six-month period are not necessarily indicative of a full year's results.</w:t>
      </w:r>
    </w:p>
    <w:p>
      <w:pPr>
        <w:spacing w:after="0" w:line="223" w:lineRule="exact"/>
        <w:rPr>
          <w:sz w:val="20"/>
          <w:szCs w:val="20"/>
          <w:color w:val="auto"/>
        </w:rPr>
      </w:pPr>
    </w:p>
    <w:p>
      <w:pPr>
        <w:ind w:left="240" w:right="120"/>
        <w:spacing w:after="0" w:line="264" w:lineRule="auto"/>
        <w:rPr>
          <w:sz w:val="20"/>
          <w:szCs w:val="20"/>
          <w:color w:val="auto"/>
        </w:rPr>
      </w:pPr>
      <w:r>
        <w:rPr>
          <w:rFonts w:ascii="Arial" w:cs="Arial" w:eastAsia="Arial" w:hAnsi="Arial"/>
          <w:sz w:val="18"/>
          <w:szCs w:val="18"/>
          <w:color w:val="auto"/>
        </w:rPr>
        <w:t>The consolidated financial statements include the accounts of all subsidiaries. All intercompany balances and transactions have been eliminated in consolidation. All dollar amounts in the financial statements and tables in the notes, except share and per-share amounts, are stated in millions of U.S. dollars unless otherwise indicated.</w:t>
      </w:r>
    </w:p>
    <w:p>
      <w:pPr>
        <w:spacing w:after="0" w:line="231" w:lineRule="exact"/>
        <w:rPr>
          <w:sz w:val="20"/>
          <w:szCs w:val="20"/>
          <w:color w:val="auto"/>
        </w:rPr>
      </w:pPr>
    </w:p>
    <w:p>
      <w:pPr>
        <w:jc w:val="center"/>
        <w:ind w:right="240"/>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-161290</wp:posOffset>
            </wp:positionH>
            <wp:positionV relativeFrom="paragraph">
              <wp:posOffset>70485</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40"/>
          </w:cols>
          <w:pgMar w:left="500" w:top="364" w:right="259" w:bottom="1440" w:gutter="0" w:footer="0" w:header="0"/>
        </w:sectPr>
      </w:pPr>
    </w:p>
    <w:bookmarkStart w:id="6" w:name="page7"/>
    <w:bookmarkEnd w:id="6"/>
    <w:p>
      <w:pPr>
        <w:ind w:left="500" w:right="40"/>
        <w:spacing w:after="0" w:line="255" w:lineRule="auto"/>
        <w:rPr>
          <w:sz w:val="20"/>
          <w:szCs w:val="20"/>
          <w:color w:val="auto"/>
        </w:rPr>
      </w:pPr>
      <w:r>
        <w:rPr>
          <w:rFonts w:ascii="Arial" w:cs="Arial" w:eastAsia="Arial" w:hAnsi="Arial"/>
          <w:sz w:val="18"/>
          <w:szCs w:val="18"/>
          <w:color w:val="auto"/>
        </w:rPr>
        <w:t>Effective January 1, 2006, as a result of a study made of the pattern of usage of our long-lived depreciable assets, we adopted the straight-line method of depreciation for all property, plant and equipment. Under the provisions of Financial Accounting Standards Board (FASB) Statement of Financial Accounting Standards (SFAS) No. 154, “</w:t>
      </w:r>
      <w:r>
        <w:rPr>
          <w:rFonts w:ascii="Arial" w:cs="Arial" w:eastAsia="Arial" w:hAnsi="Arial"/>
          <w:sz w:val="18"/>
          <w:szCs w:val="18"/>
          <w:i w:val="1"/>
          <w:iCs w:val="1"/>
          <w:color w:val="auto"/>
        </w:rPr>
        <w:t>Accounting Changes and Error Corrections,”</w:t>
      </w:r>
      <w:r>
        <w:rPr>
          <w:rFonts w:ascii="Arial" w:cs="Arial" w:eastAsia="Arial" w:hAnsi="Arial"/>
          <w:sz w:val="18"/>
          <w:szCs w:val="18"/>
          <w:color w:val="auto"/>
        </w:rPr>
        <w:t xml:space="preserve"> which became effective as of January 1, 2006, a change in depreciation method is treated on a prospective basis as a change in estimate. Prior period results will not be restated. The effect of the change in depreciation method for the three months and six months ended June 30, 2006, was to reduce depreciation expense by about $40 million and about $69 million, and increase both income from continuing operations and net income by about $21 million ($0.01 per share) and about $26 million ($0.02 per share), respectively.</w:t>
      </w:r>
    </w:p>
    <w:p>
      <w:pPr>
        <w:spacing w:after="0" w:line="243" w:lineRule="exact"/>
        <w:rPr>
          <w:sz w:val="20"/>
          <w:szCs w:val="20"/>
          <w:color w:val="auto"/>
        </w:rPr>
      </w:pPr>
    </w:p>
    <w:p>
      <w:pPr>
        <w:ind w:left="500" w:right="20"/>
        <w:spacing w:after="0" w:line="312" w:lineRule="auto"/>
        <w:rPr>
          <w:sz w:val="20"/>
          <w:szCs w:val="20"/>
          <w:color w:val="auto"/>
        </w:rPr>
      </w:pPr>
      <w:r>
        <w:rPr>
          <w:rFonts w:ascii="Arial" w:cs="Arial" w:eastAsia="Arial" w:hAnsi="Arial"/>
          <w:sz w:val="16"/>
          <w:szCs w:val="16"/>
          <w:i w:val="1"/>
          <w:iCs w:val="1"/>
          <w:color w:val="auto"/>
        </w:rPr>
        <w:t xml:space="preserve">Changes in Accounting Standards - </w:t>
      </w:r>
      <w:r>
        <w:rPr>
          <w:rFonts w:ascii="Arial" w:cs="Arial" w:eastAsia="Arial" w:hAnsi="Arial"/>
          <w:sz w:val="16"/>
          <w:szCs w:val="16"/>
          <w:color w:val="auto"/>
        </w:rPr>
        <w:t>Beginning as of January 1, 2006, we implemented SFAS No. 151, “</w:t>
      </w:r>
      <w:r>
        <w:rPr>
          <w:rFonts w:ascii="Arial" w:cs="Arial" w:eastAsia="Arial" w:hAnsi="Arial"/>
          <w:sz w:val="16"/>
          <w:szCs w:val="16"/>
          <w:i w:val="1"/>
          <w:iCs w:val="1"/>
          <w:color w:val="auto"/>
        </w:rPr>
        <w:t>Inventory Costs, an Amendment of ARB No. 43, Chapter 4</w:t>
      </w:r>
      <w:r>
        <w:rPr>
          <w:rFonts w:ascii="Arial" w:cs="Arial" w:eastAsia="Arial" w:hAnsi="Arial"/>
          <w:sz w:val="16"/>
          <w:szCs w:val="16"/>
          <w:color w:val="auto"/>
        </w:rPr>
        <w:t>.” The primary impact of this change to our inventory valuation methodology was to change how the fixed production overhead costs</w:t>
      </w:r>
      <w:r>
        <w:rPr>
          <w:rFonts w:ascii="Arial" w:cs="Arial" w:eastAsia="Arial" w:hAnsi="Arial"/>
          <w:sz w:val="16"/>
          <w:szCs w:val="16"/>
          <w:i w:val="1"/>
          <w:iCs w:val="1"/>
          <w:color w:val="auto"/>
        </w:rPr>
        <w:t xml:space="preserve"> </w:t>
      </w:r>
      <w:r>
        <w:rPr>
          <w:rFonts w:ascii="Arial" w:cs="Arial" w:eastAsia="Arial" w:hAnsi="Arial"/>
          <w:sz w:val="16"/>
          <w:szCs w:val="16"/>
          <w:color w:val="auto"/>
        </w:rPr>
        <w:t>included in inventory are calculated. The effect of this change for the six months ended June 30, 2006, on inventory and net income was not material</w:t>
      </w:r>
    </w:p>
    <w:p>
      <w:pPr>
        <w:spacing w:after="0" w:line="201" w:lineRule="exact"/>
        <w:rPr>
          <w:sz w:val="20"/>
          <w:szCs w:val="20"/>
          <w:color w:val="auto"/>
        </w:rPr>
      </w:pPr>
    </w:p>
    <w:p>
      <w:pPr>
        <w:ind w:left="500" w:right="120"/>
        <w:spacing w:after="0" w:line="255" w:lineRule="auto"/>
        <w:rPr>
          <w:sz w:val="20"/>
          <w:szCs w:val="20"/>
          <w:color w:val="auto"/>
        </w:rPr>
      </w:pPr>
      <w:r>
        <w:rPr>
          <w:rFonts w:ascii="Arial" w:cs="Arial" w:eastAsia="Arial" w:hAnsi="Arial"/>
          <w:sz w:val="18"/>
          <w:szCs w:val="18"/>
          <w:color w:val="auto"/>
        </w:rPr>
        <w:t>In June 2006, the FASB ratified Emerging Issues Task Force (EITF) Issue No. 06-3, “</w:t>
      </w:r>
      <w:r>
        <w:rPr>
          <w:rFonts w:ascii="Arial" w:cs="Arial" w:eastAsia="Arial" w:hAnsi="Arial"/>
          <w:sz w:val="18"/>
          <w:szCs w:val="18"/>
          <w:i w:val="1"/>
          <w:iCs w:val="1"/>
          <w:color w:val="auto"/>
        </w:rPr>
        <w:t>How Taxes Collected from Customers and Remitted to</w:t>
      </w:r>
      <w:r>
        <w:rPr>
          <w:rFonts w:ascii="Arial" w:cs="Arial" w:eastAsia="Arial" w:hAnsi="Arial"/>
          <w:sz w:val="18"/>
          <w:szCs w:val="18"/>
          <w:color w:val="auto"/>
        </w:rPr>
        <w:t xml:space="preserve"> </w:t>
      </w:r>
      <w:r>
        <w:rPr>
          <w:rFonts w:ascii="Arial" w:cs="Arial" w:eastAsia="Arial" w:hAnsi="Arial"/>
          <w:sz w:val="18"/>
          <w:szCs w:val="18"/>
          <w:i w:val="1"/>
          <w:iCs w:val="1"/>
          <w:color w:val="auto"/>
        </w:rPr>
        <w:t>Governmental Authorities Should Be Presented in the Income Statement (That Is, Gross Versus Net Presentation).</w:t>
      </w:r>
      <w:r>
        <w:rPr>
          <w:rFonts w:ascii="Arial" w:cs="Arial" w:eastAsia="Arial" w:hAnsi="Arial"/>
          <w:sz w:val="18"/>
          <w:szCs w:val="18"/>
          <w:color w:val="auto"/>
        </w:rPr>
        <w:t>” This standard allows companies to</w:t>
      </w:r>
      <w:r>
        <w:rPr>
          <w:rFonts w:ascii="Arial" w:cs="Arial" w:eastAsia="Arial" w:hAnsi="Arial"/>
          <w:sz w:val="18"/>
          <w:szCs w:val="18"/>
          <w:i w:val="1"/>
          <w:iCs w:val="1"/>
          <w:color w:val="auto"/>
        </w:rPr>
        <w:t xml:space="preserve"> </w:t>
      </w:r>
      <w:r>
        <w:rPr>
          <w:rFonts w:ascii="Arial" w:cs="Arial" w:eastAsia="Arial" w:hAnsi="Arial"/>
          <w:sz w:val="18"/>
          <w:szCs w:val="18"/>
          <w:color w:val="auto"/>
        </w:rPr>
        <w:t>present in their statements of income any taxes assessed by a governmental authority that are directly imposed on revenue-producing transactions between a seller and a customer, such as sales, use, value-added, and some excise taxes, on either a gross (included in revenue and costs) or a net (excluded from revenue) basis. This standard will be effective for us in interim and fiscal years beginning after December 15, 2006. We are currently evaluating the potential impact of this issue on our financial position and results of operations, but do not believe the impact of the adoption of this standard will be material.</w:t>
      </w:r>
    </w:p>
    <w:p>
      <w:pPr>
        <w:spacing w:after="0" w:line="243" w:lineRule="exact"/>
        <w:rPr>
          <w:sz w:val="20"/>
          <w:szCs w:val="20"/>
          <w:color w:val="auto"/>
        </w:rPr>
      </w:pPr>
    </w:p>
    <w:p>
      <w:pPr>
        <w:ind w:left="500" w:right="360" w:hanging="231"/>
        <w:spacing w:after="0" w:line="286" w:lineRule="auto"/>
        <w:tabs>
          <w:tab w:leader="none" w:pos="500" w:val="left"/>
        </w:tabs>
        <w:numPr>
          <w:ilvl w:val="0"/>
          <w:numId w:val="4"/>
        </w:numPr>
        <w:rPr>
          <w:rFonts w:ascii="Arial" w:cs="Arial" w:eastAsia="Arial" w:hAnsi="Arial"/>
          <w:sz w:val="17"/>
          <w:szCs w:val="17"/>
          <w:color w:val="auto"/>
        </w:rPr>
      </w:pPr>
      <w:r>
        <w:rPr>
          <w:rFonts w:ascii="Arial" w:cs="Arial" w:eastAsia="Arial" w:hAnsi="Arial"/>
          <w:sz w:val="17"/>
          <w:szCs w:val="17"/>
          <w:u w:val="single" w:color="auto"/>
          <w:color w:val="auto"/>
        </w:rPr>
        <w:t>Discontinued Operations.</w:t>
      </w:r>
      <w:r>
        <w:rPr>
          <w:rFonts w:ascii="Arial" w:cs="Arial" w:eastAsia="Arial" w:hAnsi="Arial"/>
          <w:sz w:val="17"/>
          <w:szCs w:val="17"/>
          <w:color w:val="auto"/>
        </w:rPr>
        <w:t xml:space="preserve"> On January 9, 2006, we announced a definitive agreement to sell substantially all of the Sensors &amp; Controls segment, excluding the RFID systems operations, to an affiliate of Bain Capital, LLC, for $3 billion in cash. The sale was completed on April 27, 2006. The former Sensors &amp; Controls business acquired by Bain Capital, LLC was renamed Sensata Technologies (Sensata).</w:t>
      </w:r>
    </w:p>
    <w:p>
      <w:pPr>
        <w:spacing w:after="0" w:line="219" w:lineRule="exact"/>
        <w:rPr>
          <w:rFonts w:ascii="Arial" w:cs="Arial" w:eastAsia="Arial" w:hAnsi="Arial"/>
          <w:sz w:val="17"/>
          <w:szCs w:val="17"/>
          <w:color w:val="auto"/>
        </w:rPr>
      </w:pPr>
    </w:p>
    <w:p>
      <w:pPr>
        <w:ind w:left="500"/>
        <w:spacing w:after="0" w:line="264" w:lineRule="auto"/>
        <w:rPr>
          <w:rFonts w:ascii="Arial" w:cs="Arial" w:eastAsia="Arial" w:hAnsi="Arial"/>
          <w:sz w:val="17"/>
          <w:szCs w:val="17"/>
          <w:color w:val="auto"/>
        </w:rPr>
      </w:pPr>
      <w:r>
        <w:rPr>
          <w:rFonts w:ascii="Arial" w:cs="Arial" w:eastAsia="Arial" w:hAnsi="Arial"/>
          <w:sz w:val="18"/>
          <w:szCs w:val="18"/>
          <w:color w:val="auto"/>
        </w:rPr>
        <w:t>The results of operations of the former Sensors &amp; Controls business are being presented as discontinued operations. The following summarizes results from the discontinued operations of the former Sensors &amp; Controls business for the periods ended June 30, 2006 and 2005, included in the consolidated statements of income:</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2620" w:type="dxa"/>
            <w:vAlign w:val="bottom"/>
            <w:gridSpan w:val="5"/>
          </w:tcPr>
          <w:p>
            <w:pPr>
              <w:jc w:val="right"/>
              <w:ind w:right="30"/>
              <w:spacing w:after="0"/>
              <w:rPr>
                <w:sz w:val="20"/>
                <w:szCs w:val="20"/>
                <w:color w:val="auto"/>
              </w:rPr>
            </w:pPr>
            <w:r>
              <w:rPr>
                <w:rFonts w:ascii="Arial" w:cs="Arial" w:eastAsia="Arial" w:hAnsi="Arial"/>
                <w:sz w:val="18"/>
                <w:szCs w:val="18"/>
                <w:b w:val="1"/>
                <w:bCs w:val="1"/>
                <w:color w:val="auto"/>
              </w:rPr>
              <w:t>Three Months Ended</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720" w:type="dxa"/>
            <w:vAlign w:val="bottom"/>
            <w:gridSpan w:val="5"/>
          </w:tcPr>
          <w:p>
            <w:pPr>
              <w:ind w:left="48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14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4"/>
          </w:tcPr>
          <w:p>
            <w:pPr>
              <w:jc w:val="right"/>
              <w:ind w:right="610"/>
              <w:spacing w:after="0"/>
              <w:rPr>
                <w:sz w:val="20"/>
                <w:szCs w:val="20"/>
                <w:color w:val="auto"/>
              </w:rPr>
            </w:pPr>
            <w:r>
              <w:rPr>
                <w:rFonts w:ascii="Arial" w:cs="Arial" w:eastAsia="Arial" w:hAnsi="Arial"/>
                <w:sz w:val="18"/>
                <w:szCs w:val="18"/>
                <w:b w:val="1"/>
                <w:bCs w:val="1"/>
                <w:color w:val="auto"/>
              </w:rPr>
              <w:t>June 30,</w:t>
            </w:r>
          </w:p>
        </w:tc>
        <w:tc>
          <w:tcPr>
            <w:tcW w:w="3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8"/>
                <w:szCs w:val="18"/>
                <w:b w:val="1"/>
                <w:bCs w:val="1"/>
                <w:color w:val="auto"/>
              </w:rPr>
              <w:t>June 30,</w:t>
            </w:r>
          </w:p>
        </w:tc>
        <w:tc>
          <w:tcPr>
            <w:tcW w:w="9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514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2006</w:t>
            </w:r>
          </w:p>
        </w:tc>
        <w:tc>
          <w:tcPr>
            <w:tcW w:w="4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b w:val="1"/>
                <w:bCs w:val="1"/>
                <w:color w:val="auto"/>
              </w:rPr>
              <w:t>2005</w:t>
            </w:r>
          </w:p>
        </w:tc>
        <w:tc>
          <w:tcPr>
            <w:tcW w:w="3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40" w:type="dxa"/>
            <w:vAlign w:val="bottom"/>
          </w:tcPr>
          <w:p>
            <w:pPr>
              <w:jc w:val="right"/>
              <w:ind w:right="350"/>
              <w:spacing w:after="0"/>
              <w:rPr>
                <w:sz w:val="20"/>
                <w:szCs w:val="20"/>
                <w:color w:val="auto"/>
              </w:rPr>
            </w:pPr>
            <w:r>
              <w:rPr>
                <w:rFonts w:ascii="Arial" w:cs="Arial" w:eastAsia="Arial" w:hAnsi="Arial"/>
                <w:sz w:val="18"/>
                <w:szCs w:val="18"/>
                <w:b w:val="1"/>
                <w:bCs w:val="1"/>
                <w:color w:val="auto"/>
              </w:rPr>
              <w:t>2006</w:t>
            </w:r>
          </w:p>
        </w:tc>
        <w:tc>
          <w:tcPr>
            <w:tcW w:w="2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b w:val="1"/>
                <w:bCs w:val="1"/>
                <w:color w:val="auto"/>
              </w:rPr>
              <w:t>2005</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140" w:type="dxa"/>
            <w:vAlign w:val="bottom"/>
            <w:shd w:val="clear" w:color="auto" w:fill="CCEEFF"/>
          </w:tcPr>
          <w:p>
            <w:pPr>
              <w:spacing w:after="0"/>
              <w:rPr>
                <w:sz w:val="20"/>
                <w:szCs w:val="20"/>
                <w:color w:val="auto"/>
              </w:rPr>
            </w:pPr>
          </w:p>
        </w:tc>
        <w:tc>
          <w:tcPr>
            <w:tcW w:w="940" w:type="dxa"/>
            <w:vAlign w:val="bottom"/>
            <w:tcBorders>
              <w:top w:val="single" w:sz="8" w:color="auto"/>
            </w:tcBorders>
            <w:shd w:val="clear" w:color="auto" w:fill="CCEEFF"/>
          </w:tcPr>
          <w:p>
            <w:pPr>
              <w:spacing w:after="0"/>
              <w:rPr>
                <w:sz w:val="20"/>
                <w:szCs w:val="20"/>
                <w:color w:val="auto"/>
              </w:rPr>
            </w:pPr>
          </w:p>
        </w:tc>
        <w:tc>
          <w:tcPr>
            <w:tcW w:w="440" w:type="dxa"/>
            <w:vAlign w:val="bottom"/>
            <w:tcBorders>
              <w:top w:val="single" w:sz="8" w:color="auto"/>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20" w:type="dxa"/>
            <w:vAlign w:val="bottom"/>
            <w:tcBorders>
              <w:top w:val="single" w:sz="8" w:color="auto"/>
            </w:tcBorders>
            <w:shd w:val="clear" w:color="auto" w:fill="CCEEFF"/>
          </w:tcPr>
          <w:p>
            <w:pPr>
              <w:spacing w:after="0"/>
              <w:rPr>
                <w:sz w:val="20"/>
                <w:szCs w:val="20"/>
                <w:color w:val="auto"/>
              </w:rPr>
            </w:pPr>
          </w:p>
        </w:tc>
        <w:tc>
          <w:tcPr>
            <w:tcW w:w="360" w:type="dxa"/>
            <w:vAlign w:val="bottom"/>
            <w:tcBorders>
              <w:top w:val="single" w:sz="8" w:color="auto"/>
            </w:tcBorders>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340" w:type="dxa"/>
            <w:vAlign w:val="bottom"/>
            <w:tcBorders>
              <w:top w:val="single" w:sz="8" w:color="auto"/>
            </w:tcBorders>
            <w:shd w:val="clear" w:color="auto" w:fill="CCEEFF"/>
          </w:tcPr>
          <w:p>
            <w:pPr>
              <w:spacing w:after="0"/>
              <w:rPr>
                <w:sz w:val="20"/>
                <w:szCs w:val="20"/>
                <w:color w:val="auto"/>
              </w:rPr>
            </w:pPr>
          </w:p>
        </w:tc>
        <w:tc>
          <w:tcPr>
            <w:tcW w:w="1040" w:type="dxa"/>
            <w:vAlign w:val="bottom"/>
            <w:tcBorders>
              <w:top w:val="single" w:sz="8" w:color="auto"/>
            </w:tcBorders>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400" w:type="dxa"/>
            <w:vAlign w:val="bottom"/>
            <w:tcBorders>
              <w:top w:val="single" w:sz="8" w:color="auto"/>
            </w:tcBorders>
            <w:shd w:val="clear" w:color="auto" w:fill="CCEEFF"/>
          </w:tcPr>
          <w:p>
            <w:pPr>
              <w:spacing w:after="0"/>
              <w:rPr>
                <w:sz w:val="20"/>
                <w:szCs w:val="20"/>
                <w:color w:val="auto"/>
              </w:rPr>
            </w:pPr>
          </w:p>
        </w:tc>
        <w:tc>
          <w:tcPr>
            <w:tcW w:w="960" w:type="dxa"/>
            <w:vAlign w:val="bottom"/>
            <w:tcBorders>
              <w:top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160" w:type="dxa"/>
            <w:vAlign w:val="bottom"/>
            <w:gridSpan w:val="2"/>
          </w:tcPr>
          <w:p>
            <w:pPr>
              <w:spacing w:after="0"/>
              <w:rPr>
                <w:sz w:val="20"/>
                <w:szCs w:val="20"/>
                <w:color w:val="auto"/>
              </w:rPr>
            </w:pPr>
            <w:r>
              <w:rPr>
                <w:rFonts w:ascii="Arial" w:cs="Arial" w:eastAsia="Arial" w:hAnsi="Arial"/>
                <w:sz w:val="18"/>
                <w:szCs w:val="18"/>
                <w:color w:val="auto"/>
              </w:rPr>
              <w:t>Net revenue</w:t>
            </w:r>
          </w:p>
        </w:tc>
        <w:tc>
          <w:tcPr>
            <w:tcW w:w="940" w:type="dxa"/>
            <w:vAlign w:val="bottom"/>
          </w:tcPr>
          <w:p>
            <w:pPr>
              <w:jc w:val="right"/>
              <w:ind w:right="780"/>
              <w:spacing w:after="0"/>
              <w:rPr>
                <w:sz w:val="20"/>
                <w:szCs w:val="20"/>
                <w:color w:val="auto"/>
              </w:rPr>
            </w:pPr>
            <w:r>
              <w:rPr>
                <w:rFonts w:ascii="Arial" w:cs="Arial" w:eastAsia="Arial" w:hAnsi="Arial"/>
                <w:sz w:val="15"/>
                <w:szCs w:val="15"/>
                <w:color w:val="auto"/>
                <w:w w:val="71"/>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81</w:t>
            </w:r>
          </w:p>
        </w:tc>
        <w:tc>
          <w:tcPr>
            <w:tcW w:w="140" w:type="dxa"/>
            <w:vAlign w:val="bottom"/>
          </w:tcPr>
          <w:p>
            <w:pPr>
              <w:spacing w:after="0"/>
              <w:rPr>
                <w:sz w:val="21"/>
                <w:szCs w:val="21"/>
                <w:color w:val="auto"/>
              </w:rPr>
            </w:pPr>
          </w:p>
        </w:tc>
        <w:tc>
          <w:tcPr>
            <w:tcW w:w="1100" w:type="dxa"/>
            <w:vAlign w:val="bottom"/>
            <w:gridSpan w:val="2"/>
          </w:tcPr>
          <w:p>
            <w:pPr>
              <w:jc w:val="right"/>
              <w:ind w:right="83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220"/>
              <w:spacing w:after="0"/>
              <w:rPr>
                <w:sz w:val="20"/>
                <w:szCs w:val="20"/>
                <w:color w:val="auto"/>
              </w:rPr>
            </w:pPr>
            <w:r>
              <w:rPr>
                <w:rFonts w:ascii="Arial" w:cs="Arial" w:eastAsia="Arial" w:hAnsi="Arial"/>
                <w:sz w:val="18"/>
                <w:szCs w:val="18"/>
                <w:color w:val="auto"/>
              </w:rPr>
              <w:t>268</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375</w:t>
            </w: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538</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Operating costs and expenses</w:t>
            </w:r>
          </w:p>
        </w:tc>
        <w:tc>
          <w:tcPr>
            <w:tcW w:w="940" w:type="dxa"/>
            <w:vAlign w:val="bottom"/>
            <w:shd w:val="clear" w:color="auto" w:fill="CCEEFF"/>
          </w:tcPr>
          <w:p>
            <w:pPr>
              <w:spacing w:after="0"/>
              <w:rPr>
                <w:sz w:val="21"/>
                <w:szCs w:val="21"/>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w:t>
            </w:r>
          </w:p>
        </w:tc>
        <w:tc>
          <w:tcPr>
            <w:tcW w:w="2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313</w:t>
            </w:r>
          </w:p>
        </w:tc>
        <w:tc>
          <w:tcPr>
            <w:tcW w:w="40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160" w:type="dxa"/>
            <w:vAlign w:val="bottom"/>
            <w:gridSpan w:val="2"/>
          </w:tcPr>
          <w:p>
            <w:pPr>
              <w:spacing w:after="0"/>
              <w:rPr>
                <w:sz w:val="20"/>
                <w:szCs w:val="20"/>
                <w:color w:val="auto"/>
              </w:rPr>
            </w:pPr>
            <w:r>
              <w:rPr>
                <w:rFonts w:ascii="Arial" w:cs="Arial" w:eastAsia="Arial" w:hAnsi="Arial"/>
                <w:sz w:val="18"/>
                <w:szCs w:val="18"/>
                <w:color w:val="auto"/>
                <w:w w:val="99"/>
              </w:rPr>
              <w:t>Income (loss) from discontinued operations, before income taxes</w:t>
            </w:r>
          </w:p>
        </w:tc>
        <w:tc>
          <w:tcPr>
            <w:tcW w:w="940" w:type="dxa"/>
            <w:vAlign w:val="bottom"/>
          </w:tcPr>
          <w:p>
            <w:pPr>
              <w:spacing w:after="0"/>
              <w:rPr>
                <w:sz w:val="20"/>
                <w:szCs w:val="20"/>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8"/>
                <w:szCs w:val="18"/>
                <w:color w:val="auto"/>
              </w:rPr>
              <w:t>67</w:t>
            </w:r>
          </w:p>
        </w:tc>
        <w:tc>
          <w:tcPr>
            <w:tcW w:w="340" w:type="dxa"/>
            <w:vAlign w:val="bottom"/>
          </w:tcPr>
          <w:p>
            <w:pPr>
              <w:spacing w:after="0"/>
              <w:rPr>
                <w:sz w:val="20"/>
                <w:szCs w:val="20"/>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62</w:t>
            </w:r>
          </w:p>
        </w:tc>
        <w:tc>
          <w:tcPr>
            <w:tcW w:w="40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940" w:type="dxa"/>
            <w:vAlign w:val="bottom"/>
            <w:shd w:val="clear" w:color="auto" w:fill="CCEEFF"/>
          </w:tcPr>
          <w:p>
            <w:pPr>
              <w:spacing w:after="0"/>
              <w:rPr>
                <w:sz w:val="21"/>
                <w:szCs w:val="21"/>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w:t>
            </w:r>
          </w:p>
        </w:tc>
        <w:tc>
          <w:tcPr>
            <w:tcW w:w="40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140" w:type="dxa"/>
            <w:vAlign w:val="bottom"/>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Income (loss) from discontinued operations, net of tax</w:t>
            </w:r>
          </w:p>
        </w:tc>
        <w:tc>
          <w:tcPr>
            <w:tcW w:w="940" w:type="dxa"/>
            <w:vAlign w:val="bottom"/>
          </w:tcPr>
          <w:p>
            <w:pPr>
              <w:spacing w:after="0"/>
              <w:rPr>
                <w:sz w:val="20"/>
                <w:szCs w:val="20"/>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8"/>
                <w:szCs w:val="18"/>
                <w:color w:val="auto"/>
              </w:rPr>
              <w:t>44</w:t>
            </w:r>
          </w:p>
        </w:tc>
        <w:tc>
          <w:tcPr>
            <w:tcW w:w="340" w:type="dxa"/>
            <w:vAlign w:val="bottom"/>
          </w:tcPr>
          <w:p>
            <w:pPr>
              <w:spacing w:after="0"/>
              <w:rPr>
                <w:sz w:val="20"/>
                <w:szCs w:val="20"/>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39</w:t>
            </w:r>
          </w:p>
        </w:tc>
        <w:tc>
          <w:tcPr>
            <w:tcW w:w="40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140" w:type="dxa"/>
            <w:vAlign w:val="bottom"/>
            <w:shd w:val="clear" w:color="auto" w:fill="CCEEFF"/>
          </w:tcPr>
          <w:p>
            <w:pPr>
              <w:spacing w:after="0"/>
              <w:rPr>
                <w:sz w:val="20"/>
                <w:szCs w:val="20"/>
                <w:color w:val="auto"/>
              </w:rPr>
            </w:pPr>
          </w:p>
        </w:tc>
        <w:tc>
          <w:tcPr>
            <w:tcW w:w="940" w:type="dxa"/>
            <w:vAlign w:val="bottom"/>
            <w:tcBorders>
              <w:top w:val="single" w:sz="8" w:color="auto"/>
            </w:tcBorders>
            <w:shd w:val="clear" w:color="auto" w:fill="CCEEFF"/>
          </w:tcPr>
          <w:p>
            <w:pPr>
              <w:spacing w:after="0"/>
              <w:rPr>
                <w:sz w:val="20"/>
                <w:szCs w:val="20"/>
                <w:color w:val="auto"/>
              </w:rPr>
            </w:pPr>
          </w:p>
        </w:tc>
        <w:tc>
          <w:tcPr>
            <w:tcW w:w="440" w:type="dxa"/>
            <w:vAlign w:val="bottom"/>
            <w:tcBorders>
              <w:top w:val="single" w:sz="8" w:color="auto"/>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20" w:type="dxa"/>
            <w:vAlign w:val="bottom"/>
            <w:tcBorders>
              <w:top w:val="single" w:sz="8" w:color="auto"/>
            </w:tcBorders>
            <w:shd w:val="clear" w:color="auto" w:fill="CCEEFF"/>
          </w:tcPr>
          <w:p>
            <w:pPr>
              <w:spacing w:after="0"/>
              <w:rPr>
                <w:sz w:val="20"/>
                <w:szCs w:val="20"/>
                <w:color w:val="auto"/>
              </w:rPr>
            </w:pPr>
          </w:p>
        </w:tc>
        <w:tc>
          <w:tcPr>
            <w:tcW w:w="360" w:type="dxa"/>
            <w:vAlign w:val="bottom"/>
            <w:tcBorders>
              <w:top w:val="single" w:sz="8" w:color="auto"/>
            </w:tcBorders>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340" w:type="dxa"/>
            <w:vAlign w:val="bottom"/>
            <w:tcBorders>
              <w:top w:val="single" w:sz="8" w:color="auto"/>
            </w:tcBorders>
            <w:shd w:val="clear" w:color="auto" w:fill="CCEEFF"/>
          </w:tcPr>
          <w:p>
            <w:pPr>
              <w:spacing w:after="0"/>
              <w:rPr>
                <w:sz w:val="20"/>
                <w:szCs w:val="20"/>
                <w:color w:val="auto"/>
              </w:rPr>
            </w:pPr>
          </w:p>
        </w:tc>
        <w:tc>
          <w:tcPr>
            <w:tcW w:w="1040" w:type="dxa"/>
            <w:vAlign w:val="bottom"/>
            <w:tcBorders>
              <w:top w:val="single" w:sz="8" w:color="auto"/>
            </w:tcBorders>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400" w:type="dxa"/>
            <w:vAlign w:val="bottom"/>
            <w:tcBorders>
              <w:top w:val="single" w:sz="8" w:color="auto"/>
            </w:tcBorders>
            <w:shd w:val="clear" w:color="auto" w:fill="CCEEFF"/>
          </w:tcPr>
          <w:p>
            <w:pPr>
              <w:spacing w:after="0"/>
              <w:rPr>
                <w:sz w:val="20"/>
                <w:szCs w:val="20"/>
                <w:color w:val="auto"/>
              </w:rPr>
            </w:pPr>
          </w:p>
        </w:tc>
        <w:tc>
          <w:tcPr>
            <w:tcW w:w="960" w:type="dxa"/>
            <w:vAlign w:val="bottom"/>
            <w:tcBorders>
              <w:top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160" w:type="dxa"/>
            <w:vAlign w:val="bottom"/>
            <w:gridSpan w:val="2"/>
          </w:tcPr>
          <w:p>
            <w:pPr>
              <w:spacing w:after="0"/>
              <w:rPr>
                <w:sz w:val="20"/>
                <w:szCs w:val="20"/>
                <w:color w:val="auto"/>
              </w:rPr>
            </w:pPr>
            <w:r>
              <w:rPr>
                <w:rFonts w:ascii="Arial" w:cs="Arial" w:eastAsia="Arial" w:hAnsi="Arial"/>
                <w:sz w:val="18"/>
                <w:szCs w:val="18"/>
                <w:color w:val="auto"/>
              </w:rPr>
              <w:t>Gain on sale of discontinued operations</w:t>
            </w:r>
          </w:p>
        </w:tc>
        <w:tc>
          <w:tcPr>
            <w:tcW w:w="94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8"/>
                <w:szCs w:val="18"/>
                <w:b w:val="1"/>
                <w:bCs w:val="1"/>
                <w:color w:val="auto"/>
                <w:w w:val="93"/>
              </w:rPr>
              <w:t>2,550</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34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2,550</w:t>
            </w:r>
          </w:p>
        </w:tc>
        <w:tc>
          <w:tcPr>
            <w:tcW w:w="400" w:type="dxa"/>
            <w:vAlign w:val="bottom"/>
          </w:tcPr>
          <w:p>
            <w:pPr>
              <w:spacing w:after="0"/>
              <w:rPr>
                <w:sz w:val="21"/>
                <w:szCs w:val="21"/>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940" w:type="dxa"/>
            <w:vAlign w:val="bottom"/>
            <w:shd w:val="clear" w:color="auto" w:fill="CCEEFF"/>
          </w:tcPr>
          <w:p>
            <w:pPr>
              <w:spacing w:after="0"/>
              <w:rPr>
                <w:sz w:val="21"/>
                <w:szCs w:val="21"/>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899</w:t>
            </w:r>
          </w:p>
        </w:tc>
        <w:tc>
          <w:tcPr>
            <w:tcW w:w="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899</w:t>
            </w:r>
          </w:p>
        </w:tc>
        <w:tc>
          <w:tcPr>
            <w:tcW w:w="40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140" w:type="dxa"/>
            <w:vAlign w:val="bottom"/>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Gain on sale of discontinued operations, net of tax</w:t>
            </w:r>
          </w:p>
        </w:tc>
        <w:tc>
          <w:tcPr>
            <w:tcW w:w="94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8"/>
                <w:szCs w:val="18"/>
                <w:b w:val="1"/>
                <w:bCs w:val="1"/>
                <w:color w:val="auto"/>
                <w:w w:val="93"/>
              </w:rPr>
              <w:t>1,651</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1,651</w:t>
            </w:r>
          </w:p>
        </w:tc>
        <w:tc>
          <w:tcPr>
            <w:tcW w:w="40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140" w:type="dxa"/>
            <w:vAlign w:val="bottom"/>
            <w:shd w:val="clear" w:color="auto" w:fill="CCEEFF"/>
          </w:tcPr>
          <w:p>
            <w:pPr>
              <w:spacing w:after="0"/>
              <w:rPr>
                <w:sz w:val="20"/>
                <w:szCs w:val="20"/>
                <w:color w:val="auto"/>
              </w:rPr>
            </w:pPr>
          </w:p>
        </w:tc>
        <w:tc>
          <w:tcPr>
            <w:tcW w:w="940" w:type="dxa"/>
            <w:vAlign w:val="bottom"/>
            <w:tcBorders>
              <w:top w:val="single" w:sz="8" w:color="auto"/>
            </w:tcBorders>
            <w:shd w:val="clear" w:color="auto" w:fill="CCEEFF"/>
          </w:tcPr>
          <w:p>
            <w:pPr>
              <w:spacing w:after="0"/>
              <w:rPr>
                <w:sz w:val="20"/>
                <w:szCs w:val="20"/>
                <w:color w:val="auto"/>
              </w:rPr>
            </w:pPr>
          </w:p>
        </w:tc>
        <w:tc>
          <w:tcPr>
            <w:tcW w:w="440" w:type="dxa"/>
            <w:vAlign w:val="bottom"/>
            <w:tcBorders>
              <w:top w:val="single" w:sz="8" w:color="auto"/>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20" w:type="dxa"/>
            <w:vAlign w:val="bottom"/>
            <w:tcBorders>
              <w:top w:val="single" w:sz="8" w:color="auto"/>
            </w:tcBorders>
            <w:shd w:val="clear" w:color="auto" w:fill="CCEEFF"/>
          </w:tcPr>
          <w:p>
            <w:pPr>
              <w:spacing w:after="0"/>
              <w:rPr>
                <w:sz w:val="20"/>
                <w:szCs w:val="20"/>
                <w:color w:val="auto"/>
              </w:rPr>
            </w:pPr>
          </w:p>
        </w:tc>
        <w:tc>
          <w:tcPr>
            <w:tcW w:w="360" w:type="dxa"/>
            <w:vAlign w:val="bottom"/>
            <w:tcBorders>
              <w:top w:val="single" w:sz="8" w:color="auto"/>
            </w:tcBorders>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340" w:type="dxa"/>
            <w:vAlign w:val="bottom"/>
            <w:tcBorders>
              <w:top w:val="single" w:sz="8" w:color="auto"/>
            </w:tcBorders>
            <w:shd w:val="clear" w:color="auto" w:fill="CCEEFF"/>
          </w:tcPr>
          <w:p>
            <w:pPr>
              <w:spacing w:after="0"/>
              <w:rPr>
                <w:sz w:val="20"/>
                <w:szCs w:val="20"/>
                <w:color w:val="auto"/>
              </w:rPr>
            </w:pPr>
          </w:p>
        </w:tc>
        <w:tc>
          <w:tcPr>
            <w:tcW w:w="1040" w:type="dxa"/>
            <w:vAlign w:val="bottom"/>
            <w:tcBorders>
              <w:top w:val="single" w:sz="8" w:color="auto"/>
            </w:tcBorders>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400" w:type="dxa"/>
            <w:vAlign w:val="bottom"/>
            <w:tcBorders>
              <w:top w:val="single" w:sz="8" w:color="auto"/>
            </w:tcBorders>
            <w:shd w:val="clear" w:color="auto" w:fill="CCEEFF"/>
          </w:tcPr>
          <w:p>
            <w:pPr>
              <w:spacing w:after="0"/>
              <w:rPr>
                <w:sz w:val="20"/>
                <w:szCs w:val="20"/>
                <w:color w:val="auto"/>
              </w:rPr>
            </w:pPr>
          </w:p>
        </w:tc>
        <w:tc>
          <w:tcPr>
            <w:tcW w:w="960" w:type="dxa"/>
            <w:vAlign w:val="bottom"/>
            <w:tcBorders>
              <w:top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160" w:type="dxa"/>
            <w:vAlign w:val="bottom"/>
            <w:gridSpan w:val="2"/>
          </w:tcPr>
          <w:p>
            <w:pPr>
              <w:spacing w:after="0"/>
              <w:rPr>
                <w:sz w:val="20"/>
                <w:szCs w:val="20"/>
                <w:color w:val="auto"/>
              </w:rPr>
            </w:pPr>
            <w:r>
              <w:rPr>
                <w:rFonts w:ascii="Arial" w:cs="Arial" w:eastAsia="Arial" w:hAnsi="Arial"/>
                <w:sz w:val="18"/>
                <w:szCs w:val="18"/>
                <w:b w:val="1"/>
                <w:bCs w:val="1"/>
                <w:color w:val="auto"/>
              </w:rPr>
              <w:t>Total income from discontinued operations</w:t>
            </w:r>
          </w:p>
        </w:tc>
        <w:tc>
          <w:tcPr>
            <w:tcW w:w="940" w:type="dxa"/>
            <w:vAlign w:val="bottom"/>
          </w:tcPr>
          <w:p>
            <w:pPr>
              <w:jc w:val="right"/>
              <w:ind w:right="780"/>
              <w:spacing w:after="0"/>
              <w:rPr>
                <w:sz w:val="20"/>
                <w:szCs w:val="20"/>
                <w:color w:val="auto"/>
              </w:rPr>
            </w:pPr>
            <w:r>
              <w:rPr>
                <w:rFonts w:ascii="Arial" w:cs="Arial" w:eastAsia="Arial" w:hAnsi="Arial"/>
                <w:sz w:val="15"/>
                <w:szCs w:val="15"/>
                <w:b w:val="1"/>
                <w:bCs w:val="1"/>
                <w:color w:val="auto"/>
                <w:w w:val="71"/>
              </w:rPr>
              <w:t>$</w:t>
            </w:r>
          </w:p>
        </w:tc>
        <w:tc>
          <w:tcPr>
            <w:tcW w:w="440" w:type="dxa"/>
            <w:vAlign w:val="bottom"/>
          </w:tcPr>
          <w:p>
            <w:pPr>
              <w:jc w:val="right"/>
              <w:spacing w:after="0"/>
              <w:rPr>
                <w:sz w:val="20"/>
                <w:szCs w:val="20"/>
                <w:color w:val="auto"/>
              </w:rPr>
            </w:pPr>
            <w:r>
              <w:rPr>
                <w:rFonts w:ascii="Arial" w:cs="Arial" w:eastAsia="Arial" w:hAnsi="Arial"/>
                <w:sz w:val="18"/>
                <w:szCs w:val="18"/>
                <w:b w:val="1"/>
                <w:bCs w:val="1"/>
                <w:color w:val="auto"/>
                <w:w w:val="93"/>
              </w:rPr>
              <w:t>1,648</w:t>
            </w:r>
          </w:p>
        </w:tc>
        <w:tc>
          <w:tcPr>
            <w:tcW w:w="140" w:type="dxa"/>
            <w:vAlign w:val="bottom"/>
          </w:tcPr>
          <w:p>
            <w:pPr>
              <w:spacing w:after="0"/>
              <w:rPr>
                <w:sz w:val="21"/>
                <w:szCs w:val="21"/>
                <w:color w:val="auto"/>
              </w:rPr>
            </w:pPr>
          </w:p>
        </w:tc>
        <w:tc>
          <w:tcPr>
            <w:tcW w:w="1100" w:type="dxa"/>
            <w:vAlign w:val="bottom"/>
            <w:gridSpan w:val="2"/>
          </w:tcPr>
          <w:p>
            <w:pPr>
              <w:jc w:val="right"/>
              <w:ind w:right="830"/>
              <w:spacing w:after="0"/>
              <w:rPr>
                <w:sz w:val="20"/>
                <w:szCs w:val="20"/>
                <w:color w:val="auto"/>
              </w:rPr>
            </w:pPr>
            <w:r>
              <w:rPr>
                <w:rFonts w:ascii="Arial" w:cs="Arial" w:eastAsia="Arial" w:hAnsi="Arial"/>
                <w:sz w:val="18"/>
                <w:szCs w:val="18"/>
                <w:b w:val="1"/>
                <w:bCs w:val="1"/>
                <w:color w:val="auto"/>
              </w:rPr>
              <w:t>$</w:t>
            </w:r>
          </w:p>
        </w:tc>
        <w:tc>
          <w:tcPr>
            <w:tcW w:w="5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44</w:t>
            </w:r>
          </w:p>
        </w:tc>
        <w:tc>
          <w:tcPr>
            <w:tcW w:w="340" w:type="dxa"/>
            <w:vAlign w:val="bottom"/>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1,690</w:t>
            </w:r>
          </w:p>
        </w:tc>
        <w:tc>
          <w:tcPr>
            <w:tcW w:w="400" w:type="dxa"/>
            <w:vAlign w:val="bottom"/>
          </w:tcPr>
          <w:p>
            <w:pPr>
              <w:jc w:val="right"/>
              <w:ind w:right="210"/>
              <w:spacing w:after="0"/>
              <w:rPr>
                <w:sz w:val="20"/>
                <w:szCs w:val="20"/>
                <w:color w:val="auto"/>
              </w:rPr>
            </w:pPr>
            <w:r>
              <w:rPr>
                <w:rFonts w:ascii="Arial" w:cs="Arial" w:eastAsia="Arial" w:hAnsi="Arial"/>
                <w:sz w:val="18"/>
                <w:szCs w:val="18"/>
                <w:b w:val="1"/>
                <w:bCs w:val="1"/>
                <w:color w:val="auto"/>
                <w:w w:val="7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83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0" w:type="dxa"/>
            <w:vAlign w:val="bottom"/>
          </w:tcPr>
          <w:p>
            <w:pPr>
              <w:spacing w:after="0"/>
              <w:rPr>
                <w:sz w:val="19"/>
                <w:szCs w:val="19"/>
                <w:color w:val="auto"/>
              </w:rPr>
            </w:pPr>
          </w:p>
        </w:tc>
        <w:tc>
          <w:tcPr>
            <w:tcW w:w="51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160" w:type="dxa"/>
            <w:vAlign w:val="bottom"/>
            <w:gridSpan w:val="2"/>
          </w:tcPr>
          <w:p>
            <w:pPr>
              <w:spacing w:after="0"/>
              <w:rPr>
                <w:sz w:val="20"/>
                <w:szCs w:val="20"/>
                <w:color w:val="auto"/>
              </w:rPr>
            </w:pPr>
            <w:r>
              <w:rPr>
                <w:rFonts w:ascii="Arial" w:cs="Arial" w:eastAsia="Arial" w:hAnsi="Arial"/>
                <w:sz w:val="18"/>
                <w:szCs w:val="18"/>
                <w:color w:val="auto"/>
              </w:rPr>
              <w:t>Income from discontinued operations per common share:</w:t>
            </w:r>
          </w:p>
        </w:tc>
        <w:tc>
          <w:tcPr>
            <w:tcW w:w="9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1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Basic</w:t>
            </w:r>
          </w:p>
        </w:tc>
        <w:tc>
          <w:tcPr>
            <w:tcW w:w="940" w:type="dxa"/>
            <w:vAlign w:val="bottom"/>
            <w:shd w:val="clear" w:color="auto" w:fill="CCEEFF"/>
          </w:tcPr>
          <w:p>
            <w:pPr>
              <w:jc w:val="right"/>
              <w:ind w:right="780"/>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830"/>
              <w:spacing w:after="0"/>
              <w:rPr>
                <w:sz w:val="20"/>
                <w:szCs w:val="20"/>
                <w:color w:val="auto"/>
              </w:rPr>
            </w:pPr>
            <w:r>
              <w:rPr>
                <w:rFonts w:ascii="Arial" w:cs="Arial" w:eastAsia="Arial" w:hAnsi="Arial"/>
                <w:sz w:val="18"/>
                <w:szCs w:val="18"/>
                <w:color w:val="auto"/>
                <w:w w:val="7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22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1.08</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0" w:type="dxa"/>
            <w:vAlign w:val="bottom"/>
          </w:tcPr>
          <w:p>
            <w:pPr>
              <w:spacing w:after="0"/>
              <w:rPr>
                <w:sz w:val="19"/>
                <w:szCs w:val="19"/>
                <w:color w:val="auto"/>
              </w:rPr>
            </w:pPr>
          </w:p>
        </w:tc>
        <w:tc>
          <w:tcPr>
            <w:tcW w:w="5140" w:type="dxa"/>
            <w:vAlign w:val="bottom"/>
          </w:tcPr>
          <w:p>
            <w:pPr>
              <w:ind w:left="160"/>
              <w:spacing w:after="0"/>
              <w:rPr>
                <w:sz w:val="20"/>
                <w:szCs w:val="20"/>
                <w:color w:val="auto"/>
              </w:rPr>
            </w:pPr>
            <w:r>
              <w:rPr>
                <w:rFonts w:ascii="Arial" w:cs="Arial" w:eastAsia="Arial" w:hAnsi="Arial"/>
                <w:sz w:val="18"/>
                <w:szCs w:val="18"/>
                <w:color w:val="auto"/>
              </w:rPr>
              <w:t>Diluted</w:t>
            </w:r>
          </w:p>
        </w:tc>
        <w:tc>
          <w:tcPr>
            <w:tcW w:w="940" w:type="dxa"/>
            <w:vAlign w:val="bottom"/>
          </w:tcPr>
          <w:p>
            <w:pPr>
              <w:jc w:val="right"/>
              <w:ind w:right="780"/>
              <w:spacing w:after="0"/>
              <w:rPr>
                <w:sz w:val="20"/>
                <w:szCs w:val="20"/>
                <w:color w:val="auto"/>
              </w:rPr>
            </w:pPr>
            <w:r>
              <w:rPr>
                <w:rFonts w:ascii="Arial" w:cs="Arial" w:eastAsia="Arial" w:hAnsi="Arial"/>
                <w:sz w:val="15"/>
                <w:szCs w:val="15"/>
                <w:color w:val="auto"/>
                <w:w w:val="71"/>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1.04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Pr>
          <w:p>
            <w:pPr>
              <w:jc w:val="right"/>
              <w:ind w:right="830"/>
              <w:spacing w:after="0"/>
              <w:rPr>
                <w:sz w:val="20"/>
                <w:szCs w:val="20"/>
                <w:color w:val="auto"/>
              </w:rPr>
            </w:pPr>
            <w:r>
              <w:rPr>
                <w:rFonts w:ascii="Arial" w:cs="Arial" w:eastAsia="Arial" w:hAnsi="Arial"/>
                <w:sz w:val="18"/>
                <w:szCs w:val="18"/>
                <w:color w:val="auto"/>
                <w:w w:val="79"/>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.03</w:t>
            </w:r>
          </w:p>
        </w:tc>
        <w:tc>
          <w:tcPr>
            <w:tcW w:w="2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1.05</w:t>
            </w: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Earnings per share amounts from continuing and discontinued operations may not add to net income per share due to rounding.</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7" w:name="page8"/>
    <w:bookmarkEnd w:id="7"/>
    <w:p>
      <w:pPr>
        <w:jc w:val="both"/>
        <w:ind w:left="500" w:right="260"/>
        <w:spacing w:after="0" w:line="264" w:lineRule="auto"/>
        <w:rPr>
          <w:sz w:val="20"/>
          <w:szCs w:val="20"/>
          <w:color w:val="auto"/>
        </w:rPr>
      </w:pPr>
      <w:r>
        <w:rPr>
          <w:rFonts w:ascii="Arial" w:cs="Arial" w:eastAsia="Arial" w:hAnsi="Arial"/>
          <w:sz w:val="18"/>
          <w:szCs w:val="18"/>
          <w:color w:val="auto"/>
        </w:rPr>
        <w:t>As of June 30, 2006, the remaining assets and liabilities of the former Sensors &amp; Controls business, included in assets and liabilities of discontinued operations, are primarily attributable to obligations under pension and other postretirement benefit plans that are expected to be settled by the end of 2006 as well as other contingencies.</w:t>
      </w:r>
    </w:p>
    <w:p>
      <w:pPr>
        <w:spacing w:after="0" w:line="235"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 xml:space="preserve">Continuing involvement </w:t>
      </w:r>
      <w:r>
        <w:rPr>
          <w:rFonts w:ascii="Arial" w:cs="Arial" w:eastAsia="Arial" w:hAnsi="Arial"/>
          <w:sz w:val="18"/>
          <w:szCs w:val="18"/>
          <w:color w:val="auto"/>
        </w:rPr>
        <w:t>- Upon closing of the sales transaction, we entered into a Transition Services Agreement (TSA) with Sensata to</w:t>
      </w:r>
    </w:p>
    <w:p>
      <w:pPr>
        <w:spacing w:after="0" w:line="23" w:lineRule="exact"/>
        <w:rPr>
          <w:sz w:val="20"/>
          <w:szCs w:val="20"/>
          <w:color w:val="auto"/>
        </w:rPr>
      </w:pPr>
    </w:p>
    <w:p>
      <w:pPr>
        <w:ind w:left="500" w:right="120"/>
        <w:spacing w:after="0" w:line="269" w:lineRule="auto"/>
        <w:rPr>
          <w:sz w:val="20"/>
          <w:szCs w:val="20"/>
          <w:color w:val="auto"/>
        </w:rPr>
      </w:pPr>
      <w:r>
        <w:rPr>
          <w:rFonts w:ascii="Arial" w:cs="Arial" w:eastAsia="Arial" w:hAnsi="Arial"/>
          <w:sz w:val="17"/>
          <w:szCs w:val="17"/>
          <w:color w:val="auto"/>
        </w:rPr>
        <w:t>provide various temporary support services that are reasonably necessary to facilitate the continuation of the normal conduct of business of the former Sensors &amp; Controls business such as finance and accounting, human resources, information technology, warehousing and logistics, and records retention and storage. Such services are expected to be provided for approximately six to twelve months, although certain information technology-related services may be provided for up to two years. The fees for these services will be generally equivalent to our cost. In addition, we entered into certain cross-license agreements to allow each party to continue to use the associated technology and intellectual property in the conduct of their respective business. However, these cross-license agreements generally do not involve the receipt or payment of any royalties and therefore are not considered to be a component of continuing involvement.</w:t>
      </w:r>
    </w:p>
    <w:p>
      <w:pPr>
        <w:spacing w:after="0" w:line="235" w:lineRule="exact"/>
        <w:rPr>
          <w:sz w:val="20"/>
          <w:szCs w:val="20"/>
          <w:color w:val="auto"/>
        </w:rPr>
      </w:pPr>
    </w:p>
    <w:p>
      <w:pPr>
        <w:ind w:left="500"/>
        <w:spacing w:after="0" w:line="297" w:lineRule="auto"/>
        <w:rPr>
          <w:sz w:val="20"/>
          <w:szCs w:val="20"/>
          <w:color w:val="auto"/>
        </w:rPr>
      </w:pPr>
      <w:r>
        <w:rPr>
          <w:rFonts w:ascii="Arial" w:cs="Arial" w:eastAsia="Arial" w:hAnsi="Arial"/>
          <w:sz w:val="16"/>
          <w:szCs w:val="16"/>
          <w:color w:val="auto"/>
        </w:rPr>
        <w:t>Although the services provided under the TSA generate continuing cash flows between us and Sensata, the amounts are not considered to be significant to the ongoing operations of either entity. In addition, we have no contractual ability through the TSA or any other agreement to significantly influence the operating or financial policies of Sensata. Under the provisions of EITF Issue No. 03-13, "</w:t>
      </w:r>
      <w:r>
        <w:rPr>
          <w:rFonts w:ascii="Arial" w:cs="Arial" w:eastAsia="Arial" w:hAnsi="Arial"/>
          <w:sz w:val="16"/>
          <w:szCs w:val="16"/>
          <w:i w:val="1"/>
          <w:iCs w:val="1"/>
          <w:color w:val="auto"/>
        </w:rPr>
        <w:t>Applying the Conditions of Paragraph 42 of FASB</w:t>
      </w:r>
      <w:r>
        <w:rPr>
          <w:rFonts w:ascii="Arial" w:cs="Arial" w:eastAsia="Arial" w:hAnsi="Arial"/>
          <w:sz w:val="16"/>
          <w:szCs w:val="16"/>
          <w:color w:val="auto"/>
        </w:rPr>
        <w:t xml:space="preserve"> </w:t>
      </w:r>
      <w:r>
        <w:rPr>
          <w:rFonts w:ascii="Arial" w:cs="Arial" w:eastAsia="Arial" w:hAnsi="Arial"/>
          <w:sz w:val="16"/>
          <w:szCs w:val="16"/>
          <w:i w:val="1"/>
          <w:iCs w:val="1"/>
          <w:color w:val="auto"/>
        </w:rPr>
        <w:t>Statement No. 144 in Determining Whether to Report Discontinued Operations</w:t>
      </w:r>
      <w:r>
        <w:rPr>
          <w:rFonts w:ascii="Arial" w:cs="Arial" w:eastAsia="Arial" w:hAnsi="Arial"/>
          <w:sz w:val="16"/>
          <w:szCs w:val="16"/>
          <w:color w:val="auto"/>
        </w:rPr>
        <w:t>," we therefore have no significant continuing involvement in the</w:t>
      </w:r>
      <w:r>
        <w:rPr>
          <w:rFonts w:ascii="Arial" w:cs="Arial" w:eastAsia="Arial" w:hAnsi="Arial"/>
          <w:sz w:val="16"/>
          <w:szCs w:val="16"/>
          <w:i w:val="1"/>
          <w:iCs w:val="1"/>
          <w:color w:val="auto"/>
        </w:rPr>
        <w:t xml:space="preserve"> </w:t>
      </w:r>
      <w:r>
        <w:rPr>
          <w:rFonts w:ascii="Arial" w:cs="Arial" w:eastAsia="Arial" w:hAnsi="Arial"/>
          <w:sz w:val="16"/>
          <w:szCs w:val="16"/>
          <w:color w:val="auto"/>
        </w:rPr>
        <w:t>operations of the former Sensors &amp; Controls business and have classified the historical results of that business as discontinued operations.</w:t>
      </w:r>
    </w:p>
    <w:p>
      <w:pPr>
        <w:spacing w:after="0" w:line="212" w:lineRule="exact"/>
        <w:rPr>
          <w:sz w:val="20"/>
          <w:szCs w:val="20"/>
          <w:color w:val="auto"/>
        </w:rPr>
      </w:pPr>
    </w:p>
    <w:p>
      <w:pPr>
        <w:ind w:left="500" w:right="80"/>
        <w:spacing w:after="0" w:line="279" w:lineRule="auto"/>
        <w:rPr>
          <w:sz w:val="20"/>
          <w:szCs w:val="20"/>
          <w:color w:val="auto"/>
        </w:rPr>
      </w:pPr>
      <w:r>
        <w:rPr>
          <w:rFonts w:ascii="Arial" w:cs="Arial" w:eastAsia="Arial" w:hAnsi="Arial"/>
          <w:sz w:val="17"/>
          <w:szCs w:val="17"/>
          <w:i w:val="1"/>
          <w:iCs w:val="1"/>
          <w:color w:val="auto"/>
        </w:rPr>
        <w:t xml:space="preserve">Indemnification - </w:t>
      </w:r>
      <w:r>
        <w:rPr>
          <w:rFonts w:ascii="Arial" w:cs="Arial" w:eastAsia="Arial" w:hAnsi="Arial"/>
          <w:sz w:val="17"/>
          <w:szCs w:val="17"/>
          <w:color w:val="auto"/>
        </w:rPr>
        <w:t>In connection with the sale, we have agreed to indemnify Sensata for certain specified litigation matters, as well as other liabilities,</w:t>
      </w:r>
      <w:r>
        <w:rPr>
          <w:rFonts w:ascii="Arial" w:cs="Arial" w:eastAsia="Arial" w:hAnsi="Arial"/>
          <w:sz w:val="17"/>
          <w:szCs w:val="17"/>
          <w:i w:val="1"/>
          <w:iCs w:val="1"/>
          <w:color w:val="auto"/>
        </w:rPr>
        <w:t xml:space="preserve"> </w:t>
      </w:r>
      <w:r>
        <w:rPr>
          <w:rFonts w:ascii="Arial" w:cs="Arial" w:eastAsia="Arial" w:hAnsi="Arial"/>
          <w:sz w:val="17"/>
          <w:szCs w:val="17"/>
          <w:color w:val="auto"/>
        </w:rPr>
        <w:t>including environmental liabilities. Our indemnification obligations with respect to breaches of representations and warranties and the specified litigation matters are, generally, subject to a total deductible of $30 million and our maximum potential exposure is limited to $300 million. As of June 30, 2006, there were no significant liabilities recorded under these indemnification obligations.</w:t>
      </w:r>
    </w:p>
    <w:p>
      <w:pPr>
        <w:spacing w:after="0" w:line="225" w:lineRule="exact"/>
        <w:rPr>
          <w:sz w:val="20"/>
          <w:szCs w:val="20"/>
          <w:color w:val="auto"/>
        </w:rPr>
      </w:pPr>
    </w:p>
    <w:p>
      <w:pPr>
        <w:ind w:left="500" w:right="200" w:hanging="231"/>
        <w:spacing w:after="0" w:line="277" w:lineRule="auto"/>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u w:val="single" w:color="auto"/>
          <w:color w:val="auto"/>
        </w:rPr>
        <w:t>Earnings per Share</w:t>
      </w:r>
      <w:r>
        <w:rPr>
          <w:rFonts w:ascii="Arial" w:cs="Arial" w:eastAsia="Arial" w:hAnsi="Arial"/>
          <w:sz w:val="18"/>
          <w:szCs w:val="18"/>
          <w:color w:val="auto"/>
        </w:rPr>
        <w:t>. Computation of earnings per common share (EPS) for income from continuing operations, and a reconciliation between the basic and diluted basis, for the periods ending June 30, are as follows: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b w:val="1"/>
                <w:bCs w:val="1"/>
                <w:color w:val="auto"/>
                <w:w w:val="92"/>
              </w:rPr>
              <w:t>2nd Quarter 2006</w:t>
            </w:r>
          </w:p>
        </w:tc>
        <w:tc>
          <w:tcPr>
            <w:tcW w:w="1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b w:val="1"/>
                <w:bCs w:val="1"/>
                <w:color w:val="auto"/>
                <w:w w:val="92"/>
              </w:rPr>
              <w:t>2nd Quarter 2005</w:t>
            </w:r>
          </w:p>
        </w:tc>
        <w:tc>
          <w:tcPr>
            <w:tcW w:w="2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91"/>
        </w:trPr>
        <w:tc>
          <w:tcPr>
            <w:tcW w:w="3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gridSpan w:val="2"/>
          </w:tcPr>
          <w:p>
            <w:pPr>
              <w:jc w:val="right"/>
              <w:ind w:right="680"/>
              <w:spacing w:after="0"/>
              <w:rPr>
                <w:sz w:val="20"/>
                <w:szCs w:val="20"/>
                <w:color w:val="auto"/>
              </w:rPr>
            </w:pPr>
            <w:r>
              <w:rPr>
                <w:rFonts w:ascii="Arial" w:cs="Arial" w:eastAsia="Arial" w:hAnsi="Arial"/>
                <w:sz w:val="18"/>
                <w:szCs w:val="18"/>
                <w:b w:val="1"/>
                <w:bCs w:val="1"/>
                <w:color w:val="auto"/>
                <w:w w:val="95"/>
              </w:rPr>
              <w:t>Income</w:t>
            </w:r>
          </w:p>
        </w:tc>
        <w:tc>
          <w:tcPr>
            <w:tcW w:w="1420" w:type="dxa"/>
            <w:vAlign w:val="bottom"/>
            <w:gridSpan w:val="2"/>
          </w:tcPr>
          <w:p>
            <w:pPr>
              <w:jc w:val="right"/>
              <w:ind w:right="720"/>
              <w:spacing w:after="0"/>
              <w:rPr>
                <w:sz w:val="20"/>
                <w:szCs w:val="20"/>
                <w:color w:val="auto"/>
              </w:rPr>
            </w:pPr>
            <w:r>
              <w:rPr>
                <w:rFonts w:ascii="Arial" w:cs="Arial" w:eastAsia="Arial" w:hAnsi="Arial"/>
                <w:sz w:val="18"/>
                <w:szCs w:val="18"/>
                <w:b w:val="1"/>
                <w:bCs w:val="1"/>
                <w:color w:val="auto"/>
              </w:rPr>
              <w:t>Shares</w:t>
            </w:r>
          </w:p>
        </w:tc>
        <w:tc>
          <w:tcPr>
            <w:tcW w:w="180" w:type="dxa"/>
            <w:vAlign w:val="bottom"/>
          </w:tcPr>
          <w:p>
            <w:pPr>
              <w:spacing w:after="0"/>
              <w:rPr>
                <w:sz w:val="24"/>
                <w:szCs w:val="24"/>
                <w:color w:val="auto"/>
              </w:rPr>
            </w:pPr>
          </w:p>
        </w:tc>
        <w:tc>
          <w:tcPr>
            <w:tcW w:w="86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EPS</w:t>
            </w:r>
          </w:p>
        </w:tc>
        <w:tc>
          <w:tcPr>
            <w:tcW w:w="140" w:type="dxa"/>
            <w:vAlign w:val="bottom"/>
          </w:tcPr>
          <w:p>
            <w:pPr>
              <w:spacing w:after="0"/>
              <w:rPr>
                <w:sz w:val="24"/>
                <w:szCs w:val="24"/>
                <w:color w:val="auto"/>
              </w:rPr>
            </w:pPr>
          </w:p>
        </w:tc>
        <w:tc>
          <w:tcPr>
            <w:tcW w:w="1280" w:type="dxa"/>
            <w:vAlign w:val="bottom"/>
            <w:gridSpan w:val="2"/>
          </w:tcPr>
          <w:p>
            <w:pPr>
              <w:ind w:left="40"/>
              <w:spacing w:after="0"/>
              <w:rPr>
                <w:sz w:val="20"/>
                <w:szCs w:val="20"/>
                <w:color w:val="auto"/>
              </w:rPr>
            </w:pPr>
            <w:r>
              <w:rPr>
                <w:rFonts w:ascii="Arial" w:cs="Arial" w:eastAsia="Arial" w:hAnsi="Arial"/>
                <w:sz w:val="18"/>
                <w:szCs w:val="18"/>
                <w:b w:val="1"/>
                <w:bCs w:val="1"/>
                <w:color w:val="auto"/>
              </w:rPr>
              <w:t>Income</w:t>
            </w:r>
          </w:p>
        </w:tc>
        <w:tc>
          <w:tcPr>
            <w:tcW w:w="1420" w:type="dxa"/>
            <w:vAlign w:val="bottom"/>
            <w:gridSpan w:val="2"/>
          </w:tcPr>
          <w:p>
            <w:pPr>
              <w:ind w:left="200"/>
              <w:spacing w:after="0"/>
              <w:rPr>
                <w:sz w:val="20"/>
                <w:szCs w:val="20"/>
                <w:color w:val="auto"/>
              </w:rPr>
            </w:pPr>
            <w:r>
              <w:rPr>
                <w:rFonts w:ascii="Arial" w:cs="Arial" w:eastAsia="Arial" w:hAnsi="Arial"/>
                <w:sz w:val="18"/>
                <w:szCs w:val="18"/>
                <w:b w:val="1"/>
                <w:bCs w:val="1"/>
                <w:color w:val="auto"/>
              </w:rPr>
              <w:t>Shares</w:t>
            </w:r>
          </w:p>
        </w:tc>
        <w:tc>
          <w:tcPr>
            <w:tcW w:w="200" w:type="dxa"/>
            <w:vAlign w:val="bottom"/>
          </w:tcPr>
          <w:p>
            <w:pPr>
              <w:spacing w:after="0"/>
              <w:rPr>
                <w:sz w:val="24"/>
                <w:szCs w:val="24"/>
                <w:color w:val="auto"/>
              </w:rPr>
            </w:pPr>
          </w:p>
        </w:tc>
        <w:tc>
          <w:tcPr>
            <w:tcW w:w="900" w:type="dxa"/>
            <w:vAlign w:val="bottom"/>
            <w:gridSpan w:val="2"/>
          </w:tcPr>
          <w:p>
            <w:pPr>
              <w:ind w:left="100"/>
              <w:spacing w:after="0"/>
              <w:rPr>
                <w:sz w:val="20"/>
                <w:szCs w:val="20"/>
                <w:color w:val="auto"/>
              </w:rPr>
            </w:pPr>
            <w:r>
              <w:rPr>
                <w:rFonts w:ascii="Arial" w:cs="Arial" w:eastAsia="Arial" w:hAnsi="Arial"/>
                <w:sz w:val="18"/>
                <w:szCs w:val="18"/>
                <w:b w:val="1"/>
                <w:bCs w:val="1"/>
                <w:color w:val="auto"/>
              </w:rPr>
              <w:t>EPS</w:t>
            </w:r>
          </w:p>
        </w:tc>
      </w:tr>
      <w:tr>
        <w:trPr>
          <w:trHeight w:val="237"/>
        </w:trPr>
        <w:tc>
          <w:tcPr>
            <w:tcW w:w="33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spacing w:after="0"/>
              <w:rPr>
                <w:sz w:val="20"/>
                <w:szCs w:val="20"/>
                <w:color w:val="auto"/>
              </w:rPr>
            </w:pPr>
          </w:p>
        </w:tc>
        <w:tc>
          <w:tcPr>
            <w:tcW w:w="820" w:type="dxa"/>
            <w:vAlign w:val="bottom"/>
            <w:tcBorders>
              <w:top w:val="single" w:sz="8" w:color="auto"/>
            </w:tcBorders>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940" w:type="dxa"/>
            <w:vAlign w:val="bottom"/>
            <w:tcBorders>
              <w:top w:val="single" w:sz="8" w:color="auto"/>
            </w:tcBorders>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80" w:type="dxa"/>
            <w:vAlign w:val="bottom"/>
            <w:tcBorders>
              <w:top w:val="single" w:sz="8" w:color="auto"/>
            </w:tcBorders>
            <w:shd w:val="clear" w:color="auto" w:fill="CCEEFF"/>
          </w:tcPr>
          <w:p>
            <w:pPr>
              <w:spacing w:after="0"/>
              <w:rPr>
                <w:sz w:val="20"/>
                <w:szCs w:val="20"/>
                <w:color w:val="auto"/>
              </w:rPr>
            </w:pPr>
          </w:p>
        </w:tc>
        <w:tc>
          <w:tcPr>
            <w:tcW w:w="760" w:type="dxa"/>
            <w:vAlign w:val="bottom"/>
            <w:tcBorders>
              <w:top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spacing w:after="0"/>
              <w:rPr>
                <w:sz w:val="20"/>
                <w:szCs w:val="20"/>
                <w:color w:val="auto"/>
              </w:rPr>
            </w:pPr>
          </w:p>
        </w:tc>
        <w:tc>
          <w:tcPr>
            <w:tcW w:w="820" w:type="dxa"/>
            <w:vAlign w:val="bottom"/>
            <w:tcBorders>
              <w:top w:val="single" w:sz="8" w:color="auto"/>
            </w:tcBorders>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960" w:type="dxa"/>
            <w:vAlign w:val="bottom"/>
            <w:tcBorders>
              <w:top w:val="single" w:sz="8" w:color="auto"/>
            </w:tcBorders>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200" w:type="dxa"/>
            <w:vAlign w:val="bottom"/>
            <w:tcBorders>
              <w:top w:val="single" w:sz="8" w:color="auto"/>
            </w:tcBorders>
            <w:shd w:val="clear" w:color="auto" w:fill="CCEEFF"/>
          </w:tcPr>
          <w:p>
            <w:pPr>
              <w:spacing w:after="0"/>
              <w:rPr>
                <w:sz w:val="20"/>
                <w:szCs w:val="20"/>
                <w:color w:val="auto"/>
              </w:rPr>
            </w:pPr>
          </w:p>
        </w:tc>
        <w:tc>
          <w:tcPr>
            <w:tcW w:w="780" w:type="dxa"/>
            <w:vAlign w:val="bottom"/>
            <w:tcBorders>
              <w:top w:val="single" w:sz="8" w:color="auto"/>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r>
      <w:tr>
        <w:trPr>
          <w:trHeight w:val="243"/>
        </w:trPr>
        <w:tc>
          <w:tcPr>
            <w:tcW w:w="3300" w:type="dxa"/>
            <w:vAlign w:val="bottom"/>
          </w:tcPr>
          <w:p>
            <w:pPr>
              <w:ind w:left="480"/>
              <w:spacing w:after="0"/>
              <w:rPr>
                <w:sz w:val="20"/>
                <w:szCs w:val="20"/>
                <w:color w:val="auto"/>
              </w:rPr>
            </w:pPr>
            <w:r>
              <w:rPr>
                <w:rFonts w:ascii="Arial" w:cs="Arial" w:eastAsia="Arial" w:hAnsi="Arial"/>
                <w:sz w:val="18"/>
                <w:szCs w:val="18"/>
                <w:color w:val="auto"/>
              </w:rPr>
              <w:t>Basic EPS</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480"/>
              <w:spacing w:after="0"/>
              <w:rPr>
                <w:sz w:val="20"/>
                <w:szCs w:val="20"/>
                <w:color w:val="auto"/>
              </w:rPr>
            </w:pPr>
            <w:r>
              <w:rPr>
                <w:rFonts w:ascii="Arial" w:cs="Arial" w:eastAsia="Arial" w:hAnsi="Arial"/>
                <w:sz w:val="18"/>
                <w:szCs w:val="18"/>
                <w:color w:val="auto"/>
              </w:rPr>
              <w:t>739</w:t>
            </w:r>
          </w:p>
        </w:tc>
        <w:tc>
          <w:tcPr>
            <w:tcW w:w="1420" w:type="dxa"/>
            <w:vAlign w:val="bottom"/>
            <w:gridSpan w:val="2"/>
          </w:tcPr>
          <w:p>
            <w:pPr>
              <w:jc w:val="right"/>
              <w:ind w:right="480"/>
              <w:spacing w:after="0"/>
              <w:rPr>
                <w:sz w:val="20"/>
                <w:szCs w:val="20"/>
                <w:color w:val="auto"/>
              </w:rPr>
            </w:pPr>
            <w:r>
              <w:rPr>
                <w:rFonts w:ascii="Arial" w:cs="Arial" w:eastAsia="Arial" w:hAnsi="Arial"/>
                <w:sz w:val="18"/>
                <w:szCs w:val="18"/>
                <w:color w:val="auto"/>
              </w:rPr>
              <w:t>1,553</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.48</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460"/>
              <w:spacing w:after="0"/>
              <w:rPr>
                <w:sz w:val="20"/>
                <w:szCs w:val="20"/>
                <w:color w:val="auto"/>
              </w:rPr>
            </w:pPr>
            <w:r>
              <w:rPr>
                <w:rFonts w:ascii="Arial" w:cs="Arial" w:eastAsia="Arial" w:hAnsi="Arial"/>
                <w:sz w:val="18"/>
                <w:szCs w:val="18"/>
                <w:color w:val="auto"/>
              </w:rPr>
              <w:t>584</w:t>
            </w:r>
          </w:p>
        </w:tc>
        <w:tc>
          <w:tcPr>
            <w:tcW w:w="1420" w:type="dxa"/>
            <w:vAlign w:val="bottom"/>
            <w:gridSpan w:val="2"/>
          </w:tcPr>
          <w:p>
            <w:pPr>
              <w:jc w:val="right"/>
              <w:ind w:right="460"/>
              <w:spacing w:after="0"/>
              <w:rPr>
                <w:sz w:val="20"/>
                <w:szCs w:val="20"/>
                <w:color w:val="auto"/>
              </w:rPr>
            </w:pPr>
            <w:r>
              <w:rPr>
                <w:rFonts w:ascii="Arial" w:cs="Arial" w:eastAsia="Arial" w:hAnsi="Arial"/>
                <w:sz w:val="18"/>
                <w:szCs w:val="18"/>
                <w:color w:val="auto"/>
              </w:rPr>
              <w:t>1,633</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21"/>
                <w:szCs w:val="21"/>
                <w:color w:val="auto"/>
              </w:rPr>
            </w:pPr>
          </w:p>
        </w:tc>
      </w:tr>
      <w:tr>
        <w:trPr>
          <w:trHeight w:val="243"/>
        </w:trPr>
        <w:tc>
          <w:tcPr>
            <w:tcW w:w="33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Dilutives:</w:t>
            </w:r>
          </w:p>
        </w:tc>
        <w:tc>
          <w:tcPr>
            <w:tcW w:w="3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r>
      <w:tr>
        <w:trPr>
          <w:trHeight w:val="270"/>
        </w:trPr>
        <w:tc>
          <w:tcPr>
            <w:tcW w:w="3300" w:type="dxa"/>
            <w:vAlign w:val="bottom"/>
          </w:tcPr>
          <w:p>
            <w:pPr>
              <w:ind w:left="640"/>
              <w:spacing w:after="0"/>
              <w:rPr>
                <w:sz w:val="20"/>
                <w:szCs w:val="20"/>
                <w:color w:val="auto"/>
              </w:rPr>
            </w:pPr>
            <w:r>
              <w:rPr>
                <w:rFonts w:ascii="Arial" w:cs="Arial" w:eastAsia="Arial" w:hAnsi="Arial"/>
                <w:sz w:val="18"/>
                <w:szCs w:val="18"/>
                <w:color w:val="auto"/>
                <w:w w:val="99"/>
              </w:rPr>
              <w:t>Stock-based compensation plans</w:t>
            </w:r>
          </w:p>
        </w:tc>
        <w:tc>
          <w:tcPr>
            <w:tcW w:w="30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3"/>
                <w:szCs w:val="2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48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46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spacing w:after="0"/>
              <w:rPr>
                <w:sz w:val="23"/>
                <w:szCs w:val="23"/>
                <w:color w:val="auto"/>
              </w:rPr>
            </w:pPr>
          </w:p>
        </w:tc>
        <w:tc>
          <w:tcPr>
            <w:tcW w:w="120" w:type="dxa"/>
            <w:vAlign w:val="bottom"/>
          </w:tcPr>
          <w:p>
            <w:pPr>
              <w:spacing w:after="0"/>
              <w:rPr>
                <w:sz w:val="23"/>
                <w:szCs w:val="23"/>
                <w:color w:val="auto"/>
              </w:rPr>
            </w:pPr>
          </w:p>
        </w:tc>
      </w:tr>
      <w:tr>
        <w:trPr>
          <w:trHeight w:val="257"/>
        </w:trPr>
        <w:tc>
          <w:tcPr>
            <w:tcW w:w="33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Diluted EPS</w:t>
            </w:r>
          </w:p>
        </w:tc>
        <w:tc>
          <w:tcPr>
            <w:tcW w:w="3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739</w:t>
            </w:r>
          </w:p>
        </w:tc>
        <w:tc>
          <w:tcPr>
            <w:tcW w:w="14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1,586</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584</w:t>
            </w:r>
          </w:p>
        </w:tc>
        <w:tc>
          <w:tcPr>
            <w:tcW w:w="14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1,669</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20" w:type="dxa"/>
            <w:vAlign w:val="bottom"/>
            <w:shd w:val="clear" w:color="auto" w:fill="CCEEFF"/>
          </w:tcPr>
          <w:p>
            <w:pPr>
              <w:spacing w:after="0"/>
              <w:rPr>
                <w:sz w:val="22"/>
                <w:szCs w:val="22"/>
                <w:color w:val="auto"/>
              </w:rPr>
            </w:pPr>
          </w:p>
        </w:tc>
      </w:tr>
      <w:tr>
        <w:trPr>
          <w:trHeight w:val="20"/>
        </w:trPr>
        <w:tc>
          <w:tcPr>
            <w:tcW w:w="33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r>
    </w:tbl>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b w:val="1"/>
                <w:bCs w:val="1"/>
                <w:color w:val="auto"/>
              </w:rPr>
              <w:t>Year To Date 2006</w:t>
            </w:r>
          </w:p>
        </w:tc>
        <w:tc>
          <w:tcPr>
            <w:tcW w:w="1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88"/>
              </w:rPr>
              <w:t>Year To Date 2005</w:t>
            </w:r>
          </w:p>
        </w:tc>
        <w:tc>
          <w:tcPr>
            <w:tcW w:w="2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91"/>
        </w:trPr>
        <w:tc>
          <w:tcPr>
            <w:tcW w:w="3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jc w:val="right"/>
              <w:ind w:right="110"/>
              <w:spacing w:after="0"/>
              <w:rPr>
                <w:sz w:val="20"/>
                <w:szCs w:val="20"/>
                <w:color w:val="auto"/>
              </w:rPr>
            </w:pPr>
            <w:r>
              <w:rPr>
                <w:rFonts w:ascii="Arial" w:cs="Arial" w:eastAsia="Arial" w:hAnsi="Arial"/>
                <w:sz w:val="18"/>
                <w:szCs w:val="18"/>
                <w:b w:val="1"/>
                <w:bCs w:val="1"/>
                <w:color w:val="auto"/>
                <w:w w:val="95"/>
              </w:rPr>
              <w:t>Income</w:t>
            </w:r>
          </w:p>
        </w:tc>
        <w:tc>
          <w:tcPr>
            <w:tcW w:w="480" w:type="dxa"/>
            <w:vAlign w:val="bottom"/>
          </w:tcPr>
          <w:p>
            <w:pPr>
              <w:spacing w:after="0"/>
              <w:rPr>
                <w:sz w:val="24"/>
                <w:szCs w:val="24"/>
                <w:color w:val="auto"/>
              </w:rPr>
            </w:pPr>
          </w:p>
        </w:tc>
        <w:tc>
          <w:tcPr>
            <w:tcW w:w="1420" w:type="dxa"/>
            <w:vAlign w:val="bottom"/>
            <w:gridSpan w:val="2"/>
          </w:tcPr>
          <w:p>
            <w:pPr>
              <w:jc w:val="right"/>
              <w:ind w:right="720"/>
              <w:spacing w:after="0"/>
              <w:rPr>
                <w:sz w:val="20"/>
                <w:szCs w:val="20"/>
                <w:color w:val="auto"/>
              </w:rPr>
            </w:pPr>
            <w:r>
              <w:rPr>
                <w:rFonts w:ascii="Arial" w:cs="Arial" w:eastAsia="Arial" w:hAnsi="Arial"/>
                <w:sz w:val="18"/>
                <w:szCs w:val="18"/>
                <w:b w:val="1"/>
                <w:bCs w:val="1"/>
                <w:color w:val="auto"/>
              </w:rPr>
              <w:t>Shares</w:t>
            </w:r>
          </w:p>
        </w:tc>
        <w:tc>
          <w:tcPr>
            <w:tcW w:w="180" w:type="dxa"/>
            <w:vAlign w:val="bottom"/>
          </w:tcPr>
          <w:p>
            <w:pPr>
              <w:spacing w:after="0"/>
              <w:rPr>
                <w:sz w:val="24"/>
                <w:szCs w:val="24"/>
                <w:color w:val="auto"/>
              </w:rPr>
            </w:pPr>
          </w:p>
        </w:tc>
        <w:tc>
          <w:tcPr>
            <w:tcW w:w="86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EPS</w:t>
            </w:r>
          </w:p>
        </w:tc>
        <w:tc>
          <w:tcPr>
            <w:tcW w:w="140" w:type="dxa"/>
            <w:vAlign w:val="bottom"/>
          </w:tcPr>
          <w:p>
            <w:pPr>
              <w:spacing w:after="0"/>
              <w:rPr>
                <w:sz w:val="24"/>
                <w:szCs w:val="24"/>
                <w:color w:val="auto"/>
              </w:rPr>
            </w:pPr>
          </w:p>
        </w:tc>
        <w:tc>
          <w:tcPr>
            <w:tcW w:w="1280" w:type="dxa"/>
            <w:vAlign w:val="bottom"/>
            <w:gridSpan w:val="2"/>
          </w:tcPr>
          <w:p>
            <w:pPr>
              <w:ind w:left="40"/>
              <w:spacing w:after="0"/>
              <w:rPr>
                <w:sz w:val="20"/>
                <w:szCs w:val="20"/>
                <w:color w:val="auto"/>
              </w:rPr>
            </w:pPr>
            <w:r>
              <w:rPr>
                <w:rFonts w:ascii="Arial" w:cs="Arial" w:eastAsia="Arial" w:hAnsi="Arial"/>
                <w:sz w:val="18"/>
                <w:szCs w:val="18"/>
                <w:b w:val="1"/>
                <w:bCs w:val="1"/>
                <w:color w:val="auto"/>
              </w:rPr>
              <w:t>Income</w:t>
            </w:r>
          </w:p>
        </w:tc>
        <w:tc>
          <w:tcPr>
            <w:tcW w:w="1420" w:type="dxa"/>
            <w:vAlign w:val="bottom"/>
            <w:gridSpan w:val="2"/>
          </w:tcPr>
          <w:p>
            <w:pPr>
              <w:ind w:left="200"/>
              <w:spacing w:after="0"/>
              <w:rPr>
                <w:sz w:val="20"/>
                <w:szCs w:val="20"/>
                <w:color w:val="auto"/>
              </w:rPr>
            </w:pPr>
            <w:r>
              <w:rPr>
                <w:rFonts w:ascii="Arial" w:cs="Arial" w:eastAsia="Arial" w:hAnsi="Arial"/>
                <w:sz w:val="18"/>
                <w:szCs w:val="18"/>
                <w:b w:val="1"/>
                <w:bCs w:val="1"/>
                <w:color w:val="auto"/>
              </w:rPr>
              <w:t>Shares</w:t>
            </w:r>
          </w:p>
        </w:tc>
        <w:tc>
          <w:tcPr>
            <w:tcW w:w="200" w:type="dxa"/>
            <w:vAlign w:val="bottom"/>
          </w:tcPr>
          <w:p>
            <w:pPr>
              <w:spacing w:after="0"/>
              <w:rPr>
                <w:sz w:val="24"/>
                <w:szCs w:val="24"/>
                <w:color w:val="auto"/>
              </w:rPr>
            </w:pPr>
          </w:p>
        </w:tc>
        <w:tc>
          <w:tcPr>
            <w:tcW w:w="900" w:type="dxa"/>
            <w:vAlign w:val="bottom"/>
            <w:gridSpan w:val="2"/>
          </w:tcPr>
          <w:p>
            <w:pPr>
              <w:ind w:left="100"/>
              <w:spacing w:after="0"/>
              <w:rPr>
                <w:sz w:val="20"/>
                <w:szCs w:val="20"/>
                <w:color w:val="auto"/>
              </w:rPr>
            </w:pPr>
            <w:r>
              <w:rPr>
                <w:rFonts w:ascii="Arial" w:cs="Arial" w:eastAsia="Arial" w:hAnsi="Arial"/>
                <w:sz w:val="18"/>
                <w:szCs w:val="18"/>
                <w:b w:val="1"/>
                <w:bCs w:val="1"/>
                <w:color w:val="auto"/>
              </w:rPr>
              <w:t>EPS</w:t>
            </w:r>
          </w:p>
        </w:tc>
      </w:tr>
      <w:tr>
        <w:trPr>
          <w:trHeight w:val="237"/>
        </w:trPr>
        <w:tc>
          <w:tcPr>
            <w:tcW w:w="33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spacing w:after="0"/>
              <w:rPr>
                <w:sz w:val="20"/>
                <w:szCs w:val="20"/>
                <w:color w:val="auto"/>
              </w:rPr>
            </w:pPr>
          </w:p>
        </w:tc>
        <w:tc>
          <w:tcPr>
            <w:tcW w:w="820" w:type="dxa"/>
            <w:vAlign w:val="bottom"/>
            <w:tcBorders>
              <w:top w:val="single" w:sz="8" w:color="auto"/>
            </w:tcBorders>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940" w:type="dxa"/>
            <w:vAlign w:val="bottom"/>
            <w:tcBorders>
              <w:top w:val="single" w:sz="8" w:color="auto"/>
            </w:tcBorders>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80" w:type="dxa"/>
            <w:vAlign w:val="bottom"/>
            <w:tcBorders>
              <w:top w:val="single" w:sz="8" w:color="auto"/>
            </w:tcBorders>
            <w:shd w:val="clear" w:color="auto" w:fill="CCEEFF"/>
          </w:tcPr>
          <w:p>
            <w:pPr>
              <w:spacing w:after="0"/>
              <w:rPr>
                <w:sz w:val="20"/>
                <w:szCs w:val="20"/>
                <w:color w:val="auto"/>
              </w:rPr>
            </w:pPr>
          </w:p>
        </w:tc>
        <w:tc>
          <w:tcPr>
            <w:tcW w:w="760" w:type="dxa"/>
            <w:vAlign w:val="bottom"/>
            <w:tcBorders>
              <w:top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spacing w:after="0"/>
              <w:rPr>
                <w:sz w:val="20"/>
                <w:szCs w:val="20"/>
                <w:color w:val="auto"/>
              </w:rPr>
            </w:pPr>
          </w:p>
        </w:tc>
        <w:tc>
          <w:tcPr>
            <w:tcW w:w="820" w:type="dxa"/>
            <w:vAlign w:val="bottom"/>
            <w:tcBorders>
              <w:top w:val="single" w:sz="8" w:color="auto"/>
            </w:tcBorders>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960" w:type="dxa"/>
            <w:vAlign w:val="bottom"/>
            <w:tcBorders>
              <w:top w:val="single" w:sz="8" w:color="auto"/>
            </w:tcBorders>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200" w:type="dxa"/>
            <w:vAlign w:val="bottom"/>
            <w:tcBorders>
              <w:top w:val="single" w:sz="8" w:color="auto"/>
            </w:tcBorders>
            <w:shd w:val="clear" w:color="auto" w:fill="CCEEFF"/>
          </w:tcPr>
          <w:p>
            <w:pPr>
              <w:spacing w:after="0"/>
              <w:rPr>
                <w:sz w:val="20"/>
                <w:szCs w:val="20"/>
                <w:color w:val="auto"/>
              </w:rPr>
            </w:pPr>
          </w:p>
        </w:tc>
        <w:tc>
          <w:tcPr>
            <w:tcW w:w="780" w:type="dxa"/>
            <w:vAlign w:val="bottom"/>
            <w:tcBorders>
              <w:top w:val="single" w:sz="8" w:color="auto"/>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r>
      <w:tr>
        <w:trPr>
          <w:trHeight w:val="243"/>
        </w:trPr>
        <w:tc>
          <w:tcPr>
            <w:tcW w:w="3300" w:type="dxa"/>
            <w:vAlign w:val="bottom"/>
          </w:tcPr>
          <w:p>
            <w:pPr>
              <w:ind w:left="480"/>
              <w:spacing w:after="0"/>
              <w:rPr>
                <w:sz w:val="20"/>
                <w:szCs w:val="20"/>
                <w:color w:val="auto"/>
              </w:rPr>
            </w:pPr>
            <w:r>
              <w:rPr>
                <w:rFonts w:ascii="Arial" w:cs="Arial" w:eastAsia="Arial" w:hAnsi="Arial"/>
                <w:sz w:val="18"/>
                <w:szCs w:val="18"/>
                <w:color w:val="auto"/>
              </w:rPr>
              <w:t>Basic EPS</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1,282</w:t>
            </w:r>
          </w:p>
        </w:tc>
        <w:tc>
          <w:tcPr>
            <w:tcW w:w="1900" w:type="dxa"/>
            <w:vAlign w:val="bottom"/>
            <w:gridSpan w:val="3"/>
          </w:tcPr>
          <w:p>
            <w:pPr>
              <w:jc w:val="right"/>
              <w:ind w:right="480"/>
              <w:spacing w:after="0"/>
              <w:rPr>
                <w:sz w:val="20"/>
                <w:szCs w:val="20"/>
                <w:color w:val="auto"/>
              </w:rPr>
            </w:pPr>
            <w:r>
              <w:rPr>
                <w:rFonts w:ascii="Arial" w:cs="Arial" w:eastAsia="Arial" w:hAnsi="Arial"/>
                <w:sz w:val="18"/>
                <w:szCs w:val="18"/>
                <w:color w:val="auto"/>
              </w:rPr>
              <w:t>1,569</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.82</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460"/>
              <w:spacing w:after="0"/>
              <w:rPr>
                <w:sz w:val="20"/>
                <w:szCs w:val="20"/>
                <w:color w:val="auto"/>
              </w:rPr>
            </w:pPr>
            <w:r>
              <w:rPr>
                <w:rFonts w:ascii="Arial" w:cs="Arial" w:eastAsia="Arial" w:hAnsi="Arial"/>
                <w:sz w:val="18"/>
                <w:szCs w:val="18"/>
                <w:color w:val="auto"/>
              </w:rPr>
              <w:t>955</w:t>
            </w:r>
          </w:p>
        </w:tc>
        <w:tc>
          <w:tcPr>
            <w:tcW w:w="1420" w:type="dxa"/>
            <w:vAlign w:val="bottom"/>
            <w:gridSpan w:val="2"/>
          </w:tcPr>
          <w:p>
            <w:pPr>
              <w:jc w:val="right"/>
              <w:ind w:right="460"/>
              <w:spacing w:after="0"/>
              <w:rPr>
                <w:sz w:val="20"/>
                <w:szCs w:val="20"/>
                <w:color w:val="auto"/>
              </w:rPr>
            </w:pPr>
            <w:r>
              <w:rPr>
                <w:rFonts w:ascii="Arial" w:cs="Arial" w:eastAsia="Arial" w:hAnsi="Arial"/>
                <w:sz w:val="18"/>
                <w:szCs w:val="18"/>
                <w:color w:val="auto"/>
              </w:rPr>
              <w:t>1,667</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.57</w:t>
            </w:r>
          </w:p>
        </w:tc>
        <w:tc>
          <w:tcPr>
            <w:tcW w:w="120" w:type="dxa"/>
            <w:vAlign w:val="bottom"/>
          </w:tcPr>
          <w:p>
            <w:pPr>
              <w:spacing w:after="0"/>
              <w:rPr>
                <w:sz w:val="21"/>
                <w:szCs w:val="21"/>
                <w:color w:val="auto"/>
              </w:rPr>
            </w:pPr>
          </w:p>
        </w:tc>
      </w:tr>
      <w:tr>
        <w:trPr>
          <w:trHeight w:val="243"/>
        </w:trPr>
        <w:tc>
          <w:tcPr>
            <w:tcW w:w="33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Dilutives:</w:t>
            </w:r>
          </w:p>
        </w:tc>
        <w:tc>
          <w:tcPr>
            <w:tcW w:w="3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r>
      <w:tr>
        <w:trPr>
          <w:trHeight w:val="270"/>
        </w:trPr>
        <w:tc>
          <w:tcPr>
            <w:tcW w:w="3300" w:type="dxa"/>
            <w:vAlign w:val="bottom"/>
          </w:tcPr>
          <w:p>
            <w:pPr>
              <w:ind w:left="640"/>
              <w:spacing w:after="0"/>
              <w:rPr>
                <w:sz w:val="20"/>
                <w:szCs w:val="20"/>
                <w:color w:val="auto"/>
              </w:rPr>
            </w:pPr>
            <w:r>
              <w:rPr>
                <w:rFonts w:ascii="Arial" w:cs="Arial" w:eastAsia="Arial" w:hAnsi="Arial"/>
                <w:sz w:val="18"/>
                <w:szCs w:val="18"/>
                <w:color w:val="auto"/>
                <w:w w:val="99"/>
              </w:rPr>
              <w:t>Stock-based compensation plans</w:t>
            </w:r>
          </w:p>
        </w:tc>
        <w:tc>
          <w:tcPr>
            <w:tcW w:w="30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3"/>
                <w:szCs w:val="2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48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46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spacing w:after="0"/>
              <w:rPr>
                <w:sz w:val="23"/>
                <w:szCs w:val="23"/>
                <w:color w:val="auto"/>
              </w:rPr>
            </w:pPr>
          </w:p>
        </w:tc>
        <w:tc>
          <w:tcPr>
            <w:tcW w:w="120" w:type="dxa"/>
            <w:vAlign w:val="bottom"/>
          </w:tcPr>
          <w:p>
            <w:pPr>
              <w:spacing w:after="0"/>
              <w:rPr>
                <w:sz w:val="23"/>
                <w:szCs w:val="23"/>
                <w:color w:val="auto"/>
              </w:rPr>
            </w:pPr>
          </w:p>
        </w:tc>
      </w:tr>
      <w:tr>
        <w:trPr>
          <w:trHeight w:val="257"/>
        </w:trPr>
        <w:tc>
          <w:tcPr>
            <w:tcW w:w="33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Diluted EPS</w:t>
            </w:r>
          </w:p>
        </w:tc>
        <w:tc>
          <w:tcPr>
            <w:tcW w:w="3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1,282</w:t>
            </w:r>
          </w:p>
        </w:tc>
        <w:tc>
          <w:tcPr>
            <w:tcW w:w="480" w:type="dxa"/>
            <w:vAlign w:val="bottom"/>
            <w:shd w:val="clear" w:color="auto" w:fill="CCEEFF"/>
          </w:tcPr>
          <w:p>
            <w:pPr>
              <w:spacing w:after="0"/>
              <w:rPr>
                <w:sz w:val="22"/>
                <w:szCs w:val="22"/>
                <w:color w:val="auto"/>
              </w:rPr>
            </w:pPr>
          </w:p>
        </w:tc>
        <w:tc>
          <w:tcPr>
            <w:tcW w:w="14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1,602</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955</w:t>
            </w:r>
          </w:p>
        </w:tc>
        <w:tc>
          <w:tcPr>
            <w:tcW w:w="14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1,702</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20" w:type="dxa"/>
            <w:vAlign w:val="bottom"/>
            <w:shd w:val="clear" w:color="auto" w:fill="CCEEFF"/>
          </w:tcPr>
          <w:p>
            <w:pPr>
              <w:spacing w:after="0"/>
              <w:rPr>
                <w:sz w:val="22"/>
                <w:szCs w:val="22"/>
                <w:color w:val="auto"/>
              </w:rPr>
            </w:pPr>
          </w:p>
        </w:tc>
      </w:tr>
      <w:tr>
        <w:trPr>
          <w:trHeight w:val="20"/>
        </w:trPr>
        <w:tc>
          <w:tcPr>
            <w:tcW w:w="33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r>
    </w:tbl>
    <w:p>
      <w:pPr>
        <w:spacing w:after="0" w:line="256" w:lineRule="exact"/>
        <w:rPr>
          <w:sz w:val="20"/>
          <w:szCs w:val="20"/>
          <w:color w:val="auto"/>
        </w:rPr>
      </w:pPr>
    </w:p>
    <w:p>
      <w:pPr>
        <w:ind w:left="500" w:right="60" w:hanging="231"/>
        <w:spacing w:after="0" w:line="285" w:lineRule="auto"/>
        <w:tabs>
          <w:tab w:leader="none" w:pos="500" w:val="left"/>
        </w:tabs>
        <w:numPr>
          <w:ilvl w:val="0"/>
          <w:numId w:val="6"/>
        </w:numPr>
        <w:rPr>
          <w:rFonts w:ascii="Arial" w:cs="Arial" w:eastAsia="Arial" w:hAnsi="Arial"/>
          <w:sz w:val="16"/>
          <w:szCs w:val="16"/>
          <w:color w:val="auto"/>
        </w:rPr>
      </w:pPr>
      <w:r>
        <w:rPr>
          <w:rFonts w:ascii="Arial" w:cs="Arial" w:eastAsia="Arial" w:hAnsi="Arial"/>
          <w:sz w:val="16"/>
          <w:szCs w:val="16"/>
          <w:u w:val="single" w:color="auto"/>
          <w:color w:val="auto"/>
        </w:rPr>
        <w:t>Stock-based Compensation</w:t>
      </w:r>
      <w:r>
        <w:rPr>
          <w:rFonts w:ascii="Arial" w:cs="Arial" w:eastAsia="Arial" w:hAnsi="Arial"/>
          <w:sz w:val="16"/>
          <w:szCs w:val="16"/>
          <w:color w:val="auto"/>
        </w:rPr>
        <w:t>. We have several stock-based employee compensation plans, which are more fully described in Note 13 in our 2005 annual report on Form 10-K. Prior to July 1, 2005, we accounted for awards granted under those plans following the recognition and measurement principles of Accounting Principles Board (APB) Opinion No. 25, “</w:t>
      </w:r>
      <w:r>
        <w:rPr>
          <w:rFonts w:ascii="Arial" w:cs="Arial" w:eastAsia="Arial" w:hAnsi="Arial"/>
          <w:sz w:val="16"/>
          <w:szCs w:val="16"/>
          <w:i w:val="1"/>
          <w:iCs w:val="1"/>
          <w:color w:val="auto"/>
        </w:rPr>
        <w:t>Accounting for Stock Issued to Employees</w:t>
      </w:r>
      <w:r>
        <w:rPr>
          <w:rFonts w:ascii="Arial" w:cs="Arial" w:eastAsia="Arial" w:hAnsi="Arial"/>
          <w:sz w:val="16"/>
          <w:szCs w:val="16"/>
          <w:color w:val="auto"/>
        </w:rPr>
        <w:t>,”and related interpretations. No compensation cost was reflected in net income for stock options, as all options granted under the plans have an exercise price equal to the market value of the underlying common stock on the date of the grant (except options granted under employee stock purchase plans and acquisition-related stock option awards).</w:t>
      </w:r>
    </w:p>
    <w:p>
      <w:pPr>
        <w:spacing w:after="0" w:line="2" w:lineRule="exact"/>
        <w:rPr>
          <w:rFonts w:ascii="Arial" w:cs="Arial" w:eastAsia="Arial" w:hAnsi="Arial"/>
          <w:sz w:val="16"/>
          <w:szCs w:val="16"/>
          <w:color w:val="auto"/>
        </w:rPr>
      </w:pPr>
    </w:p>
    <w:p>
      <w:pPr>
        <w:ind w:left="500"/>
        <w:spacing w:after="0"/>
        <w:rPr>
          <w:rFonts w:ascii="Arial" w:cs="Arial" w:eastAsia="Arial" w:hAnsi="Arial"/>
          <w:sz w:val="16"/>
          <w:szCs w:val="16"/>
          <w:color w:val="auto"/>
        </w:rPr>
      </w:pPr>
      <w:r>
        <w:rPr>
          <w:rFonts w:ascii="Arial" w:cs="Arial" w:eastAsia="Arial" w:hAnsi="Arial"/>
          <w:sz w:val="18"/>
          <w:szCs w:val="18"/>
          <w:color w:val="auto"/>
        </w:rPr>
        <w:t>Compensation cost has previously been recognized for restricted stock units (RSUs).</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8" w:name="page9"/>
    <w:bookmarkEnd w:id="8"/>
    <w:p>
      <w:pPr>
        <w:ind w:left="500" w:right="120"/>
        <w:spacing w:after="0" w:line="286" w:lineRule="auto"/>
        <w:rPr>
          <w:sz w:val="20"/>
          <w:szCs w:val="20"/>
          <w:color w:val="auto"/>
        </w:rPr>
      </w:pPr>
      <w:r>
        <w:rPr>
          <w:rFonts w:ascii="Arial" w:cs="Arial" w:eastAsia="Arial" w:hAnsi="Arial"/>
          <w:sz w:val="16"/>
          <w:szCs w:val="16"/>
          <w:color w:val="auto"/>
        </w:rPr>
        <w:t xml:space="preserve">Effective July 1, 2005, we adopted the fair value recognition provisions of SFAS No. 123(R), </w:t>
      </w:r>
      <w:r>
        <w:rPr>
          <w:rFonts w:ascii="Arial" w:cs="Arial" w:eastAsia="Arial" w:hAnsi="Arial"/>
          <w:sz w:val="16"/>
          <w:szCs w:val="16"/>
          <w:i w:val="1"/>
          <w:iCs w:val="1"/>
          <w:color w:val="auto"/>
        </w:rPr>
        <w:t>“Share-Based Payments</w:t>
      </w:r>
      <w:r>
        <w:rPr>
          <w:rFonts w:ascii="Arial" w:cs="Arial" w:eastAsia="Arial" w:hAnsi="Arial"/>
          <w:sz w:val="16"/>
          <w:szCs w:val="16"/>
          <w:color w:val="auto"/>
        </w:rPr>
        <w:t>,</w:t>
      </w:r>
      <w:r>
        <w:rPr>
          <w:rFonts w:ascii="Arial" w:cs="Arial" w:eastAsia="Arial" w:hAnsi="Arial"/>
          <w:sz w:val="16"/>
          <w:szCs w:val="16"/>
          <w:i w:val="1"/>
          <w:iCs w:val="1"/>
          <w:color w:val="auto"/>
        </w:rPr>
        <w:t>”</w:t>
      </w:r>
      <w:r>
        <w:rPr>
          <w:rFonts w:ascii="Arial" w:cs="Arial" w:eastAsia="Arial" w:hAnsi="Arial"/>
          <w:sz w:val="16"/>
          <w:szCs w:val="16"/>
          <w:color w:val="auto"/>
        </w:rPr>
        <w:t xml:space="preserve"> using the modified prospective application method. Under this transition method, compensation cost recognized for the periods ended June 30, 2006, includes the applicable amounts of: (a) compensation cost of all stock-based payments granted prior to, but not yet vested as of, July 1, 2005 (based on the grant-date fair value estimated in accordance with the original provisions of SFAS No. 123 and previously presented in pro forma footnote disclosures), and</w:t>
      </w:r>
    </w:p>
    <w:p>
      <w:pPr>
        <w:spacing w:after="0" w:line="2" w:lineRule="exact"/>
        <w:rPr>
          <w:sz w:val="20"/>
          <w:szCs w:val="20"/>
          <w:color w:val="auto"/>
        </w:rPr>
      </w:pPr>
    </w:p>
    <w:p>
      <w:pPr>
        <w:ind w:left="500" w:right="40" w:hanging="6"/>
        <w:spacing w:after="0" w:line="261" w:lineRule="auto"/>
        <w:tabs>
          <w:tab w:leader="none" w:pos="755" w:val="left"/>
        </w:tabs>
        <w:numPr>
          <w:ilvl w:val="0"/>
          <w:numId w:val="7"/>
        </w:numPr>
        <w:rPr>
          <w:rFonts w:ascii="Arial" w:cs="Arial" w:eastAsia="Arial" w:hAnsi="Arial"/>
          <w:sz w:val="18"/>
          <w:szCs w:val="18"/>
          <w:color w:val="auto"/>
        </w:rPr>
      </w:pPr>
      <w:r>
        <w:rPr>
          <w:rFonts w:ascii="Arial" w:cs="Arial" w:eastAsia="Arial" w:hAnsi="Arial"/>
          <w:sz w:val="18"/>
          <w:szCs w:val="18"/>
          <w:color w:val="auto"/>
        </w:rPr>
        <w:t>compensation cost for all stock-based payments granted subsequent to July 1, 2005 (based on the grant-date fair value estimated in accordance with the new provisions of SFAS No. 123(R)). Results for periods prior to July 1, 2005, have not been restated.</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360" w:type="dxa"/>
            <w:vAlign w:val="bottom"/>
          </w:tcPr>
          <w:p>
            <w:pPr>
              <w:ind w:left="500"/>
              <w:spacing w:after="0"/>
              <w:rPr>
                <w:sz w:val="20"/>
                <w:szCs w:val="20"/>
                <w:color w:val="auto"/>
              </w:rPr>
            </w:pPr>
            <w:r>
              <w:rPr>
                <w:rFonts w:ascii="Arial" w:cs="Arial" w:eastAsia="Arial" w:hAnsi="Arial"/>
                <w:sz w:val="18"/>
                <w:szCs w:val="18"/>
                <w:color w:val="auto"/>
                <w:w w:val="94"/>
              </w:rPr>
              <w:t>The amounts of stock-based compensation expense recognized in the periods presented are as follows:</w:t>
            </w:r>
          </w:p>
        </w:tc>
        <w:tc>
          <w:tcPr>
            <w:tcW w:w="10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513"/>
        </w:trPr>
        <w:tc>
          <w:tcPr>
            <w:tcW w:w="8360" w:type="dxa"/>
            <w:vAlign w:val="bottom"/>
          </w:tcPr>
          <w:p>
            <w:pPr>
              <w:spacing w:after="0"/>
              <w:rPr>
                <w:sz w:val="24"/>
                <w:szCs w:val="24"/>
                <w:color w:val="auto"/>
              </w:rPr>
            </w:pPr>
          </w:p>
        </w:tc>
        <w:tc>
          <w:tcPr>
            <w:tcW w:w="2740" w:type="dxa"/>
            <w:vAlign w:val="bottom"/>
            <w:gridSpan w:val="4"/>
          </w:tcPr>
          <w:p>
            <w:pPr>
              <w:jc w:val="right"/>
              <w:ind w:right="10"/>
              <w:spacing w:after="0"/>
              <w:rPr>
                <w:sz w:val="20"/>
                <w:szCs w:val="20"/>
                <w:color w:val="auto"/>
              </w:rPr>
            </w:pPr>
            <w:r>
              <w:rPr>
                <w:rFonts w:ascii="Arial" w:cs="Arial" w:eastAsia="Arial" w:hAnsi="Arial"/>
                <w:sz w:val="18"/>
                <w:szCs w:val="18"/>
                <w:b w:val="1"/>
                <w:bCs w:val="1"/>
                <w:color w:val="auto"/>
              </w:rPr>
              <w:t>Three Months Ended June 30,</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0"/>
        </w:trPr>
        <w:tc>
          <w:tcPr>
            <w:tcW w:w="8360" w:type="dxa"/>
            <w:vAlign w:val="bottom"/>
          </w:tcPr>
          <w:p>
            <w:pPr>
              <w:spacing w:after="0"/>
              <w:rPr>
                <w:sz w:val="23"/>
                <w:szCs w:val="23"/>
                <w:color w:val="auto"/>
              </w:rPr>
            </w:pPr>
          </w:p>
        </w:tc>
        <w:tc>
          <w:tcPr>
            <w:tcW w:w="1020" w:type="dxa"/>
            <w:vAlign w:val="bottom"/>
          </w:tcPr>
          <w:p>
            <w:pPr>
              <w:jc w:val="right"/>
              <w:ind w:right="77"/>
              <w:spacing w:after="0"/>
              <w:rPr>
                <w:sz w:val="20"/>
                <w:szCs w:val="20"/>
                <w:color w:val="auto"/>
              </w:rPr>
            </w:pPr>
            <w:r>
              <w:rPr>
                <w:rFonts w:ascii="Arial" w:cs="Arial" w:eastAsia="Arial" w:hAnsi="Arial"/>
                <w:sz w:val="18"/>
                <w:szCs w:val="18"/>
                <w:b w:val="1"/>
                <w:bCs w:val="1"/>
                <w:color w:val="auto"/>
              </w:rPr>
              <w:t>2006</w:t>
            </w:r>
          </w:p>
        </w:tc>
        <w:tc>
          <w:tcPr>
            <w:tcW w:w="360" w:type="dxa"/>
            <w:vAlign w:val="bottom"/>
          </w:tcPr>
          <w:p>
            <w:pPr>
              <w:spacing w:after="0"/>
              <w:rPr>
                <w:sz w:val="23"/>
                <w:szCs w:val="23"/>
                <w:color w:val="auto"/>
              </w:rPr>
            </w:pPr>
          </w:p>
        </w:tc>
        <w:tc>
          <w:tcPr>
            <w:tcW w:w="1360" w:type="dxa"/>
            <w:vAlign w:val="bottom"/>
            <w:gridSpan w:val="2"/>
          </w:tcPr>
          <w:p>
            <w:pPr>
              <w:jc w:val="right"/>
              <w:ind w:right="190"/>
              <w:spacing w:after="0"/>
              <w:rPr>
                <w:sz w:val="20"/>
                <w:szCs w:val="20"/>
                <w:color w:val="auto"/>
              </w:rPr>
            </w:pPr>
            <w:r>
              <w:rPr>
                <w:rFonts w:ascii="Arial" w:cs="Arial" w:eastAsia="Arial" w:hAnsi="Arial"/>
                <w:sz w:val="18"/>
                <w:szCs w:val="18"/>
                <w:b w:val="1"/>
                <w:bCs w:val="1"/>
                <w:color w:val="auto"/>
              </w:rPr>
              <w:t>2005</w:t>
            </w:r>
          </w:p>
        </w:tc>
        <w:tc>
          <w:tcPr>
            <w:tcW w:w="2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8360" w:type="dxa"/>
            <w:vAlign w:val="bottom"/>
            <w:shd w:val="clear" w:color="auto" w:fill="CCEEFF"/>
          </w:tcPr>
          <w:p>
            <w:pPr>
              <w:spacing w:after="0"/>
              <w:rPr>
                <w:sz w:val="20"/>
                <w:szCs w:val="20"/>
                <w:color w:val="auto"/>
              </w:rPr>
            </w:pPr>
          </w:p>
        </w:tc>
        <w:tc>
          <w:tcPr>
            <w:tcW w:w="1020" w:type="dxa"/>
            <w:vAlign w:val="bottom"/>
            <w:tcBorders>
              <w:top w:val="single" w:sz="8" w:color="auto"/>
            </w:tcBorders>
            <w:shd w:val="clear" w:color="auto" w:fill="CCEEFF"/>
          </w:tcPr>
          <w:p>
            <w:pPr>
              <w:spacing w:after="0"/>
              <w:rPr>
                <w:sz w:val="20"/>
                <w:szCs w:val="20"/>
                <w:color w:val="auto"/>
              </w:rPr>
            </w:pPr>
          </w:p>
        </w:tc>
        <w:tc>
          <w:tcPr>
            <w:tcW w:w="360" w:type="dxa"/>
            <w:vAlign w:val="bottom"/>
            <w:tcBorders>
              <w:top w:val="single" w:sz="8" w:color="auto"/>
            </w:tcBorders>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40" w:type="dxa"/>
            <w:vAlign w:val="bottom"/>
            <w:tcBorders>
              <w:top w:val="single" w:sz="8" w:color="auto"/>
            </w:tcBorders>
            <w:shd w:val="clear" w:color="auto" w:fill="CCEEFF"/>
          </w:tcPr>
          <w:p>
            <w:pPr>
              <w:spacing w:after="0"/>
              <w:rPr>
                <w:sz w:val="20"/>
                <w:szCs w:val="20"/>
                <w:color w:val="auto"/>
              </w:rPr>
            </w:pPr>
          </w:p>
        </w:tc>
        <w:tc>
          <w:tcPr>
            <w:tcW w:w="220" w:type="dxa"/>
            <w:vAlign w:val="bottom"/>
            <w:tcBorders>
              <w:top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43"/>
        </w:trPr>
        <w:tc>
          <w:tcPr>
            <w:tcW w:w="8360" w:type="dxa"/>
            <w:vAlign w:val="bottom"/>
          </w:tcPr>
          <w:p>
            <w:pPr>
              <w:ind w:left="460"/>
              <w:spacing w:after="0"/>
              <w:rPr>
                <w:sz w:val="20"/>
                <w:szCs w:val="20"/>
                <w:color w:val="auto"/>
              </w:rPr>
            </w:pPr>
            <w:r>
              <w:rPr>
                <w:rFonts w:ascii="Arial" w:cs="Arial" w:eastAsia="Arial" w:hAnsi="Arial"/>
                <w:sz w:val="18"/>
                <w:szCs w:val="18"/>
                <w:color w:val="auto"/>
              </w:rPr>
              <w:t>Stock-based compensation expense recognized:</w:t>
            </w:r>
          </w:p>
        </w:tc>
        <w:tc>
          <w:tcPr>
            <w:tcW w:w="10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8360" w:type="dxa"/>
            <w:vAlign w:val="bottom"/>
            <w:shd w:val="clear" w:color="auto" w:fill="CCEEFF"/>
          </w:tcPr>
          <w:p>
            <w:pPr>
              <w:ind w:left="620"/>
              <w:spacing w:after="0"/>
              <w:rPr>
                <w:sz w:val="20"/>
                <w:szCs w:val="20"/>
                <w:color w:val="auto"/>
              </w:rPr>
            </w:pPr>
            <w:r>
              <w:rPr>
                <w:rFonts w:ascii="Arial" w:cs="Arial" w:eastAsia="Arial" w:hAnsi="Arial"/>
                <w:sz w:val="18"/>
                <w:szCs w:val="18"/>
                <w:color w:val="auto"/>
              </w:rPr>
              <w:t>Cost of revenue</w:t>
            </w:r>
          </w:p>
        </w:tc>
        <w:tc>
          <w:tcPr>
            <w:tcW w:w="1020" w:type="dxa"/>
            <w:vAlign w:val="bottom"/>
            <w:shd w:val="clear" w:color="auto" w:fill="CCEEFF"/>
          </w:tcPr>
          <w:p>
            <w:pPr>
              <w:jc w:val="right"/>
              <w:ind w:right="857"/>
              <w:spacing w:after="0"/>
              <w:rPr>
                <w:sz w:val="20"/>
                <w:szCs w:val="20"/>
                <w:color w:val="auto"/>
              </w:rPr>
            </w:pPr>
            <w:r>
              <w:rPr>
                <w:rFonts w:ascii="Arial" w:cs="Arial" w:eastAsia="Arial" w:hAnsi="Arial"/>
                <w:sz w:val="15"/>
                <w:szCs w:val="15"/>
                <w:color w:val="auto"/>
                <w:w w:val="71"/>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360" w:type="dxa"/>
            <w:vAlign w:val="bottom"/>
            <w:gridSpan w:val="2"/>
            <w:shd w:val="clear" w:color="auto" w:fill="CCEEFF"/>
          </w:tcPr>
          <w:p>
            <w:pPr>
              <w:jc w:val="right"/>
              <w:ind w:right="95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43"/>
        </w:trPr>
        <w:tc>
          <w:tcPr>
            <w:tcW w:w="8360" w:type="dxa"/>
            <w:vAlign w:val="bottom"/>
          </w:tcPr>
          <w:p>
            <w:pPr>
              <w:ind w:left="620"/>
              <w:spacing w:after="0"/>
              <w:rPr>
                <w:sz w:val="20"/>
                <w:szCs w:val="20"/>
                <w:color w:val="auto"/>
              </w:rPr>
            </w:pPr>
            <w:r>
              <w:rPr>
                <w:rFonts w:ascii="Arial" w:cs="Arial" w:eastAsia="Arial" w:hAnsi="Arial"/>
                <w:sz w:val="18"/>
                <w:szCs w:val="18"/>
                <w:color w:val="auto"/>
              </w:rPr>
              <w:t>R&amp;D</w:t>
            </w:r>
          </w:p>
        </w:tc>
        <w:tc>
          <w:tcPr>
            <w:tcW w:w="1020" w:type="dxa"/>
            <w:vAlign w:val="bottom"/>
          </w:tcPr>
          <w:p>
            <w:pPr>
              <w:spacing w:after="0"/>
              <w:rPr>
                <w:sz w:val="21"/>
                <w:szCs w:val="21"/>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25</w:t>
            </w: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75"/>
        </w:trPr>
        <w:tc>
          <w:tcPr>
            <w:tcW w:w="836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8"/>
                <w:szCs w:val="18"/>
                <w:color w:val="auto"/>
              </w:rPr>
              <w:t>SG&amp;A (only RSUs in 2005)</w:t>
            </w:r>
          </w:p>
        </w:tc>
        <w:tc>
          <w:tcPr>
            <w:tcW w:w="10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w:t>
            </w:r>
          </w:p>
        </w:tc>
      </w:tr>
      <w:tr>
        <w:trPr>
          <w:trHeight w:val="237"/>
        </w:trPr>
        <w:tc>
          <w:tcPr>
            <w:tcW w:w="8360" w:type="dxa"/>
            <w:vAlign w:val="bottom"/>
            <w:tcBorders>
              <w:top w:val="single" w:sz="8" w:color="CCEEFF"/>
            </w:tcBorders>
          </w:tcPr>
          <w:p>
            <w:pPr>
              <w:ind w:left="620"/>
              <w:spacing w:after="0"/>
              <w:rPr>
                <w:sz w:val="20"/>
                <w:szCs w:val="20"/>
                <w:color w:val="auto"/>
              </w:rPr>
            </w:pPr>
            <w:r>
              <w:rPr>
                <w:rFonts w:ascii="Arial" w:cs="Arial" w:eastAsia="Arial" w:hAnsi="Arial"/>
                <w:sz w:val="18"/>
                <w:szCs w:val="18"/>
                <w:color w:val="auto"/>
              </w:rPr>
              <w:t>Total</w:t>
            </w:r>
          </w:p>
        </w:tc>
        <w:tc>
          <w:tcPr>
            <w:tcW w:w="1020" w:type="dxa"/>
            <w:vAlign w:val="bottom"/>
            <w:tcBorders>
              <w:top w:val="single" w:sz="8" w:color="auto"/>
              <w:bottom w:val="single" w:sz="8" w:color="auto"/>
            </w:tcBorders>
          </w:tcPr>
          <w:p>
            <w:pPr>
              <w:jc w:val="right"/>
              <w:ind w:right="857"/>
              <w:spacing w:after="0"/>
              <w:rPr>
                <w:sz w:val="20"/>
                <w:szCs w:val="20"/>
                <w:color w:val="auto"/>
              </w:rPr>
            </w:pPr>
            <w:r>
              <w:rPr>
                <w:rFonts w:ascii="Arial" w:cs="Arial" w:eastAsia="Arial" w:hAnsi="Arial"/>
                <w:sz w:val="15"/>
                <w:szCs w:val="15"/>
                <w:color w:val="auto"/>
                <w:w w:val="71"/>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w:t>
            </w:r>
          </w:p>
        </w:tc>
        <w:tc>
          <w:tcPr>
            <w:tcW w:w="220" w:type="dxa"/>
            <w:vAlign w:val="bottom"/>
            <w:tcBorders>
              <w:top w:val="single" w:sz="8" w:color="CCEEFF"/>
            </w:tcBorders>
          </w:tcPr>
          <w:p>
            <w:pPr>
              <w:spacing w:after="0"/>
              <w:rPr>
                <w:sz w:val="20"/>
                <w:szCs w:val="20"/>
                <w:color w:val="auto"/>
              </w:rPr>
            </w:pPr>
          </w:p>
        </w:tc>
        <w:tc>
          <w:tcPr>
            <w:tcW w:w="1140" w:type="dxa"/>
            <w:vAlign w:val="bottom"/>
            <w:tcBorders>
              <w:top w:val="single" w:sz="8" w:color="auto"/>
              <w:bottom w:val="single" w:sz="8" w:color="auto"/>
            </w:tcBorders>
          </w:tcPr>
          <w:p>
            <w:pPr>
              <w:jc w:val="right"/>
              <w:ind w:right="950"/>
              <w:spacing w:after="0"/>
              <w:rPr>
                <w:sz w:val="20"/>
                <w:szCs w:val="20"/>
                <w:color w:val="auto"/>
              </w:rPr>
            </w:pPr>
            <w:r>
              <w:rPr>
                <w:rFonts w:ascii="Arial" w:cs="Arial" w:eastAsia="Arial" w:hAnsi="Arial"/>
                <w:sz w:val="18"/>
                <w:szCs w:val="18"/>
                <w:color w:val="auto"/>
                <w:w w:val="79"/>
              </w:rPr>
              <w:t>$</w:t>
            </w: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top w:val="single" w:sz="8" w:color="CCEEFF"/>
            </w:tcBorders>
          </w:tcPr>
          <w:p>
            <w:pPr>
              <w:spacing w:after="0"/>
              <w:rPr>
                <w:sz w:val="20"/>
                <w:szCs w:val="20"/>
                <w:color w:val="auto"/>
              </w:rPr>
            </w:pPr>
          </w:p>
        </w:tc>
      </w:tr>
      <w:tr>
        <w:trPr>
          <w:trHeight w:val="20"/>
        </w:trPr>
        <w:tc>
          <w:tcPr>
            <w:tcW w:w="83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60" w:type="dxa"/>
            <w:vAlign w:val="bottom"/>
          </w:tcPr>
          <w:p>
            <w:pPr>
              <w:spacing w:after="0"/>
              <w:rPr>
                <w:sz w:val="20"/>
                <w:szCs w:val="20"/>
                <w:color w:val="auto"/>
              </w:rPr>
            </w:pPr>
          </w:p>
        </w:tc>
        <w:tc>
          <w:tcPr>
            <w:tcW w:w="2640" w:type="dxa"/>
            <w:vAlign w:val="bottom"/>
            <w:gridSpan w:val="4"/>
          </w:tcPr>
          <w:p>
            <w:pPr>
              <w:jc w:val="right"/>
              <w:ind w:right="30"/>
              <w:spacing w:after="0"/>
              <w:rPr>
                <w:sz w:val="20"/>
                <w:szCs w:val="20"/>
                <w:color w:val="auto"/>
              </w:rPr>
            </w:pPr>
            <w:r>
              <w:rPr>
                <w:rFonts w:ascii="Arial" w:cs="Arial" w:eastAsia="Arial" w:hAnsi="Arial"/>
                <w:sz w:val="18"/>
                <w:szCs w:val="18"/>
                <w:b w:val="1"/>
                <w:bCs w:val="1"/>
                <w:color w:val="auto"/>
              </w:rPr>
              <w:t>Six Months Ended June 30,</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70"/>
        </w:trPr>
        <w:tc>
          <w:tcPr>
            <w:tcW w:w="8360" w:type="dxa"/>
            <w:vAlign w:val="bottom"/>
          </w:tcPr>
          <w:p>
            <w:pPr>
              <w:spacing w:after="0"/>
              <w:rPr>
                <w:sz w:val="23"/>
                <w:szCs w:val="23"/>
                <w:color w:val="auto"/>
              </w:rPr>
            </w:pPr>
          </w:p>
        </w:tc>
        <w:tc>
          <w:tcPr>
            <w:tcW w:w="98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b w:val="1"/>
                <w:bCs w:val="1"/>
                <w:color w:val="auto"/>
              </w:rPr>
              <w:t>2006</w:t>
            </w:r>
          </w:p>
        </w:tc>
        <w:tc>
          <w:tcPr>
            <w:tcW w:w="400" w:type="dxa"/>
            <w:vAlign w:val="bottom"/>
            <w:tcBorders>
              <w:bottom w:val="single" w:sz="8" w:color="auto"/>
            </w:tcBorders>
          </w:tcPr>
          <w:p>
            <w:pPr>
              <w:spacing w:after="0"/>
              <w:rPr>
                <w:sz w:val="23"/>
                <w:szCs w:val="23"/>
                <w:color w:val="auto"/>
              </w:rPr>
            </w:pPr>
          </w:p>
        </w:tc>
        <w:tc>
          <w:tcPr>
            <w:tcW w:w="220" w:type="dxa"/>
            <w:vAlign w:val="bottom"/>
          </w:tcPr>
          <w:p>
            <w:pPr>
              <w:spacing w:after="0"/>
              <w:rPr>
                <w:sz w:val="23"/>
                <w:szCs w:val="23"/>
                <w:color w:val="auto"/>
              </w:rPr>
            </w:pPr>
          </w:p>
        </w:tc>
        <w:tc>
          <w:tcPr>
            <w:tcW w:w="10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2005</w:t>
            </w:r>
          </w:p>
        </w:tc>
        <w:tc>
          <w:tcPr>
            <w:tcW w:w="320" w:type="dxa"/>
            <w:vAlign w:val="bottom"/>
            <w:tcBorders>
              <w:bottom w:val="single" w:sz="8" w:color="auto"/>
            </w:tcBorders>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836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43"/>
        </w:trPr>
        <w:tc>
          <w:tcPr>
            <w:tcW w:w="8360" w:type="dxa"/>
            <w:vAlign w:val="bottom"/>
          </w:tcPr>
          <w:p>
            <w:pPr>
              <w:ind w:left="460"/>
              <w:spacing w:after="0"/>
              <w:rPr>
                <w:sz w:val="20"/>
                <w:szCs w:val="20"/>
                <w:color w:val="auto"/>
              </w:rPr>
            </w:pPr>
            <w:r>
              <w:rPr>
                <w:rFonts w:ascii="Arial" w:cs="Arial" w:eastAsia="Arial" w:hAnsi="Arial"/>
                <w:sz w:val="18"/>
                <w:szCs w:val="18"/>
                <w:color w:val="auto"/>
              </w:rPr>
              <w:t>Stock-based compensation expense recognized:</w:t>
            </w:r>
          </w:p>
        </w:tc>
        <w:tc>
          <w:tcPr>
            <w:tcW w:w="9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8360" w:type="dxa"/>
            <w:vAlign w:val="bottom"/>
            <w:shd w:val="clear" w:color="auto" w:fill="CCEEFF"/>
          </w:tcPr>
          <w:p>
            <w:pPr>
              <w:ind w:left="620"/>
              <w:spacing w:after="0"/>
              <w:rPr>
                <w:sz w:val="20"/>
                <w:szCs w:val="20"/>
                <w:color w:val="auto"/>
              </w:rPr>
            </w:pPr>
            <w:r>
              <w:rPr>
                <w:rFonts w:ascii="Arial" w:cs="Arial" w:eastAsia="Arial" w:hAnsi="Arial"/>
                <w:sz w:val="18"/>
                <w:szCs w:val="18"/>
                <w:color w:val="auto"/>
              </w:rPr>
              <w:t>Cost of revenue</w:t>
            </w:r>
          </w:p>
        </w:tc>
        <w:tc>
          <w:tcPr>
            <w:tcW w:w="980" w:type="dxa"/>
            <w:vAlign w:val="bottom"/>
            <w:shd w:val="clear" w:color="auto" w:fill="CCEEFF"/>
          </w:tcPr>
          <w:p>
            <w:pPr>
              <w:jc w:val="right"/>
              <w:ind w:right="817"/>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2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850"/>
              <w:spacing w:after="0"/>
              <w:rPr>
                <w:sz w:val="20"/>
                <w:szCs w:val="20"/>
                <w:color w:val="auto"/>
              </w:rPr>
            </w:pPr>
            <w:r>
              <w:rPr>
                <w:rFonts w:ascii="Arial" w:cs="Arial" w:eastAsia="Arial" w:hAnsi="Arial"/>
                <w:sz w:val="18"/>
                <w:szCs w:val="18"/>
                <w:color w:val="auto"/>
                <w:w w:val="79"/>
              </w:rPr>
              <w:t>$</w:t>
            </w: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43"/>
        </w:trPr>
        <w:tc>
          <w:tcPr>
            <w:tcW w:w="8360" w:type="dxa"/>
            <w:vAlign w:val="bottom"/>
          </w:tcPr>
          <w:p>
            <w:pPr>
              <w:ind w:left="620"/>
              <w:spacing w:after="0"/>
              <w:rPr>
                <w:sz w:val="20"/>
                <w:szCs w:val="20"/>
                <w:color w:val="auto"/>
              </w:rPr>
            </w:pPr>
            <w:r>
              <w:rPr>
                <w:rFonts w:ascii="Arial" w:cs="Arial" w:eastAsia="Arial" w:hAnsi="Arial"/>
                <w:sz w:val="18"/>
                <w:szCs w:val="18"/>
                <w:color w:val="auto"/>
              </w:rPr>
              <w:t>R&amp;D</w:t>
            </w:r>
          </w:p>
        </w:tc>
        <w:tc>
          <w:tcPr>
            <w:tcW w:w="98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53</w:t>
            </w: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75"/>
        </w:trPr>
        <w:tc>
          <w:tcPr>
            <w:tcW w:w="836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8"/>
                <w:szCs w:val="18"/>
                <w:color w:val="auto"/>
              </w:rPr>
              <w:t>SG&amp;A (only RSUs in 2005)</w:t>
            </w:r>
          </w:p>
        </w:tc>
        <w:tc>
          <w:tcPr>
            <w:tcW w:w="98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w:t>
            </w:r>
          </w:p>
        </w:tc>
      </w:tr>
      <w:tr>
        <w:trPr>
          <w:trHeight w:val="237"/>
        </w:trPr>
        <w:tc>
          <w:tcPr>
            <w:tcW w:w="8360" w:type="dxa"/>
            <w:vAlign w:val="bottom"/>
            <w:tcBorders>
              <w:top w:val="single" w:sz="8" w:color="CCEEFF"/>
            </w:tcBorders>
          </w:tcPr>
          <w:p>
            <w:pPr>
              <w:ind w:left="620"/>
              <w:spacing w:after="0"/>
              <w:rPr>
                <w:sz w:val="20"/>
                <w:szCs w:val="20"/>
                <w:color w:val="auto"/>
              </w:rPr>
            </w:pPr>
            <w:r>
              <w:rPr>
                <w:rFonts w:ascii="Arial" w:cs="Arial" w:eastAsia="Arial" w:hAnsi="Arial"/>
                <w:sz w:val="18"/>
                <w:szCs w:val="18"/>
                <w:color w:val="auto"/>
              </w:rPr>
              <w:t>Total</w:t>
            </w:r>
          </w:p>
        </w:tc>
        <w:tc>
          <w:tcPr>
            <w:tcW w:w="980" w:type="dxa"/>
            <w:vAlign w:val="bottom"/>
            <w:tcBorders>
              <w:top w:val="single" w:sz="8" w:color="auto"/>
              <w:bottom w:val="single" w:sz="8" w:color="auto"/>
            </w:tcBorders>
          </w:tcPr>
          <w:p>
            <w:pPr>
              <w:jc w:val="right"/>
              <w:ind w:right="817"/>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175</w:t>
            </w:r>
          </w:p>
        </w:tc>
        <w:tc>
          <w:tcPr>
            <w:tcW w:w="220" w:type="dxa"/>
            <w:vAlign w:val="bottom"/>
            <w:tcBorders>
              <w:top w:val="single" w:sz="8" w:color="CCEEFF"/>
            </w:tcBorders>
          </w:tcPr>
          <w:p>
            <w:pPr>
              <w:spacing w:after="0"/>
              <w:rPr>
                <w:sz w:val="20"/>
                <w:szCs w:val="20"/>
                <w:color w:val="auto"/>
              </w:rPr>
            </w:pPr>
          </w:p>
        </w:tc>
        <w:tc>
          <w:tcPr>
            <w:tcW w:w="1040" w:type="dxa"/>
            <w:vAlign w:val="bottom"/>
            <w:tcBorders>
              <w:top w:val="single" w:sz="8" w:color="auto"/>
              <w:bottom w:val="single" w:sz="8" w:color="auto"/>
            </w:tcBorders>
          </w:tcPr>
          <w:p>
            <w:pPr>
              <w:jc w:val="right"/>
              <w:ind w:right="850"/>
              <w:spacing w:after="0"/>
              <w:rPr>
                <w:sz w:val="20"/>
                <w:szCs w:val="20"/>
                <w:color w:val="auto"/>
              </w:rPr>
            </w:pPr>
            <w:r>
              <w:rPr>
                <w:rFonts w:ascii="Arial" w:cs="Arial" w:eastAsia="Arial" w:hAnsi="Arial"/>
                <w:sz w:val="18"/>
                <w:szCs w:val="18"/>
                <w:color w:val="auto"/>
                <w:w w:val="79"/>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top w:val="single" w:sz="8" w:color="CCEEFF"/>
            </w:tcBorders>
          </w:tcPr>
          <w:p>
            <w:pPr>
              <w:spacing w:after="0"/>
              <w:rPr>
                <w:sz w:val="20"/>
                <w:szCs w:val="20"/>
                <w:color w:val="auto"/>
              </w:rPr>
            </w:pPr>
          </w:p>
        </w:tc>
      </w:tr>
      <w:tr>
        <w:trPr>
          <w:trHeight w:val="20"/>
        </w:trPr>
        <w:tc>
          <w:tcPr>
            <w:tcW w:w="83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56" w:lineRule="exact"/>
        <w:rPr>
          <w:sz w:val="20"/>
          <w:szCs w:val="20"/>
          <w:color w:val="auto"/>
        </w:rPr>
      </w:pPr>
    </w:p>
    <w:p>
      <w:pPr>
        <w:ind w:left="500" w:right="260"/>
        <w:spacing w:after="0" w:line="312" w:lineRule="auto"/>
        <w:rPr>
          <w:sz w:val="20"/>
          <w:szCs w:val="20"/>
          <w:color w:val="auto"/>
        </w:rPr>
      </w:pPr>
      <w:r>
        <w:rPr>
          <w:rFonts w:ascii="Arial" w:cs="Arial" w:eastAsia="Arial" w:hAnsi="Arial"/>
          <w:sz w:val="16"/>
          <w:szCs w:val="16"/>
          <w:color w:val="auto"/>
        </w:rPr>
        <w:t>The amounts above include the impact of recognizing compensation expense related to nonqualified stock options, RSUs and stock options offered under the employee stock purchase plan. For 2005, before implementation of SFAS No. 123(R), only compensation expense related to RSUs was recognized and included in SG&amp;A. Stock-based compensation expense has not been allocated to the various segments, but is reflected in Corporate.</w:t>
      </w:r>
    </w:p>
    <w:p>
      <w:pPr>
        <w:spacing w:after="0" w:line="201" w:lineRule="exact"/>
        <w:rPr>
          <w:sz w:val="20"/>
          <w:szCs w:val="20"/>
          <w:color w:val="auto"/>
        </w:rPr>
      </w:pPr>
    </w:p>
    <w:p>
      <w:pPr>
        <w:ind w:left="500" w:right="260"/>
        <w:spacing w:after="0" w:line="276" w:lineRule="auto"/>
        <w:rPr>
          <w:sz w:val="20"/>
          <w:szCs w:val="20"/>
          <w:color w:val="auto"/>
        </w:rPr>
      </w:pPr>
      <w:r>
        <w:rPr>
          <w:rFonts w:ascii="Arial" w:cs="Arial" w:eastAsia="Arial" w:hAnsi="Arial"/>
          <w:sz w:val="17"/>
          <w:szCs w:val="17"/>
          <w:color w:val="auto"/>
        </w:rPr>
        <w:t>Under the modified prospective application method, results for periods prior to July 1, 2005, have not been restated to reflect the effects of implementing SFAS No. 123(R). The following pro forma information, as required by SFAS No. 148, “</w:t>
      </w:r>
      <w:r>
        <w:rPr>
          <w:rFonts w:ascii="Arial" w:cs="Arial" w:eastAsia="Arial" w:hAnsi="Arial"/>
          <w:sz w:val="17"/>
          <w:szCs w:val="17"/>
          <w:i w:val="1"/>
          <w:iCs w:val="1"/>
          <w:color w:val="auto"/>
        </w:rPr>
        <w:t>Accounting for Stock-Based Compensation -</w:t>
      </w:r>
      <w:r>
        <w:rPr>
          <w:rFonts w:ascii="Arial" w:cs="Arial" w:eastAsia="Arial" w:hAnsi="Arial"/>
          <w:sz w:val="17"/>
          <w:szCs w:val="17"/>
          <w:color w:val="auto"/>
        </w:rPr>
        <w:t xml:space="preserve"> </w:t>
      </w:r>
      <w:r>
        <w:rPr>
          <w:rFonts w:ascii="Arial" w:cs="Arial" w:eastAsia="Arial" w:hAnsi="Arial"/>
          <w:sz w:val="17"/>
          <w:szCs w:val="17"/>
          <w:i w:val="1"/>
          <w:iCs w:val="1"/>
          <w:color w:val="auto"/>
        </w:rPr>
        <w:t>Transition and Disclosure, an amendment of FASB Statement No. 123</w:t>
      </w:r>
      <w:r>
        <w:rPr>
          <w:rFonts w:ascii="Arial" w:cs="Arial" w:eastAsia="Arial" w:hAnsi="Arial"/>
          <w:sz w:val="17"/>
          <w:szCs w:val="17"/>
          <w:color w:val="auto"/>
        </w:rPr>
        <w:t>,” is presented for comparative purposes and illustrates the pro forma effect on</w:t>
      </w:r>
      <w:r>
        <w:rPr>
          <w:rFonts w:ascii="Arial" w:cs="Arial" w:eastAsia="Arial" w:hAnsi="Arial"/>
          <w:sz w:val="17"/>
          <w:szCs w:val="17"/>
          <w:i w:val="1"/>
          <w:iCs w:val="1"/>
          <w:color w:val="auto"/>
        </w:rPr>
        <w:t xml:space="preserve"> </w:t>
      </w:r>
      <w:r>
        <w:rPr>
          <w:rFonts w:ascii="Arial" w:cs="Arial" w:eastAsia="Arial" w:hAnsi="Arial"/>
          <w:sz w:val="17"/>
          <w:szCs w:val="17"/>
          <w:color w:val="auto"/>
        </w:rPr>
        <w:t>income from continuing operations and related earnings per common share for the periods ended June 30, 2005, as if we had applied the fair value recognition provisions of SFAS No. 123 to stock-based compensation for that period:</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8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For Three</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4"/>
              </w:rPr>
              <w:t>For Six</w:t>
            </w:r>
          </w:p>
        </w:tc>
      </w:tr>
      <w:tr>
        <w:trPr>
          <w:trHeight w:val="239"/>
        </w:trPr>
        <w:tc>
          <w:tcPr>
            <w:tcW w:w="8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1"/>
              </w:rPr>
              <w:t>Months Ended</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Months Ended</w:t>
            </w:r>
          </w:p>
        </w:tc>
      </w:tr>
      <w:tr>
        <w:trPr>
          <w:trHeight w:val="234"/>
        </w:trPr>
        <w:tc>
          <w:tcPr>
            <w:tcW w:w="83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b w:val="1"/>
                <w:bCs w:val="1"/>
                <w:color w:val="auto"/>
                <w:w w:val="92"/>
              </w:rPr>
              <w:t>June 30, 2005</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June 30, 2005</w:t>
            </w:r>
          </w:p>
        </w:tc>
        <w:tc>
          <w:tcPr>
            <w:tcW w:w="100" w:type="dxa"/>
            <w:vAlign w:val="bottom"/>
          </w:tcPr>
          <w:p>
            <w:pPr>
              <w:spacing w:after="0"/>
              <w:rPr>
                <w:sz w:val="20"/>
                <w:szCs w:val="20"/>
                <w:color w:val="auto"/>
              </w:rPr>
            </w:pPr>
          </w:p>
        </w:tc>
      </w:tr>
      <w:tr>
        <w:trPr>
          <w:trHeight w:val="237"/>
        </w:trPr>
        <w:tc>
          <w:tcPr>
            <w:tcW w:w="83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Income from continuing operations, as reported</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584</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955</w:t>
            </w:r>
          </w:p>
        </w:tc>
      </w:tr>
      <w:tr>
        <w:trPr>
          <w:trHeight w:val="243"/>
        </w:trPr>
        <w:tc>
          <w:tcPr>
            <w:tcW w:w="83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8340" w:type="dxa"/>
            <w:vAlign w:val="bottom"/>
            <w:shd w:val="clear" w:color="auto" w:fill="CCEEFF"/>
          </w:tcPr>
          <w:p>
            <w:pPr>
              <w:ind w:left="500"/>
              <w:spacing w:after="0"/>
              <w:rPr>
                <w:sz w:val="20"/>
                <w:szCs w:val="20"/>
                <w:color w:val="auto"/>
              </w:rPr>
            </w:pPr>
            <w:r>
              <w:rPr>
                <w:rFonts w:ascii="Arial" w:cs="Arial" w:eastAsia="Arial" w:hAnsi="Arial"/>
                <w:sz w:val="18"/>
                <w:szCs w:val="18"/>
                <w:color w:val="auto"/>
                <w:w w:val="94"/>
              </w:rPr>
              <w:t>Add: Stock-based compensation expense included in reported income, net of ($2) and ($4) tax expense</w:t>
            </w:r>
          </w:p>
        </w:tc>
        <w:tc>
          <w:tcPr>
            <w:tcW w:w="14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w:t>
            </w:r>
          </w:p>
        </w:tc>
      </w:tr>
      <w:tr>
        <w:trPr>
          <w:trHeight w:val="243"/>
        </w:trPr>
        <w:tc>
          <w:tcPr>
            <w:tcW w:w="83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02"/>
        </w:trPr>
        <w:tc>
          <w:tcPr>
            <w:tcW w:w="8340" w:type="dxa"/>
            <w:vAlign w:val="bottom"/>
            <w:shd w:val="clear" w:color="auto" w:fill="CCEEFF"/>
          </w:tcPr>
          <w:p>
            <w:pPr>
              <w:ind w:left="500"/>
              <w:spacing w:after="0" w:line="201" w:lineRule="exact"/>
              <w:rPr>
                <w:sz w:val="20"/>
                <w:szCs w:val="20"/>
                <w:color w:val="auto"/>
              </w:rPr>
            </w:pPr>
            <w:r>
              <w:rPr>
                <w:rFonts w:ascii="Arial" w:cs="Arial" w:eastAsia="Arial" w:hAnsi="Arial"/>
                <w:sz w:val="18"/>
                <w:szCs w:val="18"/>
                <w:color w:val="auto"/>
              </w:rPr>
              <w:t>Deduct: Total stock-based compensation expense</w:t>
            </w:r>
          </w:p>
        </w:tc>
        <w:tc>
          <w:tcPr>
            <w:tcW w:w="1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83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determined under fair value-based method for all awards, net of $31 and $68 tax</w:t>
            </w:r>
          </w:p>
        </w:tc>
        <w:tc>
          <w:tcPr>
            <w:tcW w:w="14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(65)</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(140)</w:t>
            </w:r>
          </w:p>
        </w:tc>
      </w:tr>
      <w:tr>
        <w:trPr>
          <w:trHeight w:val="243"/>
        </w:trPr>
        <w:tc>
          <w:tcPr>
            <w:tcW w:w="8340" w:type="dxa"/>
            <w:vAlign w:val="bottom"/>
          </w:tcPr>
          <w:p>
            <w:pPr>
              <w:ind w:left="500"/>
              <w:spacing w:after="0"/>
              <w:rPr>
                <w:sz w:val="20"/>
                <w:szCs w:val="20"/>
                <w:color w:val="auto"/>
              </w:rPr>
            </w:pPr>
            <w:r>
              <w:rPr>
                <w:rFonts w:ascii="Arial" w:cs="Arial" w:eastAsia="Arial" w:hAnsi="Arial"/>
                <w:sz w:val="18"/>
                <w:szCs w:val="18"/>
                <w:color w:val="auto"/>
              </w:rPr>
              <w:t>Deduct: Adjustment for retirement-eligible employees, net of $49 tax</w:t>
            </w:r>
          </w:p>
        </w:tc>
        <w:tc>
          <w:tcPr>
            <w:tcW w:w="140" w:type="dxa"/>
            <w:vAlign w:val="bottom"/>
          </w:tcPr>
          <w:p>
            <w:pPr>
              <w:spacing w:after="0"/>
              <w:rPr>
                <w:sz w:val="21"/>
                <w:szCs w:val="21"/>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(93)</w:t>
            </w:r>
          </w:p>
        </w:tc>
      </w:tr>
      <w:tr>
        <w:trPr>
          <w:trHeight w:val="270"/>
        </w:trPr>
        <w:tc>
          <w:tcPr>
            <w:tcW w:w="834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r>
      <w:tr>
        <w:trPr>
          <w:trHeight w:val="237"/>
        </w:trPr>
        <w:tc>
          <w:tcPr>
            <w:tcW w:w="8340" w:type="dxa"/>
            <w:vAlign w:val="bottom"/>
          </w:tcPr>
          <w:p>
            <w:pPr>
              <w:ind w:left="500"/>
              <w:spacing w:after="0"/>
              <w:rPr>
                <w:sz w:val="20"/>
                <w:szCs w:val="20"/>
                <w:color w:val="auto"/>
              </w:rPr>
            </w:pPr>
            <w:r>
              <w:rPr>
                <w:rFonts w:ascii="Arial" w:cs="Arial" w:eastAsia="Arial" w:hAnsi="Arial"/>
                <w:sz w:val="18"/>
                <w:szCs w:val="18"/>
                <w:color w:val="auto"/>
              </w:rPr>
              <w:t>Adjusted income from continuing operations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522</w:t>
            </w: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728</w:t>
            </w:r>
          </w:p>
        </w:tc>
      </w:tr>
      <w:tr>
        <w:trPr>
          <w:trHeight w:val="20"/>
        </w:trPr>
        <w:tc>
          <w:tcPr>
            <w:tcW w:w="8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1"/>
        </w:trPr>
        <w:tc>
          <w:tcPr>
            <w:tcW w:w="83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407"/>
        </w:trPr>
        <w:tc>
          <w:tcPr>
            <w:tcW w:w="8340" w:type="dxa"/>
            <w:vAlign w:val="bottom"/>
          </w:tcPr>
          <w:p>
            <w:pPr>
              <w:ind w:left="5680"/>
              <w:spacing w:after="0"/>
              <w:rPr>
                <w:sz w:val="20"/>
                <w:szCs w:val="20"/>
                <w:color w:val="auto"/>
              </w:rPr>
            </w:pPr>
            <w:r>
              <w:rPr>
                <w:rFonts w:ascii="Arial" w:cs="Arial" w:eastAsia="Arial" w:hAnsi="Arial"/>
                <w:sz w:val="14"/>
                <w:szCs w:val="14"/>
                <w:color w:val="auto"/>
              </w:rPr>
              <w:t>9</w:t>
            </w: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03"/>
        </w:trPr>
        <w:tc>
          <w:tcPr>
            <w:tcW w:w="834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124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124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43"/>
        </w:trPr>
        <w:tc>
          <w:tcPr>
            <w:tcW w:w="66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Earnings per common share:</w:t>
            </w:r>
          </w:p>
        </w:tc>
        <w:tc>
          <w:tcPr>
            <w:tcW w:w="230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r>
      <w:tr>
        <w:trPr>
          <w:trHeight w:val="243"/>
        </w:trPr>
        <w:tc>
          <w:tcPr>
            <w:tcW w:w="6660" w:type="dxa"/>
            <w:vAlign w:val="bottom"/>
          </w:tcPr>
          <w:p>
            <w:pPr>
              <w:ind w:left="660"/>
              <w:spacing w:after="0"/>
              <w:rPr>
                <w:sz w:val="20"/>
                <w:szCs w:val="20"/>
                <w:color w:val="auto"/>
              </w:rPr>
            </w:pPr>
            <w:r>
              <w:rPr>
                <w:rFonts w:ascii="Arial" w:cs="Arial" w:eastAsia="Arial" w:hAnsi="Arial"/>
                <w:sz w:val="18"/>
                <w:szCs w:val="18"/>
                <w:color w:val="auto"/>
              </w:rPr>
              <w:t>Basic - as reported</w:t>
            </w:r>
          </w:p>
        </w:tc>
        <w:tc>
          <w:tcPr>
            <w:tcW w:w="230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.36</w:t>
            </w:r>
          </w:p>
        </w:tc>
        <w:tc>
          <w:tcPr>
            <w:tcW w:w="72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.57</w:t>
            </w:r>
          </w:p>
        </w:tc>
      </w:tr>
      <w:tr>
        <w:trPr>
          <w:trHeight w:val="270"/>
        </w:trPr>
        <w:tc>
          <w:tcPr>
            <w:tcW w:w="6660" w:type="dxa"/>
            <w:vAlign w:val="bottom"/>
            <w:shd w:val="clear" w:color="auto" w:fill="CCEEFF"/>
          </w:tcPr>
          <w:p>
            <w:pPr>
              <w:spacing w:after="0"/>
              <w:rPr>
                <w:sz w:val="23"/>
                <w:szCs w:val="23"/>
                <w:color w:val="auto"/>
              </w:rPr>
            </w:pPr>
          </w:p>
        </w:tc>
        <w:tc>
          <w:tcPr>
            <w:tcW w:w="230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r>
      <w:tr>
        <w:trPr>
          <w:trHeight w:val="243"/>
        </w:trPr>
        <w:tc>
          <w:tcPr>
            <w:tcW w:w="6660" w:type="dxa"/>
            <w:vAlign w:val="bottom"/>
          </w:tcPr>
          <w:p>
            <w:pPr>
              <w:ind w:left="660"/>
              <w:spacing w:after="0"/>
              <w:rPr>
                <w:sz w:val="20"/>
                <w:szCs w:val="20"/>
                <w:color w:val="auto"/>
              </w:rPr>
            </w:pPr>
            <w:r>
              <w:rPr>
                <w:rFonts w:ascii="Arial" w:cs="Arial" w:eastAsia="Arial" w:hAnsi="Arial"/>
                <w:sz w:val="18"/>
                <w:szCs w:val="18"/>
                <w:color w:val="auto"/>
              </w:rPr>
              <w:t>Basic - as adjusted for stock-based compensation expense</w:t>
            </w:r>
          </w:p>
        </w:tc>
        <w:tc>
          <w:tcPr>
            <w:tcW w:w="230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.32</w:t>
            </w:r>
          </w:p>
        </w:tc>
        <w:tc>
          <w:tcPr>
            <w:tcW w:w="72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.44</w:t>
            </w:r>
          </w:p>
        </w:tc>
      </w:tr>
      <w:tr>
        <w:trPr>
          <w:trHeight w:val="270"/>
        </w:trPr>
        <w:tc>
          <w:tcPr>
            <w:tcW w:w="6660" w:type="dxa"/>
            <w:vAlign w:val="bottom"/>
            <w:shd w:val="clear" w:color="auto" w:fill="CCEEFF"/>
          </w:tcPr>
          <w:p>
            <w:pPr>
              <w:spacing w:after="0"/>
              <w:rPr>
                <w:sz w:val="23"/>
                <w:szCs w:val="23"/>
                <w:color w:val="auto"/>
              </w:rPr>
            </w:pPr>
          </w:p>
        </w:tc>
        <w:tc>
          <w:tcPr>
            <w:tcW w:w="230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r>
      <w:tr>
        <w:trPr>
          <w:trHeight w:val="243"/>
        </w:trPr>
        <w:tc>
          <w:tcPr>
            <w:tcW w:w="6660" w:type="dxa"/>
            <w:vAlign w:val="bottom"/>
          </w:tcPr>
          <w:p>
            <w:pPr>
              <w:ind w:left="660"/>
              <w:spacing w:after="0"/>
              <w:rPr>
                <w:sz w:val="20"/>
                <w:szCs w:val="20"/>
                <w:color w:val="auto"/>
              </w:rPr>
            </w:pPr>
            <w:r>
              <w:rPr>
                <w:rFonts w:ascii="Arial" w:cs="Arial" w:eastAsia="Arial" w:hAnsi="Arial"/>
                <w:sz w:val="18"/>
                <w:szCs w:val="18"/>
                <w:color w:val="auto"/>
              </w:rPr>
              <w:t>Diluted - as reported</w:t>
            </w:r>
          </w:p>
        </w:tc>
        <w:tc>
          <w:tcPr>
            <w:tcW w:w="230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.35</w:t>
            </w:r>
          </w:p>
        </w:tc>
        <w:tc>
          <w:tcPr>
            <w:tcW w:w="72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.56</w:t>
            </w:r>
          </w:p>
        </w:tc>
      </w:tr>
      <w:tr>
        <w:trPr>
          <w:trHeight w:val="243"/>
        </w:trPr>
        <w:tc>
          <w:tcPr>
            <w:tcW w:w="6660" w:type="dxa"/>
            <w:vAlign w:val="bottom"/>
            <w:shd w:val="clear" w:color="auto" w:fill="CCEEFF"/>
          </w:tcPr>
          <w:p>
            <w:pPr>
              <w:spacing w:after="0"/>
              <w:rPr>
                <w:sz w:val="21"/>
                <w:szCs w:val="21"/>
                <w:color w:val="auto"/>
              </w:rPr>
            </w:pPr>
          </w:p>
        </w:tc>
        <w:tc>
          <w:tcPr>
            <w:tcW w:w="230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r>
      <w:tr>
        <w:trPr>
          <w:trHeight w:val="243"/>
        </w:trPr>
        <w:tc>
          <w:tcPr>
            <w:tcW w:w="6660" w:type="dxa"/>
            <w:vAlign w:val="bottom"/>
          </w:tcPr>
          <w:p>
            <w:pPr>
              <w:ind w:left="660"/>
              <w:spacing w:after="0"/>
              <w:rPr>
                <w:sz w:val="20"/>
                <w:szCs w:val="20"/>
                <w:color w:val="auto"/>
              </w:rPr>
            </w:pPr>
            <w:r>
              <w:rPr>
                <w:rFonts w:ascii="Arial" w:cs="Arial" w:eastAsia="Arial" w:hAnsi="Arial"/>
                <w:sz w:val="18"/>
                <w:szCs w:val="18"/>
                <w:color w:val="auto"/>
              </w:rPr>
              <w:t>Diluted - as adjusted for stock-based compensation expense</w:t>
            </w:r>
          </w:p>
        </w:tc>
        <w:tc>
          <w:tcPr>
            <w:tcW w:w="230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.31</w:t>
            </w:r>
          </w:p>
        </w:tc>
        <w:tc>
          <w:tcPr>
            <w:tcW w:w="72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.43</w:t>
            </w:r>
          </w:p>
        </w:tc>
      </w:tr>
    </w:tbl>
    <w:p>
      <w:pPr>
        <w:spacing w:after="0" w:line="256" w:lineRule="exact"/>
        <w:rPr>
          <w:sz w:val="20"/>
          <w:szCs w:val="20"/>
          <w:color w:val="auto"/>
        </w:rPr>
      </w:pPr>
    </w:p>
    <w:p>
      <w:pPr>
        <w:ind w:left="500" w:right="160"/>
        <w:spacing w:after="0" w:line="290" w:lineRule="auto"/>
        <w:rPr>
          <w:sz w:val="20"/>
          <w:szCs w:val="20"/>
          <w:color w:val="auto"/>
        </w:rPr>
      </w:pPr>
      <w:r>
        <w:rPr>
          <w:rFonts w:ascii="Arial" w:cs="Arial" w:eastAsia="Arial" w:hAnsi="Arial"/>
          <w:sz w:val="16"/>
          <w:szCs w:val="16"/>
          <w:color w:val="auto"/>
        </w:rPr>
        <w:t>In the first quarter of 2005, we reduced the attribution period used for certain grants of nonqualified stock options to recognize fair value-based compensation expense for pro forma disclosure purposes for those stock option recipients who are retirement eligible or become retirement eligible following the grant of the awards. Our nonqualified stock options have 10-year terms and generally vest over a four-year service period from the date of grant. Effective January 1, 2005, stock-based compensation expense for retirement-eligible employees is recognized over a six-month period, and for non-retirement-eligible employees, over the shorter of the period from grant date to the date they become retirement eligible (but not less than the six-month required service period) or the normal four-year vesting period. As a result, we included in our first quarter 2005 pro forma footnote disclosures a $93 million ($0.05 per share) inception-to-date adjustment of fair value-based compensation expense for both retirement-eligible employees and employees who became retirement eligible since the date of grants, to reflect the reduced attribution period.</w:t>
      </w:r>
    </w:p>
    <w:p>
      <w:pPr>
        <w:spacing w:after="0" w:line="22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 xml:space="preserve">5. </w:t>
      </w:r>
      <w:r>
        <w:rPr>
          <w:rFonts w:ascii="Arial" w:cs="Arial" w:eastAsia="Arial" w:hAnsi="Arial"/>
          <w:sz w:val="18"/>
          <w:szCs w:val="18"/>
          <w:u w:val="single" w:color="auto"/>
          <w:color w:val="auto"/>
        </w:rPr>
        <w:t>Post-employment Benefit Plans</w:t>
      </w:r>
      <w:r>
        <w:rPr>
          <w:rFonts w:ascii="Arial" w:cs="Arial" w:eastAsia="Arial" w:hAnsi="Arial"/>
          <w:sz w:val="18"/>
          <w:szCs w:val="18"/>
          <w:color w:val="auto"/>
        </w:rPr>
        <w:t>. Components of net periodic employee benefit cost (in millions):</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280" w:type="dxa"/>
            <w:vAlign w:val="bottom"/>
            <w:tcBorders>
              <w:bottom w:val="single" w:sz="8" w:color="auto"/>
            </w:tcBorders>
            <w:gridSpan w:val="5"/>
          </w:tcPr>
          <w:p>
            <w:pPr>
              <w:jc w:val="right"/>
              <w:ind w:right="560"/>
              <w:spacing w:after="0"/>
              <w:rPr>
                <w:sz w:val="20"/>
                <w:szCs w:val="20"/>
                <w:color w:val="auto"/>
              </w:rPr>
            </w:pPr>
            <w:r>
              <w:rPr>
                <w:rFonts w:ascii="Arial" w:cs="Arial" w:eastAsia="Arial" w:hAnsi="Arial"/>
                <w:sz w:val="18"/>
                <w:szCs w:val="18"/>
                <w:b w:val="1"/>
                <w:bCs w:val="1"/>
                <w:color w:val="auto"/>
                <w:w w:val="98"/>
              </w:rPr>
              <w:t>U.S. Defined Benefit</w:t>
            </w:r>
          </w:p>
        </w:tc>
        <w:tc>
          <w:tcPr>
            <w:tcW w:w="180" w:type="dxa"/>
            <w:vAlign w:val="bottom"/>
            <w:tcBorders>
              <w:bottom w:val="single" w:sz="8" w:color="auto"/>
            </w:tcBorders>
          </w:tcPr>
          <w:p>
            <w:pPr>
              <w:spacing w:after="0"/>
              <w:rPr>
                <w:sz w:val="20"/>
                <w:szCs w:val="20"/>
                <w:color w:val="auto"/>
              </w:rPr>
            </w:pPr>
          </w:p>
        </w:tc>
        <w:tc>
          <w:tcPr>
            <w:tcW w:w="2300" w:type="dxa"/>
            <w:vAlign w:val="bottom"/>
            <w:tcBorders>
              <w:bottom w:val="single" w:sz="8" w:color="auto"/>
            </w:tcBorders>
            <w:gridSpan w:val="5"/>
          </w:tcPr>
          <w:p>
            <w:pPr>
              <w:jc w:val="right"/>
              <w:ind w:right="300"/>
              <w:spacing w:after="0"/>
              <w:rPr>
                <w:sz w:val="20"/>
                <w:szCs w:val="20"/>
                <w:color w:val="auto"/>
              </w:rPr>
            </w:pPr>
            <w:r>
              <w:rPr>
                <w:rFonts w:ascii="Arial" w:cs="Arial" w:eastAsia="Arial" w:hAnsi="Arial"/>
                <w:sz w:val="18"/>
                <w:szCs w:val="18"/>
                <w:b w:val="1"/>
                <w:bCs w:val="1"/>
                <w:color w:val="auto"/>
                <w:w w:val="96"/>
              </w:rPr>
              <w:t>U.S. Retiree Health Care</w:t>
            </w:r>
          </w:p>
        </w:tc>
        <w:tc>
          <w:tcPr>
            <w:tcW w:w="180" w:type="dxa"/>
            <w:vAlign w:val="bottom"/>
            <w:tcBorders>
              <w:bottom w:val="single" w:sz="8" w:color="auto"/>
            </w:tcBorders>
          </w:tcPr>
          <w:p>
            <w:pPr>
              <w:spacing w:after="0"/>
              <w:rPr>
                <w:sz w:val="20"/>
                <w:szCs w:val="20"/>
                <w:color w:val="auto"/>
              </w:rPr>
            </w:pPr>
          </w:p>
        </w:tc>
        <w:tc>
          <w:tcPr>
            <w:tcW w:w="2300" w:type="dxa"/>
            <w:vAlign w:val="bottom"/>
            <w:tcBorders>
              <w:bottom w:val="single" w:sz="8" w:color="auto"/>
            </w:tcBorders>
            <w:gridSpan w:val="5"/>
          </w:tcPr>
          <w:p>
            <w:pPr>
              <w:jc w:val="right"/>
              <w:ind w:right="280"/>
              <w:spacing w:after="0"/>
              <w:rPr>
                <w:sz w:val="20"/>
                <w:szCs w:val="20"/>
                <w:color w:val="auto"/>
              </w:rPr>
            </w:pPr>
            <w:r>
              <w:rPr>
                <w:rFonts w:ascii="Arial" w:cs="Arial" w:eastAsia="Arial" w:hAnsi="Arial"/>
                <w:sz w:val="18"/>
                <w:szCs w:val="18"/>
                <w:b w:val="1"/>
                <w:bCs w:val="1"/>
                <w:color w:val="auto"/>
                <w:w w:val="93"/>
              </w:rPr>
              <w:t>Non-U.S. Defined Benefit</w:t>
            </w:r>
          </w:p>
        </w:tc>
      </w:tr>
      <w:tr>
        <w:trPr>
          <w:trHeight w:val="264"/>
        </w:trPr>
        <w:tc>
          <w:tcPr>
            <w:tcW w:w="3900" w:type="dxa"/>
            <w:vAlign w:val="bottom"/>
          </w:tcPr>
          <w:p>
            <w:pPr>
              <w:ind w:left="820"/>
              <w:spacing w:after="0"/>
              <w:rPr>
                <w:sz w:val="20"/>
                <w:szCs w:val="20"/>
                <w:color w:val="auto"/>
              </w:rPr>
            </w:pPr>
            <w:r>
              <w:rPr>
                <w:rFonts w:ascii="Arial" w:cs="Arial" w:eastAsia="Arial" w:hAnsi="Arial"/>
                <w:sz w:val="18"/>
                <w:szCs w:val="18"/>
                <w:b w:val="1"/>
                <w:bCs w:val="1"/>
                <w:color w:val="auto"/>
              </w:rPr>
              <w:t>For Three Months Ended June 30,</w:t>
            </w:r>
          </w:p>
        </w:tc>
        <w:tc>
          <w:tcPr>
            <w:tcW w:w="2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2006</w:t>
            </w:r>
          </w:p>
        </w:tc>
        <w:tc>
          <w:tcPr>
            <w:tcW w:w="1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2005</w:t>
            </w:r>
          </w:p>
        </w:tc>
        <w:tc>
          <w:tcPr>
            <w:tcW w:w="1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2006</w:t>
            </w:r>
          </w:p>
        </w:tc>
        <w:tc>
          <w:tcPr>
            <w:tcW w:w="1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2005</w:t>
            </w:r>
          </w:p>
        </w:tc>
        <w:tc>
          <w:tcPr>
            <w:tcW w:w="1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2006</w:t>
            </w:r>
          </w:p>
        </w:tc>
        <w:tc>
          <w:tcPr>
            <w:tcW w:w="1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2005</w:t>
            </w:r>
          </w:p>
        </w:tc>
        <w:tc>
          <w:tcPr>
            <w:tcW w:w="100" w:type="dxa"/>
            <w:vAlign w:val="bottom"/>
          </w:tcPr>
          <w:p>
            <w:pPr>
              <w:spacing w:after="0"/>
              <w:rPr>
                <w:sz w:val="22"/>
                <w:szCs w:val="22"/>
                <w:color w:val="auto"/>
              </w:rPr>
            </w:pPr>
          </w:p>
        </w:tc>
      </w:tr>
      <w:tr>
        <w:trPr>
          <w:trHeight w:val="237"/>
        </w:trPr>
        <w:tc>
          <w:tcPr>
            <w:tcW w:w="39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Service cost</w:t>
            </w: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w:t>
            </w:r>
          </w:p>
        </w:tc>
      </w:tr>
      <w:tr>
        <w:trPr>
          <w:trHeight w:val="243"/>
        </w:trPr>
        <w:tc>
          <w:tcPr>
            <w:tcW w:w="3900" w:type="dxa"/>
            <w:vAlign w:val="bottom"/>
          </w:tcPr>
          <w:p>
            <w:pPr>
              <w:ind w:left="500"/>
              <w:spacing w:after="0"/>
              <w:rPr>
                <w:sz w:val="20"/>
                <w:szCs w:val="20"/>
                <w:color w:val="auto"/>
              </w:rPr>
            </w:pPr>
            <w:r>
              <w:rPr>
                <w:rFonts w:ascii="Arial" w:cs="Arial" w:eastAsia="Arial" w:hAnsi="Arial"/>
                <w:sz w:val="18"/>
                <w:szCs w:val="18"/>
                <w:color w:val="auto"/>
              </w:rPr>
              <w:t>Interest cost</w:t>
            </w:r>
          </w:p>
        </w:tc>
        <w:tc>
          <w:tcPr>
            <w:tcW w:w="280" w:type="dxa"/>
            <w:vAlign w:val="bottom"/>
          </w:tcPr>
          <w:p>
            <w:pPr>
              <w:spacing w:after="0"/>
              <w:rPr>
                <w:sz w:val="21"/>
                <w:szCs w:val="21"/>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12</w:t>
            </w:r>
          </w:p>
        </w:tc>
        <w:tc>
          <w:tcPr>
            <w:tcW w:w="280" w:type="dxa"/>
            <w:vAlign w:val="bottom"/>
          </w:tcPr>
          <w:p>
            <w:pPr>
              <w:spacing w:after="0"/>
              <w:rPr>
                <w:sz w:val="21"/>
                <w:szCs w:val="21"/>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10</w:t>
            </w:r>
          </w:p>
        </w:tc>
        <w:tc>
          <w:tcPr>
            <w:tcW w:w="180" w:type="dxa"/>
            <w:vAlign w:val="bottom"/>
          </w:tcPr>
          <w:p>
            <w:pPr>
              <w:spacing w:after="0"/>
              <w:rPr>
                <w:sz w:val="21"/>
                <w:szCs w:val="21"/>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6</w:t>
            </w:r>
          </w:p>
        </w:tc>
        <w:tc>
          <w:tcPr>
            <w:tcW w:w="260" w:type="dxa"/>
            <w:vAlign w:val="bottom"/>
          </w:tcPr>
          <w:p>
            <w:pPr>
              <w:spacing w:after="0"/>
              <w:rPr>
                <w:sz w:val="21"/>
                <w:szCs w:val="21"/>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6</w:t>
            </w:r>
          </w:p>
        </w:tc>
        <w:tc>
          <w:tcPr>
            <w:tcW w:w="180" w:type="dxa"/>
            <w:vAlign w:val="bottom"/>
          </w:tcPr>
          <w:p>
            <w:pPr>
              <w:spacing w:after="0"/>
              <w:rPr>
                <w:sz w:val="21"/>
                <w:szCs w:val="21"/>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11</w:t>
            </w:r>
          </w:p>
        </w:tc>
        <w:tc>
          <w:tcPr>
            <w:tcW w:w="260" w:type="dxa"/>
            <w:vAlign w:val="bottom"/>
          </w:tcPr>
          <w:p>
            <w:pPr>
              <w:spacing w:after="0"/>
              <w:rPr>
                <w:sz w:val="21"/>
                <w:szCs w:val="21"/>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13</w:t>
            </w:r>
          </w:p>
        </w:tc>
      </w:tr>
      <w:tr>
        <w:trPr>
          <w:trHeight w:val="243"/>
        </w:trPr>
        <w:tc>
          <w:tcPr>
            <w:tcW w:w="39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Expected return on assets</w:t>
            </w:r>
          </w:p>
        </w:tc>
        <w:tc>
          <w:tcPr>
            <w:tcW w:w="28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w:t>
            </w:r>
          </w:p>
        </w:tc>
        <w:tc>
          <w:tcPr>
            <w:tcW w:w="280" w:type="dxa"/>
            <w:vAlign w:val="bottom"/>
            <w:shd w:val="clear" w:color="auto" w:fill="CCEEFF"/>
          </w:tcPr>
          <w:p>
            <w:pPr>
              <w:spacing w:after="0"/>
              <w:rPr>
                <w:sz w:val="21"/>
                <w:szCs w:val="21"/>
                <w:color w:val="auto"/>
              </w:rPr>
            </w:pPr>
          </w:p>
        </w:tc>
        <w:tc>
          <w:tcPr>
            <w:tcW w:w="100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w:t>
            </w:r>
          </w:p>
        </w:tc>
        <w:tc>
          <w:tcPr>
            <w:tcW w:w="18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w:t>
            </w:r>
          </w:p>
        </w:tc>
        <w:tc>
          <w:tcPr>
            <w:tcW w:w="26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w:t>
            </w:r>
          </w:p>
        </w:tc>
        <w:tc>
          <w:tcPr>
            <w:tcW w:w="180" w:type="dxa"/>
            <w:vAlign w:val="bottom"/>
            <w:shd w:val="clear" w:color="auto" w:fill="CCEEFF"/>
          </w:tcPr>
          <w:p>
            <w:pPr>
              <w:spacing w:after="0"/>
              <w:rPr>
                <w:sz w:val="21"/>
                <w:szCs w:val="21"/>
                <w:color w:val="auto"/>
              </w:rPr>
            </w:pPr>
          </w:p>
        </w:tc>
        <w:tc>
          <w:tcPr>
            <w:tcW w:w="106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w:t>
            </w:r>
          </w:p>
        </w:tc>
        <w:tc>
          <w:tcPr>
            <w:tcW w:w="26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w:t>
            </w:r>
          </w:p>
        </w:tc>
      </w:tr>
      <w:tr>
        <w:trPr>
          <w:trHeight w:val="243"/>
        </w:trPr>
        <w:tc>
          <w:tcPr>
            <w:tcW w:w="3900" w:type="dxa"/>
            <w:vAlign w:val="bottom"/>
          </w:tcPr>
          <w:p>
            <w:pPr>
              <w:ind w:left="500"/>
              <w:spacing w:after="0"/>
              <w:rPr>
                <w:sz w:val="20"/>
                <w:szCs w:val="20"/>
                <w:color w:val="auto"/>
              </w:rPr>
            </w:pPr>
            <w:r>
              <w:rPr>
                <w:rFonts w:ascii="Arial" w:cs="Arial" w:eastAsia="Arial" w:hAnsi="Arial"/>
                <w:sz w:val="18"/>
                <w:szCs w:val="18"/>
                <w:color w:val="auto"/>
              </w:rPr>
              <w:t>Amortization of prior service cost</w:t>
            </w:r>
          </w:p>
        </w:tc>
        <w:tc>
          <w:tcPr>
            <w:tcW w:w="280" w:type="dxa"/>
            <w:vAlign w:val="bottom"/>
          </w:tcPr>
          <w:p>
            <w:pPr>
              <w:spacing w:after="0"/>
              <w:rPr>
                <w:sz w:val="21"/>
                <w:szCs w:val="21"/>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1</w:t>
            </w:r>
          </w:p>
        </w:tc>
        <w:tc>
          <w:tcPr>
            <w:tcW w:w="260" w:type="dxa"/>
            <w:vAlign w:val="bottom"/>
          </w:tcPr>
          <w:p>
            <w:pPr>
              <w:spacing w:after="0"/>
              <w:rPr>
                <w:sz w:val="21"/>
                <w:szCs w:val="21"/>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(1)</w:t>
            </w:r>
          </w:p>
        </w:tc>
        <w:tc>
          <w:tcPr>
            <w:tcW w:w="260" w:type="dxa"/>
            <w:vAlign w:val="bottom"/>
          </w:tcPr>
          <w:p>
            <w:pPr>
              <w:spacing w:after="0"/>
              <w:rPr>
                <w:sz w:val="21"/>
                <w:szCs w:val="21"/>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r>
      <w:tr>
        <w:trPr>
          <w:trHeight w:val="275"/>
        </w:trPr>
        <w:tc>
          <w:tcPr>
            <w:tcW w:w="39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Recognized net actuarial loss</w:t>
            </w:r>
          </w:p>
        </w:tc>
        <w:tc>
          <w:tcPr>
            <w:tcW w:w="2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w:t>
            </w:r>
          </w:p>
        </w:tc>
        <w:tc>
          <w:tcPr>
            <w:tcW w:w="2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w:t>
            </w: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w:t>
            </w: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w:t>
            </w: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w:t>
            </w: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w:t>
            </w:r>
          </w:p>
        </w:tc>
      </w:tr>
      <w:tr>
        <w:trPr>
          <w:trHeight w:val="264"/>
        </w:trPr>
        <w:tc>
          <w:tcPr>
            <w:tcW w:w="3900" w:type="dxa"/>
            <w:vAlign w:val="bottom"/>
            <w:tcBorders>
              <w:top w:val="single" w:sz="8" w:color="CCEEFF"/>
            </w:tcBorders>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120" w:type="dxa"/>
            <w:vAlign w:val="bottom"/>
            <w:tcBorders>
              <w:top w:val="single" w:sz="8" w:color="CCEEFF"/>
            </w:tcBorders>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120" w:type="dxa"/>
            <w:vAlign w:val="bottom"/>
            <w:tcBorders>
              <w:top w:val="single" w:sz="8" w:color="CCEEFF"/>
            </w:tcBorders>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940" w:type="dxa"/>
            <w:vAlign w:val="bottom"/>
            <w:tcBorders>
              <w:top w:val="single" w:sz="8" w:color="auto"/>
            </w:tcBorders>
          </w:tcPr>
          <w:p>
            <w:pPr>
              <w:spacing w:after="0"/>
              <w:rPr>
                <w:sz w:val="22"/>
                <w:szCs w:val="22"/>
                <w:color w:val="auto"/>
              </w:rPr>
            </w:pPr>
          </w:p>
        </w:tc>
        <w:tc>
          <w:tcPr>
            <w:tcW w:w="120" w:type="dxa"/>
            <w:vAlign w:val="bottom"/>
            <w:tcBorders>
              <w:top w:val="single" w:sz="8" w:color="CCEEFF"/>
            </w:tcBorders>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860" w:type="dxa"/>
            <w:vAlign w:val="bottom"/>
            <w:tcBorders>
              <w:top w:val="single" w:sz="8" w:color="auto"/>
            </w:tcBorders>
          </w:tcPr>
          <w:p>
            <w:pPr>
              <w:spacing w:after="0"/>
              <w:rPr>
                <w:sz w:val="22"/>
                <w:szCs w:val="22"/>
                <w:color w:val="auto"/>
              </w:rPr>
            </w:pPr>
          </w:p>
        </w:tc>
        <w:tc>
          <w:tcPr>
            <w:tcW w:w="120" w:type="dxa"/>
            <w:vAlign w:val="bottom"/>
            <w:tcBorders>
              <w:top w:val="single" w:sz="8" w:color="CCEEFF"/>
            </w:tcBorders>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940" w:type="dxa"/>
            <w:vAlign w:val="bottom"/>
            <w:tcBorders>
              <w:top w:val="single" w:sz="8" w:color="auto"/>
            </w:tcBorders>
          </w:tcPr>
          <w:p>
            <w:pPr>
              <w:spacing w:after="0"/>
              <w:rPr>
                <w:sz w:val="22"/>
                <w:szCs w:val="22"/>
                <w:color w:val="auto"/>
              </w:rPr>
            </w:pPr>
          </w:p>
        </w:tc>
        <w:tc>
          <w:tcPr>
            <w:tcW w:w="120" w:type="dxa"/>
            <w:vAlign w:val="bottom"/>
            <w:tcBorders>
              <w:top w:val="single" w:sz="8" w:color="CCEEFF"/>
            </w:tcBorders>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100" w:type="dxa"/>
            <w:vAlign w:val="bottom"/>
            <w:tcBorders>
              <w:top w:val="single" w:sz="8" w:color="CCEEFF"/>
            </w:tcBorders>
          </w:tcPr>
          <w:p>
            <w:pPr>
              <w:spacing w:after="0"/>
              <w:rPr>
                <w:sz w:val="22"/>
                <w:szCs w:val="22"/>
                <w:color w:val="auto"/>
              </w:rPr>
            </w:pPr>
          </w:p>
        </w:tc>
      </w:tr>
      <w:tr>
        <w:trPr>
          <w:trHeight w:val="263"/>
        </w:trPr>
        <w:tc>
          <w:tcPr>
            <w:tcW w:w="39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Net periodic benefit cost</w:t>
            </w: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w:t>
            </w:r>
          </w:p>
        </w:tc>
      </w:tr>
      <w:tr>
        <w:trPr>
          <w:trHeight w:val="20"/>
        </w:trPr>
        <w:tc>
          <w:tcPr>
            <w:tcW w:w="39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818"/>
        </w:trPr>
        <w:tc>
          <w:tcPr>
            <w:tcW w:w="39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gridSpan w:val="5"/>
          </w:tcPr>
          <w:p>
            <w:pPr>
              <w:jc w:val="right"/>
              <w:ind w:right="560"/>
              <w:spacing w:after="0"/>
              <w:rPr>
                <w:sz w:val="20"/>
                <w:szCs w:val="20"/>
                <w:color w:val="auto"/>
              </w:rPr>
            </w:pPr>
            <w:r>
              <w:rPr>
                <w:rFonts w:ascii="Arial" w:cs="Arial" w:eastAsia="Arial" w:hAnsi="Arial"/>
                <w:sz w:val="18"/>
                <w:szCs w:val="18"/>
                <w:b w:val="1"/>
                <w:bCs w:val="1"/>
                <w:color w:val="auto"/>
                <w:w w:val="98"/>
              </w:rPr>
              <w:t>U.S. Defined Benefit</w:t>
            </w:r>
          </w:p>
        </w:tc>
        <w:tc>
          <w:tcPr>
            <w:tcW w:w="18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gridSpan w:val="5"/>
          </w:tcPr>
          <w:p>
            <w:pPr>
              <w:jc w:val="right"/>
              <w:ind w:right="300"/>
              <w:spacing w:after="0"/>
              <w:rPr>
                <w:sz w:val="20"/>
                <w:szCs w:val="20"/>
                <w:color w:val="auto"/>
              </w:rPr>
            </w:pPr>
            <w:r>
              <w:rPr>
                <w:rFonts w:ascii="Arial" w:cs="Arial" w:eastAsia="Arial" w:hAnsi="Arial"/>
                <w:sz w:val="18"/>
                <w:szCs w:val="18"/>
                <w:b w:val="1"/>
                <w:bCs w:val="1"/>
                <w:color w:val="auto"/>
                <w:w w:val="96"/>
              </w:rPr>
              <w:t>U.S. Retiree Health Care</w:t>
            </w:r>
          </w:p>
        </w:tc>
        <w:tc>
          <w:tcPr>
            <w:tcW w:w="18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gridSpan w:val="5"/>
          </w:tcPr>
          <w:p>
            <w:pPr>
              <w:jc w:val="right"/>
              <w:ind w:right="280"/>
              <w:spacing w:after="0"/>
              <w:rPr>
                <w:sz w:val="20"/>
                <w:szCs w:val="20"/>
                <w:color w:val="auto"/>
              </w:rPr>
            </w:pPr>
            <w:r>
              <w:rPr>
                <w:rFonts w:ascii="Arial" w:cs="Arial" w:eastAsia="Arial" w:hAnsi="Arial"/>
                <w:sz w:val="18"/>
                <w:szCs w:val="18"/>
                <w:b w:val="1"/>
                <w:bCs w:val="1"/>
                <w:color w:val="auto"/>
                <w:w w:val="93"/>
              </w:rPr>
              <w:t>Non-U.S. Defined Benefit</w:t>
            </w:r>
          </w:p>
        </w:tc>
      </w:tr>
      <w:tr>
        <w:trPr>
          <w:trHeight w:val="264"/>
        </w:trPr>
        <w:tc>
          <w:tcPr>
            <w:tcW w:w="3900" w:type="dxa"/>
            <w:vAlign w:val="bottom"/>
          </w:tcPr>
          <w:p>
            <w:pPr>
              <w:ind w:left="820"/>
              <w:spacing w:after="0"/>
              <w:rPr>
                <w:sz w:val="20"/>
                <w:szCs w:val="20"/>
                <w:color w:val="auto"/>
              </w:rPr>
            </w:pPr>
            <w:r>
              <w:rPr>
                <w:rFonts w:ascii="Arial" w:cs="Arial" w:eastAsia="Arial" w:hAnsi="Arial"/>
                <w:sz w:val="18"/>
                <w:szCs w:val="18"/>
                <w:b w:val="1"/>
                <w:bCs w:val="1"/>
                <w:color w:val="auto"/>
              </w:rPr>
              <w:t>For Six Months Ended June 30,</w:t>
            </w:r>
          </w:p>
        </w:tc>
        <w:tc>
          <w:tcPr>
            <w:tcW w:w="2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2006</w:t>
            </w:r>
          </w:p>
        </w:tc>
        <w:tc>
          <w:tcPr>
            <w:tcW w:w="1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2005</w:t>
            </w:r>
          </w:p>
        </w:tc>
        <w:tc>
          <w:tcPr>
            <w:tcW w:w="1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2006</w:t>
            </w:r>
          </w:p>
        </w:tc>
        <w:tc>
          <w:tcPr>
            <w:tcW w:w="1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2005</w:t>
            </w:r>
          </w:p>
        </w:tc>
        <w:tc>
          <w:tcPr>
            <w:tcW w:w="1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2006</w:t>
            </w:r>
          </w:p>
        </w:tc>
        <w:tc>
          <w:tcPr>
            <w:tcW w:w="1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2005</w:t>
            </w:r>
          </w:p>
        </w:tc>
        <w:tc>
          <w:tcPr>
            <w:tcW w:w="100" w:type="dxa"/>
            <w:vAlign w:val="bottom"/>
          </w:tcPr>
          <w:p>
            <w:pPr>
              <w:spacing w:after="0"/>
              <w:rPr>
                <w:sz w:val="22"/>
                <w:szCs w:val="22"/>
                <w:color w:val="auto"/>
              </w:rPr>
            </w:pPr>
          </w:p>
        </w:tc>
      </w:tr>
      <w:tr>
        <w:trPr>
          <w:trHeight w:val="237"/>
        </w:trPr>
        <w:tc>
          <w:tcPr>
            <w:tcW w:w="39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Service cost</w:t>
            </w: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20" w:type="dxa"/>
            <w:vAlign w:val="bottom"/>
            <w:tcBorders>
              <w:right w:val="single" w:sz="8" w:color="CCEEFF"/>
            </w:tcBorders>
            <w:shd w:val="clear" w:color="auto" w:fill="CCEEFF"/>
          </w:tcPr>
          <w:p>
            <w:pPr>
              <w:spacing w:after="0"/>
              <w:rPr>
                <w:sz w:val="20"/>
                <w:szCs w:val="20"/>
                <w:color w:val="auto"/>
              </w:rPr>
            </w:pP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w:t>
            </w:r>
          </w:p>
        </w:tc>
      </w:tr>
      <w:tr>
        <w:trPr>
          <w:trHeight w:val="243"/>
        </w:trPr>
        <w:tc>
          <w:tcPr>
            <w:tcW w:w="3900" w:type="dxa"/>
            <w:vAlign w:val="bottom"/>
          </w:tcPr>
          <w:p>
            <w:pPr>
              <w:ind w:left="500"/>
              <w:spacing w:after="0"/>
              <w:rPr>
                <w:sz w:val="20"/>
                <w:szCs w:val="20"/>
                <w:color w:val="auto"/>
              </w:rPr>
            </w:pPr>
            <w:r>
              <w:rPr>
                <w:rFonts w:ascii="Arial" w:cs="Arial" w:eastAsia="Arial" w:hAnsi="Arial"/>
                <w:sz w:val="18"/>
                <w:szCs w:val="18"/>
                <w:color w:val="auto"/>
              </w:rPr>
              <w:t>Interest cost</w:t>
            </w:r>
          </w:p>
        </w:tc>
        <w:tc>
          <w:tcPr>
            <w:tcW w:w="280" w:type="dxa"/>
            <w:vAlign w:val="bottom"/>
          </w:tcPr>
          <w:p>
            <w:pPr>
              <w:spacing w:after="0"/>
              <w:rPr>
                <w:sz w:val="21"/>
                <w:szCs w:val="21"/>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22</w:t>
            </w:r>
          </w:p>
        </w:tc>
        <w:tc>
          <w:tcPr>
            <w:tcW w:w="280" w:type="dxa"/>
            <w:vAlign w:val="bottom"/>
          </w:tcPr>
          <w:p>
            <w:pPr>
              <w:spacing w:after="0"/>
              <w:rPr>
                <w:sz w:val="21"/>
                <w:szCs w:val="21"/>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20</w:t>
            </w: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12</w:t>
            </w: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27</w:t>
            </w:r>
          </w:p>
        </w:tc>
      </w:tr>
      <w:tr>
        <w:trPr>
          <w:trHeight w:val="243"/>
        </w:trPr>
        <w:tc>
          <w:tcPr>
            <w:tcW w:w="39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Expected return on assets</w:t>
            </w:r>
          </w:p>
        </w:tc>
        <w:tc>
          <w:tcPr>
            <w:tcW w:w="28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w:t>
            </w:r>
          </w:p>
        </w:tc>
        <w:tc>
          <w:tcPr>
            <w:tcW w:w="280" w:type="dxa"/>
            <w:vAlign w:val="bottom"/>
            <w:shd w:val="clear" w:color="auto" w:fill="CCEEFF"/>
          </w:tcPr>
          <w:p>
            <w:pPr>
              <w:spacing w:after="0"/>
              <w:rPr>
                <w:sz w:val="21"/>
                <w:szCs w:val="21"/>
                <w:color w:val="auto"/>
              </w:rPr>
            </w:pPr>
          </w:p>
        </w:tc>
        <w:tc>
          <w:tcPr>
            <w:tcW w:w="100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w:t>
            </w:r>
          </w:p>
        </w:tc>
        <w:tc>
          <w:tcPr>
            <w:tcW w:w="18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w:t>
            </w:r>
          </w:p>
        </w:tc>
        <w:tc>
          <w:tcPr>
            <w:tcW w:w="26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w:t>
            </w:r>
          </w:p>
        </w:tc>
        <w:tc>
          <w:tcPr>
            <w:tcW w:w="180" w:type="dxa"/>
            <w:vAlign w:val="bottom"/>
            <w:shd w:val="clear" w:color="auto" w:fill="CCEEFF"/>
          </w:tcPr>
          <w:p>
            <w:pPr>
              <w:spacing w:after="0"/>
              <w:rPr>
                <w:sz w:val="21"/>
                <w:szCs w:val="21"/>
                <w:color w:val="auto"/>
              </w:rPr>
            </w:pPr>
          </w:p>
        </w:tc>
        <w:tc>
          <w:tcPr>
            <w:tcW w:w="106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w:t>
            </w:r>
          </w:p>
        </w:tc>
        <w:tc>
          <w:tcPr>
            <w:tcW w:w="26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w:t>
            </w:r>
          </w:p>
        </w:tc>
      </w:tr>
      <w:tr>
        <w:trPr>
          <w:trHeight w:val="243"/>
        </w:trPr>
        <w:tc>
          <w:tcPr>
            <w:tcW w:w="3900" w:type="dxa"/>
            <w:vAlign w:val="bottom"/>
          </w:tcPr>
          <w:p>
            <w:pPr>
              <w:ind w:left="500"/>
              <w:spacing w:after="0"/>
              <w:rPr>
                <w:sz w:val="20"/>
                <w:szCs w:val="20"/>
                <w:color w:val="auto"/>
              </w:rPr>
            </w:pPr>
            <w:r>
              <w:rPr>
                <w:rFonts w:ascii="Arial" w:cs="Arial" w:eastAsia="Arial" w:hAnsi="Arial"/>
                <w:sz w:val="18"/>
                <w:szCs w:val="18"/>
                <w:color w:val="auto"/>
              </w:rPr>
              <w:t>Amortization of prior service cost</w:t>
            </w:r>
          </w:p>
        </w:tc>
        <w:tc>
          <w:tcPr>
            <w:tcW w:w="280" w:type="dxa"/>
            <w:vAlign w:val="bottom"/>
          </w:tcPr>
          <w:p>
            <w:pPr>
              <w:spacing w:after="0"/>
              <w:rPr>
                <w:sz w:val="21"/>
                <w:szCs w:val="21"/>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1</w:t>
            </w:r>
          </w:p>
        </w:tc>
        <w:tc>
          <w:tcPr>
            <w:tcW w:w="260" w:type="dxa"/>
            <w:vAlign w:val="bottom"/>
          </w:tcPr>
          <w:p>
            <w:pPr>
              <w:spacing w:after="0"/>
              <w:rPr>
                <w:sz w:val="21"/>
                <w:szCs w:val="21"/>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21"/>
                <w:szCs w:val="21"/>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(2)</w:t>
            </w:r>
          </w:p>
        </w:tc>
        <w:tc>
          <w:tcPr>
            <w:tcW w:w="260" w:type="dxa"/>
            <w:vAlign w:val="bottom"/>
          </w:tcPr>
          <w:p>
            <w:pPr>
              <w:spacing w:after="0"/>
              <w:rPr>
                <w:sz w:val="21"/>
                <w:szCs w:val="21"/>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(4)</w:t>
            </w:r>
          </w:p>
        </w:tc>
      </w:tr>
      <w:tr>
        <w:trPr>
          <w:trHeight w:val="275"/>
        </w:trPr>
        <w:tc>
          <w:tcPr>
            <w:tcW w:w="39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Recognized net actuarial loss</w:t>
            </w:r>
          </w:p>
        </w:tc>
        <w:tc>
          <w:tcPr>
            <w:tcW w:w="2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w:t>
            </w:r>
          </w:p>
        </w:tc>
        <w:tc>
          <w:tcPr>
            <w:tcW w:w="2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w:t>
            </w: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w:t>
            </w: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w:t>
            </w: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w:t>
            </w: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w:t>
            </w:r>
          </w:p>
        </w:tc>
      </w:tr>
      <w:tr>
        <w:trPr>
          <w:trHeight w:val="264"/>
        </w:trPr>
        <w:tc>
          <w:tcPr>
            <w:tcW w:w="3900" w:type="dxa"/>
            <w:vAlign w:val="bottom"/>
            <w:tcBorders>
              <w:top w:val="single" w:sz="8" w:color="CCEEFF"/>
            </w:tcBorders>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120" w:type="dxa"/>
            <w:vAlign w:val="bottom"/>
            <w:tcBorders>
              <w:top w:val="single" w:sz="8" w:color="CCEEFF"/>
            </w:tcBorders>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120" w:type="dxa"/>
            <w:vAlign w:val="bottom"/>
            <w:tcBorders>
              <w:top w:val="single" w:sz="8" w:color="CCEEFF"/>
            </w:tcBorders>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940" w:type="dxa"/>
            <w:vAlign w:val="bottom"/>
            <w:tcBorders>
              <w:top w:val="single" w:sz="8" w:color="auto"/>
            </w:tcBorders>
          </w:tcPr>
          <w:p>
            <w:pPr>
              <w:spacing w:after="0"/>
              <w:rPr>
                <w:sz w:val="22"/>
                <w:szCs w:val="22"/>
                <w:color w:val="auto"/>
              </w:rPr>
            </w:pPr>
          </w:p>
        </w:tc>
        <w:tc>
          <w:tcPr>
            <w:tcW w:w="120" w:type="dxa"/>
            <w:vAlign w:val="bottom"/>
            <w:tcBorders>
              <w:top w:val="single" w:sz="8" w:color="CCEEFF"/>
            </w:tcBorders>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860" w:type="dxa"/>
            <w:vAlign w:val="bottom"/>
            <w:tcBorders>
              <w:top w:val="single" w:sz="8" w:color="auto"/>
            </w:tcBorders>
          </w:tcPr>
          <w:p>
            <w:pPr>
              <w:spacing w:after="0"/>
              <w:rPr>
                <w:sz w:val="22"/>
                <w:szCs w:val="22"/>
                <w:color w:val="auto"/>
              </w:rPr>
            </w:pPr>
          </w:p>
        </w:tc>
        <w:tc>
          <w:tcPr>
            <w:tcW w:w="120" w:type="dxa"/>
            <w:vAlign w:val="bottom"/>
            <w:tcBorders>
              <w:top w:val="single" w:sz="8" w:color="CCEEFF"/>
            </w:tcBorders>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940" w:type="dxa"/>
            <w:vAlign w:val="bottom"/>
            <w:tcBorders>
              <w:top w:val="single" w:sz="8" w:color="auto"/>
            </w:tcBorders>
          </w:tcPr>
          <w:p>
            <w:pPr>
              <w:spacing w:after="0"/>
              <w:rPr>
                <w:sz w:val="22"/>
                <w:szCs w:val="22"/>
                <w:color w:val="auto"/>
              </w:rPr>
            </w:pPr>
          </w:p>
        </w:tc>
        <w:tc>
          <w:tcPr>
            <w:tcW w:w="120" w:type="dxa"/>
            <w:vAlign w:val="bottom"/>
            <w:tcBorders>
              <w:top w:val="single" w:sz="8" w:color="CCEEFF"/>
            </w:tcBorders>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100" w:type="dxa"/>
            <w:vAlign w:val="bottom"/>
            <w:tcBorders>
              <w:top w:val="single" w:sz="8" w:color="CCEEFF"/>
            </w:tcBorders>
          </w:tcPr>
          <w:p>
            <w:pPr>
              <w:spacing w:after="0"/>
              <w:rPr>
                <w:sz w:val="22"/>
                <w:szCs w:val="22"/>
                <w:color w:val="auto"/>
              </w:rPr>
            </w:pPr>
          </w:p>
        </w:tc>
      </w:tr>
      <w:tr>
        <w:trPr>
          <w:trHeight w:val="263"/>
        </w:trPr>
        <w:tc>
          <w:tcPr>
            <w:tcW w:w="39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Net periodic benefit cost</w:t>
            </w: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0" w:type="dxa"/>
            <w:vAlign w:val="bottom"/>
            <w:tcBorders>
              <w:right w:val="single" w:sz="8" w:color="CCEEFF"/>
            </w:tcBorders>
            <w:shd w:val="clear" w:color="auto" w:fill="CCEEFF"/>
          </w:tcPr>
          <w:p>
            <w:pPr>
              <w:spacing w:after="0"/>
              <w:rPr>
                <w:sz w:val="22"/>
                <w:szCs w:val="22"/>
                <w:color w:val="auto"/>
              </w:rPr>
            </w:pP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w:t>
            </w:r>
          </w:p>
        </w:tc>
      </w:tr>
      <w:tr>
        <w:trPr>
          <w:trHeight w:val="20"/>
        </w:trPr>
        <w:tc>
          <w:tcPr>
            <w:tcW w:w="39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5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Settlement and curtailment (gains)/losses and special termination benefits for continuing operations were not material.</w:t>
      </w:r>
    </w:p>
    <w:p>
      <w:pPr>
        <w:spacing w:after="0" w:line="279" w:lineRule="exact"/>
        <w:rPr>
          <w:sz w:val="20"/>
          <w:szCs w:val="20"/>
          <w:color w:val="auto"/>
        </w:rPr>
      </w:pPr>
    </w:p>
    <w:p>
      <w:pPr>
        <w:ind w:left="500"/>
        <w:spacing w:after="0"/>
        <w:rPr>
          <w:sz w:val="20"/>
          <w:szCs w:val="20"/>
          <w:color w:val="auto"/>
        </w:rPr>
      </w:pPr>
      <w:r>
        <w:rPr>
          <w:rFonts w:ascii="Arial" w:cs="Arial" w:eastAsia="Arial" w:hAnsi="Arial"/>
          <w:sz w:val="17"/>
          <w:szCs w:val="17"/>
          <w:color w:val="auto"/>
        </w:rPr>
        <w:t>Discretionary contributions of $74 million were made to our U.S. and Japan post-employment benefit plans during the second quarter of 2006.</w:t>
      </w:r>
    </w:p>
    <w:p>
      <w:pPr>
        <w:spacing w:after="0" w:line="291" w:lineRule="exact"/>
        <w:rPr>
          <w:sz w:val="20"/>
          <w:szCs w:val="20"/>
          <w:color w:val="auto"/>
        </w:rPr>
      </w:pPr>
    </w:p>
    <w:p>
      <w:pPr>
        <w:ind w:left="500" w:right="240" w:hanging="231"/>
        <w:spacing w:after="0" w:line="279" w:lineRule="auto"/>
        <w:tabs>
          <w:tab w:leader="none" w:pos="500" w:val="left"/>
        </w:tabs>
        <w:numPr>
          <w:ilvl w:val="0"/>
          <w:numId w:val="8"/>
        </w:numPr>
        <w:rPr>
          <w:rFonts w:ascii="Arial" w:cs="Arial" w:eastAsia="Arial" w:hAnsi="Arial"/>
          <w:sz w:val="17"/>
          <w:szCs w:val="17"/>
          <w:color w:val="auto"/>
        </w:rPr>
      </w:pPr>
      <w:r>
        <w:rPr>
          <w:rFonts w:ascii="Arial" w:cs="Arial" w:eastAsia="Arial" w:hAnsi="Arial"/>
          <w:sz w:val="17"/>
          <w:szCs w:val="17"/>
          <w:u w:val="single" w:color="auto"/>
          <w:color w:val="auto"/>
        </w:rPr>
        <w:t>Business Segment Data</w:t>
      </w:r>
      <w:r>
        <w:rPr>
          <w:rFonts w:ascii="Arial" w:cs="Arial" w:eastAsia="Arial" w:hAnsi="Arial"/>
          <w:sz w:val="17"/>
          <w:szCs w:val="17"/>
          <w:color w:val="auto"/>
        </w:rPr>
        <w:t>. As a result of the agreement to sell the Sensors &amp; Controls business, excluding the RFID operations, we now have two reportable operating business segments: Semiconductor and Educational &amp; Productivity Solutions (E&amp;PS). The former Sensors &amp; Controls business has been reflected as discontinued operations (see Note 1 and Note 2). Segment results for prior periods presented have been restated to reflect the addition of the RFID operations retained within the Semiconductor business segment.</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83" w:right="239" w:bottom="1440" w:gutter="0" w:footer="0" w:header="0"/>
        </w:sectPr>
      </w:pPr>
    </w:p>
    <w:bookmarkStart w:id="10" w:name="page11"/>
    <w:bookmarkEnd w:id="10"/>
    <w:p>
      <w:pPr>
        <w:ind w:left="500"/>
        <w:spacing w:after="0"/>
        <w:rPr>
          <w:sz w:val="20"/>
          <w:szCs w:val="20"/>
          <w:color w:val="auto"/>
        </w:rPr>
      </w:pPr>
      <w:r>
        <w:rPr>
          <w:rFonts w:ascii="Arial" w:cs="Arial" w:eastAsia="Arial" w:hAnsi="Arial"/>
          <w:sz w:val="18"/>
          <w:szCs w:val="18"/>
          <w:color w:val="auto"/>
        </w:rPr>
        <w:t>Business segment information for continuing operations follows:</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60" w:type="dxa"/>
            <w:vAlign w:val="bottom"/>
            <w:vMerge w:val="restart"/>
          </w:tcPr>
          <w:p>
            <w:pPr>
              <w:ind w:left="500"/>
              <w:spacing w:after="0"/>
              <w:rPr>
                <w:sz w:val="20"/>
                <w:szCs w:val="20"/>
                <w:color w:val="auto"/>
              </w:rPr>
            </w:pPr>
            <w:r>
              <w:rPr>
                <w:rFonts w:ascii="Arial" w:cs="Arial" w:eastAsia="Arial" w:hAnsi="Arial"/>
                <w:sz w:val="18"/>
                <w:szCs w:val="18"/>
                <w:b w:val="1"/>
                <w:bCs w:val="1"/>
                <w:color w:val="auto"/>
              </w:rPr>
              <w:t>Business Segment Net Revenues</w:t>
            </w:r>
          </w:p>
        </w:tc>
        <w:tc>
          <w:tcPr>
            <w:tcW w:w="160" w:type="dxa"/>
            <w:vAlign w:val="bottom"/>
            <w:tcBorders>
              <w:bottom w:val="single" w:sz="8" w:color="auto"/>
            </w:tcBorders>
          </w:tcPr>
          <w:p>
            <w:pPr>
              <w:spacing w:after="0"/>
              <w:rPr>
                <w:sz w:val="20"/>
                <w:szCs w:val="20"/>
                <w:color w:val="auto"/>
              </w:rPr>
            </w:pPr>
          </w:p>
        </w:tc>
        <w:tc>
          <w:tcPr>
            <w:tcW w:w="3040" w:type="dxa"/>
            <w:vAlign w:val="bottom"/>
            <w:tcBorders>
              <w:bottom w:val="single" w:sz="8" w:color="auto"/>
            </w:tcBorders>
            <w:gridSpan w:val="6"/>
          </w:tcPr>
          <w:p>
            <w:pPr>
              <w:jc w:val="right"/>
              <w:ind w:right="300"/>
              <w:spacing w:after="0"/>
              <w:rPr>
                <w:sz w:val="20"/>
                <w:szCs w:val="20"/>
                <w:color w:val="auto"/>
              </w:rPr>
            </w:pPr>
            <w:r>
              <w:rPr>
                <w:rFonts w:ascii="Arial" w:cs="Arial" w:eastAsia="Arial" w:hAnsi="Arial"/>
                <w:sz w:val="18"/>
                <w:szCs w:val="18"/>
                <w:b w:val="1"/>
                <w:bCs w:val="1"/>
                <w:color w:val="auto"/>
                <w:w w:val="94"/>
              </w:rPr>
              <w:t>For Three Months Ended June 30,</w:t>
            </w:r>
          </w:p>
        </w:tc>
        <w:tc>
          <w:tcPr>
            <w:tcW w:w="200" w:type="dxa"/>
            <w:vAlign w:val="bottom"/>
            <w:tcBorders>
              <w:bottom w:val="single" w:sz="8" w:color="auto"/>
            </w:tcBorders>
          </w:tcPr>
          <w:p>
            <w:pPr>
              <w:spacing w:after="0"/>
              <w:rPr>
                <w:sz w:val="20"/>
                <w:szCs w:val="20"/>
                <w:color w:val="auto"/>
              </w:rPr>
            </w:pPr>
          </w:p>
        </w:tc>
        <w:tc>
          <w:tcPr>
            <w:tcW w:w="2860" w:type="dxa"/>
            <w:vAlign w:val="bottom"/>
            <w:tcBorders>
              <w:bottom w:val="single" w:sz="8" w:color="auto"/>
            </w:tcBorders>
            <w:gridSpan w:val="5"/>
          </w:tcPr>
          <w:p>
            <w:pPr>
              <w:jc w:val="right"/>
              <w:ind w:right="320"/>
              <w:spacing w:after="0"/>
              <w:rPr>
                <w:sz w:val="20"/>
                <w:szCs w:val="20"/>
                <w:color w:val="auto"/>
              </w:rPr>
            </w:pPr>
            <w:r>
              <w:rPr>
                <w:rFonts w:ascii="Arial" w:cs="Arial" w:eastAsia="Arial" w:hAnsi="Arial"/>
                <w:sz w:val="18"/>
                <w:szCs w:val="18"/>
                <w:b w:val="1"/>
                <w:bCs w:val="1"/>
                <w:color w:val="auto"/>
                <w:w w:val="94"/>
              </w:rPr>
              <w:t>For Six Months Ended June 30,</w:t>
            </w:r>
          </w:p>
        </w:tc>
        <w:tc>
          <w:tcPr>
            <w:tcW w:w="0" w:type="dxa"/>
            <w:vAlign w:val="bottom"/>
          </w:tcPr>
          <w:p>
            <w:pPr>
              <w:spacing w:after="0"/>
              <w:rPr>
                <w:sz w:val="1"/>
                <w:szCs w:val="1"/>
                <w:color w:val="auto"/>
              </w:rPr>
            </w:pPr>
          </w:p>
        </w:tc>
      </w:tr>
      <w:tr>
        <w:trPr>
          <w:trHeight w:val="237"/>
        </w:trPr>
        <w:tc>
          <w:tcPr>
            <w:tcW w:w="5160" w:type="dxa"/>
            <w:vAlign w:val="bottom"/>
            <w:vMerge w:val="continue"/>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2006</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2005</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2006</w:t>
            </w:r>
          </w:p>
        </w:tc>
        <w:tc>
          <w:tcPr>
            <w:tcW w:w="2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2005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1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Semiconductor</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b w:val="1"/>
                <w:bCs w:val="1"/>
                <w:color w:val="auto"/>
                <w:w w:val="71"/>
              </w:rPr>
              <w:t>$</w:t>
            </w:r>
          </w:p>
        </w:tc>
        <w:tc>
          <w:tcPr>
            <w:tcW w:w="12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3,505</w:t>
            </w:r>
          </w:p>
        </w:tc>
        <w:tc>
          <w:tcPr>
            <w:tcW w:w="120" w:type="dxa"/>
            <w:vAlign w:val="bottom"/>
            <w:shd w:val="clear" w:color="auto" w:fill="CCEEFF"/>
          </w:tcPr>
          <w:p>
            <w:pPr>
              <w:spacing w:after="0"/>
              <w:rPr>
                <w:sz w:val="20"/>
                <w:szCs w:val="20"/>
                <w:color w:val="auto"/>
              </w:rPr>
            </w:pPr>
          </w:p>
        </w:tc>
        <w:tc>
          <w:tcPr>
            <w:tcW w:w="42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2,791</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6,767</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5,412</w:t>
            </w:r>
          </w:p>
        </w:tc>
        <w:tc>
          <w:tcPr>
            <w:tcW w:w="0" w:type="dxa"/>
            <w:vAlign w:val="bottom"/>
          </w:tcPr>
          <w:p>
            <w:pPr>
              <w:spacing w:after="0"/>
              <w:rPr>
                <w:sz w:val="1"/>
                <w:szCs w:val="1"/>
                <w:color w:val="auto"/>
              </w:rPr>
            </w:pPr>
          </w:p>
        </w:tc>
      </w:tr>
      <w:tr>
        <w:trPr>
          <w:trHeight w:val="243"/>
        </w:trPr>
        <w:tc>
          <w:tcPr>
            <w:tcW w:w="5160" w:type="dxa"/>
            <w:vAlign w:val="bottom"/>
          </w:tcPr>
          <w:p>
            <w:pPr>
              <w:ind w:left="500"/>
              <w:spacing w:after="0"/>
              <w:rPr>
                <w:sz w:val="20"/>
                <w:szCs w:val="20"/>
                <w:color w:val="auto"/>
              </w:rPr>
            </w:pPr>
            <w:r>
              <w:rPr>
                <w:rFonts w:ascii="Arial" w:cs="Arial" w:eastAsia="Arial" w:hAnsi="Arial"/>
                <w:sz w:val="18"/>
                <w:szCs w:val="18"/>
                <w:color w:val="auto"/>
              </w:rPr>
              <w:t>Educational &amp; Productivity Solutions</w:t>
            </w:r>
          </w:p>
        </w:tc>
        <w:tc>
          <w:tcPr>
            <w:tcW w:w="1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192</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181</w:t>
            </w:r>
          </w:p>
        </w:tc>
        <w:tc>
          <w:tcPr>
            <w:tcW w:w="200" w:type="dxa"/>
            <w:vAlign w:val="bottom"/>
          </w:tcPr>
          <w:p>
            <w:pPr>
              <w:spacing w:after="0"/>
              <w:rPr>
                <w:sz w:val="21"/>
                <w:szCs w:val="21"/>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265</w:t>
            </w:r>
          </w:p>
        </w:tc>
        <w:tc>
          <w:tcPr>
            <w:tcW w:w="320" w:type="dxa"/>
            <w:vAlign w:val="bottom"/>
          </w:tcPr>
          <w:p>
            <w:pPr>
              <w:spacing w:after="0"/>
              <w:rPr>
                <w:sz w:val="21"/>
                <w:szCs w:val="21"/>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262</w:t>
            </w: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Intersegment eliminations</w:t>
            </w: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51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4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160" w:type="dxa"/>
            <w:vAlign w:val="bottom"/>
          </w:tcPr>
          <w:p>
            <w:pPr>
              <w:ind w:left="500"/>
              <w:spacing w:after="0"/>
              <w:rPr>
                <w:sz w:val="20"/>
                <w:szCs w:val="20"/>
                <w:color w:val="auto"/>
              </w:rPr>
            </w:pPr>
            <w:r>
              <w:rPr>
                <w:rFonts w:ascii="Arial" w:cs="Arial" w:eastAsia="Arial" w:hAnsi="Arial"/>
                <w:sz w:val="18"/>
                <w:szCs w:val="18"/>
                <w:color w:val="auto"/>
              </w:rPr>
              <w:t>Total net revenues</w:t>
            </w:r>
          </w:p>
        </w:tc>
        <w:tc>
          <w:tcPr>
            <w:tcW w:w="160" w:type="dxa"/>
            <w:vAlign w:val="bottom"/>
          </w:tcPr>
          <w:p>
            <w:pPr>
              <w:jc w:val="right"/>
              <w:ind w:right="5"/>
              <w:spacing w:after="0"/>
              <w:rPr>
                <w:sz w:val="20"/>
                <w:szCs w:val="20"/>
                <w:color w:val="auto"/>
              </w:rPr>
            </w:pPr>
            <w:r>
              <w:rPr>
                <w:rFonts w:ascii="Arial" w:cs="Arial" w:eastAsia="Arial" w:hAnsi="Arial"/>
                <w:sz w:val="15"/>
                <w:szCs w:val="15"/>
                <w:b w:val="1"/>
                <w:bCs w:val="1"/>
                <w:color w:val="auto"/>
                <w:w w:val="71"/>
              </w:rPr>
              <w:t>$</w:t>
            </w: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3,697</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2,971</w:t>
            </w:r>
          </w:p>
        </w:tc>
        <w:tc>
          <w:tcPr>
            <w:tcW w:w="22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4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7,031</w:t>
            </w:r>
          </w:p>
        </w:tc>
        <w:tc>
          <w:tcPr>
            <w:tcW w:w="320" w:type="dxa"/>
            <w:vAlign w:val="bottom"/>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5,673</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38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8"/>
        </w:trPr>
        <w:tc>
          <w:tcPr>
            <w:tcW w:w="5160" w:type="dxa"/>
            <w:vAlign w:val="bottom"/>
            <w:vMerge w:val="restart"/>
          </w:tcPr>
          <w:p>
            <w:pPr>
              <w:ind w:left="500"/>
              <w:spacing w:after="0"/>
              <w:rPr>
                <w:sz w:val="20"/>
                <w:szCs w:val="20"/>
                <w:color w:val="auto"/>
              </w:rPr>
            </w:pPr>
            <w:r>
              <w:rPr>
                <w:rFonts w:ascii="Arial" w:cs="Arial" w:eastAsia="Arial" w:hAnsi="Arial"/>
                <w:sz w:val="18"/>
                <w:szCs w:val="18"/>
                <w:b w:val="1"/>
                <w:bCs w:val="1"/>
                <w:color w:val="auto"/>
              </w:rPr>
              <w:t>Business Segment Profit (Loss)</w:t>
            </w:r>
          </w:p>
        </w:tc>
        <w:tc>
          <w:tcPr>
            <w:tcW w:w="16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gridSpan w:val="6"/>
          </w:tcPr>
          <w:p>
            <w:pPr>
              <w:jc w:val="right"/>
              <w:ind w:right="300"/>
              <w:spacing w:after="0"/>
              <w:rPr>
                <w:sz w:val="20"/>
                <w:szCs w:val="20"/>
                <w:color w:val="auto"/>
              </w:rPr>
            </w:pPr>
            <w:r>
              <w:rPr>
                <w:rFonts w:ascii="Arial" w:cs="Arial" w:eastAsia="Arial" w:hAnsi="Arial"/>
                <w:sz w:val="18"/>
                <w:szCs w:val="18"/>
                <w:b w:val="1"/>
                <w:bCs w:val="1"/>
                <w:color w:val="auto"/>
                <w:w w:val="94"/>
              </w:rPr>
              <w:t>For Three Months Ended June 30,</w:t>
            </w:r>
          </w:p>
        </w:tc>
        <w:tc>
          <w:tcPr>
            <w:tcW w:w="20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gridSpan w:val="5"/>
          </w:tcPr>
          <w:p>
            <w:pPr>
              <w:jc w:val="right"/>
              <w:ind w:right="320"/>
              <w:spacing w:after="0"/>
              <w:rPr>
                <w:sz w:val="20"/>
                <w:szCs w:val="20"/>
                <w:color w:val="auto"/>
              </w:rPr>
            </w:pPr>
            <w:r>
              <w:rPr>
                <w:rFonts w:ascii="Arial" w:cs="Arial" w:eastAsia="Arial" w:hAnsi="Arial"/>
                <w:sz w:val="18"/>
                <w:szCs w:val="18"/>
                <w:b w:val="1"/>
                <w:bCs w:val="1"/>
                <w:color w:val="auto"/>
                <w:w w:val="94"/>
              </w:rPr>
              <w:t>For Six Months Ended June 30,</w:t>
            </w:r>
          </w:p>
        </w:tc>
        <w:tc>
          <w:tcPr>
            <w:tcW w:w="0" w:type="dxa"/>
            <w:vAlign w:val="bottom"/>
          </w:tcPr>
          <w:p>
            <w:pPr>
              <w:spacing w:after="0"/>
              <w:rPr>
                <w:sz w:val="1"/>
                <w:szCs w:val="1"/>
                <w:color w:val="auto"/>
              </w:rPr>
            </w:pPr>
          </w:p>
        </w:tc>
      </w:tr>
      <w:tr>
        <w:trPr>
          <w:trHeight w:val="237"/>
        </w:trPr>
        <w:tc>
          <w:tcPr>
            <w:tcW w:w="5160" w:type="dxa"/>
            <w:vAlign w:val="bottom"/>
            <w:vMerge w:val="continue"/>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2006</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2005</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2006</w:t>
            </w:r>
          </w:p>
        </w:tc>
        <w:tc>
          <w:tcPr>
            <w:tcW w:w="2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2005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1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Semiconductor*</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b w:val="1"/>
                <w:bCs w:val="1"/>
                <w:color w:val="auto"/>
                <w:w w:val="71"/>
              </w:rPr>
              <w:t>$</w:t>
            </w:r>
          </w:p>
        </w:tc>
        <w:tc>
          <w:tcPr>
            <w:tcW w:w="12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1,032</w:t>
            </w:r>
          </w:p>
        </w:tc>
        <w:tc>
          <w:tcPr>
            <w:tcW w:w="120" w:type="dxa"/>
            <w:vAlign w:val="bottom"/>
            <w:shd w:val="clear" w:color="auto" w:fill="CCEEFF"/>
          </w:tcPr>
          <w:p>
            <w:pPr>
              <w:spacing w:after="0"/>
              <w:rPr>
                <w:sz w:val="20"/>
                <w:szCs w:val="20"/>
                <w:color w:val="auto"/>
              </w:rPr>
            </w:pPr>
          </w:p>
        </w:tc>
        <w:tc>
          <w:tcPr>
            <w:tcW w:w="42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597</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1,915</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1,059</w:t>
            </w:r>
          </w:p>
        </w:tc>
        <w:tc>
          <w:tcPr>
            <w:tcW w:w="0" w:type="dxa"/>
            <w:vAlign w:val="bottom"/>
          </w:tcPr>
          <w:p>
            <w:pPr>
              <w:spacing w:after="0"/>
              <w:rPr>
                <w:sz w:val="1"/>
                <w:szCs w:val="1"/>
                <w:color w:val="auto"/>
              </w:rPr>
            </w:pPr>
          </w:p>
        </w:tc>
      </w:tr>
      <w:tr>
        <w:trPr>
          <w:trHeight w:val="243"/>
        </w:trPr>
        <w:tc>
          <w:tcPr>
            <w:tcW w:w="5160" w:type="dxa"/>
            <w:vAlign w:val="bottom"/>
          </w:tcPr>
          <w:p>
            <w:pPr>
              <w:ind w:left="500"/>
              <w:spacing w:after="0"/>
              <w:rPr>
                <w:sz w:val="20"/>
                <w:szCs w:val="20"/>
                <w:color w:val="auto"/>
              </w:rPr>
            </w:pPr>
            <w:r>
              <w:rPr>
                <w:rFonts w:ascii="Arial" w:cs="Arial" w:eastAsia="Arial" w:hAnsi="Arial"/>
                <w:sz w:val="18"/>
                <w:szCs w:val="18"/>
                <w:color w:val="auto"/>
              </w:rPr>
              <w:t>Educational &amp; Productivity Solutions</w:t>
            </w:r>
          </w:p>
        </w:tc>
        <w:tc>
          <w:tcPr>
            <w:tcW w:w="1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84</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79</w:t>
            </w:r>
          </w:p>
        </w:tc>
        <w:tc>
          <w:tcPr>
            <w:tcW w:w="200" w:type="dxa"/>
            <w:vAlign w:val="bottom"/>
          </w:tcPr>
          <w:p>
            <w:pPr>
              <w:spacing w:after="0"/>
              <w:rPr>
                <w:sz w:val="21"/>
                <w:szCs w:val="21"/>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98</w:t>
            </w:r>
          </w:p>
        </w:tc>
        <w:tc>
          <w:tcPr>
            <w:tcW w:w="320" w:type="dxa"/>
            <w:vAlign w:val="bottom"/>
          </w:tcPr>
          <w:p>
            <w:pPr>
              <w:spacing w:after="0"/>
              <w:rPr>
                <w:sz w:val="21"/>
                <w:szCs w:val="21"/>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Corporate **</w:t>
            </w: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(163)</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(74)</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(342)</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0"/>
        </w:trPr>
        <w:tc>
          <w:tcPr>
            <w:tcW w:w="51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4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160" w:type="dxa"/>
            <w:vAlign w:val="bottom"/>
          </w:tcPr>
          <w:p>
            <w:pPr>
              <w:ind w:left="500"/>
              <w:spacing w:after="0"/>
              <w:rPr>
                <w:sz w:val="20"/>
                <w:szCs w:val="20"/>
                <w:color w:val="auto"/>
              </w:rPr>
            </w:pPr>
            <w:r>
              <w:rPr>
                <w:rFonts w:ascii="Arial" w:cs="Arial" w:eastAsia="Arial" w:hAnsi="Arial"/>
                <w:sz w:val="18"/>
                <w:szCs w:val="18"/>
                <w:color w:val="auto"/>
              </w:rPr>
              <w:t>Profit from operations</w:t>
            </w:r>
          </w:p>
        </w:tc>
        <w:tc>
          <w:tcPr>
            <w:tcW w:w="160" w:type="dxa"/>
            <w:vAlign w:val="bottom"/>
          </w:tcPr>
          <w:p>
            <w:pPr>
              <w:jc w:val="right"/>
              <w:ind w:right="5"/>
              <w:spacing w:after="0"/>
              <w:rPr>
                <w:sz w:val="20"/>
                <w:szCs w:val="20"/>
                <w:color w:val="auto"/>
              </w:rPr>
            </w:pPr>
            <w:r>
              <w:rPr>
                <w:rFonts w:ascii="Arial" w:cs="Arial" w:eastAsia="Arial" w:hAnsi="Arial"/>
                <w:sz w:val="15"/>
                <w:szCs w:val="15"/>
                <w:b w:val="1"/>
                <w:bCs w:val="1"/>
                <w:color w:val="auto"/>
                <w:w w:val="71"/>
              </w:rPr>
              <w:t>$</w:t>
            </w: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953</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602</w:t>
            </w:r>
          </w:p>
        </w:tc>
        <w:tc>
          <w:tcPr>
            <w:tcW w:w="22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4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1,671</w:t>
            </w:r>
          </w:p>
        </w:tc>
        <w:tc>
          <w:tcPr>
            <w:tcW w:w="320" w:type="dxa"/>
            <w:vAlign w:val="bottom"/>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1,038</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ind w:left="500" w:right="20" w:hanging="6"/>
        <w:spacing w:after="0" w:line="279" w:lineRule="auto"/>
        <w:tabs>
          <w:tab w:leader="none" w:pos="635" w:val="left"/>
        </w:tabs>
        <w:numPr>
          <w:ilvl w:val="0"/>
          <w:numId w:val="9"/>
        </w:numPr>
        <w:rPr>
          <w:rFonts w:ascii="Arial" w:cs="Arial" w:eastAsia="Arial" w:hAnsi="Arial"/>
          <w:sz w:val="17"/>
          <w:szCs w:val="17"/>
          <w:color w:val="auto"/>
        </w:rPr>
      </w:pPr>
      <w:r>
        <w:rPr>
          <w:rFonts w:ascii="Arial" w:cs="Arial" w:eastAsia="Arial" w:hAnsi="Arial"/>
          <w:sz w:val="17"/>
          <w:szCs w:val="17"/>
          <w:color w:val="auto"/>
        </w:rPr>
        <w:t>Semiconductor profit from operations in the second quarter of 2006 includes a benefit of $60 million from a royalty settlement (see Note 8). Also included is a benefit of $57 million from a $77 million net sales tax refund that was due to the settlement of an audit of Texas sales taxes paid on various purchases over a nine year period. The $57 million effect on profit from operations is reflected as $31 million in cost of revenue, $21 million in R&amp;D and $5 million in SG&amp;A. The remaining $20 million of the net sales tax refund is reflected in Other income (expense) net.</w:t>
      </w:r>
    </w:p>
    <w:p>
      <w:pPr>
        <w:spacing w:after="0" w:line="225" w:lineRule="exact"/>
        <w:rPr>
          <w:sz w:val="20"/>
          <w:szCs w:val="20"/>
          <w:color w:val="auto"/>
        </w:rPr>
      </w:pPr>
    </w:p>
    <w:p>
      <w:pPr>
        <w:ind w:left="500" w:right="40" w:hanging="6"/>
        <w:spacing w:after="0" w:line="264" w:lineRule="auto"/>
        <w:tabs>
          <w:tab w:leader="none" w:pos="725" w:val="left"/>
        </w:tabs>
        <w:numPr>
          <w:ilvl w:val="1"/>
          <w:numId w:val="10"/>
        </w:numPr>
        <w:rPr>
          <w:rFonts w:ascii="Arial" w:cs="Arial" w:eastAsia="Arial" w:hAnsi="Arial"/>
          <w:sz w:val="18"/>
          <w:szCs w:val="18"/>
          <w:color w:val="auto"/>
        </w:rPr>
      </w:pPr>
      <w:r>
        <w:rPr>
          <w:rFonts w:ascii="Arial" w:cs="Arial" w:eastAsia="Arial" w:hAnsi="Arial"/>
          <w:sz w:val="18"/>
          <w:szCs w:val="18"/>
          <w:color w:val="auto"/>
        </w:rPr>
        <w:t>Corporate profit from operations includes stock-based compensation expense of $84 million, $5 million, $175 million, and $10 million respectively. Also included in 2005 is a gain of $23 million in the first quarter on sales of assets related primarily to the disposition of a sales facility and the sale of our commodity liquid crystal driver product line.</w:t>
      </w:r>
    </w:p>
    <w:p>
      <w:pPr>
        <w:spacing w:after="0" w:line="235" w:lineRule="exact"/>
        <w:rPr>
          <w:rFonts w:ascii="Arial" w:cs="Arial" w:eastAsia="Arial" w:hAnsi="Arial"/>
          <w:sz w:val="18"/>
          <w:szCs w:val="18"/>
          <w:color w:val="auto"/>
        </w:rPr>
      </w:pPr>
    </w:p>
    <w:p>
      <w:pPr>
        <w:ind w:left="500" w:right="20" w:hanging="231"/>
        <w:spacing w:after="0" w:line="297" w:lineRule="auto"/>
        <w:tabs>
          <w:tab w:leader="none" w:pos="500" w:val="left"/>
        </w:tabs>
        <w:numPr>
          <w:ilvl w:val="0"/>
          <w:numId w:val="10"/>
        </w:numPr>
        <w:rPr>
          <w:rFonts w:ascii="Arial" w:cs="Arial" w:eastAsia="Arial" w:hAnsi="Arial"/>
          <w:sz w:val="16"/>
          <w:szCs w:val="16"/>
          <w:color w:val="auto"/>
        </w:rPr>
      </w:pPr>
      <w:r>
        <w:rPr>
          <w:rFonts w:ascii="Arial" w:cs="Arial" w:eastAsia="Arial" w:hAnsi="Arial"/>
          <w:sz w:val="16"/>
          <w:szCs w:val="16"/>
          <w:u w:val="single" w:color="auto"/>
          <w:color w:val="auto"/>
        </w:rPr>
        <w:t>Income Taxes</w:t>
      </w:r>
      <w:r>
        <w:rPr>
          <w:rFonts w:ascii="Arial" w:cs="Arial" w:eastAsia="Arial" w:hAnsi="Arial"/>
          <w:sz w:val="16"/>
          <w:szCs w:val="16"/>
          <w:color w:val="auto"/>
        </w:rPr>
        <w:t>. Federal income taxes for continuing operations for the interim periods presented have been included in the accompanying financial statements on the basis of an estimated annual rate. As of June 30, 2006, the estimated annual effective tax rate for 2006 is about 30 percent. The rate is based on current tax law and does not assume reinstatement of the federal research tax credit, which expired at the end of 2005. The primary reasons the effective annual tax rate for continuing operations for 2006 differs from the 35 percent statutory corporate tax rate are the effects of non-U.S. tax rates and the expected utilization of various tax benefits such as deductions for export sales and U.S. manufacturing.</w:t>
      </w:r>
    </w:p>
    <w:p>
      <w:pPr>
        <w:spacing w:after="0" w:line="212" w:lineRule="exact"/>
        <w:rPr>
          <w:rFonts w:ascii="Arial" w:cs="Arial" w:eastAsia="Arial" w:hAnsi="Arial"/>
          <w:sz w:val="16"/>
          <w:szCs w:val="16"/>
          <w:color w:val="auto"/>
        </w:rPr>
      </w:pPr>
    </w:p>
    <w:p>
      <w:pPr>
        <w:ind w:left="500" w:right="40" w:hanging="231"/>
        <w:spacing w:after="0" w:line="254" w:lineRule="auto"/>
        <w:tabs>
          <w:tab w:leader="none" w:pos="500"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t>Contingencies</w:t>
      </w:r>
      <w:r>
        <w:rPr>
          <w:rFonts w:ascii="Arial" w:cs="Arial" w:eastAsia="Arial" w:hAnsi="Arial"/>
          <w:sz w:val="18"/>
          <w:szCs w:val="18"/>
          <w:color w:val="auto"/>
        </w:rPr>
        <w:t>. Italian government auditors have substantially completed a review, conducted in the ordinary course, of approximately $250 million of grants from the Italian government to TI’s former memory operations in Italy for 13 separate projects. The auditors have raised a number of issues relating to compliance with grant requirements and the eligibility of specific expenses for the grants. As of June 30, 2006, the auditors have issued audit reports on all of the projects. The Ministry of Industry is responsible for reviewing the auditors’ findings. Depending on the Ministry’s decision, the review may result in a demand from the Italian government that we repay a portion of the grants. We believe that the grants were obtained and used in compliance with applicable law and contractual obligations. As of June 30, 2006, the Ministry has published final decrees on 12 of the projects representing approximately $175 million of grants. We do not expect the outcome to have a material adverse impact on our financial condition, results of operations or liquidity.</w:t>
      </w:r>
    </w:p>
    <w:p>
      <w:pPr>
        <w:spacing w:after="0" w:line="246" w:lineRule="exact"/>
        <w:rPr>
          <w:rFonts w:ascii="Arial" w:cs="Arial" w:eastAsia="Arial" w:hAnsi="Arial"/>
          <w:sz w:val="18"/>
          <w:szCs w:val="18"/>
          <w:color w:val="auto"/>
        </w:rPr>
      </w:pPr>
    </w:p>
    <w:p>
      <w:pPr>
        <w:ind w:left="500" w:right="300"/>
        <w:spacing w:after="0" w:line="264" w:lineRule="auto"/>
        <w:rPr>
          <w:rFonts w:ascii="Arial" w:cs="Arial" w:eastAsia="Arial" w:hAnsi="Arial"/>
          <w:sz w:val="18"/>
          <w:szCs w:val="18"/>
          <w:color w:val="auto"/>
        </w:rPr>
      </w:pPr>
      <w:r>
        <w:rPr>
          <w:rFonts w:ascii="Arial" w:cs="Arial" w:eastAsia="Arial" w:hAnsi="Arial"/>
          <w:sz w:val="18"/>
          <w:szCs w:val="18"/>
          <w:color w:val="auto"/>
        </w:rPr>
        <w:t>We routinely sell products with a limited intellectual property indemnification included in the terms of sale. Historically, we have had only minimal and infrequent losses associated with these indemnities. Consequently, any future liabilities brought about by the intellectual property indemnities cannot reasonably be estimated or accrued.</w:t>
      </w:r>
    </w:p>
    <w:p>
      <w:pPr>
        <w:spacing w:after="0" w:line="235" w:lineRule="exact"/>
        <w:rPr>
          <w:rFonts w:ascii="Arial" w:cs="Arial" w:eastAsia="Arial" w:hAnsi="Arial"/>
          <w:sz w:val="18"/>
          <w:szCs w:val="18"/>
          <w:color w:val="auto"/>
        </w:rPr>
      </w:pPr>
    </w:p>
    <w:p>
      <w:pPr>
        <w:ind w:left="500" w:right="120"/>
        <w:spacing w:after="0" w:line="297" w:lineRule="auto"/>
        <w:rPr>
          <w:rFonts w:ascii="Arial" w:cs="Arial" w:eastAsia="Arial" w:hAnsi="Arial"/>
          <w:sz w:val="18"/>
          <w:szCs w:val="18"/>
          <w:color w:val="auto"/>
        </w:rPr>
      </w:pPr>
      <w:r>
        <w:rPr>
          <w:rFonts w:ascii="Arial" w:cs="Arial" w:eastAsia="Arial" w:hAnsi="Arial"/>
          <w:sz w:val="16"/>
          <w:szCs w:val="16"/>
          <w:color w:val="auto"/>
        </w:rPr>
        <w:t>We accrue for known product-related claims if a loss is probable and can be reasonably estimated. During the periods presented, there have been no material accruals or payments regarding product warranty or product liability, and historically we have experienced a low rate of payments on product claims. Consistent with general industry practice, we enter into formal contracts with certain customers in which the parties define warranty remedies. Typically, our warranty for semiconductor products covers three years, an obligation to repair, replace or refund, and a maximum payment obligation tied to the price paid for our products. In some cases, product claims may be disproportionate to the price of our products.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1" w:name="page12"/>
    <w:bookmarkEnd w:id="11"/>
    <w:p>
      <w:pPr>
        <w:spacing w:after="0" w:line="254" w:lineRule="auto"/>
        <w:rPr>
          <w:sz w:val="20"/>
          <w:szCs w:val="20"/>
          <w:color w:val="auto"/>
        </w:rPr>
      </w:pPr>
      <w:r>
        <w:rPr>
          <w:rFonts w:ascii="Arial" w:cs="Arial" w:eastAsia="Arial" w:hAnsi="Arial"/>
          <w:sz w:val="18"/>
          <w:szCs w:val="18"/>
          <w:color w:val="auto"/>
        </w:rPr>
        <w:t>On February 6, 2006, a jury in the U.S. District Court for the District of New Jersey determined that GlobespanVirata (Globespan), a subsidiary of Conexant Systems, Inc. (Conexant), had infringed two TI patents and one Stanford University (Stanford) patent relating to digital subscriber line (DSL) technology. The jury awarded $112 million in damages to TI. In June 2003, before Globespan's merger with Conexant, Globespan had sued TI and Stanford claiming that the TI and Stanford patents were invalid and not being infringed by Globespan, and alleging violations of the antitrust law. In response, TI and Stanford brought counterclaims of patent infringement against Globespan. On May 5, 2006, the companies announced a settlement resolving this litigation. Under the settlement, Conexant paid TI $70 million and TI granted Conexant a license to essential patents relating to DSL technology. Under an agreement with Stanford, TI will be required to make a payment of $10 million to Stanford related to the royalty amount received by TI from Conexant.</w:t>
      </w:r>
    </w:p>
    <w:p>
      <w:pPr>
        <w:spacing w:after="0" w:line="246" w:lineRule="exact"/>
        <w:rPr>
          <w:sz w:val="20"/>
          <w:szCs w:val="20"/>
          <w:color w:val="auto"/>
        </w:rPr>
      </w:pPr>
    </w:p>
    <w:p>
      <w:pPr>
        <w:ind w:right="300"/>
        <w:spacing w:after="0" w:line="342" w:lineRule="auto"/>
        <w:rPr>
          <w:sz w:val="20"/>
          <w:szCs w:val="20"/>
          <w:color w:val="auto"/>
        </w:rPr>
      </w:pPr>
      <w:r>
        <w:rPr>
          <w:rFonts w:ascii="Arial" w:cs="Arial" w:eastAsia="Arial" w:hAnsi="Arial"/>
          <w:sz w:val="16"/>
          <w:szCs w:val="16"/>
          <w:color w:val="auto"/>
        </w:rPr>
        <w:t>We are subject to various other legal and administrative proceedings. Although it is not possible to predict the outcome of these matters, we believe that the results of these proceedings will not have a material adverse effect upon our financial condition, results of operations or liquidity.</w:t>
      </w:r>
    </w:p>
    <w:p>
      <w:pPr>
        <w:spacing w:after="0" w:line="200" w:lineRule="exact"/>
        <w:rPr>
          <w:sz w:val="20"/>
          <w:szCs w:val="20"/>
          <w:color w:val="auto"/>
        </w:rPr>
      </w:pPr>
    </w:p>
    <w:p>
      <w:pPr>
        <w:spacing w:after="0" w:line="244" w:lineRule="exact"/>
        <w:rPr>
          <w:sz w:val="20"/>
          <w:szCs w:val="20"/>
          <w:color w:val="auto"/>
        </w:rPr>
      </w:pPr>
    </w:p>
    <w:p>
      <w:pPr>
        <w:jc w:val="center"/>
        <w:ind w:right="480"/>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70485</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20"/>
          </w:cols>
          <w:pgMar w:left="740" w:top="125"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83"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The following should be read in conjunction with the condensed consolidated financial statements and the related notes that appear elsewhere in this document. Except as noted, financial results are for continuing operations. Our former Sensors &amp; Controls business is reported as discontinued operations. The divestiture of this business closed on April 27, 2006.</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Overview</w:t>
      </w:r>
    </w:p>
    <w:p>
      <w:pPr>
        <w:spacing w:after="0" w:line="279"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Texas Instruments makes, markets and sells high-technology components; more than 50,000 customers all over the world buy our products. We have two separate business segments: Semiconductor and Educational &amp; Productivity Solutions. Semiconductor is by far the largest of these business segments. It accounted for 96 percent of our revenue from continuing operations in 2005, and historically it averages a higher growth rate than the other business segment, although the semiconductor market is characterized by wide swings in growth rates from year to year. We were the world’s third-largest semiconductor company in 2005 as measured by revenue, according to iSuppli Corporation, an industry analyst.</w:t>
      </w:r>
    </w:p>
    <w:p>
      <w:pPr>
        <w:spacing w:after="0" w:line="22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In our Semiconductor segment, we focus primarily on technologies that make it possible for a variety of consumer and industrial electronic equipment to process both analog and digital signals in real time. These technologies are known as analog semiconductors and digital signal processors, or DSPs, and together they account for about three-fourths of our Semiconductor revenue. Almost all of today’s digital electronic equipment requires some form of analog or digital signal processing.</w:t>
      </w:r>
    </w:p>
    <w:p>
      <w:pPr>
        <w:spacing w:after="0" w:line="241"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Analog semiconductors process “real world” inputs, such as sound, temperature, pressure and visual images, conditioning them, amplifying them and converting them into digital signals. They also assist in the management of power distribution and consumption, aspects critical to today’s portable electronic devices. Generally, analog products require less capital-intensive factories to manufacture than digital products.</w:t>
      </w:r>
    </w:p>
    <w:p>
      <w:pPr>
        <w:spacing w:after="0" w:line="235"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Our analog semiconductors consist of custom products and standard products. Custom products are designed for specific applications for specific customers. Standard products include application-specific standard products (designed for a specific application and usable by multiple customers) and high-performance standard catalog products (usable in multiple applications by multiple customers). These standard products are characterized by differentiated features and specifications, as well as relatively high margins. Standard analog products tend to have long life spans. Many custom and standard products are proprietary and difficult for competitors to imitate. Analog products also include commodity products, which are sold in high volume and into a broad range of applications, and generally are differentiated by price and availability. We are the world’s largest supplier of analog semiconductors.</w:t>
      </w:r>
    </w:p>
    <w:p>
      <w:pPr>
        <w:spacing w:after="0" w:line="219"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color w:val="auto"/>
        </w:rPr>
        <w:t>DSPs use complex algorithms and compression techniques to alter and improve a data stream. These products are ideal for applications that require precise, real-time processing of real-world signals that have been converted into digital form. Their power efficiency is important for battery-powered devices.</w:t>
      </w:r>
    </w:p>
    <w:p>
      <w:pPr>
        <w:spacing w:after="0" w:line="178"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Our DSP portfolio includes custom, application-specific and standard products. Custom products are designed for specific customers with very high volumes in established markets. Application-specific products are implementations crafted for specific applications like wireless infrastructure, VoIP (Voice over Internet Protocol) gateways, digital still cameras and residential gateways, to name a few. Our standard DSP products are sold into a broad range of applications and seed the next generation of signal-processing innovation. We are the world’s largest supplier of DSPs.</w:t>
      </w:r>
    </w:p>
    <w:p>
      <w:pPr>
        <w:spacing w:after="0" w:line="225"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We own and operate semiconductor manufacturing sites in the Americas, Japan, Europe and Asia. Our facilities require substantial investment to construct and are largely fixed-cost assets once in operation. Because we own most of our manufacturing capacity, a significant portion of our operating costs is fixed. In general, these costs do not decline with reductions in customer demand or our utilization of our manufacturing capacity, and can adversely affect profit margins as a result. Conversely, as product demand rises and factory utilization increases, the fixed costs are spread over increased output, which should improve profit margins.</w:t>
      </w:r>
    </w:p>
    <w:p>
      <w:pPr>
        <w:spacing w:after="0" w:line="242"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As part of our manufacturing strategy, we outsource a portion of our product manufacturing to outside suppliers (foundries and assembly/test subcontractors), which reduces both the amount of capital expenditures and subsequent depreciation required to meet customer demands, and fluctuations in profit margins. Outside foundries provided about 20 percent of our total wafers produced in 2005. (A wafer is a thin slice of silicon on which an array of semiconductor devices has been fabricated.)</w:t>
      </w: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64" w:right="259" w:bottom="1440" w:gutter="0" w:footer="0" w:header="0"/>
        </w:sectPr>
      </w:pPr>
    </w:p>
    <w:bookmarkStart w:id="13" w:name="page14"/>
    <w:bookmarkEnd w:id="13"/>
    <w:p>
      <w:pPr>
        <w:ind w:right="140"/>
        <w:spacing w:after="0" w:line="279" w:lineRule="auto"/>
        <w:rPr>
          <w:sz w:val="20"/>
          <w:szCs w:val="20"/>
          <w:color w:val="auto"/>
        </w:rPr>
      </w:pPr>
      <w:r>
        <w:rPr>
          <w:rFonts w:ascii="Arial" w:cs="Arial" w:eastAsia="Arial" w:hAnsi="Arial"/>
          <w:sz w:val="17"/>
          <w:szCs w:val="17"/>
          <w:color w:val="auto"/>
        </w:rPr>
        <w:t>The semiconductor market is characterized by constant and typically incremental innovation in product design and manufacturing technologies. We make significant investments in research and development (R&amp;D). Typically, products resulting from our R&amp;D investments in the current period do not contribute materially to revenue in that period, but should benefit us in future years. In general, new semiconductor products are shipped in limited quantities initially and will then ramp into high volumes over time. Prices and manufacturing costs tend to decline over time.</w:t>
      </w:r>
    </w:p>
    <w:p>
      <w:pPr>
        <w:spacing w:after="0" w:line="225" w:lineRule="exact"/>
        <w:rPr>
          <w:sz w:val="20"/>
          <w:szCs w:val="20"/>
          <w:color w:val="auto"/>
        </w:rPr>
      </w:pPr>
    </w:p>
    <w:p>
      <w:pPr>
        <w:ind w:right="440"/>
        <w:spacing w:after="0" w:line="302" w:lineRule="auto"/>
        <w:rPr>
          <w:sz w:val="20"/>
          <w:szCs w:val="20"/>
          <w:color w:val="auto"/>
        </w:rPr>
      </w:pPr>
      <w:r>
        <w:rPr>
          <w:rFonts w:ascii="Arial" w:cs="Arial" w:eastAsia="Arial" w:hAnsi="Arial"/>
          <w:sz w:val="16"/>
          <w:szCs w:val="16"/>
          <w:color w:val="auto"/>
        </w:rPr>
        <w:t>Our Educational &amp; Productivity Solutions (E&amp;PS) segment is a leading supplier of graphing handheld calculators. It also provides our customers with business and scientific calculators and a wide range of advanced classroom tools and professional development that enables students and teachers to interactively explore math and science. Our products are marketed primarily through retailers and to schools through instructional dealers. This business segment represented 4 percent of our revenue from continuing operations in 2005. Prices of E&amp;PS products tend to be stable.</w:t>
      </w:r>
    </w:p>
    <w:p>
      <w:pPr>
        <w:spacing w:after="0" w:line="20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early 2006, we entered into an agreement to sell substantially all of our Sensors &amp; Controls business, which had been a separate business segment before 2006, to an affiliate of Bain Capital, LLC, for $3 billion. This sale was completed on April 27, 2006. The financial results of this business are accounted for as discontinued operations and for the three- and six-month periods ended June 30, 2006, include operations during the periods prior to the date of sale, as well as the actual gain on sale. The amounts in comparison for the 2005 periods include operations of the sold business for the full three and six months (see Note 2 to the Financial Statements for additional information). Products manufactured and sold by this business included sensors, and electrical and electronic controls. The primary markets were automotive and industrial. Other targeted markets included heating, ventilation, air conditioning, refrigeration and industrial control systems.</w:t>
      </w:r>
    </w:p>
    <w:p>
      <w:pPr>
        <w:spacing w:after="0" w:line="243"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 xml:space="preserve">In the third quarter of 2005, we implemented the Financial Accounting Standards Board’s Statement of Financial Accounting Standard (SFAS) No. 123(R), </w:t>
      </w:r>
      <w:r>
        <w:rPr>
          <w:rFonts w:ascii="Arial" w:cs="Arial" w:eastAsia="Arial" w:hAnsi="Arial"/>
          <w:sz w:val="16"/>
          <w:szCs w:val="16"/>
          <w:i w:val="1"/>
          <w:iCs w:val="1"/>
          <w:color w:val="auto"/>
        </w:rPr>
        <w:t xml:space="preserve">“Share-Based Payments.” </w:t>
      </w:r>
      <w:r>
        <w:rPr>
          <w:rFonts w:ascii="Arial" w:cs="Arial" w:eastAsia="Arial" w:hAnsi="Arial"/>
          <w:sz w:val="16"/>
          <w:szCs w:val="16"/>
          <w:color w:val="auto"/>
        </w:rPr>
        <w:t>The financial results of 2005 include the effects of adopting this new accounting rule for stock options effective July 1, 2005.</w:t>
      </w:r>
      <w:r>
        <w:rPr>
          <w:rFonts w:ascii="Arial" w:cs="Arial" w:eastAsia="Arial" w:hAnsi="Arial"/>
          <w:sz w:val="16"/>
          <w:szCs w:val="16"/>
          <w:i w:val="1"/>
          <w:iCs w:val="1"/>
          <w:color w:val="auto"/>
        </w:rPr>
        <w:t xml:space="preserve"> </w:t>
      </w:r>
      <w:r>
        <w:rPr>
          <w:rFonts w:ascii="Arial" w:cs="Arial" w:eastAsia="Arial" w:hAnsi="Arial"/>
          <w:sz w:val="16"/>
          <w:szCs w:val="16"/>
          <w:color w:val="auto"/>
        </w:rPr>
        <w:t>Before July 1, 2005, our financial results include the expense of restricted stock units, but not stock options. Consequently, our financial results for periods after July 1, 2005, are not fully comparable to our prior financial results. For the second quarter of 2006, the total stock-based compensation expense was $84 million, or 2.3 percent of revenue. The distribution of this expense was $43 million to selling, general and administrative (SG&amp;A) expense, $25 million to R&amp;D expense and $16 million to cost of revenue. For the first half of 2006, the total stock-based compensation expense was $175 million, or 2.5 percent of revenue. The distribution of this expense was $88 million to SG&amp;A expense, $53 million to R&amp;D expense and $34 million to cost of revenue.</w:t>
      </w:r>
    </w:p>
    <w:p>
      <w:pPr>
        <w:spacing w:after="0" w:line="221"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auto"/>
        </w:rPr>
        <w:t xml:space="preserve">As a result of a study of the pattern of usage of long-lived depreciable assets, we adopted the straight-line method of depreciation for all property, plant and equipment on a prospective basis effective January 1, 2006, as allowed for under SFAS No. 154, </w:t>
      </w:r>
      <w:r>
        <w:rPr>
          <w:rFonts w:ascii="Arial" w:cs="Arial" w:eastAsia="Arial" w:hAnsi="Arial"/>
          <w:sz w:val="16"/>
          <w:szCs w:val="16"/>
          <w:i w:val="1"/>
          <w:iCs w:val="1"/>
          <w:color w:val="auto"/>
        </w:rPr>
        <w:t>“Accounting Changes and Error Corrections, a replacement</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of APB Opinion No. 20 and FASB Statement No. 3.” </w:t>
      </w:r>
      <w:r>
        <w:rPr>
          <w:rFonts w:ascii="Arial" w:cs="Arial" w:eastAsia="Arial" w:hAnsi="Arial"/>
          <w:sz w:val="16"/>
          <w:szCs w:val="16"/>
          <w:color w:val="auto"/>
        </w:rPr>
        <w:t>See</w:t>
      </w:r>
      <w:r>
        <w:rPr>
          <w:rFonts w:ascii="Arial" w:cs="Arial" w:eastAsia="Arial" w:hAnsi="Arial"/>
          <w:sz w:val="16"/>
          <w:szCs w:val="16"/>
          <w:i w:val="1"/>
          <w:iCs w:val="1"/>
          <w:color w:val="auto"/>
        </w:rPr>
        <w:t xml:space="preserve"> Financial Condition </w:t>
      </w:r>
      <w:r>
        <w:rPr>
          <w:rFonts w:ascii="Arial" w:cs="Arial" w:eastAsia="Arial" w:hAnsi="Arial"/>
          <w:sz w:val="16"/>
          <w:szCs w:val="16"/>
          <w:color w:val="auto"/>
        </w:rPr>
        <w:t>below and Note 1 to the Financial Statements for additional information.</w:t>
      </w:r>
    </w:p>
    <w:p>
      <w:pPr>
        <w:spacing w:after="0" w:line="20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We operate in a number of tax jurisdictions and are subject to several types of taxes including taxes based on income, capital, property and payroll, and sales and other transactional taxes. The timing of the final determination of our tax liabilities varies among these jurisdictions and their taxing authorities. As a result, during any particular reporting period, we might reflect (in either income before income taxes, the provision for income taxes or both) one or more tax refunds or assessments, or changes to tax liabilities, involving one or more taxing authorities.</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Second-Quarter 2006 Results</w:t>
      </w:r>
    </w:p>
    <w:p>
      <w:pPr>
        <w:spacing w:after="0" w:line="279"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Our revenue for the second quarter of 2006 was $3.70 billion, 11 percent higher sequentially and 24 percent higher than the same quarter a year ago due to higher shipments, as demand for our semiconductors continued to strengthen. Sequential growth also benefited from seasonal demand for graphing calculators, as retailers began to stock for the upcoming back-to-school season. Additionally, we received a $70 million royalty settlement in the quarter that was included in revenue.</w:t>
      </w:r>
    </w:p>
    <w:p>
      <w:pPr>
        <w:spacing w:after="0" w:line="241"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Earnings per share (EPS) from continuing operations in the quarter were $0.47, up 42 percent sequentially and 34 percent from a year ago. EPS included an expense of $0.03 from stock-based compensation, a benefit of $0.03 from a state sales tax refund, and a benefit of $0.02 from the royalty settlement. We began expensing stock options in the third quarter of 2005 and, therefore, equivalent stock-based compensation expense was not reflected in the year-ago quarter, when we earned $0.35 per share from continuing operations.</w:t>
      </w:r>
    </w:p>
    <w:p>
      <w:pPr>
        <w:spacing w:after="0" w:line="241"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This was another excellent quarter. All regions of the world showed strong revenue growth from a year ago. Revenue from our wireless semiconductors grew 27 percent, including more than 70 percent growth in 3G; revenue from high-performance analog semiconductors grew 32 percent; and revenue from our DLP® picture technology grew 34 percent.</w:t>
      </w: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4" w:name="page15"/>
    <w:bookmarkEnd w:id="14"/>
    <w:p>
      <w:pPr>
        <w:ind w:right="460"/>
        <w:spacing w:after="0" w:line="342" w:lineRule="auto"/>
        <w:rPr>
          <w:sz w:val="20"/>
          <w:szCs w:val="20"/>
          <w:color w:val="auto"/>
        </w:rPr>
      </w:pPr>
      <w:r>
        <w:rPr>
          <w:rFonts w:ascii="Arial" w:cs="Arial" w:eastAsia="Arial" w:hAnsi="Arial"/>
          <w:sz w:val="16"/>
          <w:szCs w:val="16"/>
          <w:color w:val="auto"/>
        </w:rPr>
        <w:t>Strategically, our focus on open wireless standards was reinforced by the actions of operators around the world, who are accelerating their infrastructure transitions to GSM (Global System for Mobile communication) because of its cost effectiveness and the wide range of choices it offers.</w:t>
      </w:r>
    </w:p>
    <w:p>
      <w:pPr>
        <w:spacing w:after="0" w:line="178"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Going into the third quarter, our backlog of orders is up, and our outlook is for seasonal growth. As always, we will pay close attention to the world’s economies and to our inventory in the various market channels.</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Income - Selected Items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(Millions of dollars, except per-share amounts)</w:t>
      </w: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7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2100" w:type="dxa"/>
            <w:vAlign w:val="bottom"/>
            <w:tcBorders>
              <w:bottom w:val="single" w:sz="8" w:color="auto"/>
            </w:tcBorders>
            <w:gridSpan w:val="5"/>
          </w:tcPr>
          <w:p>
            <w:pPr>
              <w:jc w:val="right"/>
              <w:ind w:right="10"/>
              <w:spacing w:after="0"/>
              <w:rPr>
                <w:sz w:val="20"/>
                <w:szCs w:val="20"/>
                <w:color w:val="auto"/>
              </w:rPr>
            </w:pPr>
            <w:r>
              <w:rPr>
                <w:rFonts w:ascii="Arial" w:cs="Arial" w:eastAsia="Arial" w:hAnsi="Arial"/>
                <w:sz w:val="18"/>
                <w:szCs w:val="18"/>
                <w:b w:val="1"/>
                <w:bCs w:val="1"/>
                <w:color w:val="auto"/>
                <w:w w:val="93"/>
              </w:rPr>
              <w:t>For Three Months Ended</w:t>
            </w:r>
          </w:p>
        </w:tc>
        <w:tc>
          <w:tcPr>
            <w:tcW w:w="10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r>
      <w:tr>
        <w:trPr>
          <w:trHeight w:val="198"/>
        </w:trPr>
        <w:tc>
          <w:tcPr>
            <w:tcW w:w="6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00" w:type="dxa"/>
            <w:vAlign w:val="bottom"/>
            <w:gridSpan w:val="2"/>
          </w:tcPr>
          <w:p>
            <w:pPr>
              <w:jc w:val="right"/>
              <w:ind w:right="350"/>
              <w:spacing w:after="0" w:line="198" w:lineRule="exact"/>
              <w:rPr>
                <w:sz w:val="20"/>
                <w:szCs w:val="20"/>
                <w:color w:val="auto"/>
              </w:rPr>
            </w:pPr>
            <w:r>
              <w:rPr>
                <w:rFonts w:ascii="Arial" w:cs="Arial" w:eastAsia="Arial" w:hAnsi="Arial"/>
                <w:sz w:val="18"/>
                <w:szCs w:val="18"/>
                <w:b w:val="1"/>
                <w:bCs w:val="1"/>
                <w:color w:val="auto"/>
              </w:rPr>
              <w:t>June 30,</w:t>
            </w:r>
          </w:p>
        </w:tc>
        <w:tc>
          <w:tcPr>
            <w:tcW w:w="260" w:type="dxa"/>
            <w:vAlign w:val="bottom"/>
          </w:tcPr>
          <w:p>
            <w:pPr>
              <w:spacing w:after="0"/>
              <w:rPr>
                <w:sz w:val="17"/>
                <w:szCs w:val="17"/>
                <w:color w:val="auto"/>
              </w:rPr>
            </w:pPr>
          </w:p>
        </w:tc>
        <w:tc>
          <w:tcPr>
            <w:tcW w:w="1300" w:type="dxa"/>
            <w:vAlign w:val="bottom"/>
            <w:gridSpan w:val="2"/>
          </w:tcPr>
          <w:p>
            <w:pPr>
              <w:jc w:val="right"/>
              <w:ind w:right="520"/>
              <w:spacing w:after="0" w:line="198" w:lineRule="exact"/>
              <w:rPr>
                <w:sz w:val="20"/>
                <w:szCs w:val="20"/>
                <w:color w:val="auto"/>
              </w:rPr>
            </w:pPr>
            <w:r>
              <w:rPr>
                <w:rFonts w:ascii="Arial" w:cs="Arial" w:eastAsia="Arial" w:hAnsi="Arial"/>
                <w:sz w:val="18"/>
                <w:szCs w:val="18"/>
                <w:b w:val="1"/>
                <w:bCs w:val="1"/>
                <w:color w:val="auto"/>
              </w:rPr>
              <w:t>Mar. 31,</w:t>
            </w:r>
          </w:p>
        </w:tc>
        <w:tc>
          <w:tcPr>
            <w:tcW w:w="320" w:type="dxa"/>
            <w:vAlign w:val="bottom"/>
          </w:tcPr>
          <w:p>
            <w:pPr>
              <w:spacing w:after="0"/>
              <w:rPr>
                <w:sz w:val="17"/>
                <w:szCs w:val="17"/>
                <w:color w:val="auto"/>
              </w:rPr>
            </w:pPr>
          </w:p>
        </w:tc>
        <w:tc>
          <w:tcPr>
            <w:tcW w:w="1200" w:type="dxa"/>
            <w:vAlign w:val="bottom"/>
            <w:gridSpan w:val="2"/>
          </w:tcPr>
          <w:p>
            <w:pPr>
              <w:jc w:val="right"/>
              <w:ind w:right="460"/>
              <w:spacing w:after="0" w:line="198" w:lineRule="exact"/>
              <w:rPr>
                <w:sz w:val="20"/>
                <w:szCs w:val="20"/>
                <w:color w:val="auto"/>
              </w:rPr>
            </w:pPr>
            <w:r>
              <w:rPr>
                <w:rFonts w:ascii="Arial" w:cs="Arial" w:eastAsia="Arial" w:hAnsi="Arial"/>
                <w:sz w:val="18"/>
                <w:szCs w:val="18"/>
                <w:b w:val="1"/>
                <w:bCs w:val="1"/>
                <w:color w:val="auto"/>
                <w:w w:val="99"/>
              </w:rPr>
              <w:t>June 30,</w:t>
            </w:r>
          </w:p>
        </w:tc>
      </w:tr>
      <w:tr>
        <w:trPr>
          <w:trHeight w:val="234"/>
        </w:trPr>
        <w:tc>
          <w:tcPr>
            <w:tcW w:w="67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2006</w:t>
            </w:r>
          </w:p>
        </w:tc>
        <w:tc>
          <w:tcPr>
            <w:tcW w:w="2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2006</w:t>
            </w:r>
          </w:p>
        </w:tc>
        <w:tc>
          <w:tcPr>
            <w:tcW w:w="2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2005</w:t>
            </w:r>
          </w:p>
        </w:tc>
        <w:tc>
          <w:tcPr>
            <w:tcW w:w="160" w:type="dxa"/>
            <w:vAlign w:val="bottom"/>
          </w:tcPr>
          <w:p>
            <w:pPr>
              <w:spacing w:after="0"/>
              <w:rPr>
                <w:sz w:val="20"/>
                <w:szCs w:val="20"/>
                <w:color w:val="auto"/>
              </w:rPr>
            </w:pPr>
          </w:p>
        </w:tc>
      </w:tr>
      <w:tr>
        <w:trPr>
          <w:trHeight w:val="237"/>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Net revenue</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3,697</w:t>
            </w:r>
          </w:p>
        </w:tc>
        <w:tc>
          <w:tcPr>
            <w:tcW w:w="22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3,334</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2,971</w:t>
            </w:r>
          </w:p>
        </w:tc>
      </w:tr>
      <w:tr>
        <w:trPr>
          <w:trHeight w:val="243"/>
        </w:trPr>
        <w:tc>
          <w:tcPr>
            <w:tcW w:w="6740" w:type="dxa"/>
            <w:vAlign w:val="bottom"/>
          </w:tcPr>
          <w:p>
            <w:pPr>
              <w:spacing w:after="0"/>
              <w:rPr>
                <w:sz w:val="20"/>
                <w:szCs w:val="20"/>
                <w:color w:val="auto"/>
              </w:rPr>
            </w:pPr>
            <w:r>
              <w:rPr>
                <w:rFonts w:ascii="Arial" w:cs="Arial" w:eastAsia="Arial" w:hAnsi="Arial"/>
                <w:sz w:val="18"/>
                <w:szCs w:val="18"/>
                <w:color w:val="auto"/>
              </w:rPr>
              <w:t>Cost of revenue (COR)</w:t>
            </w:r>
          </w:p>
        </w:tc>
        <w:tc>
          <w:tcPr>
            <w:tcW w:w="3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1,790</w:t>
            </w:r>
          </w:p>
        </w:tc>
        <w:tc>
          <w:tcPr>
            <w:tcW w:w="2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1,662</w:t>
            </w:r>
          </w:p>
        </w:tc>
        <w:tc>
          <w:tcPr>
            <w:tcW w:w="20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1,545</w:t>
            </w:r>
          </w:p>
        </w:tc>
        <w:tc>
          <w:tcPr>
            <w:tcW w:w="160" w:type="dxa"/>
            <w:vAlign w:val="bottom"/>
          </w:tcPr>
          <w:p>
            <w:pPr>
              <w:spacing w:after="0"/>
              <w:rPr>
                <w:sz w:val="21"/>
                <w:szCs w:val="21"/>
                <w:color w:val="auto"/>
              </w:rPr>
            </w:pPr>
          </w:p>
        </w:tc>
      </w:tr>
      <w:tr>
        <w:trPr>
          <w:trHeight w:val="237"/>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30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1,907</w:t>
            </w:r>
          </w:p>
        </w:tc>
        <w:tc>
          <w:tcPr>
            <w:tcW w:w="2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1,672</w:t>
            </w:r>
          </w:p>
        </w:tc>
        <w:tc>
          <w:tcPr>
            <w:tcW w:w="3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1,426</w:t>
            </w: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Gross profit % of revenue</w:t>
            </w:r>
          </w:p>
        </w:tc>
        <w:tc>
          <w:tcPr>
            <w:tcW w:w="300" w:type="dxa"/>
            <w:vAlign w:val="bottom"/>
          </w:tcPr>
          <w:p>
            <w:pPr>
              <w:spacing w:after="0"/>
              <w:rPr>
                <w:sz w:val="21"/>
                <w:szCs w:val="21"/>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b w:val="1"/>
                <w:bCs w:val="1"/>
                <w:color w:val="auto"/>
              </w:rPr>
              <w:t>51.6%</w:t>
            </w:r>
          </w:p>
        </w:tc>
        <w:tc>
          <w:tcPr>
            <w:tcW w:w="260" w:type="dxa"/>
            <w:vAlign w:val="bottom"/>
          </w:tcPr>
          <w:p>
            <w:pPr>
              <w:spacing w:after="0"/>
              <w:rPr>
                <w:sz w:val="21"/>
                <w:szCs w:val="21"/>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50.1%</w:t>
            </w:r>
          </w:p>
        </w:tc>
        <w:tc>
          <w:tcPr>
            <w:tcW w:w="320" w:type="dxa"/>
            <w:vAlign w:val="bottom"/>
          </w:tcPr>
          <w:p>
            <w:pPr>
              <w:spacing w:after="0"/>
              <w:rPr>
                <w:sz w:val="21"/>
                <w:szCs w:val="21"/>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48.0%</w:t>
            </w:r>
          </w:p>
        </w:tc>
      </w:tr>
      <w:tr>
        <w:trPr>
          <w:trHeight w:val="243"/>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(R&amp;D)</w:t>
            </w:r>
          </w:p>
        </w:tc>
        <w:tc>
          <w:tcPr>
            <w:tcW w:w="30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536</w:t>
            </w:r>
          </w:p>
        </w:tc>
        <w:tc>
          <w:tcPr>
            <w:tcW w:w="2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533</w:t>
            </w:r>
          </w:p>
        </w:tc>
        <w:tc>
          <w:tcPr>
            <w:tcW w:w="32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485</w:t>
            </w: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R&amp;D % of revenue</w:t>
            </w:r>
          </w:p>
        </w:tc>
        <w:tc>
          <w:tcPr>
            <w:tcW w:w="300" w:type="dxa"/>
            <w:vAlign w:val="bottom"/>
          </w:tcPr>
          <w:p>
            <w:pPr>
              <w:spacing w:after="0"/>
              <w:rPr>
                <w:sz w:val="21"/>
                <w:szCs w:val="21"/>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b w:val="1"/>
                <w:bCs w:val="1"/>
                <w:color w:val="auto"/>
              </w:rPr>
              <w:t>14.5%</w:t>
            </w:r>
          </w:p>
        </w:tc>
        <w:tc>
          <w:tcPr>
            <w:tcW w:w="260" w:type="dxa"/>
            <w:vAlign w:val="bottom"/>
          </w:tcPr>
          <w:p>
            <w:pPr>
              <w:spacing w:after="0"/>
              <w:rPr>
                <w:sz w:val="21"/>
                <w:szCs w:val="21"/>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16.0%</w:t>
            </w:r>
          </w:p>
        </w:tc>
        <w:tc>
          <w:tcPr>
            <w:tcW w:w="320" w:type="dxa"/>
            <w:vAlign w:val="bottom"/>
          </w:tcPr>
          <w:p>
            <w:pPr>
              <w:spacing w:after="0"/>
              <w:rPr>
                <w:sz w:val="21"/>
                <w:szCs w:val="21"/>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16.3%</w:t>
            </w:r>
          </w:p>
        </w:tc>
      </w:tr>
      <w:tr>
        <w:trPr>
          <w:trHeight w:val="243"/>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 (SG&amp;A)</w:t>
            </w:r>
          </w:p>
        </w:tc>
        <w:tc>
          <w:tcPr>
            <w:tcW w:w="30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418</w:t>
            </w:r>
          </w:p>
        </w:tc>
        <w:tc>
          <w:tcPr>
            <w:tcW w:w="2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421</w:t>
            </w:r>
          </w:p>
        </w:tc>
        <w:tc>
          <w:tcPr>
            <w:tcW w:w="32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339</w:t>
            </w:r>
          </w:p>
        </w:tc>
      </w:tr>
      <w:tr>
        <w:trPr>
          <w:trHeight w:val="270"/>
        </w:trPr>
        <w:tc>
          <w:tcPr>
            <w:tcW w:w="6740" w:type="dxa"/>
            <w:vAlign w:val="bottom"/>
          </w:tcPr>
          <w:p>
            <w:pPr>
              <w:ind w:left="180"/>
              <w:spacing w:after="0"/>
              <w:rPr>
                <w:sz w:val="20"/>
                <w:szCs w:val="20"/>
                <w:color w:val="auto"/>
              </w:rPr>
            </w:pPr>
            <w:r>
              <w:rPr>
                <w:rFonts w:ascii="Arial" w:cs="Arial" w:eastAsia="Arial" w:hAnsi="Arial"/>
                <w:sz w:val="18"/>
                <w:szCs w:val="18"/>
                <w:color w:val="auto"/>
              </w:rPr>
              <w:t>SG&amp;A % of revenue</w:t>
            </w:r>
          </w:p>
        </w:tc>
        <w:tc>
          <w:tcPr>
            <w:tcW w:w="300" w:type="dxa"/>
            <w:vAlign w:val="bottom"/>
          </w:tcPr>
          <w:p>
            <w:pPr>
              <w:spacing w:after="0"/>
              <w:rPr>
                <w:sz w:val="23"/>
                <w:szCs w:val="23"/>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b w:val="1"/>
                <w:bCs w:val="1"/>
                <w:color w:val="auto"/>
              </w:rPr>
              <w:t>11.3%</w:t>
            </w:r>
          </w:p>
        </w:tc>
        <w:tc>
          <w:tcPr>
            <w:tcW w:w="260" w:type="dxa"/>
            <w:vAlign w:val="bottom"/>
          </w:tcPr>
          <w:p>
            <w:pPr>
              <w:spacing w:after="0"/>
              <w:rPr>
                <w:sz w:val="23"/>
                <w:szCs w:val="23"/>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12.6%</w:t>
            </w:r>
          </w:p>
        </w:tc>
        <w:tc>
          <w:tcPr>
            <w:tcW w:w="320" w:type="dxa"/>
            <w:vAlign w:val="bottom"/>
          </w:tcPr>
          <w:p>
            <w:pPr>
              <w:spacing w:after="0"/>
              <w:rPr>
                <w:sz w:val="23"/>
                <w:szCs w:val="23"/>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11.4%</w:t>
            </w:r>
          </w:p>
        </w:tc>
      </w:tr>
      <w:tr>
        <w:trPr>
          <w:trHeight w:val="237"/>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Profit from operations</w:t>
            </w:r>
          </w:p>
        </w:tc>
        <w:tc>
          <w:tcPr>
            <w:tcW w:w="300" w:type="dxa"/>
            <w:vAlign w:val="bottom"/>
            <w:tcBorders>
              <w:top w:val="single" w:sz="8" w:color="auto"/>
            </w:tcBorders>
            <w:shd w:val="clear" w:color="auto" w:fill="CCEEFF"/>
          </w:tcPr>
          <w:p>
            <w:pPr>
              <w:spacing w:after="0"/>
              <w:rPr>
                <w:sz w:val="20"/>
                <w:szCs w:val="20"/>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953</w:t>
            </w:r>
          </w:p>
        </w:tc>
        <w:tc>
          <w:tcPr>
            <w:tcW w:w="220" w:type="dxa"/>
            <w:vAlign w:val="bottom"/>
            <w:shd w:val="clear" w:color="auto" w:fill="CCEEFF"/>
          </w:tcPr>
          <w:p>
            <w:pPr>
              <w:spacing w:after="0"/>
              <w:rPr>
                <w:sz w:val="20"/>
                <w:szCs w:val="20"/>
                <w:color w:val="auto"/>
              </w:rPr>
            </w:pPr>
          </w:p>
        </w:tc>
        <w:tc>
          <w:tcPr>
            <w:tcW w:w="260" w:type="dxa"/>
            <w:vAlign w:val="bottom"/>
            <w:tcBorders>
              <w:top w:val="single" w:sz="8" w:color="auto"/>
            </w:tcBorders>
            <w:shd w:val="clear" w:color="auto" w:fill="CCEEFF"/>
          </w:tcPr>
          <w:p>
            <w:pPr>
              <w:spacing w:after="0"/>
              <w:rPr>
                <w:sz w:val="20"/>
                <w:szCs w:val="20"/>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718</w:t>
            </w:r>
          </w:p>
        </w:tc>
        <w:tc>
          <w:tcPr>
            <w:tcW w:w="200" w:type="dxa"/>
            <w:vAlign w:val="bottom"/>
            <w:shd w:val="clear" w:color="auto" w:fill="CCEEFF"/>
          </w:tcPr>
          <w:p>
            <w:pPr>
              <w:spacing w:after="0"/>
              <w:rPr>
                <w:sz w:val="20"/>
                <w:szCs w:val="20"/>
                <w:color w:val="auto"/>
              </w:rPr>
            </w:pPr>
          </w:p>
        </w:tc>
        <w:tc>
          <w:tcPr>
            <w:tcW w:w="320" w:type="dxa"/>
            <w:vAlign w:val="bottom"/>
            <w:tcBorders>
              <w:top w:val="single" w:sz="8" w:color="auto"/>
            </w:tcBorders>
            <w:shd w:val="clear" w:color="auto" w:fill="CCEEFF"/>
          </w:tcPr>
          <w:p>
            <w:pPr>
              <w:spacing w:after="0"/>
              <w:rPr>
                <w:sz w:val="20"/>
                <w:szCs w:val="20"/>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602</w:t>
            </w:r>
          </w:p>
        </w:tc>
        <w:tc>
          <w:tcPr>
            <w:tcW w:w="160" w:type="dxa"/>
            <w:vAlign w:val="bottom"/>
            <w:shd w:val="clear" w:color="auto" w:fill="CCEEFF"/>
          </w:tcPr>
          <w:p>
            <w:pPr>
              <w:spacing w:after="0"/>
              <w:rPr>
                <w:sz w:val="20"/>
                <w:szCs w:val="20"/>
                <w:color w:val="auto"/>
              </w:rPr>
            </w:pP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Operating profit % of revenue</w:t>
            </w:r>
          </w:p>
        </w:tc>
        <w:tc>
          <w:tcPr>
            <w:tcW w:w="300" w:type="dxa"/>
            <w:vAlign w:val="bottom"/>
          </w:tcPr>
          <w:p>
            <w:pPr>
              <w:spacing w:after="0"/>
              <w:rPr>
                <w:sz w:val="21"/>
                <w:szCs w:val="21"/>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b w:val="1"/>
                <w:bCs w:val="1"/>
                <w:color w:val="auto"/>
              </w:rPr>
              <w:t>25.8%</w:t>
            </w:r>
          </w:p>
        </w:tc>
        <w:tc>
          <w:tcPr>
            <w:tcW w:w="260" w:type="dxa"/>
            <w:vAlign w:val="bottom"/>
          </w:tcPr>
          <w:p>
            <w:pPr>
              <w:spacing w:after="0"/>
              <w:rPr>
                <w:sz w:val="21"/>
                <w:szCs w:val="21"/>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21.5%</w:t>
            </w:r>
          </w:p>
        </w:tc>
        <w:tc>
          <w:tcPr>
            <w:tcW w:w="320" w:type="dxa"/>
            <w:vAlign w:val="bottom"/>
          </w:tcPr>
          <w:p>
            <w:pPr>
              <w:spacing w:after="0"/>
              <w:rPr>
                <w:sz w:val="21"/>
                <w:szCs w:val="21"/>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20.3%</w:t>
            </w:r>
          </w:p>
        </w:tc>
      </w:tr>
      <w:tr>
        <w:trPr>
          <w:trHeight w:val="243"/>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30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88</w:t>
            </w:r>
          </w:p>
        </w:tc>
        <w:tc>
          <w:tcPr>
            <w:tcW w:w="2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52</w:t>
            </w:r>
          </w:p>
        </w:tc>
        <w:tc>
          <w:tcPr>
            <w:tcW w:w="32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56</w:t>
            </w:r>
          </w:p>
        </w:tc>
      </w:tr>
      <w:tr>
        <w:trPr>
          <w:trHeight w:val="243"/>
        </w:trPr>
        <w:tc>
          <w:tcPr>
            <w:tcW w:w="6740" w:type="dxa"/>
            <w:vAlign w:val="bottom"/>
          </w:tcPr>
          <w:p>
            <w:pPr>
              <w:spacing w:after="0"/>
              <w:rPr>
                <w:sz w:val="20"/>
                <w:szCs w:val="20"/>
                <w:color w:val="auto"/>
              </w:rPr>
            </w:pPr>
            <w:r>
              <w:rPr>
                <w:rFonts w:ascii="Arial" w:cs="Arial" w:eastAsia="Arial" w:hAnsi="Arial"/>
                <w:sz w:val="18"/>
                <w:szCs w:val="18"/>
                <w:color w:val="auto"/>
              </w:rPr>
              <w:t>Interest expense on loans</w:t>
            </w:r>
          </w:p>
        </w:tc>
        <w:tc>
          <w:tcPr>
            <w:tcW w:w="3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w:t>
            </w:r>
          </w:p>
        </w:tc>
        <w:tc>
          <w:tcPr>
            <w:tcW w:w="2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21"/>
                <w:szCs w:val="21"/>
                <w:color w:val="auto"/>
              </w:rPr>
            </w:pPr>
          </w:p>
        </w:tc>
      </w:tr>
      <w:tr>
        <w:trPr>
          <w:trHeight w:val="237"/>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 operations before income taxes</w:t>
            </w:r>
          </w:p>
        </w:tc>
        <w:tc>
          <w:tcPr>
            <w:tcW w:w="30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1,039</w:t>
            </w:r>
          </w:p>
        </w:tc>
        <w:tc>
          <w:tcPr>
            <w:tcW w:w="2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767</w:t>
            </w:r>
          </w:p>
        </w:tc>
        <w:tc>
          <w:tcPr>
            <w:tcW w:w="3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656</w:t>
            </w:r>
          </w:p>
        </w:tc>
      </w:tr>
      <w:tr>
        <w:trPr>
          <w:trHeight w:val="243"/>
        </w:trPr>
        <w:tc>
          <w:tcPr>
            <w:tcW w:w="674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3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300</w:t>
            </w:r>
          </w:p>
        </w:tc>
        <w:tc>
          <w:tcPr>
            <w:tcW w:w="2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w:t>
            </w:r>
          </w:p>
        </w:tc>
        <w:tc>
          <w:tcPr>
            <w:tcW w:w="20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w:t>
            </w:r>
          </w:p>
        </w:tc>
        <w:tc>
          <w:tcPr>
            <w:tcW w:w="160" w:type="dxa"/>
            <w:vAlign w:val="bottom"/>
          </w:tcPr>
          <w:p>
            <w:pPr>
              <w:spacing w:after="0"/>
              <w:rPr>
                <w:sz w:val="21"/>
                <w:szCs w:val="21"/>
                <w:color w:val="auto"/>
              </w:rPr>
            </w:pPr>
          </w:p>
        </w:tc>
      </w:tr>
      <w:tr>
        <w:trPr>
          <w:trHeight w:val="237"/>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 operations</w:t>
            </w:r>
          </w:p>
        </w:tc>
        <w:tc>
          <w:tcPr>
            <w:tcW w:w="30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739</w:t>
            </w:r>
          </w:p>
        </w:tc>
        <w:tc>
          <w:tcPr>
            <w:tcW w:w="2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542</w:t>
            </w:r>
          </w:p>
        </w:tc>
        <w:tc>
          <w:tcPr>
            <w:tcW w:w="3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584</w:t>
            </w:r>
          </w:p>
        </w:tc>
      </w:tr>
      <w:tr>
        <w:trPr>
          <w:trHeight w:val="270"/>
        </w:trPr>
        <w:tc>
          <w:tcPr>
            <w:tcW w:w="6740" w:type="dxa"/>
            <w:vAlign w:val="bottom"/>
          </w:tcPr>
          <w:p>
            <w:pPr>
              <w:spacing w:after="0"/>
              <w:rPr>
                <w:sz w:val="20"/>
                <w:szCs w:val="20"/>
                <w:color w:val="auto"/>
              </w:rPr>
            </w:pPr>
            <w:r>
              <w:rPr>
                <w:rFonts w:ascii="Arial" w:cs="Arial" w:eastAsia="Arial" w:hAnsi="Arial"/>
                <w:sz w:val="18"/>
                <w:szCs w:val="18"/>
                <w:color w:val="auto"/>
              </w:rPr>
              <w:t>Income from discontinued operations, net of income taxes</w:t>
            </w:r>
          </w:p>
        </w:tc>
        <w:tc>
          <w:tcPr>
            <w:tcW w:w="30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1,648</w:t>
            </w:r>
          </w:p>
        </w:tc>
        <w:tc>
          <w:tcPr>
            <w:tcW w:w="22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w:t>
            </w:r>
          </w:p>
        </w:tc>
        <w:tc>
          <w:tcPr>
            <w:tcW w:w="20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160" w:type="dxa"/>
            <w:vAlign w:val="bottom"/>
          </w:tcPr>
          <w:p>
            <w:pPr>
              <w:spacing w:after="0"/>
              <w:rPr>
                <w:sz w:val="23"/>
                <w:szCs w:val="23"/>
                <w:color w:val="auto"/>
              </w:rPr>
            </w:pPr>
          </w:p>
        </w:tc>
      </w:tr>
      <w:tr>
        <w:trPr>
          <w:trHeight w:val="277"/>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2,387</w:t>
            </w:r>
          </w:p>
        </w:tc>
        <w:tc>
          <w:tcPr>
            <w:tcW w:w="22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585</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628</w:t>
            </w:r>
          </w:p>
        </w:tc>
      </w:tr>
      <w:tr>
        <w:trPr>
          <w:trHeight w:val="224"/>
        </w:trPr>
        <w:tc>
          <w:tcPr>
            <w:tcW w:w="6740" w:type="dxa"/>
            <w:vAlign w:val="bottom"/>
            <w:tcBorders>
              <w:top w:val="single" w:sz="8" w:color="CCEEFF"/>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r>
      <w:tr>
        <w:trPr>
          <w:trHeight w:val="243"/>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common share:</w:t>
            </w:r>
          </w:p>
        </w:tc>
        <w:tc>
          <w:tcPr>
            <w:tcW w:w="30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Income from continuing operations</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.47</w:t>
            </w:r>
          </w:p>
        </w:tc>
        <w:tc>
          <w:tcPr>
            <w:tcW w:w="220" w:type="dxa"/>
            <w:vAlign w:val="bottom"/>
          </w:tcPr>
          <w:p>
            <w:pPr>
              <w:spacing w:after="0"/>
              <w:rPr>
                <w:sz w:val="21"/>
                <w:szCs w:val="21"/>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200" w:type="dxa"/>
            <w:vAlign w:val="bottom"/>
          </w:tcPr>
          <w:p>
            <w:pPr>
              <w:spacing w:after="0"/>
              <w:rPr>
                <w:sz w:val="21"/>
                <w:szCs w:val="21"/>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160" w:type="dxa"/>
            <w:vAlign w:val="bottom"/>
          </w:tcPr>
          <w:p>
            <w:pPr>
              <w:spacing w:after="0"/>
              <w:rPr>
                <w:sz w:val="21"/>
                <w:szCs w:val="21"/>
                <w:color w:val="auto"/>
              </w:rPr>
            </w:pPr>
          </w:p>
        </w:tc>
      </w:tr>
      <w:tr>
        <w:trPr>
          <w:trHeight w:val="20"/>
        </w:trPr>
        <w:tc>
          <w:tcPr>
            <w:tcW w:w="67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64"/>
        </w:trPr>
        <w:tc>
          <w:tcPr>
            <w:tcW w:w="6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income</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1.50</w:t>
            </w:r>
          </w:p>
        </w:tc>
        <w:tc>
          <w:tcPr>
            <w:tcW w:w="22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.36</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.38</w:t>
            </w:r>
          </w:p>
        </w:tc>
      </w:tr>
      <w:tr>
        <w:trPr>
          <w:trHeight w:val="224"/>
        </w:trPr>
        <w:tc>
          <w:tcPr>
            <w:tcW w:w="6740" w:type="dxa"/>
            <w:vAlign w:val="bottom"/>
            <w:tcBorders>
              <w:top w:val="single" w:sz="8" w:color="CCEEFF"/>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r>
      <w:tr>
        <w:trPr>
          <w:trHeight w:val="243"/>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 expense included in continuing operations:</w:t>
            </w:r>
          </w:p>
        </w:tc>
        <w:tc>
          <w:tcPr>
            <w:tcW w:w="30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r>
      <w:tr>
        <w:trPr>
          <w:trHeight w:val="243"/>
        </w:trPr>
        <w:tc>
          <w:tcPr>
            <w:tcW w:w="67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243"/>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COR</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w:t>
            </w:r>
          </w:p>
        </w:tc>
        <w:tc>
          <w:tcPr>
            <w:tcW w:w="22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43"/>
        </w:trPr>
        <w:tc>
          <w:tcPr>
            <w:tcW w:w="6740" w:type="dxa"/>
            <w:vAlign w:val="bottom"/>
          </w:tcPr>
          <w:p>
            <w:pPr>
              <w:spacing w:after="0"/>
              <w:rPr>
                <w:sz w:val="20"/>
                <w:szCs w:val="20"/>
                <w:color w:val="auto"/>
              </w:rPr>
            </w:pPr>
            <w:r>
              <w:rPr>
                <w:rFonts w:ascii="Arial" w:cs="Arial" w:eastAsia="Arial" w:hAnsi="Arial"/>
                <w:sz w:val="18"/>
                <w:szCs w:val="18"/>
                <w:color w:val="auto"/>
              </w:rPr>
              <w:t>R&amp;D</w:t>
            </w: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25</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28</w:t>
            </w:r>
          </w:p>
        </w:tc>
        <w:tc>
          <w:tcPr>
            <w:tcW w:w="320" w:type="dxa"/>
            <w:vAlign w:val="bottom"/>
          </w:tcPr>
          <w:p>
            <w:pPr>
              <w:spacing w:after="0"/>
              <w:rPr>
                <w:sz w:val="21"/>
                <w:szCs w:val="21"/>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43"/>
        </w:trPr>
        <w:tc>
          <w:tcPr>
            <w:tcW w:w="6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SG&amp;A</w:t>
            </w:r>
          </w:p>
        </w:tc>
        <w:tc>
          <w:tcPr>
            <w:tcW w:w="30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43</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2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60" w:type="dxa"/>
            <w:vAlign w:val="bottom"/>
            <w:tcBorders>
              <w:bottom w:val="single" w:sz="8" w:color="CCEEFF"/>
            </w:tcBorders>
            <w:shd w:val="clear" w:color="auto" w:fill="CCEEFF"/>
          </w:tcPr>
          <w:p>
            <w:pPr>
              <w:spacing w:after="0"/>
              <w:rPr>
                <w:sz w:val="21"/>
                <w:szCs w:val="21"/>
                <w:color w:val="auto"/>
              </w:rPr>
            </w:pPr>
          </w:p>
        </w:tc>
      </w:tr>
      <w:tr>
        <w:trPr>
          <w:trHeight w:val="237"/>
        </w:trPr>
        <w:tc>
          <w:tcPr>
            <w:tcW w:w="6740" w:type="dxa"/>
            <w:vAlign w:val="bottom"/>
          </w:tcPr>
          <w:p>
            <w:pPr>
              <w:spacing w:after="0"/>
              <w:rPr>
                <w:sz w:val="20"/>
                <w:szCs w:val="20"/>
                <w:color w:val="auto"/>
              </w:rPr>
            </w:pPr>
            <w:r>
              <w:rPr>
                <w:rFonts w:ascii="Arial" w:cs="Arial" w:eastAsia="Arial" w:hAnsi="Arial"/>
                <w:sz w:val="18"/>
                <w:szCs w:val="18"/>
                <w:color w:val="auto"/>
              </w:rPr>
              <w:t>Profit from operations</w:t>
            </w:r>
          </w:p>
        </w:tc>
        <w:tc>
          <w:tcPr>
            <w:tcW w:w="300" w:type="dxa"/>
            <w:vAlign w:val="bottom"/>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84</w:t>
            </w:r>
          </w:p>
        </w:tc>
        <w:tc>
          <w:tcPr>
            <w:tcW w:w="22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91</w:t>
            </w:r>
          </w:p>
        </w:tc>
        <w:tc>
          <w:tcPr>
            <w:tcW w:w="320" w:type="dxa"/>
            <w:vAlign w:val="bottom"/>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5</w:t>
            </w:r>
          </w:p>
        </w:tc>
      </w:tr>
      <w:tr>
        <w:trPr>
          <w:trHeight w:val="20"/>
        </w:trPr>
        <w:tc>
          <w:tcPr>
            <w:tcW w:w="67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24"/>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 of revenue</w:t>
            </w:r>
          </w:p>
        </w:tc>
        <w:tc>
          <w:tcPr>
            <w:tcW w:w="3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2.3%</w:t>
            </w:r>
          </w:p>
        </w:tc>
        <w:tc>
          <w:tcPr>
            <w:tcW w:w="2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w:t>
            </w:r>
          </w:p>
        </w:tc>
        <w:tc>
          <w:tcPr>
            <w:tcW w:w="3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0.2%</w:t>
            </w: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Details of Financial Results</w:t>
      </w:r>
    </w:p>
    <w:p>
      <w:pPr>
        <w:spacing w:after="0" w:line="279" w:lineRule="exact"/>
        <w:rPr>
          <w:sz w:val="20"/>
          <w:szCs w:val="20"/>
          <w:color w:val="auto"/>
        </w:rPr>
      </w:pPr>
    </w:p>
    <w:p>
      <w:pPr>
        <w:ind w:right="260"/>
        <w:spacing w:after="0" w:line="342" w:lineRule="auto"/>
        <w:rPr>
          <w:sz w:val="20"/>
          <w:szCs w:val="20"/>
          <w:color w:val="auto"/>
        </w:rPr>
      </w:pPr>
      <w:r>
        <w:rPr>
          <w:rFonts w:ascii="Arial" w:cs="Arial" w:eastAsia="Arial" w:hAnsi="Arial"/>
          <w:sz w:val="16"/>
          <w:szCs w:val="16"/>
          <w:color w:val="auto"/>
        </w:rPr>
        <w:t>Our gross profit for the second quarter of 2006 was $1.91 billion, or 51.6 percent of revenue, an increase of $235 million from the prior quarter and an increase of $481 million from the year-ago quarter. The increases over both periods reflect higher revenue in our two segments, Semiconductor and E&amp;PS.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5" w:name="page16"/>
    <w:bookmarkEnd w:id="15"/>
    <w:p>
      <w:pPr>
        <w:jc w:val="both"/>
        <w:ind w:right="360"/>
        <w:spacing w:after="0" w:line="264" w:lineRule="auto"/>
        <w:rPr>
          <w:sz w:val="20"/>
          <w:szCs w:val="20"/>
          <w:color w:val="auto"/>
        </w:rPr>
      </w:pPr>
      <w:r>
        <w:rPr>
          <w:rFonts w:ascii="Arial" w:cs="Arial" w:eastAsia="Arial" w:hAnsi="Arial"/>
          <w:sz w:val="18"/>
          <w:szCs w:val="18"/>
          <w:color w:val="auto"/>
        </w:rPr>
        <w:t>In the second quarter of 2006 we received a royalty settlement of $70 million and a $77 million net sales tax refund. Similar to other royalties, the royalty settlement was included in Semiconductor revenue (see Note 8 to Financial Statements). The net sales tax refund was due to the settlement of an audit of Texas sales taxes paid on various purchases over a nine-year period.</w:t>
      </w:r>
    </w:p>
    <w:p>
      <w:pPr>
        <w:spacing w:after="0" w:line="235"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The royalty settlement and sales tax refund benefit included in our second-quarter 2006 results are detailed as follows (all items are in the Semiconductor segment results except the $20 million in other income (expense) net (OI&amp;E), which is in Corporate):</w:t>
      </w:r>
    </w:p>
    <w:p>
      <w:pPr>
        <w:spacing w:after="0" w:line="224" w:lineRule="exact"/>
        <w:rPr>
          <w:sz w:val="20"/>
          <w:szCs w:val="20"/>
          <w:color w:val="auto"/>
        </w:rPr>
      </w:pPr>
    </w:p>
    <w:tbl>
      <w:tblPr>
        <w:tblLayout w:type="fixed"/>
        <w:tblInd w:w="1440" w:type="dxa"/>
        <w:tblCellMar>
          <w:top w:w="0" w:type="dxa"/>
          <w:left w:w="0" w:type="dxa"/>
          <w:bottom w:w="0" w:type="dxa"/>
          <w:right w:w="0" w:type="dxa"/>
        </w:tblCellMar>
      </w:tblPr>
      <w:tr>
        <w:trPr>
          <w:trHeight w:val="216"/>
        </w:trPr>
        <w:tc>
          <w:tcPr>
            <w:tcW w:w="6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ind w:left="120"/>
              <w:spacing w:after="0"/>
              <w:rPr>
                <w:sz w:val="20"/>
                <w:szCs w:val="20"/>
                <w:color w:val="auto"/>
              </w:rPr>
            </w:pPr>
            <w:r>
              <w:rPr>
                <w:rFonts w:ascii="Arial" w:cs="Arial" w:eastAsia="Arial" w:hAnsi="Arial"/>
                <w:sz w:val="18"/>
                <w:szCs w:val="18"/>
                <w:color w:val="auto"/>
              </w:rPr>
              <w:t>Royalty</w:t>
            </w:r>
          </w:p>
        </w:tc>
        <w:tc>
          <w:tcPr>
            <w:tcW w:w="120" w:type="dxa"/>
            <w:vAlign w:val="bottom"/>
          </w:tcPr>
          <w:p>
            <w:pPr>
              <w:spacing w:after="0"/>
              <w:rPr>
                <w:sz w:val="18"/>
                <w:szCs w:val="18"/>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18"/>
                <w:szCs w:val="18"/>
                <w:color w:val="auto"/>
                <w:w w:val="87"/>
              </w:rPr>
              <w:t>Sales Tax</w:t>
            </w:r>
          </w:p>
        </w:tc>
      </w:tr>
      <w:tr>
        <w:trPr>
          <w:trHeight w:val="230"/>
        </w:trPr>
        <w:tc>
          <w:tcPr>
            <w:tcW w:w="62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0"/>
              </w:rPr>
              <w:t>Settlement</w:t>
            </w:r>
          </w:p>
        </w:tc>
        <w:tc>
          <w:tcPr>
            <w:tcW w:w="1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92"/>
              </w:rPr>
              <w:t>Refund</w:t>
            </w:r>
          </w:p>
        </w:tc>
        <w:tc>
          <w:tcPr>
            <w:tcW w:w="80" w:type="dxa"/>
            <w:vAlign w:val="bottom"/>
          </w:tcPr>
          <w:p>
            <w:pPr>
              <w:spacing w:after="0"/>
              <w:rPr>
                <w:sz w:val="20"/>
                <w:szCs w:val="20"/>
                <w:color w:val="auto"/>
              </w:rPr>
            </w:pPr>
          </w:p>
        </w:tc>
      </w:tr>
      <w:tr>
        <w:trPr>
          <w:trHeight w:val="237"/>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Orders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243"/>
        </w:trPr>
        <w:tc>
          <w:tcPr>
            <w:tcW w:w="6260" w:type="dxa"/>
            <w:vAlign w:val="bottom"/>
          </w:tcPr>
          <w:p>
            <w:pPr>
              <w:spacing w:after="0"/>
              <w:rPr>
                <w:sz w:val="20"/>
                <w:szCs w:val="20"/>
                <w:color w:val="auto"/>
              </w:rPr>
            </w:pPr>
            <w:r>
              <w:rPr>
                <w:rFonts w:ascii="Arial" w:cs="Arial" w:eastAsia="Arial" w:hAnsi="Arial"/>
                <w:sz w:val="18"/>
                <w:szCs w:val="18"/>
                <w:color w:val="auto"/>
              </w:rPr>
              <w:t>Net revenue</w:t>
            </w:r>
          </w:p>
        </w:tc>
        <w:tc>
          <w:tcPr>
            <w:tcW w:w="100" w:type="dxa"/>
            <w:vAlign w:val="bottom"/>
          </w:tcPr>
          <w:p>
            <w:pPr>
              <w:spacing w:after="0"/>
              <w:rPr>
                <w:sz w:val="21"/>
                <w:szCs w:val="21"/>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70</w:t>
            </w:r>
          </w:p>
        </w:tc>
        <w:tc>
          <w:tcPr>
            <w:tcW w:w="120" w:type="dxa"/>
            <w:vAlign w:val="bottom"/>
          </w:tcPr>
          <w:p>
            <w:pPr>
              <w:spacing w:after="0"/>
              <w:rPr>
                <w:sz w:val="21"/>
                <w:szCs w:val="21"/>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43"/>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10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w:t>
            </w:r>
          </w:p>
        </w:tc>
      </w:tr>
      <w:tr>
        <w:trPr>
          <w:trHeight w:val="243"/>
        </w:trPr>
        <w:tc>
          <w:tcPr>
            <w:tcW w:w="6260" w:type="dxa"/>
            <w:vAlign w:val="bottom"/>
          </w:tcPr>
          <w:p>
            <w:pPr>
              <w:spacing w:after="0"/>
              <w:rPr>
                <w:sz w:val="20"/>
                <w:szCs w:val="20"/>
                <w:color w:val="auto"/>
              </w:rPr>
            </w:pPr>
            <w:r>
              <w:rPr>
                <w:rFonts w:ascii="Arial" w:cs="Arial" w:eastAsia="Arial" w:hAnsi="Arial"/>
                <w:sz w:val="18"/>
                <w:szCs w:val="18"/>
                <w:color w:val="auto"/>
              </w:rPr>
              <w:t>Gross profit</w:t>
            </w:r>
          </w:p>
        </w:tc>
        <w:tc>
          <w:tcPr>
            <w:tcW w:w="100" w:type="dxa"/>
            <w:vAlign w:val="bottom"/>
          </w:tcPr>
          <w:p>
            <w:pPr>
              <w:spacing w:after="0"/>
              <w:rPr>
                <w:sz w:val="21"/>
                <w:szCs w:val="21"/>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60</w:t>
            </w:r>
          </w:p>
        </w:tc>
        <w:tc>
          <w:tcPr>
            <w:tcW w:w="120" w:type="dxa"/>
            <w:vAlign w:val="bottom"/>
          </w:tcPr>
          <w:p>
            <w:pPr>
              <w:spacing w:after="0"/>
              <w:rPr>
                <w:sz w:val="21"/>
                <w:szCs w:val="21"/>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31</w:t>
            </w:r>
          </w:p>
        </w:tc>
      </w:tr>
      <w:tr>
        <w:trPr>
          <w:trHeight w:val="243"/>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R&amp;D</w:t>
            </w:r>
          </w:p>
        </w:tc>
        <w:tc>
          <w:tcPr>
            <w:tcW w:w="10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w:t>
            </w:r>
          </w:p>
        </w:tc>
      </w:tr>
      <w:tr>
        <w:trPr>
          <w:trHeight w:val="243"/>
        </w:trPr>
        <w:tc>
          <w:tcPr>
            <w:tcW w:w="6260" w:type="dxa"/>
            <w:vAlign w:val="bottom"/>
          </w:tcPr>
          <w:p>
            <w:pPr>
              <w:spacing w:after="0"/>
              <w:rPr>
                <w:sz w:val="20"/>
                <w:szCs w:val="20"/>
                <w:color w:val="auto"/>
              </w:rPr>
            </w:pPr>
            <w:r>
              <w:rPr>
                <w:rFonts w:ascii="Arial" w:cs="Arial" w:eastAsia="Arial" w:hAnsi="Arial"/>
                <w:sz w:val="18"/>
                <w:szCs w:val="18"/>
                <w:color w:val="auto"/>
              </w:rPr>
              <w:t>SG&amp;A</w:t>
            </w:r>
          </w:p>
        </w:tc>
        <w:tc>
          <w:tcPr>
            <w:tcW w:w="100" w:type="dxa"/>
            <w:vAlign w:val="bottom"/>
          </w:tcPr>
          <w:p>
            <w:pPr>
              <w:spacing w:after="0"/>
              <w:rPr>
                <w:sz w:val="21"/>
                <w:szCs w:val="21"/>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r>
      <w:tr>
        <w:trPr>
          <w:trHeight w:val="243"/>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Profit from operations</w:t>
            </w:r>
          </w:p>
        </w:tc>
        <w:tc>
          <w:tcPr>
            <w:tcW w:w="10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60</w:t>
            </w:r>
          </w:p>
        </w:tc>
        <w:tc>
          <w:tcPr>
            <w:tcW w:w="12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57</w:t>
            </w:r>
          </w:p>
        </w:tc>
      </w:tr>
      <w:tr>
        <w:trPr>
          <w:trHeight w:val="243"/>
        </w:trPr>
        <w:tc>
          <w:tcPr>
            <w:tcW w:w="6260" w:type="dxa"/>
            <w:vAlign w:val="bottom"/>
          </w:tcPr>
          <w:p>
            <w:pPr>
              <w:spacing w:after="0"/>
              <w:rPr>
                <w:sz w:val="20"/>
                <w:szCs w:val="20"/>
                <w:color w:val="auto"/>
              </w:rPr>
            </w:pPr>
            <w:r>
              <w:rPr>
                <w:rFonts w:ascii="Arial" w:cs="Arial" w:eastAsia="Arial" w:hAnsi="Arial"/>
                <w:sz w:val="18"/>
                <w:szCs w:val="18"/>
                <w:color w:val="auto"/>
              </w:rPr>
              <w:t>OI&amp;E</w:t>
            </w:r>
          </w:p>
        </w:tc>
        <w:tc>
          <w:tcPr>
            <w:tcW w:w="100" w:type="dxa"/>
            <w:vAlign w:val="bottom"/>
          </w:tcPr>
          <w:p>
            <w:pPr>
              <w:spacing w:after="0"/>
              <w:rPr>
                <w:sz w:val="21"/>
                <w:szCs w:val="21"/>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20</w:t>
            </w:r>
          </w:p>
        </w:tc>
      </w:tr>
      <w:tr>
        <w:trPr>
          <w:trHeight w:val="243"/>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 operations before income taxes</w:t>
            </w:r>
          </w:p>
        </w:tc>
        <w:tc>
          <w:tcPr>
            <w:tcW w:w="10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60</w:t>
            </w:r>
          </w:p>
        </w:tc>
        <w:tc>
          <w:tcPr>
            <w:tcW w:w="12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77</w:t>
            </w:r>
          </w:p>
        </w:tc>
      </w:tr>
    </w:tbl>
    <w:p>
      <w:pPr>
        <w:spacing w:after="0" w:line="256"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R&amp;D expense for the second quarter of $536 million, or 14.5 percent of revenue, increased $3 million from the prior quarter due to higher spending for development of new semiconductor devices, particularly associated with wireless applications. The higher spending was largely offset by a $21 million reduction from the sales tax refund. R&amp;D expense increased $51 million from the year-ago quarter primarily due to higher spending for development of new semiconductor devices, particularly associated with wireless applications, and, to a lesser extent, the inclusion of $25 million of stock-based compensation in the second quarter of 2006. The increase was partially offset by the refund of state sales tax.</w:t>
      </w:r>
    </w:p>
    <w:p>
      <w:pPr>
        <w:spacing w:after="0" w:line="227" w:lineRule="exact"/>
        <w:rPr>
          <w:sz w:val="20"/>
          <w:szCs w:val="20"/>
          <w:color w:val="auto"/>
        </w:rPr>
      </w:pPr>
    </w:p>
    <w:p>
      <w:pPr>
        <w:ind w:right="180"/>
        <w:spacing w:after="0" w:line="302" w:lineRule="auto"/>
        <w:rPr>
          <w:sz w:val="20"/>
          <w:szCs w:val="20"/>
          <w:color w:val="auto"/>
        </w:rPr>
      </w:pPr>
      <w:r>
        <w:rPr>
          <w:rFonts w:ascii="Arial" w:cs="Arial" w:eastAsia="Arial" w:hAnsi="Arial"/>
          <w:sz w:val="16"/>
          <w:szCs w:val="16"/>
          <w:color w:val="auto"/>
        </w:rPr>
        <w:t>SG&amp;A expense for the second quarter was $418 million, or 11.3 percent of revenue. SG&amp;A expense decreased $3 million from the prior quarter and was up $79 million from the year-ago quarter. The increase from a year ago was primarily due to the combination of increased stock-based compensation expense ($43 million in second-quarter 2006 for stock options and restricted stock units as compared to $5 million for only restricted stock units in second-quarter 2005) and, to a lesser extent, higher spending for consumer advertising of our DLP semiconductors used in high-definition televisions.</w:t>
      </w:r>
    </w:p>
    <w:p>
      <w:pPr>
        <w:spacing w:after="0" w:line="20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Operating profit for the second quarter was $953 million, or 25.8 percent of revenue. This increase of $235 million from the prior quarter was primarily due to higher gross profit in both of our segments. Operating profit increased $351 million from the year-ago quarter due to higher gross profit in the Semiconductor segment. As previously mentioned, operating profit in the second quarter of 2006 included both $57 million of the sales tax refund and $60 million from the royalty settlement, partially offset by total stock-based compensation expense of $84 million.</w:t>
      </w:r>
    </w:p>
    <w:p>
      <w:pPr>
        <w:spacing w:after="0" w:line="241"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OI&amp;E of $88 million in the second quarter of 2006 increased $36 million sequentially and $32 million from the year-ago quarter, primarily due to the combination of the sales tax refund and increased interest income on higher cash balances resulting from the receipt of the cash proceeds from the sale of our former Sensors &amp; Controls business.</w:t>
      </w:r>
    </w:p>
    <w:p>
      <w:pPr>
        <w:spacing w:after="0" w:line="235"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Quarterly income taxes are calculated using an estimate of the effective tax rate for the full year and are based on the tax laws in effect at the end of the quarter. The calculation of the effective tax rate, by definition, does not include discrete tax items. In the second quarter of 2005, we recognized net discrete items of $78 million associated with favorable developments on certain outstanding income tax matters that were partially offset by an accrual for taxes on dividends repatriated under the American Jobs Creation Act of 2004. The effective tax rate for continuing operations for the second quarter of 2006 was approximately 30 percent. This compares with 30 percent for the first quarter and 23 percent for the year-ago quarter. The increase in the effective rate for the second quarter of 2006 from the prior-year quarter was due to, in decreasing order, higher income before income taxes, the expiration of the federal research tax credit, and the effect of non-U.S. tax rates.</w:t>
      </w:r>
    </w:p>
    <w:p>
      <w:pPr>
        <w:spacing w:after="0" w:line="24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of June 30, 2006, the estimated annual effective tax rate for continuing operations for 2006 is approximately 30 percent. This rate differs from the 35 percent statutory corporate tax rate primarily due to the effects of non-U.S. tax rates and, to a lesser extent, the expected utilization of various tax benefits such as deductions for export sales and U.S. manufacturing.</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6" w:name="page17"/>
    <w:bookmarkEnd w:id="16"/>
    <w:p>
      <w:pPr>
        <w:spacing w:after="0"/>
        <w:rPr>
          <w:sz w:val="20"/>
          <w:szCs w:val="20"/>
          <w:color w:val="auto"/>
        </w:rPr>
      </w:pPr>
      <w:r>
        <w:rPr>
          <w:rFonts w:ascii="Arial" w:cs="Arial" w:eastAsia="Arial" w:hAnsi="Arial"/>
          <w:sz w:val="17"/>
          <w:szCs w:val="17"/>
          <w:color w:val="auto"/>
        </w:rPr>
        <w:t>Income from continuing operations for the second quarter was $739 million, or $0.47 per share, compared with $542 million in the first quarter and $584</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million for the year-ago quarter. Net income, which includes continuing and discontinued operations, was $2.39 billion, or $1.50 per share, compared with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$585 million in the first quarter and $628 million in the year-ago quarter. Income from discontinued operations was $1.65 billion due to the gain on the sale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our former Sensors &amp; Controls business, compared with $43 million in the first quarter and $44 million in the year-ago quarter.</w:t>
      </w:r>
    </w:p>
    <w:p>
      <w:pPr>
        <w:spacing w:after="0" w:line="265" w:lineRule="exact"/>
        <w:rPr>
          <w:sz w:val="20"/>
          <w:szCs w:val="20"/>
          <w:color w:val="auto"/>
        </w:rPr>
      </w:pPr>
    </w:p>
    <w:p>
      <w:pPr>
        <w:jc w:val="both"/>
        <w:ind w:right="60"/>
        <w:spacing w:after="0" w:line="277" w:lineRule="auto"/>
        <w:rPr>
          <w:sz w:val="20"/>
          <w:szCs w:val="20"/>
          <w:color w:val="auto"/>
        </w:rPr>
      </w:pPr>
      <w:r>
        <w:rPr>
          <w:rFonts w:ascii="Arial" w:cs="Arial" w:eastAsia="Arial" w:hAnsi="Arial"/>
          <w:sz w:val="18"/>
          <w:szCs w:val="18"/>
          <w:color w:val="auto"/>
        </w:rPr>
        <w:t>Our orders for continuing operations were $3.91 billion. This was an increase of $302 million from the prior quarter and an increase of $767 million from the year-ago quarter. Both increases were primarily due to higher demand for our semiconductor products.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Semiconductor</w:t>
      </w:r>
    </w:p>
    <w:p>
      <w:pPr>
        <w:spacing w:after="0" w:line="279" w:lineRule="exact"/>
        <w:rPr>
          <w:sz w:val="20"/>
          <w:szCs w:val="20"/>
          <w:color w:val="auto"/>
        </w:rPr>
      </w:pPr>
    </w:p>
    <w:p>
      <w:pPr>
        <w:jc w:val="both"/>
        <w:ind w:right="40"/>
        <w:spacing w:after="0" w:line="286" w:lineRule="auto"/>
        <w:rPr>
          <w:sz w:val="20"/>
          <w:szCs w:val="20"/>
          <w:color w:val="auto"/>
        </w:rPr>
      </w:pPr>
      <w:r>
        <w:rPr>
          <w:rFonts w:ascii="Arial" w:cs="Arial" w:eastAsia="Arial" w:hAnsi="Arial"/>
          <w:sz w:val="17"/>
          <w:szCs w:val="17"/>
          <w:color w:val="auto"/>
        </w:rPr>
        <w:t>Semiconductor revenue in the second quarter was $3.51 billion. This was an increase of 7 percent from the prior quarter primarily due to increased shipments resulting from higher demand for our analog products and, to a lesser extent, the $70 million royalty settlement. Semiconductor revenue increased 26 percent from the year-ago quarter primarily due to increased shipments resulting from higher demand for our DSP and analog products.</w:t>
      </w:r>
    </w:p>
    <w:p>
      <w:pPr>
        <w:spacing w:after="0" w:line="220" w:lineRule="exact"/>
        <w:rPr>
          <w:sz w:val="20"/>
          <w:szCs w:val="20"/>
          <w:color w:val="auto"/>
        </w:rPr>
      </w:pPr>
    </w:p>
    <w:p>
      <w:pPr>
        <w:jc w:val="both"/>
        <w:ind w:right="80"/>
        <w:spacing w:after="0" w:line="312" w:lineRule="auto"/>
        <w:rPr>
          <w:sz w:val="20"/>
          <w:szCs w:val="20"/>
          <w:color w:val="auto"/>
        </w:rPr>
      </w:pPr>
      <w:r>
        <w:rPr>
          <w:rFonts w:ascii="Arial" w:cs="Arial" w:eastAsia="Arial" w:hAnsi="Arial"/>
          <w:sz w:val="16"/>
          <w:szCs w:val="16"/>
          <w:color w:val="auto"/>
        </w:rPr>
        <w:t>Analog revenue was up 8 percent from the prior quarter and 23 percent from the year-ago quarter, primarily due to increased shipments resulting from higher demand for our high-performance analog products and analog products for broadband applications. Revenue from high-performance analog products grew 5 percent from the prior quarter and 32 percent from a year ago, due to increased shipments resulting from higher demand across almost all product lines.</w:t>
      </w:r>
    </w:p>
    <w:p>
      <w:pPr>
        <w:spacing w:after="0" w:line="201"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DSP revenue was about even with the prior quarter, and was up 24 percent from the year-ago quarter primarily due to increased shipments resulting from higher demand from the wireless market.</w:t>
      </w:r>
    </w:p>
    <w:p>
      <w:pPr>
        <w:spacing w:after="0" w:line="224"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Remaining Semiconductor revenue increased 17 percent from the prior quarter primarily due to the royalty settlement and, to a lesser extent, increased shipments resulting from higher demand for, in decreasing order, RISC (Reduced Instruction Set Computing) microprocessors, DLP products, standard logic products and microcontrollers. Compared with a year ago, remaining Semiconductor revenue increased 31 percent primarily due to a combination of the royalty settlement and increased shipments resulting from higher demand for DLP products. Contributing to a lesser extent were increased shipments resulting from higher demand for RISC microprocessors, standard logic products and microcontrollers.</w:t>
      </w:r>
    </w:p>
    <w:p>
      <w:pPr>
        <w:spacing w:after="0" w:line="22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Royalty revenue for the second quarter reflected the expiration of several licenses since the end of 2005. These royalties were in the range of $60 to $70 million in the second quarter, and we believe this represents the low point of the decline relating to the expirations. We have signed new licenses with some of the licensees whose agreements had expired and we are currently in active negotiations with others. In addition, we continue to pursue opportunities to negotiate agreements with new licensees. We are unable to predict the results of these negotiations. As new or renewal licenses are executed, we have often received catch-up payments to cover some or all of the license period prior to execution.</w:t>
      </w:r>
    </w:p>
    <w:p>
      <w:pPr>
        <w:spacing w:after="0" w:line="242"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On an end-equipment basis, revenue from wireless products in the second quarter was up 4 percent sequentially and up 27 percent from the year-ago quarter. Revenue from semiconductors used in feature-rich third-generation (3G) cell phones was up over 70 percent from a year ago and we believe we are continuing to gain share in W-CDMA (Wideband Code Division Multiple Access) modems, further extending the leadership position that we already hold. Our W-CDMA digital baseband unit shipments in the second quarter were up 44 percent over the first quarter due to higher demand. Overall, the wireless end market is developing consistent with our expectations.</w:t>
      </w:r>
    </w:p>
    <w:p>
      <w:pPr>
        <w:spacing w:after="0" w:line="242"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color w:val="auto"/>
        </w:rPr>
        <w:t>In DLP products, revenue increased 15 percent sequentially primarily due to increased shipments resulting from higher demand for High Definition Television (HDTV) products. Revenue increased 34 percent from a year ago primarily due to increased shipments resulting from higher demand for front projector products and, to a lesser extent, for HDTV products.</w:t>
      </w:r>
    </w:p>
    <w:p>
      <w:pPr>
        <w:spacing w:after="0" w:line="235"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Semiconductor gross profit for the second quarter was $1.82 billion, or 51.8 percent of revenue, an increase of $157 million from the prior quarter and an increase of $490 million from the year-ago quarter. The increases over both periods were due to higher revenue.</w:t>
      </w:r>
    </w:p>
    <w:p>
      <w:pPr>
        <w:spacing w:after="0" w:line="224"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Operating profit for the second quarter was $1.03 billion, or 29.4 percent of revenue, an increase of $149 million from the prior quarter and an increase of $435 million from the year-ago quarter. The increases over both periods were due to higher gross profit.</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17" w:name="page18"/>
    <w:bookmarkEnd w:id="17"/>
    <w:p>
      <w:pPr>
        <w:ind w:right="580"/>
        <w:spacing w:after="0" w:line="277" w:lineRule="auto"/>
        <w:rPr>
          <w:sz w:val="20"/>
          <w:szCs w:val="20"/>
          <w:color w:val="auto"/>
        </w:rPr>
      </w:pPr>
      <w:r>
        <w:rPr>
          <w:rFonts w:ascii="Arial" w:cs="Arial" w:eastAsia="Arial" w:hAnsi="Arial"/>
          <w:sz w:val="18"/>
          <w:szCs w:val="18"/>
          <w:color w:val="auto"/>
        </w:rPr>
        <w:t>Semiconductor orders were $3.75 billion, an increase of 10 percent from the prior quarter, primarily due to higher demand for analog products, and an increase of 26 percent from a year ago due to strong demand for analog and DSP products.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Educational &amp; Productivity Solutions</w:t>
      </w:r>
    </w:p>
    <w:p>
      <w:pPr>
        <w:spacing w:after="0" w:line="27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E&amp;PS revenue in the second quarter was $192 million. This was an increase of $118 million from the prior quarter due to higher shipments resulting from seasonal demand for graphing calculators as retailers began to stock product in preparation for the upcoming back-to-school season. It was also an increase of $11 million from the year-ago quarter due to increased shipments of graphing calculators resulting from higher demand from instructional dealers that supply school districts.</w:t>
      </w:r>
    </w:p>
    <w:p>
      <w:pPr>
        <w:spacing w:after="0" w:line="24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E&amp;PS gross profit was $119 million, or 61.9 percent of revenue. Gross profit increased $78 million from the prior quarter and $8 million from the year-ago quarter primarily due to higher revenue.</w:t>
      </w:r>
    </w:p>
    <w:p>
      <w:pPr>
        <w:spacing w:after="0" w:line="224"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Operating profit was $84 million, or 43.9 percent of revenue. Operating profit increased $71 million from the prior quarter and $5 million from the year-ago quarter, due to higher gross profit.</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Discontinued Operations</w:t>
      </w:r>
    </w:p>
    <w:p>
      <w:pPr>
        <w:spacing w:after="0" w:line="279"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Revenue from the former Sensors &amp; Controls business was $81 million in the second quarter of 2006, compared with $268 million in the year-ago period. Results for the second quarter of 2006 cover the period up to the date of the sale (April 27, 2006). There was a loss from discontinued operations, net of tax, of $3 million in the quarter compared to income from discontinued operations, net of tax, of $44 million in the year-ago period. The gain from the sale of this business was $1.65 billion, after taxes of $899 million (see Note 2 to Financial Statements for further discussion).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First Six Months of 2006 Results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For the first six months of 2006, we report the following:</w:t>
      </w:r>
    </w:p>
    <w:p>
      <w:pPr>
        <w:spacing w:after="0" w:line="27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Revenue of $7.03 billion increased $1.36 billion or 24 percent from the year-ago period primarily due to increased shipments resulting from higher demand for our DSP products and, to a lesser extent, our analog products.</w:t>
      </w:r>
    </w:p>
    <w:p>
      <w:pPr>
        <w:spacing w:after="0" w:line="224" w:lineRule="exact"/>
        <w:rPr>
          <w:sz w:val="20"/>
          <w:szCs w:val="20"/>
          <w:color w:val="auto"/>
        </w:rPr>
      </w:pPr>
    </w:p>
    <w:p>
      <w:pPr>
        <w:ind w:right="460"/>
        <w:spacing w:after="0" w:line="308" w:lineRule="auto"/>
        <w:rPr>
          <w:sz w:val="20"/>
          <w:szCs w:val="20"/>
          <w:color w:val="auto"/>
        </w:rPr>
      </w:pPr>
      <w:r>
        <w:rPr>
          <w:rFonts w:ascii="Arial" w:cs="Arial" w:eastAsia="Arial" w:hAnsi="Arial"/>
          <w:sz w:val="17"/>
          <w:szCs w:val="17"/>
          <w:color w:val="auto"/>
        </w:rPr>
        <w:t>Gross profit for the first six months was $3.58 billion compared with $2.67 billion in the year-ago period. The increase in gross profit was due to higher revenue in Semiconductor. Gross profit margin was 50.9 percent of revenue compared with 47.1 percent in the year-ago period.</w:t>
      </w:r>
    </w:p>
    <w:p>
      <w:pPr>
        <w:spacing w:after="0" w:line="201"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color w:val="auto"/>
        </w:rPr>
        <w:t>R&amp;D expense for the first six months of $1.07 billion was up 10 percent compared with the year-ago period, primarily due to increased product development costs, principally for wireless and, to a lesser extent, stock-based compensation expense. These expenses were partially offset by the sales tax refund in the second quarter of 2006. R&amp;D expense as a percent of revenue was 15.2 percent compared with 17.1 percent in the year-ago period.</w:t>
      </w:r>
    </w:p>
    <w:p>
      <w:pPr>
        <w:spacing w:after="0" w:line="201"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SG&amp;A expense for the first six months of $839 million increased $180 million, or 27 percent from the year-ago period primarily due to the combination of higher stock-based compensation expense and, to a lesser extent, increased marketing expenses, principally for consumer advertising for DLP products. SG&amp;A expense in the first six months of 2005 also included a $13 million gain on the disposition of a sales facility. SG&amp;A expense as a percent of revenue was 11.9 percent compared with 11.6 percent in the year-ago period.</w:t>
      </w:r>
    </w:p>
    <w:p>
      <w:pPr>
        <w:spacing w:after="0" w:line="241"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Operating profit for the first six months of $1.67 billion, or 23.8 percent of revenue, increased $633 million or 61 percent from the year-ago period due to higher gross profit, partially offset by higher operating expenses.</w:t>
      </w:r>
    </w:p>
    <w:p>
      <w:pPr>
        <w:spacing w:after="0" w:line="224"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OI&amp;E for the first six months was $140 million, an increase of $35 million from the first six months of 2005, primarily due to the combination of the sales tax refund and higher interest income. The first six months of 2005 included adjustments to previously accrued interest expense related to favorable developments on several outstanding tax matters.</w:t>
      </w:r>
    </w:p>
    <w:p>
      <w:pPr>
        <w:spacing w:after="0" w:line="235" w:lineRule="exact"/>
        <w:rPr>
          <w:sz w:val="20"/>
          <w:szCs w:val="20"/>
          <w:color w:val="auto"/>
        </w:rPr>
      </w:pPr>
    </w:p>
    <w:p>
      <w:pPr>
        <w:ind w:right="260"/>
        <w:spacing w:after="0" w:line="279" w:lineRule="auto"/>
        <w:rPr>
          <w:sz w:val="20"/>
          <w:szCs w:val="20"/>
          <w:color w:val="auto"/>
        </w:rPr>
      </w:pPr>
      <w:r>
        <w:rPr>
          <w:rFonts w:ascii="Arial" w:cs="Arial" w:eastAsia="Arial" w:hAnsi="Arial"/>
          <w:sz w:val="17"/>
          <w:szCs w:val="17"/>
          <w:color w:val="auto"/>
        </w:rPr>
        <w:t>The effective tax rate for continuing operations for the first six months of 2006, which, by definition, does not include the effect of discrete tax items, is approximately 30 percent. This compares with 23 percent for the first six months of 2005. The increase in the effective tax rate from the year-ago period is due to, in decreasing order, higher income before income taxes, the expiration of the federal research tax credit, and the effect of non-U.S. tax rates. The provision for income taxes for the first six months of 2005 also reflected discrete tax items recognized in the second quarter of 2005.</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18" w:name="page19"/>
    <w:bookmarkEnd w:id="18"/>
    <w:p>
      <w:pPr>
        <w:jc w:val="both"/>
        <w:spacing w:after="0" w:line="312" w:lineRule="auto"/>
        <w:rPr>
          <w:sz w:val="20"/>
          <w:szCs w:val="20"/>
          <w:color w:val="auto"/>
        </w:rPr>
      </w:pPr>
      <w:r>
        <w:rPr>
          <w:rFonts w:ascii="Arial" w:cs="Arial" w:eastAsia="Arial" w:hAnsi="Arial"/>
          <w:sz w:val="16"/>
          <w:szCs w:val="16"/>
          <w:color w:val="auto"/>
        </w:rPr>
        <w:t>Income from continuing operations for the first six months was $1.28 billion compared with $955 million for 2005. Earnings per share from continuing operations were $0.80 per share compared with $0.56 per share in the year-ago period. The increase from the year-ago period includes $0.05 per share from the effect of 100 million fewer average shares outstanding for the current period, reflecting share repurchases made during the last 12 months.</w:t>
      </w:r>
    </w:p>
    <w:p>
      <w:pPr>
        <w:spacing w:after="0" w:line="20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Income from discontinued operations for the first six months of 2006, which includes the gain from the sale of our former Sensors &amp; Controls business in the second quarter, was $1.69 billion.</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Net income was $2.97 billion, an increase of $1.93 billion from the year-ago period.</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Orders of $7.51 billion were up 28 percent from the year-ago period, reflecting strong demand for Semiconductor products.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Semiconductor</w:t>
      </w:r>
    </w:p>
    <w:p>
      <w:pPr>
        <w:spacing w:after="0" w:line="279"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Semiconductor revenue in the first six months of 2006 was $6.77 billion compared with $5.41 billion for the year-ago period, primarily due to increased shipments resulting from higher demand for our DSP products and, to a lesser extent, our analog products. Revenue from semiconductors used in wireless applications was up 29 percent from a year ago.</w:t>
      </w:r>
    </w:p>
    <w:p>
      <w:pPr>
        <w:spacing w:after="0" w:line="235"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Gross profit for the first six months was $3.47 billion, or 51.3 percent of revenue, compared with $2.52 billion, or 46.6 percent of revenue, in the year-ago period. The increase in gross profit was primarily due to higher revenue.</w:t>
      </w:r>
    </w:p>
    <w:p>
      <w:pPr>
        <w:spacing w:after="0" w:line="224" w:lineRule="exact"/>
        <w:rPr>
          <w:sz w:val="20"/>
          <w:szCs w:val="20"/>
          <w:color w:val="auto"/>
        </w:rPr>
      </w:pPr>
    </w:p>
    <w:p>
      <w:pPr>
        <w:jc w:val="both"/>
        <w:ind w:right="80"/>
        <w:spacing w:after="0" w:line="277" w:lineRule="auto"/>
        <w:rPr>
          <w:sz w:val="20"/>
          <w:szCs w:val="20"/>
          <w:color w:val="auto"/>
        </w:rPr>
      </w:pPr>
      <w:r>
        <w:rPr>
          <w:rFonts w:ascii="Arial" w:cs="Arial" w:eastAsia="Arial" w:hAnsi="Arial"/>
          <w:sz w:val="18"/>
          <w:szCs w:val="18"/>
          <w:color w:val="auto"/>
        </w:rPr>
        <w:t>Semiconductor operating profit for the first six months was $1.92 billion, or 28.3 percent of revenue, up from $1.06 billion, or 19.6 percent of revenue, in the year-ago period due to higher gross profit.</w:t>
      </w:r>
    </w:p>
    <w:p>
      <w:pPr>
        <w:spacing w:after="0" w:line="224" w:lineRule="exact"/>
        <w:rPr>
          <w:sz w:val="20"/>
          <w:szCs w:val="20"/>
          <w:color w:val="auto"/>
        </w:rPr>
      </w:pPr>
    </w:p>
    <w:p>
      <w:pPr>
        <w:jc w:val="both"/>
        <w:ind w:right="80"/>
        <w:spacing w:after="0" w:line="277" w:lineRule="auto"/>
        <w:rPr>
          <w:sz w:val="20"/>
          <w:szCs w:val="20"/>
          <w:color w:val="auto"/>
        </w:rPr>
      </w:pPr>
      <w:r>
        <w:rPr>
          <w:rFonts w:ascii="Arial" w:cs="Arial" w:eastAsia="Arial" w:hAnsi="Arial"/>
          <w:sz w:val="18"/>
          <w:szCs w:val="18"/>
          <w:color w:val="auto"/>
        </w:rPr>
        <w:t>Semiconductor orders for the first six months were $7.18 billion compared with $5.57 billion for the year-ago period, reflecting strength across a broad range of products.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Educational &amp; Productivity Solutions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E&amp;PS revenue was $265 million for the first six months of 2006, about even with the year-ago period.</w:t>
      </w:r>
    </w:p>
    <w:p>
      <w:pPr>
        <w:spacing w:after="0" w:line="27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Gross profit for the first six months was $160 million, or 60.2 percent of revenue, up from $155 million, or 59.0 percent of revenue, in the year-ago period, primarily due to manufacturing cost reductions.</w:t>
      </w:r>
    </w:p>
    <w:p>
      <w:pPr>
        <w:spacing w:after="0" w:line="224" w:lineRule="exact"/>
        <w:rPr>
          <w:sz w:val="20"/>
          <w:szCs w:val="20"/>
          <w:color w:val="auto"/>
        </w:rPr>
      </w:pPr>
    </w:p>
    <w:p>
      <w:pPr>
        <w:jc w:val="both"/>
        <w:ind w:right="80"/>
        <w:spacing w:after="0" w:line="277" w:lineRule="auto"/>
        <w:rPr>
          <w:sz w:val="20"/>
          <w:szCs w:val="20"/>
          <w:color w:val="auto"/>
        </w:rPr>
      </w:pPr>
      <w:r>
        <w:rPr>
          <w:rFonts w:ascii="Arial" w:cs="Arial" w:eastAsia="Arial" w:hAnsi="Arial"/>
          <w:sz w:val="18"/>
          <w:szCs w:val="18"/>
          <w:color w:val="auto"/>
        </w:rPr>
        <w:t>Operating profit for the first six months was $98 million, or 36.8 percent of revenue, about even with the year-ago period, as higher gross profit was offset by higher operating expenses.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Discontinued Operations</w:t>
      </w:r>
    </w:p>
    <w:p>
      <w:pPr>
        <w:spacing w:after="0" w:line="279"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color w:val="auto"/>
        </w:rPr>
        <w:t>Revenue from the former Sensors &amp; Controls business was $375 million in 2006 compared with $538 million in the first six months of 2005. Results for the first six months of 2006 cover the period up to the date of the sale (April 27, 2006). Income from discontinued operations, net of tax, was $39 million for the first six months of 2006 compared with $83 million in the year-ago period. The gain from the sale of this business was $1.65 billion, net of tax (see Note 2 to Financial Statements for further discussion).</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Financial Condition</w:t>
      </w:r>
    </w:p>
    <w:p>
      <w:pPr>
        <w:spacing w:after="0" w:line="279"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color w:val="auto"/>
        </w:rPr>
        <w:t>At the end of the second quarter, total cash (cash and cash equivalents plus short-term investments) was $5.67 billion, an increase of $2.01 billion from the end of the prior quarter primarily due to the $2.98 billion received from the sale of our former Sensors &amp; Controls business. Total cash was up $340 million from year-end 2005.</w:t>
      </w:r>
    </w:p>
    <w:p>
      <w:pPr>
        <w:spacing w:after="0" w:line="235"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Cash received from the sale of the former Sensors &amp; Controls business was partially offset by cash used for stock repurchases. During the first six months of 2006, we repurchased 79 million shares of our common stock for $2.48 billion and paid $95 million in dividends. We also retired $586 million of long-term debt and made acquisitions for $205 million, net of cash acquired.</w:t>
      </w: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9" w:name="page20"/>
    <w:bookmarkEnd w:id="19"/>
    <w:p>
      <w:pPr>
        <w:ind w:right="260"/>
        <w:spacing w:after="0" w:line="342" w:lineRule="auto"/>
        <w:rPr>
          <w:sz w:val="20"/>
          <w:szCs w:val="20"/>
          <w:color w:val="auto"/>
        </w:rPr>
      </w:pPr>
      <w:r>
        <w:rPr>
          <w:rFonts w:ascii="Arial" w:cs="Arial" w:eastAsia="Arial" w:hAnsi="Arial"/>
          <w:sz w:val="16"/>
          <w:szCs w:val="16"/>
          <w:color w:val="auto"/>
        </w:rPr>
        <w:t>Capital expenditures for the first six months of 2006 were $782 million, an increase of $268 million from the year-ago period. Our capital expenditures in 2006 were primarily for equipment used in the assembly and test of semiconductors and advanced 65- and 45-nanometer wafer fabrication equipment.</w:t>
      </w:r>
    </w:p>
    <w:p>
      <w:pPr>
        <w:spacing w:after="0" w:line="178"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Depreciation for the first six months of 2006 was $537 million, a decrease of $141 million from the year-ago period. Our change from an accelerated to a straight-line method of depreciation beginning in the first quarter of 2006 lowered year-to-date depreciation by about $69 million (see Note 1 to the Financial Statements for a discussion of the effect of adopting the change in depreciation method).</w:t>
      </w:r>
    </w:p>
    <w:p>
      <w:pPr>
        <w:spacing w:after="0" w:line="235"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Accounts receivable were $1.93 billion, an increase of $281 million from year-end 2005, primarily due to seasonally higher E&amp;PS receivables. Contributing to a lesser extent were higher Semiconductor receivables. Days sales outstanding were 47 at the end of the second quarter compared with 49 at the end of the prior quarter and 45 at year-end 2005.</w:t>
      </w:r>
    </w:p>
    <w:p>
      <w:pPr>
        <w:spacing w:after="0" w:line="235"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Inventory was $1.34 billion at the end of the second quarter. This was an increase of $89 million from the prior quarter and an increase of $150 million from year-end 2005, as we built inventory to support expected product shipments in the second half of the year. Days of inventory at the end of the second quarter were 67 compared with 67 at the end of the prior quarter and 64 at the end of 2005.</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Liquidity and Capital Resources</w:t>
      </w:r>
    </w:p>
    <w:p>
      <w:pPr>
        <w:spacing w:after="0" w:line="279"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Cash flow from operations for the first six months of 2006 was $1.19 billion compared with $1.26 billion for the year-ago period. Higher levels of cash flows provided by income from continuing operations for the first six months of 2006 compared with the same period of 2005 were more than offset by increased working capital requirements, particularly for inventory and income taxes.</w:t>
      </w:r>
    </w:p>
    <w:p>
      <w:pPr>
        <w:spacing w:after="0" w:line="235" w:lineRule="exact"/>
        <w:rPr>
          <w:sz w:val="20"/>
          <w:szCs w:val="20"/>
          <w:color w:val="auto"/>
        </w:rPr>
      </w:pPr>
    </w:p>
    <w:p>
      <w:pPr>
        <w:jc w:val="both"/>
        <w:ind w:right="140"/>
        <w:spacing w:after="0" w:line="312" w:lineRule="auto"/>
        <w:rPr>
          <w:sz w:val="20"/>
          <w:szCs w:val="20"/>
          <w:color w:val="auto"/>
        </w:rPr>
      </w:pPr>
      <w:r>
        <w:rPr>
          <w:rFonts w:ascii="Arial" w:cs="Arial" w:eastAsia="Arial" w:hAnsi="Arial"/>
          <w:sz w:val="16"/>
          <w:szCs w:val="16"/>
          <w:color w:val="auto"/>
        </w:rPr>
        <w:t>Net cash provided by investing activities was $2.09 billion for the first six months of 2006 compared with $850 million for the same period a year ago. We received cash proceeds from the sale of the former Sensors &amp; Controls business of $2.98 billion in 2006, which, together with the cash flows received from sales and maturities of cash investments, net of purchases, were partially offset by higher capital expenditures and payment for acquisitions.</w:t>
      </w:r>
    </w:p>
    <w:p>
      <w:pPr>
        <w:spacing w:after="0" w:line="201"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For the first six months of 2006, net cash used in financing activities was $2.82 billion compared with $2.71 billion in the year-ago period, as we continued our common stock repurchases and retired debt. We used $2.48 billion of cash to repurchase 79 million shares of common stock in the first six months of 2006 compared with $2.78 billion used to repurchase 110 million shares of common stock in the year-ago period. The $95 million in dividends paid on our common stock in the first six months of 2006, compared with $84 million in the year-ago period, reflected a higher dividend rate, partially offset by a lower number of shares outstanding.</w:t>
      </w:r>
    </w:p>
    <w:p>
      <w:pPr>
        <w:spacing w:after="0" w:line="242"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We believe we have the necessary financial resources to fund our working capital needs, capital expenditures, authorized stock repurchases, dividend payments and other business requirements for at least the next 12 months.</w:t>
      </w:r>
    </w:p>
    <w:p>
      <w:pPr>
        <w:spacing w:after="0" w:line="224"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In 2006, for continuing operations, we still expect R&amp;D expense to be about $2.2 billion and capital expenditures to be about $1.3 billion. Depreciation is expected to be about $1.05 billion, up slightly from the prior estimate of $1.03 billion.</w:t>
      </w:r>
    </w:p>
    <w:p>
      <w:pPr>
        <w:spacing w:after="0" w:line="224"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The effective tax rate for continuing operations in 2006 is expected to be about 30 percent, unchanged from the prior estimate. This tax rate is based on current tax law and does not assume reinstatement of the federal research tax credit, which expired at the end of 2005.</w:t>
      </w:r>
    </w:p>
    <w:p>
      <w:pPr>
        <w:spacing w:after="0" w:line="220"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25" w:right="31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83"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Information concerning market risk is contained on pages 59 and 60 of Exhibit 13 to Registrant’s Form 10-K for the year ended December 31, 2005, and is incorporated by reference to such exhibit.</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83"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An evaluation as of the end of the period covered by this report was carried out under the supervision and with the participation of TI's management, including its Chief Executive Officer and Chief Financial Officer, of the effectiveness of the design and operation of TI’s disclosure controls and procedures (as defined in Rules 13a-15(e) and 15d-15(e) under the Securities Exchange Act of 1934). Based upon that evaluation, the Chief Executive Officer and Chief Financial Officer concluded that those disclosure controls and procedures were effective in providing reasonable assurance that information required to be disclosed by TI in the reports that we file or submit under the Exchange Act is recorded, processed, summarized and reported within the time periods specified in the Commission’s rules and forms. In addition, there has been no change in the Registrant’s internal control over financial reporting (as defined in Rule 13a-15(f) and 15d-15(f) under the Securities Exchange Act of 1934) that occurred during the period covered by this report that has materially affected, or is reasonably likely to materially affect, the Registrant’s internal control over financial reporting.</w:t>
      </w:r>
    </w:p>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21" w:name="page22"/>
    <w:bookmarkEnd w:id="21"/>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contains information regarding the Registrant’s purchase of its common stock during the quarter.</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00" w:lineRule="exact"/>
        <w:rPr>
          <w:sz w:val="20"/>
          <w:szCs w:val="20"/>
          <w:color w:val="auto"/>
        </w:rPr>
      </w:pP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4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7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3"/>
              </w:rPr>
              <w:t>Total Number</w:t>
            </w:r>
          </w:p>
        </w:tc>
        <w:tc>
          <w:tcPr>
            <w:tcW w:w="80" w:type="dxa"/>
            <w:vAlign w:val="bottom"/>
          </w:tcPr>
          <w:p>
            <w:pPr>
              <w:spacing w:after="0"/>
              <w:rPr>
                <w:sz w:val="19"/>
                <w:szCs w:val="19"/>
                <w:color w:val="auto"/>
              </w:rPr>
            </w:pPr>
          </w:p>
        </w:tc>
        <w:tc>
          <w:tcPr>
            <w:tcW w:w="14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2"/>
              </w:rPr>
              <w:t>Approximate</w:t>
            </w:r>
          </w:p>
        </w:tc>
      </w:tr>
      <w:tr>
        <w:trPr>
          <w:trHeight w:val="216"/>
        </w:trPr>
        <w:tc>
          <w:tcPr>
            <w:tcW w:w="4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7"/>
              </w:rPr>
              <w:t>of Shares</w:t>
            </w:r>
          </w:p>
        </w:tc>
        <w:tc>
          <w:tcPr>
            <w:tcW w:w="80" w:type="dxa"/>
            <w:vAlign w:val="bottom"/>
          </w:tcPr>
          <w:p>
            <w:pPr>
              <w:spacing w:after="0"/>
              <w:rPr>
                <w:sz w:val="18"/>
                <w:szCs w:val="18"/>
                <w:color w:val="auto"/>
              </w:rPr>
            </w:pPr>
          </w:p>
        </w:tc>
        <w:tc>
          <w:tcPr>
            <w:tcW w:w="14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3"/>
              </w:rPr>
              <w:t>Dollar Value of</w:t>
            </w:r>
          </w:p>
        </w:tc>
      </w:tr>
      <w:tr>
        <w:trPr>
          <w:trHeight w:val="216"/>
        </w:trPr>
        <w:tc>
          <w:tcPr>
            <w:tcW w:w="4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5"/>
              </w:rPr>
              <w:t>Purchased as</w:t>
            </w:r>
          </w:p>
        </w:tc>
        <w:tc>
          <w:tcPr>
            <w:tcW w:w="80" w:type="dxa"/>
            <w:vAlign w:val="bottom"/>
          </w:tcPr>
          <w:p>
            <w:pPr>
              <w:spacing w:after="0"/>
              <w:rPr>
                <w:sz w:val="18"/>
                <w:szCs w:val="18"/>
                <w:color w:val="auto"/>
              </w:rPr>
            </w:pPr>
          </w:p>
        </w:tc>
        <w:tc>
          <w:tcPr>
            <w:tcW w:w="14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7"/>
              </w:rPr>
              <w:t>Shares that</w:t>
            </w:r>
          </w:p>
        </w:tc>
      </w:tr>
      <w:tr>
        <w:trPr>
          <w:trHeight w:val="216"/>
        </w:trPr>
        <w:tc>
          <w:tcPr>
            <w:tcW w:w="4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1"/>
              </w:rPr>
              <w:t>Part of</w:t>
            </w:r>
          </w:p>
        </w:tc>
        <w:tc>
          <w:tcPr>
            <w:tcW w:w="80" w:type="dxa"/>
            <w:vAlign w:val="bottom"/>
          </w:tcPr>
          <w:p>
            <w:pPr>
              <w:spacing w:after="0"/>
              <w:rPr>
                <w:sz w:val="18"/>
                <w:szCs w:val="18"/>
                <w:color w:val="auto"/>
              </w:rPr>
            </w:pPr>
          </w:p>
        </w:tc>
        <w:tc>
          <w:tcPr>
            <w:tcW w:w="14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3"/>
              </w:rPr>
              <w:t>May Yet Be</w:t>
            </w:r>
          </w:p>
        </w:tc>
      </w:tr>
      <w:tr>
        <w:trPr>
          <w:trHeight w:val="216"/>
        </w:trPr>
        <w:tc>
          <w:tcPr>
            <w:tcW w:w="4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2"/>
              </w:rPr>
              <w:t>Total</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2"/>
              </w:rPr>
              <w:t>Publicly</w:t>
            </w:r>
          </w:p>
        </w:tc>
        <w:tc>
          <w:tcPr>
            <w:tcW w:w="80" w:type="dxa"/>
            <w:vAlign w:val="bottom"/>
          </w:tcPr>
          <w:p>
            <w:pPr>
              <w:spacing w:after="0"/>
              <w:rPr>
                <w:sz w:val="18"/>
                <w:szCs w:val="18"/>
                <w:color w:val="auto"/>
              </w:rPr>
            </w:pPr>
          </w:p>
        </w:tc>
        <w:tc>
          <w:tcPr>
            <w:tcW w:w="14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9"/>
              </w:rPr>
              <w:t>Purchased</w:t>
            </w:r>
          </w:p>
        </w:tc>
      </w:tr>
      <w:tr>
        <w:trPr>
          <w:trHeight w:val="216"/>
        </w:trPr>
        <w:tc>
          <w:tcPr>
            <w:tcW w:w="4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3"/>
              </w:rPr>
              <w:t>Number of</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gridSpan w:val="2"/>
          </w:tcPr>
          <w:p>
            <w:pPr>
              <w:jc w:val="center"/>
              <w:ind w:right="520"/>
              <w:spacing w:after="0"/>
              <w:rPr>
                <w:sz w:val="20"/>
                <w:szCs w:val="20"/>
                <w:color w:val="auto"/>
              </w:rPr>
            </w:pPr>
            <w:r>
              <w:rPr>
                <w:rFonts w:ascii="Arial" w:cs="Arial" w:eastAsia="Arial" w:hAnsi="Arial"/>
                <w:sz w:val="18"/>
                <w:szCs w:val="18"/>
                <w:b w:val="1"/>
                <w:bCs w:val="1"/>
                <w:color w:val="auto"/>
                <w:w w:val="87"/>
              </w:rPr>
              <w:t>Average</w:t>
            </w:r>
          </w:p>
        </w:tc>
        <w:tc>
          <w:tcPr>
            <w:tcW w:w="17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Announced</w:t>
            </w:r>
          </w:p>
        </w:tc>
        <w:tc>
          <w:tcPr>
            <w:tcW w:w="80" w:type="dxa"/>
            <w:vAlign w:val="bottom"/>
          </w:tcPr>
          <w:p>
            <w:pPr>
              <w:spacing w:after="0"/>
              <w:rPr>
                <w:sz w:val="18"/>
                <w:szCs w:val="18"/>
                <w:color w:val="auto"/>
              </w:rPr>
            </w:pPr>
          </w:p>
        </w:tc>
        <w:tc>
          <w:tcPr>
            <w:tcW w:w="14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2"/>
              </w:rPr>
              <w:t>Under the</w:t>
            </w:r>
          </w:p>
        </w:tc>
      </w:tr>
      <w:tr>
        <w:trPr>
          <w:trHeight w:val="216"/>
        </w:trPr>
        <w:tc>
          <w:tcPr>
            <w:tcW w:w="4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6"/>
              </w:rPr>
              <w:t>Shares</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gridSpan w:val="2"/>
          </w:tcPr>
          <w:p>
            <w:pPr>
              <w:jc w:val="center"/>
              <w:ind w:right="520"/>
              <w:spacing w:after="0"/>
              <w:rPr>
                <w:sz w:val="20"/>
                <w:szCs w:val="20"/>
                <w:color w:val="auto"/>
              </w:rPr>
            </w:pPr>
            <w:r>
              <w:rPr>
                <w:rFonts w:ascii="Arial" w:cs="Arial" w:eastAsia="Arial" w:hAnsi="Arial"/>
                <w:sz w:val="18"/>
                <w:szCs w:val="18"/>
                <w:b w:val="1"/>
                <w:bCs w:val="1"/>
                <w:color w:val="auto"/>
                <w:w w:val="89"/>
              </w:rPr>
              <w:t>Price Paid</w:t>
            </w:r>
          </w:p>
        </w:tc>
        <w:tc>
          <w:tcPr>
            <w:tcW w:w="17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Plans or</w:t>
            </w:r>
          </w:p>
        </w:tc>
        <w:tc>
          <w:tcPr>
            <w:tcW w:w="80" w:type="dxa"/>
            <w:vAlign w:val="bottom"/>
          </w:tcPr>
          <w:p>
            <w:pPr>
              <w:spacing w:after="0"/>
              <w:rPr>
                <w:sz w:val="18"/>
                <w:szCs w:val="18"/>
                <w:color w:val="auto"/>
              </w:rPr>
            </w:pPr>
          </w:p>
        </w:tc>
        <w:tc>
          <w:tcPr>
            <w:tcW w:w="14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7"/>
              </w:rPr>
              <w:t>Plans or</w:t>
            </w:r>
          </w:p>
        </w:tc>
      </w:tr>
      <w:tr>
        <w:trPr>
          <w:trHeight w:val="270"/>
        </w:trPr>
        <w:tc>
          <w:tcPr>
            <w:tcW w:w="458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rPr>
              <w:t>Period</w:t>
            </w:r>
          </w:p>
        </w:tc>
        <w:tc>
          <w:tcPr>
            <w:tcW w:w="200" w:type="dxa"/>
            <w:vAlign w:val="bottom"/>
          </w:tcPr>
          <w:p>
            <w:pPr>
              <w:spacing w:after="0"/>
              <w:rPr>
                <w:sz w:val="23"/>
                <w:szCs w:val="23"/>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Purchased</w:t>
            </w:r>
          </w:p>
        </w:tc>
        <w:tc>
          <w:tcPr>
            <w:tcW w:w="1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89"/>
              </w:rPr>
              <w:t>per Share</w:t>
            </w:r>
          </w:p>
        </w:tc>
        <w:tc>
          <w:tcPr>
            <w:tcW w:w="340" w:type="dxa"/>
            <w:vAlign w:val="bottom"/>
          </w:tcPr>
          <w:p>
            <w:pPr>
              <w:spacing w:after="0"/>
              <w:rPr>
                <w:sz w:val="23"/>
                <w:szCs w:val="23"/>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Programs</w:t>
            </w:r>
          </w:p>
        </w:tc>
        <w:tc>
          <w:tcPr>
            <w:tcW w:w="340" w:type="dxa"/>
            <w:vAlign w:val="bottom"/>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center"/>
              <w:spacing w:after="0" w:line="269" w:lineRule="exact"/>
              <w:rPr>
                <w:sz w:val="20"/>
                <w:szCs w:val="20"/>
                <w:color w:val="auto"/>
              </w:rPr>
            </w:pPr>
            <w:r>
              <w:rPr>
                <w:rFonts w:ascii="Arial" w:cs="Arial" w:eastAsia="Arial" w:hAnsi="Arial"/>
                <w:sz w:val="18"/>
                <w:szCs w:val="18"/>
                <w:b w:val="1"/>
                <w:bCs w:val="1"/>
                <w:color w:val="auto"/>
                <w:w w:val="86"/>
              </w:rPr>
              <w:t xml:space="preserve">Programs </w:t>
            </w:r>
            <w:r>
              <w:rPr>
                <w:rFonts w:ascii="Arial" w:cs="Arial" w:eastAsia="Arial" w:hAnsi="Arial"/>
                <w:sz w:val="30"/>
                <w:szCs w:val="30"/>
                <w:b w:val="1"/>
                <w:bCs w:val="1"/>
                <w:color w:val="auto"/>
                <w:w w:val="86"/>
                <w:vertAlign w:val="superscript"/>
              </w:rPr>
              <w:t>(1)</w:t>
            </w:r>
          </w:p>
        </w:tc>
        <w:tc>
          <w:tcPr>
            <w:tcW w:w="220" w:type="dxa"/>
            <w:vAlign w:val="bottom"/>
          </w:tcPr>
          <w:p>
            <w:pPr>
              <w:spacing w:after="0"/>
              <w:rPr>
                <w:sz w:val="23"/>
                <w:szCs w:val="23"/>
                <w:color w:val="auto"/>
              </w:rPr>
            </w:pPr>
          </w:p>
        </w:tc>
      </w:tr>
      <w:tr>
        <w:trPr>
          <w:trHeight w:val="237"/>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April 1 through April 30, 2006</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6,175,000</w:t>
            </w:r>
          </w:p>
        </w:tc>
        <w:tc>
          <w:tcPr>
            <w:tcW w:w="160" w:type="dxa"/>
            <w:vAlign w:val="bottom"/>
            <w:shd w:val="clear" w:color="auto" w:fill="CCEEFF"/>
          </w:tcPr>
          <w:p>
            <w:pPr>
              <w:spacing w:after="0"/>
              <w:rPr>
                <w:sz w:val="20"/>
                <w:szCs w:val="20"/>
                <w:color w:val="auto"/>
              </w:rPr>
            </w:pPr>
          </w:p>
        </w:tc>
        <w:tc>
          <w:tcPr>
            <w:tcW w:w="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33.87</w:t>
            </w:r>
          </w:p>
        </w:tc>
        <w:tc>
          <w:tcPr>
            <w:tcW w:w="17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6,175,000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4,115,384,750</w:t>
            </w:r>
          </w:p>
        </w:tc>
      </w:tr>
      <w:tr>
        <w:trPr>
          <w:trHeight w:val="243"/>
        </w:trPr>
        <w:tc>
          <w:tcPr>
            <w:tcW w:w="4580" w:type="dxa"/>
            <w:vAlign w:val="bottom"/>
          </w:tcPr>
          <w:p>
            <w:pPr>
              <w:spacing w:after="0"/>
              <w:rPr>
                <w:sz w:val="20"/>
                <w:szCs w:val="20"/>
                <w:color w:val="auto"/>
              </w:rPr>
            </w:pPr>
            <w:r>
              <w:rPr>
                <w:rFonts w:ascii="Arial" w:cs="Arial" w:eastAsia="Arial" w:hAnsi="Arial"/>
                <w:sz w:val="18"/>
                <w:szCs w:val="18"/>
                <w:color w:val="auto"/>
              </w:rPr>
              <w:t>May 1 through May 31, 2006</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7,150,000</w:t>
            </w:r>
          </w:p>
        </w:tc>
        <w:tc>
          <w:tcPr>
            <w:tcW w:w="160" w:type="dxa"/>
            <w:vAlign w:val="bottom"/>
          </w:tcPr>
          <w:p>
            <w:pPr>
              <w:spacing w:after="0"/>
              <w:rPr>
                <w:sz w:val="21"/>
                <w:szCs w:val="21"/>
                <w:color w:val="auto"/>
              </w:rPr>
            </w:pPr>
          </w:p>
        </w:tc>
        <w:tc>
          <w:tcPr>
            <w:tcW w:w="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340"/>
              <w:spacing w:after="0"/>
              <w:rPr>
                <w:sz w:val="20"/>
                <w:szCs w:val="20"/>
                <w:color w:val="auto"/>
              </w:rPr>
            </w:pPr>
            <w:r>
              <w:rPr>
                <w:rFonts w:ascii="Arial" w:cs="Arial" w:eastAsia="Arial" w:hAnsi="Arial"/>
                <w:sz w:val="18"/>
                <w:szCs w:val="18"/>
                <w:color w:val="auto"/>
              </w:rPr>
              <w:t>33.01</w:t>
            </w:r>
          </w:p>
        </w:tc>
        <w:tc>
          <w:tcPr>
            <w:tcW w:w="1700" w:type="dxa"/>
            <w:vAlign w:val="bottom"/>
            <w:gridSpan w:val="2"/>
          </w:tcPr>
          <w:p>
            <w:pPr>
              <w:jc w:val="right"/>
              <w:ind w:right="340"/>
              <w:spacing w:after="0"/>
              <w:rPr>
                <w:sz w:val="20"/>
                <w:szCs w:val="20"/>
                <w:color w:val="auto"/>
              </w:rPr>
            </w:pPr>
            <w:r>
              <w:rPr>
                <w:rFonts w:ascii="Arial" w:cs="Arial" w:eastAsia="Arial" w:hAnsi="Arial"/>
                <w:sz w:val="18"/>
                <w:szCs w:val="18"/>
                <w:color w:val="auto"/>
              </w:rPr>
              <w:t>7,150,000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gridSpan w:val="2"/>
          </w:tcPr>
          <w:p>
            <w:pPr>
              <w:ind w:left="220"/>
              <w:spacing w:after="0"/>
              <w:rPr>
                <w:sz w:val="20"/>
                <w:szCs w:val="20"/>
                <w:color w:val="auto"/>
              </w:rPr>
            </w:pPr>
            <w:r>
              <w:rPr>
                <w:rFonts w:ascii="Arial" w:cs="Arial" w:eastAsia="Arial" w:hAnsi="Arial"/>
                <w:sz w:val="18"/>
                <w:szCs w:val="18"/>
                <w:color w:val="auto"/>
              </w:rPr>
              <w:t>3,879,386,032</w:t>
            </w:r>
          </w:p>
        </w:tc>
      </w:tr>
      <w:tr>
        <w:trPr>
          <w:trHeight w:val="243"/>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June 1 through June 30, 2006</w:t>
            </w:r>
          </w:p>
        </w:tc>
        <w:tc>
          <w:tcPr>
            <w:tcW w:w="17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20,343,900</w:t>
            </w:r>
          </w:p>
        </w:tc>
        <w:tc>
          <w:tcPr>
            <w:tcW w:w="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29.88</w:t>
            </w:r>
          </w:p>
        </w:tc>
        <w:tc>
          <w:tcPr>
            <w:tcW w:w="17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20,343,900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CEEFF"/>
          </w:tcPr>
          <w:p>
            <w:pPr>
              <w:ind w:left="220"/>
              <w:spacing w:after="0"/>
              <w:rPr>
                <w:sz w:val="20"/>
                <w:szCs w:val="20"/>
                <w:color w:val="auto"/>
              </w:rPr>
            </w:pPr>
            <w:r>
              <w:rPr>
                <w:rFonts w:ascii="Arial" w:cs="Arial" w:eastAsia="Arial" w:hAnsi="Arial"/>
                <w:sz w:val="18"/>
                <w:szCs w:val="18"/>
                <w:color w:val="auto"/>
                <w:w w:val="88"/>
              </w:rPr>
              <w:t>3,271,541,064</w:t>
            </w:r>
          </w:p>
        </w:tc>
        <w:tc>
          <w:tcPr>
            <w:tcW w:w="220" w:type="dxa"/>
            <w:vAlign w:val="bottom"/>
            <w:shd w:val="clear" w:color="auto" w:fill="CCEEFF"/>
          </w:tcPr>
          <w:p>
            <w:pPr>
              <w:spacing w:after="0"/>
              <w:rPr>
                <w:sz w:val="21"/>
                <w:szCs w:val="21"/>
                <w:color w:val="auto"/>
              </w:rPr>
            </w:pPr>
          </w:p>
        </w:tc>
      </w:tr>
      <w:tr>
        <w:trPr>
          <w:trHeight w:val="297"/>
        </w:trPr>
        <w:tc>
          <w:tcPr>
            <w:tcW w:w="4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r>
      <w:tr>
        <w:trPr>
          <w:trHeight w:val="222"/>
        </w:trPr>
        <w:tc>
          <w:tcPr>
            <w:tcW w:w="45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r>
      <w:tr>
        <w:trPr>
          <w:trHeight w:val="311"/>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7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33,668,900</w:t>
            </w:r>
          </w:p>
        </w:tc>
        <w:tc>
          <w:tcPr>
            <w:tcW w:w="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31.27</w:t>
            </w:r>
          </w:p>
        </w:tc>
        <w:tc>
          <w:tcPr>
            <w:tcW w:w="1700" w:type="dxa"/>
            <w:vAlign w:val="bottom"/>
            <w:gridSpan w:val="2"/>
            <w:shd w:val="clear" w:color="auto" w:fill="CCEEFF"/>
          </w:tcPr>
          <w:p>
            <w:pPr>
              <w:jc w:val="right"/>
              <w:ind w:right="140"/>
              <w:spacing w:after="0" w:line="311" w:lineRule="exact"/>
              <w:rPr>
                <w:sz w:val="20"/>
                <w:szCs w:val="20"/>
                <w:color w:val="auto"/>
              </w:rPr>
            </w:pPr>
            <w:r>
              <w:rPr>
                <w:rFonts w:ascii="Arial" w:cs="Arial" w:eastAsia="Arial" w:hAnsi="Arial"/>
                <w:sz w:val="18"/>
                <w:szCs w:val="18"/>
                <w:color w:val="auto"/>
              </w:rPr>
              <w:t>33,668,900</w:t>
            </w:r>
            <w:r>
              <w:rPr>
                <w:rFonts w:ascii="Arial" w:cs="Arial" w:eastAsia="Arial" w:hAnsi="Arial"/>
                <w:sz w:val="36"/>
                <w:szCs w:val="36"/>
                <w:color w:val="auto"/>
                <w:vertAlign w:val="superscript"/>
              </w:rPr>
              <w:t>(3)</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0"/>
              </w:rPr>
              <w:t>3,271,541,064(3)</w:t>
            </w:r>
          </w:p>
        </w:tc>
      </w:tr>
    </w:tbl>
    <w:p>
      <w:pPr>
        <w:spacing w:after="0" w:line="256" w:lineRule="exact"/>
        <w:rPr>
          <w:sz w:val="20"/>
          <w:szCs w:val="20"/>
          <w:color w:val="auto"/>
        </w:rPr>
      </w:pPr>
    </w:p>
    <w:p>
      <w:pPr>
        <w:ind w:left="340" w:right="260" w:hanging="308"/>
        <w:spacing w:after="0" w:line="277" w:lineRule="auto"/>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All purchases during the quarter were made under the authorization from our Board of Directors to purchase up to $5 billion of additional shares of TI common stock announced on January 23, 2006. No expiration date has been specified for this authorization.</w:t>
      </w:r>
    </w:p>
    <w:p>
      <w:pPr>
        <w:spacing w:after="0" w:line="224" w:lineRule="exact"/>
        <w:rPr>
          <w:rFonts w:ascii="Arial" w:cs="Arial" w:eastAsia="Arial" w:hAnsi="Arial"/>
          <w:sz w:val="18"/>
          <w:szCs w:val="18"/>
          <w:color w:val="auto"/>
        </w:rPr>
      </w:pPr>
    </w:p>
    <w:p>
      <w:pPr>
        <w:ind w:left="340" w:right="100" w:hanging="308"/>
        <w:spacing w:after="0" w:line="312" w:lineRule="auto"/>
        <w:tabs>
          <w:tab w:leader="none" w:pos="3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All purchases were made through open-market purchases except for 100,000 shares that were acquired in June through a privately negotiated forward purchase contract with a non-affiliated financial institution. The forward purchase contract was designed to minimize the adverse impact on our earnings from the effect of stock market value fluctuations on the portion of our deferred compensation obligations denominated in TI stock.</w:t>
      </w:r>
    </w:p>
    <w:p>
      <w:pPr>
        <w:spacing w:after="0" w:line="200" w:lineRule="exact"/>
        <w:rPr>
          <w:rFonts w:ascii="Arial" w:cs="Arial" w:eastAsia="Arial" w:hAnsi="Arial"/>
          <w:sz w:val="16"/>
          <w:szCs w:val="16"/>
          <w:color w:val="auto"/>
        </w:rPr>
      </w:pPr>
    </w:p>
    <w:p>
      <w:pPr>
        <w:ind w:left="340" w:right="120" w:hanging="308"/>
        <w:spacing w:after="0" w:line="259" w:lineRule="auto"/>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Includes the purchase of 3,851,000 shares for which trades were settled in the first three business days of July 2006 for $113 million. The table does not include the purchase of 3,000,000 shares pursuant to orders placed in the first quarter, for which trades were settled in the first three business days of the second quarter for $97 million. The purchase of these shares was reflected in this item in the company’s report on Form 10-Q for the quarter ended March 31, 2006.</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Submission of Matters to a Vote of Security Holders.</w:t>
      </w:r>
    </w:p>
    <w:p>
      <w:pPr>
        <w:spacing w:after="0" w:line="283"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At the annual meeting of stockholders held on April 20, 2006, the stockholders elected the Board of Directors of the Registrant and voted upon one Board proposal contained within the Registrant's Proxy Statement dated March 9, 2006.</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940" w:type="dxa"/>
            <w:vAlign w:val="bottom"/>
            <w:gridSpan w:val="2"/>
          </w:tcPr>
          <w:p>
            <w:pPr>
              <w:spacing w:after="0"/>
              <w:rPr>
                <w:sz w:val="20"/>
                <w:szCs w:val="20"/>
                <w:color w:val="auto"/>
              </w:rPr>
            </w:pPr>
            <w:r>
              <w:rPr>
                <w:rFonts w:ascii="Arial" w:cs="Arial" w:eastAsia="Arial" w:hAnsi="Arial"/>
                <w:sz w:val="18"/>
                <w:szCs w:val="18"/>
                <w:color w:val="auto"/>
              </w:rPr>
              <w:t>The Board nominees were elected with the following vote:</w:t>
            </w:r>
          </w:p>
        </w:tc>
        <w:tc>
          <w:tcPr>
            <w:tcW w:w="4480" w:type="dxa"/>
            <w:vAlign w:val="bottom"/>
          </w:tcPr>
          <w:p>
            <w:pPr>
              <w:spacing w:after="0"/>
              <w:rPr>
                <w:sz w:val="20"/>
                <w:szCs w:val="20"/>
                <w:color w:val="auto"/>
              </w:rPr>
            </w:pPr>
          </w:p>
        </w:tc>
        <w:tc>
          <w:tcPr>
            <w:tcW w:w="2000" w:type="dxa"/>
            <w:vAlign w:val="bottom"/>
          </w:tcPr>
          <w:p>
            <w:pPr>
              <w:spacing w:after="0"/>
              <w:rPr>
                <w:sz w:val="20"/>
                <w:szCs w:val="20"/>
                <w:color w:val="auto"/>
              </w:rPr>
            </w:pPr>
          </w:p>
        </w:tc>
      </w:tr>
      <w:tr>
        <w:trPr>
          <w:trHeight w:val="486"/>
        </w:trPr>
        <w:tc>
          <w:tcPr>
            <w:tcW w:w="4940" w:type="dxa"/>
            <w:vAlign w:val="bottom"/>
            <w:gridSpan w:val="2"/>
          </w:tcPr>
          <w:p>
            <w:pPr>
              <w:spacing w:after="0"/>
              <w:rPr>
                <w:sz w:val="20"/>
                <w:szCs w:val="20"/>
                <w:color w:val="auto"/>
              </w:rPr>
            </w:pPr>
            <w:r>
              <w:rPr>
                <w:rFonts w:ascii="Arial" w:cs="Arial" w:eastAsia="Arial" w:hAnsi="Arial"/>
                <w:sz w:val="18"/>
                <w:szCs w:val="18"/>
                <w:b w:val="1"/>
                <w:bCs w:val="1"/>
                <w:color w:val="auto"/>
              </w:rPr>
              <w:t>Nominee</w:t>
            </w:r>
          </w:p>
        </w:tc>
        <w:tc>
          <w:tcPr>
            <w:tcW w:w="4480" w:type="dxa"/>
            <w:vAlign w:val="bottom"/>
          </w:tcPr>
          <w:p>
            <w:pPr>
              <w:jc w:val="center"/>
              <w:ind w:left="2271"/>
              <w:spacing w:after="0"/>
              <w:rPr>
                <w:sz w:val="20"/>
                <w:szCs w:val="20"/>
                <w:color w:val="auto"/>
              </w:rPr>
            </w:pPr>
            <w:r>
              <w:rPr>
                <w:rFonts w:ascii="Arial" w:cs="Arial" w:eastAsia="Arial" w:hAnsi="Arial"/>
                <w:sz w:val="18"/>
                <w:szCs w:val="18"/>
                <w:b w:val="1"/>
                <w:bCs w:val="1"/>
                <w:color w:val="auto"/>
                <w:w w:val="96"/>
              </w:rPr>
              <w:t>For</w:t>
            </w:r>
          </w:p>
        </w:tc>
        <w:tc>
          <w:tcPr>
            <w:tcW w:w="2000" w:type="dxa"/>
            <w:vAlign w:val="bottom"/>
          </w:tcPr>
          <w:p>
            <w:pPr>
              <w:jc w:val="center"/>
              <w:ind w:right="70"/>
              <w:spacing w:after="0"/>
              <w:rPr>
                <w:sz w:val="20"/>
                <w:szCs w:val="20"/>
                <w:color w:val="auto"/>
              </w:rPr>
            </w:pPr>
            <w:r>
              <w:rPr>
                <w:rFonts w:ascii="Arial" w:cs="Arial" w:eastAsia="Arial" w:hAnsi="Arial"/>
                <w:sz w:val="18"/>
                <w:szCs w:val="18"/>
                <w:b w:val="1"/>
                <w:bCs w:val="1"/>
                <w:color w:val="auto"/>
                <w:w w:val="94"/>
              </w:rPr>
              <w:t>Withheld</w:t>
            </w:r>
          </w:p>
        </w:tc>
      </w:tr>
      <w:tr>
        <w:trPr>
          <w:trHeight w:val="210"/>
        </w:trPr>
        <w:tc>
          <w:tcPr>
            <w:tcW w:w="20" w:type="dxa"/>
            <w:vAlign w:val="bottom"/>
          </w:tcPr>
          <w:p>
            <w:pPr>
              <w:spacing w:after="0"/>
              <w:rPr>
                <w:sz w:val="18"/>
                <w:szCs w:val="18"/>
                <w:color w:val="auto"/>
              </w:rPr>
            </w:pPr>
          </w:p>
        </w:tc>
        <w:tc>
          <w:tcPr>
            <w:tcW w:w="49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James R. Adams</w:t>
            </w:r>
          </w:p>
        </w:tc>
        <w:tc>
          <w:tcPr>
            <w:tcW w:w="4480" w:type="dxa"/>
            <w:vAlign w:val="bottom"/>
            <w:tcBorders>
              <w:top w:val="single" w:sz="8" w:color="auto"/>
            </w:tcBorders>
            <w:shd w:val="clear" w:color="auto" w:fill="CCEEFF"/>
          </w:tcPr>
          <w:p>
            <w:pPr>
              <w:jc w:val="center"/>
              <w:ind w:left="2291"/>
              <w:spacing w:after="0"/>
              <w:rPr>
                <w:sz w:val="20"/>
                <w:szCs w:val="20"/>
                <w:color w:val="auto"/>
              </w:rPr>
            </w:pPr>
            <w:r>
              <w:rPr>
                <w:rFonts w:ascii="Arial" w:cs="Arial" w:eastAsia="Arial" w:hAnsi="Arial"/>
                <w:sz w:val="18"/>
                <w:szCs w:val="18"/>
                <w:color w:val="auto"/>
                <w:w w:val="88"/>
              </w:rPr>
              <w:t>1,377,652,903</w:t>
            </w:r>
          </w:p>
        </w:tc>
        <w:tc>
          <w:tcPr>
            <w:tcW w:w="2000" w:type="dxa"/>
            <w:vAlign w:val="bottom"/>
            <w:tcBorders>
              <w:top w:val="single" w:sz="8" w:color="auto"/>
            </w:tcBorders>
            <w:shd w:val="clear" w:color="auto" w:fill="CCEEFF"/>
          </w:tcPr>
          <w:p>
            <w:pPr>
              <w:jc w:val="center"/>
              <w:ind w:right="50"/>
              <w:spacing w:after="0"/>
              <w:rPr>
                <w:sz w:val="20"/>
                <w:szCs w:val="20"/>
                <w:color w:val="auto"/>
              </w:rPr>
            </w:pPr>
            <w:r>
              <w:rPr>
                <w:rFonts w:ascii="Arial" w:cs="Arial" w:eastAsia="Arial" w:hAnsi="Arial"/>
                <w:sz w:val="18"/>
                <w:szCs w:val="18"/>
                <w:color w:val="auto"/>
                <w:w w:val="90"/>
              </w:rPr>
              <w:t>30,264,063</w:t>
            </w:r>
          </w:p>
        </w:tc>
      </w:tr>
      <w:tr>
        <w:trPr>
          <w:trHeight w:val="216"/>
        </w:trPr>
        <w:tc>
          <w:tcPr>
            <w:tcW w:w="2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David L. Boren</w:t>
            </w:r>
          </w:p>
        </w:tc>
        <w:tc>
          <w:tcPr>
            <w:tcW w:w="4480" w:type="dxa"/>
            <w:vAlign w:val="bottom"/>
          </w:tcPr>
          <w:p>
            <w:pPr>
              <w:jc w:val="center"/>
              <w:ind w:left="2291"/>
              <w:spacing w:after="0"/>
              <w:rPr>
                <w:sz w:val="20"/>
                <w:szCs w:val="20"/>
                <w:color w:val="auto"/>
              </w:rPr>
            </w:pPr>
            <w:r>
              <w:rPr>
                <w:rFonts w:ascii="Arial" w:cs="Arial" w:eastAsia="Arial" w:hAnsi="Arial"/>
                <w:sz w:val="18"/>
                <w:szCs w:val="18"/>
                <w:color w:val="auto"/>
                <w:w w:val="88"/>
              </w:rPr>
              <w:t>1,350,001,234</w:t>
            </w:r>
          </w:p>
        </w:tc>
        <w:tc>
          <w:tcPr>
            <w:tcW w:w="2000" w:type="dxa"/>
            <w:vAlign w:val="bottom"/>
          </w:tcPr>
          <w:p>
            <w:pPr>
              <w:jc w:val="center"/>
              <w:ind w:right="50"/>
              <w:spacing w:after="0"/>
              <w:rPr>
                <w:sz w:val="20"/>
                <w:szCs w:val="20"/>
                <w:color w:val="auto"/>
              </w:rPr>
            </w:pPr>
            <w:r>
              <w:rPr>
                <w:rFonts w:ascii="Arial" w:cs="Arial" w:eastAsia="Arial" w:hAnsi="Arial"/>
                <w:sz w:val="18"/>
                <w:szCs w:val="18"/>
                <w:color w:val="auto"/>
                <w:w w:val="90"/>
              </w:rPr>
              <w:t>57,915,732</w:t>
            </w: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Daniel A. Carp</w:t>
            </w:r>
          </w:p>
        </w:tc>
        <w:tc>
          <w:tcPr>
            <w:tcW w:w="4480" w:type="dxa"/>
            <w:vAlign w:val="bottom"/>
            <w:shd w:val="clear" w:color="auto" w:fill="CCEEFF"/>
          </w:tcPr>
          <w:p>
            <w:pPr>
              <w:jc w:val="center"/>
              <w:ind w:left="2291"/>
              <w:spacing w:after="0"/>
              <w:rPr>
                <w:sz w:val="20"/>
                <w:szCs w:val="20"/>
                <w:color w:val="auto"/>
              </w:rPr>
            </w:pPr>
            <w:r>
              <w:rPr>
                <w:rFonts w:ascii="Arial" w:cs="Arial" w:eastAsia="Arial" w:hAnsi="Arial"/>
                <w:sz w:val="18"/>
                <w:szCs w:val="18"/>
                <w:color w:val="auto"/>
                <w:w w:val="88"/>
              </w:rPr>
              <w:t>1,391,262,956</w:t>
            </w:r>
          </w:p>
        </w:tc>
        <w:tc>
          <w:tcPr>
            <w:tcW w:w="2000" w:type="dxa"/>
            <w:vAlign w:val="bottom"/>
            <w:shd w:val="clear" w:color="auto" w:fill="CCEEFF"/>
          </w:tcPr>
          <w:p>
            <w:pPr>
              <w:jc w:val="center"/>
              <w:ind w:right="50"/>
              <w:spacing w:after="0"/>
              <w:rPr>
                <w:sz w:val="20"/>
                <w:szCs w:val="20"/>
                <w:color w:val="auto"/>
              </w:rPr>
            </w:pPr>
            <w:r>
              <w:rPr>
                <w:rFonts w:ascii="Arial" w:cs="Arial" w:eastAsia="Arial" w:hAnsi="Arial"/>
                <w:sz w:val="18"/>
                <w:szCs w:val="18"/>
                <w:color w:val="auto"/>
                <w:w w:val="90"/>
              </w:rPr>
              <w:t>16,654,010</w:t>
            </w:r>
          </w:p>
        </w:tc>
      </w:tr>
      <w:tr>
        <w:trPr>
          <w:trHeight w:val="216"/>
        </w:trPr>
        <w:tc>
          <w:tcPr>
            <w:tcW w:w="2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Carrie S. Cox</w:t>
            </w:r>
          </w:p>
        </w:tc>
        <w:tc>
          <w:tcPr>
            <w:tcW w:w="4480" w:type="dxa"/>
            <w:vAlign w:val="bottom"/>
          </w:tcPr>
          <w:p>
            <w:pPr>
              <w:jc w:val="center"/>
              <w:ind w:left="2291"/>
              <w:spacing w:after="0"/>
              <w:rPr>
                <w:sz w:val="20"/>
                <w:szCs w:val="20"/>
                <w:color w:val="auto"/>
              </w:rPr>
            </w:pPr>
            <w:r>
              <w:rPr>
                <w:rFonts w:ascii="Arial" w:cs="Arial" w:eastAsia="Arial" w:hAnsi="Arial"/>
                <w:sz w:val="18"/>
                <w:szCs w:val="18"/>
                <w:color w:val="auto"/>
                <w:w w:val="88"/>
              </w:rPr>
              <w:t>1,394,386,913</w:t>
            </w:r>
          </w:p>
        </w:tc>
        <w:tc>
          <w:tcPr>
            <w:tcW w:w="2000" w:type="dxa"/>
            <w:vAlign w:val="bottom"/>
          </w:tcPr>
          <w:p>
            <w:pPr>
              <w:jc w:val="center"/>
              <w:ind w:right="50"/>
              <w:spacing w:after="0"/>
              <w:rPr>
                <w:sz w:val="20"/>
                <w:szCs w:val="20"/>
                <w:color w:val="auto"/>
              </w:rPr>
            </w:pPr>
            <w:r>
              <w:rPr>
                <w:rFonts w:ascii="Arial" w:cs="Arial" w:eastAsia="Arial" w:hAnsi="Arial"/>
                <w:sz w:val="18"/>
                <w:szCs w:val="18"/>
                <w:color w:val="auto"/>
                <w:w w:val="90"/>
              </w:rPr>
              <w:t>13,530,053</w:t>
            </w: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Thomas J. Engibous</w:t>
            </w:r>
          </w:p>
        </w:tc>
        <w:tc>
          <w:tcPr>
            <w:tcW w:w="4480" w:type="dxa"/>
            <w:vAlign w:val="bottom"/>
            <w:shd w:val="clear" w:color="auto" w:fill="CCEEFF"/>
          </w:tcPr>
          <w:p>
            <w:pPr>
              <w:jc w:val="center"/>
              <w:ind w:left="2291"/>
              <w:spacing w:after="0"/>
              <w:rPr>
                <w:sz w:val="20"/>
                <w:szCs w:val="20"/>
                <w:color w:val="auto"/>
              </w:rPr>
            </w:pPr>
            <w:r>
              <w:rPr>
                <w:rFonts w:ascii="Arial" w:cs="Arial" w:eastAsia="Arial" w:hAnsi="Arial"/>
                <w:sz w:val="18"/>
                <w:szCs w:val="18"/>
                <w:color w:val="auto"/>
                <w:w w:val="88"/>
              </w:rPr>
              <w:t>1,381,720,818</w:t>
            </w:r>
          </w:p>
        </w:tc>
        <w:tc>
          <w:tcPr>
            <w:tcW w:w="2000" w:type="dxa"/>
            <w:vAlign w:val="bottom"/>
            <w:shd w:val="clear" w:color="auto" w:fill="CCEEFF"/>
          </w:tcPr>
          <w:p>
            <w:pPr>
              <w:jc w:val="center"/>
              <w:ind w:right="50"/>
              <w:spacing w:after="0"/>
              <w:rPr>
                <w:sz w:val="20"/>
                <w:szCs w:val="20"/>
                <w:color w:val="auto"/>
              </w:rPr>
            </w:pPr>
            <w:r>
              <w:rPr>
                <w:rFonts w:ascii="Arial" w:cs="Arial" w:eastAsia="Arial" w:hAnsi="Arial"/>
                <w:sz w:val="18"/>
                <w:szCs w:val="18"/>
                <w:color w:val="auto"/>
                <w:w w:val="90"/>
              </w:rPr>
              <w:t>26,196,148</w:t>
            </w:r>
          </w:p>
        </w:tc>
      </w:tr>
      <w:tr>
        <w:trPr>
          <w:trHeight w:val="216"/>
        </w:trPr>
        <w:tc>
          <w:tcPr>
            <w:tcW w:w="2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Gerald W. Fronterhouse</w:t>
            </w:r>
          </w:p>
        </w:tc>
        <w:tc>
          <w:tcPr>
            <w:tcW w:w="4480" w:type="dxa"/>
            <w:vAlign w:val="bottom"/>
          </w:tcPr>
          <w:p>
            <w:pPr>
              <w:jc w:val="center"/>
              <w:ind w:left="2291"/>
              <w:spacing w:after="0"/>
              <w:rPr>
                <w:sz w:val="20"/>
                <w:szCs w:val="20"/>
                <w:color w:val="auto"/>
              </w:rPr>
            </w:pPr>
            <w:r>
              <w:rPr>
                <w:rFonts w:ascii="Arial" w:cs="Arial" w:eastAsia="Arial" w:hAnsi="Arial"/>
                <w:sz w:val="18"/>
                <w:szCs w:val="18"/>
                <w:color w:val="auto"/>
                <w:w w:val="88"/>
              </w:rPr>
              <w:t>1,377,943,037</w:t>
            </w:r>
          </w:p>
        </w:tc>
        <w:tc>
          <w:tcPr>
            <w:tcW w:w="2000" w:type="dxa"/>
            <w:vAlign w:val="bottom"/>
          </w:tcPr>
          <w:p>
            <w:pPr>
              <w:jc w:val="center"/>
              <w:ind w:right="50"/>
              <w:spacing w:after="0"/>
              <w:rPr>
                <w:sz w:val="20"/>
                <w:szCs w:val="20"/>
                <w:color w:val="auto"/>
              </w:rPr>
            </w:pPr>
            <w:r>
              <w:rPr>
                <w:rFonts w:ascii="Arial" w:cs="Arial" w:eastAsia="Arial" w:hAnsi="Arial"/>
                <w:sz w:val="18"/>
                <w:szCs w:val="18"/>
                <w:color w:val="auto"/>
                <w:w w:val="90"/>
              </w:rPr>
              <w:t>29,973,929</w:t>
            </w: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David R. Goode</w:t>
            </w:r>
          </w:p>
        </w:tc>
        <w:tc>
          <w:tcPr>
            <w:tcW w:w="4480" w:type="dxa"/>
            <w:vAlign w:val="bottom"/>
            <w:shd w:val="clear" w:color="auto" w:fill="CCEEFF"/>
          </w:tcPr>
          <w:p>
            <w:pPr>
              <w:jc w:val="center"/>
              <w:ind w:left="2291"/>
              <w:spacing w:after="0"/>
              <w:rPr>
                <w:sz w:val="20"/>
                <w:szCs w:val="20"/>
                <w:color w:val="auto"/>
              </w:rPr>
            </w:pPr>
            <w:r>
              <w:rPr>
                <w:rFonts w:ascii="Arial" w:cs="Arial" w:eastAsia="Arial" w:hAnsi="Arial"/>
                <w:sz w:val="18"/>
                <w:szCs w:val="18"/>
                <w:color w:val="auto"/>
                <w:w w:val="88"/>
              </w:rPr>
              <w:t>1,388,828,174</w:t>
            </w:r>
          </w:p>
        </w:tc>
        <w:tc>
          <w:tcPr>
            <w:tcW w:w="2000" w:type="dxa"/>
            <w:vAlign w:val="bottom"/>
            <w:shd w:val="clear" w:color="auto" w:fill="CCEEFF"/>
          </w:tcPr>
          <w:p>
            <w:pPr>
              <w:jc w:val="center"/>
              <w:ind w:right="50"/>
              <w:spacing w:after="0"/>
              <w:rPr>
                <w:sz w:val="20"/>
                <w:szCs w:val="20"/>
                <w:color w:val="auto"/>
              </w:rPr>
            </w:pPr>
            <w:r>
              <w:rPr>
                <w:rFonts w:ascii="Arial" w:cs="Arial" w:eastAsia="Arial" w:hAnsi="Arial"/>
                <w:sz w:val="18"/>
                <w:szCs w:val="18"/>
                <w:color w:val="auto"/>
                <w:w w:val="90"/>
              </w:rPr>
              <w:t>19,088,792</w:t>
            </w:r>
          </w:p>
        </w:tc>
      </w:tr>
      <w:tr>
        <w:trPr>
          <w:trHeight w:val="216"/>
        </w:trPr>
        <w:tc>
          <w:tcPr>
            <w:tcW w:w="2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Pamela H. Patsley</w:t>
            </w:r>
          </w:p>
        </w:tc>
        <w:tc>
          <w:tcPr>
            <w:tcW w:w="4480" w:type="dxa"/>
            <w:vAlign w:val="bottom"/>
          </w:tcPr>
          <w:p>
            <w:pPr>
              <w:jc w:val="center"/>
              <w:ind w:left="2291"/>
              <w:spacing w:after="0"/>
              <w:rPr>
                <w:sz w:val="20"/>
                <w:szCs w:val="20"/>
                <w:color w:val="auto"/>
              </w:rPr>
            </w:pPr>
            <w:r>
              <w:rPr>
                <w:rFonts w:ascii="Arial" w:cs="Arial" w:eastAsia="Arial" w:hAnsi="Arial"/>
                <w:sz w:val="18"/>
                <w:szCs w:val="18"/>
                <w:color w:val="auto"/>
                <w:w w:val="88"/>
              </w:rPr>
              <w:t>1,388,906,923</w:t>
            </w:r>
          </w:p>
        </w:tc>
        <w:tc>
          <w:tcPr>
            <w:tcW w:w="2000" w:type="dxa"/>
            <w:vAlign w:val="bottom"/>
          </w:tcPr>
          <w:p>
            <w:pPr>
              <w:jc w:val="center"/>
              <w:ind w:right="50"/>
              <w:spacing w:after="0"/>
              <w:rPr>
                <w:sz w:val="20"/>
                <w:szCs w:val="20"/>
                <w:color w:val="auto"/>
              </w:rPr>
            </w:pPr>
            <w:r>
              <w:rPr>
                <w:rFonts w:ascii="Arial" w:cs="Arial" w:eastAsia="Arial" w:hAnsi="Arial"/>
                <w:sz w:val="18"/>
                <w:szCs w:val="18"/>
                <w:color w:val="auto"/>
                <w:w w:val="90"/>
              </w:rPr>
              <w:t>19,010,043</w:t>
            </w: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Wayne R. Sanders</w:t>
            </w:r>
          </w:p>
        </w:tc>
        <w:tc>
          <w:tcPr>
            <w:tcW w:w="4480" w:type="dxa"/>
            <w:vAlign w:val="bottom"/>
            <w:shd w:val="clear" w:color="auto" w:fill="CCEEFF"/>
          </w:tcPr>
          <w:p>
            <w:pPr>
              <w:jc w:val="center"/>
              <w:ind w:left="2291"/>
              <w:spacing w:after="0"/>
              <w:rPr>
                <w:sz w:val="20"/>
                <w:szCs w:val="20"/>
                <w:color w:val="auto"/>
              </w:rPr>
            </w:pPr>
            <w:r>
              <w:rPr>
                <w:rFonts w:ascii="Arial" w:cs="Arial" w:eastAsia="Arial" w:hAnsi="Arial"/>
                <w:sz w:val="18"/>
                <w:szCs w:val="18"/>
                <w:color w:val="auto"/>
                <w:w w:val="88"/>
              </w:rPr>
              <w:t>1,393,736,014</w:t>
            </w:r>
          </w:p>
        </w:tc>
        <w:tc>
          <w:tcPr>
            <w:tcW w:w="2000" w:type="dxa"/>
            <w:vAlign w:val="bottom"/>
            <w:shd w:val="clear" w:color="auto" w:fill="CCEEFF"/>
          </w:tcPr>
          <w:p>
            <w:pPr>
              <w:jc w:val="center"/>
              <w:ind w:right="50"/>
              <w:spacing w:after="0"/>
              <w:rPr>
                <w:sz w:val="20"/>
                <w:szCs w:val="20"/>
                <w:color w:val="auto"/>
              </w:rPr>
            </w:pPr>
            <w:r>
              <w:rPr>
                <w:rFonts w:ascii="Arial" w:cs="Arial" w:eastAsia="Arial" w:hAnsi="Arial"/>
                <w:sz w:val="18"/>
                <w:szCs w:val="18"/>
                <w:color w:val="auto"/>
                <w:w w:val="90"/>
              </w:rPr>
              <w:t>14,180,952</w:t>
            </w:r>
          </w:p>
        </w:tc>
      </w:tr>
      <w:tr>
        <w:trPr>
          <w:trHeight w:val="216"/>
        </w:trPr>
        <w:tc>
          <w:tcPr>
            <w:tcW w:w="2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Ruth J. Simmons</w:t>
            </w:r>
          </w:p>
        </w:tc>
        <w:tc>
          <w:tcPr>
            <w:tcW w:w="4480" w:type="dxa"/>
            <w:vAlign w:val="bottom"/>
          </w:tcPr>
          <w:p>
            <w:pPr>
              <w:jc w:val="center"/>
              <w:ind w:left="2291"/>
              <w:spacing w:after="0"/>
              <w:rPr>
                <w:sz w:val="20"/>
                <w:szCs w:val="20"/>
                <w:color w:val="auto"/>
              </w:rPr>
            </w:pPr>
            <w:r>
              <w:rPr>
                <w:rFonts w:ascii="Arial" w:cs="Arial" w:eastAsia="Arial" w:hAnsi="Arial"/>
                <w:sz w:val="18"/>
                <w:szCs w:val="18"/>
                <w:color w:val="auto"/>
                <w:w w:val="88"/>
              </w:rPr>
              <w:t>1,391,541,568</w:t>
            </w:r>
          </w:p>
        </w:tc>
        <w:tc>
          <w:tcPr>
            <w:tcW w:w="2000" w:type="dxa"/>
            <w:vAlign w:val="bottom"/>
          </w:tcPr>
          <w:p>
            <w:pPr>
              <w:jc w:val="center"/>
              <w:ind w:right="50"/>
              <w:spacing w:after="0"/>
              <w:rPr>
                <w:sz w:val="20"/>
                <w:szCs w:val="20"/>
                <w:color w:val="auto"/>
              </w:rPr>
            </w:pPr>
            <w:r>
              <w:rPr>
                <w:rFonts w:ascii="Arial" w:cs="Arial" w:eastAsia="Arial" w:hAnsi="Arial"/>
                <w:sz w:val="18"/>
                <w:szCs w:val="18"/>
                <w:color w:val="auto"/>
                <w:w w:val="90"/>
              </w:rPr>
              <w:t>16,375,398</w:t>
            </w: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Richard K. Templeton</w:t>
            </w:r>
          </w:p>
        </w:tc>
        <w:tc>
          <w:tcPr>
            <w:tcW w:w="4480" w:type="dxa"/>
            <w:vAlign w:val="bottom"/>
            <w:shd w:val="clear" w:color="auto" w:fill="CCEEFF"/>
          </w:tcPr>
          <w:p>
            <w:pPr>
              <w:jc w:val="center"/>
              <w:ind w:left="2291"/>
              <w:spacing w:after="0"/>
              <w:rPr>
                <w:sz w:val="20"/>
                <w:szCs w:val="20"/>
                <w:color w:val="auto"/>
              </w:rPr>
            </w:pPr>
            <w:r>
              <w:rPr>
                <w:rFonts w:ascii="Arial" w:cs="Arial" w:eastAsia="Arial" w:hAnsi="Arial"/>
                <w:sz w:val="18"/>
                <w:szCs w:val="18"/>
                <w:color w:val="auto"/>
                <w:w w:val="88"/>
              </w:rPr>
              <w:t>1,381,056,423</w:t>
            </w:r>
          </w:p>
        </w:tc>
        <w:tc>
          <w:tcPr>
            <w:tcW w:w="2000" w:type="dxa"/>
            <w:vAlign w:val="bottom"/>
            <w:shd w:val="clear" w:color="auto" w:fill="CCEEFF"/>
          </w:tcPr>
          <w:p>
            <w:pPr>
              <w:jc w:val="center"/>
              <w:ind w:right="50"/>
              <w:spacing w:after="0"/>
              <w:rPr>
                <w:sz w:val="20"/>
                <w:szCs w:val="20"/>
                <w:color w:val="auto"/>
              </w:rPr>
            </w:pPr>
            <w:r>
              <w:rPr>
                <w:rFonts w:ascii="Arial" w:cs="Arial" w:eastAsia="Arial" w:hAnsi="Arial"/>
                <w:sz w:val="18"/>
                <w:szCs w:val="18"/>
                <w:color w:val="auto"/>
                <w:w w:val="90"/>
              </w:rPr>
              <w:t>26,860,543</w:t>
            </w:r>
          </w:p>
        </w:tc>
      </w:tr>
      <w:tr>
        <w:trPr>
          <w:trHeight w:val="230"/>
        </w:trPr>
        <w:tc>
          <w:tcPr>
            <w:tcW w:w="20" w:type="dxa"/>
            <w:vAlign w:val="bottom"/>
          </w:tcPr>
          <w:p>
            <w:pPr>
              <w:spacing w:after="0"/>
              <w:rPr>
                <w:sz w:val="20"/>
                <w:szCs w:val="20"/>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Christine Todd Whitman</w:t>
            </w:r>
          </w:p>
        </w:tc>
        <w:tc>
          <w:tcPr>
            <w:tcW w:w="4480" w:type="dxa"/>
            <w:vAlign w:val="bottom"/>
          </w:tcPr>
          <w:p>
            <w:pPr>
              <w:jc w:val="center"/>
              <w:ind w:left="2291"/>
              <w:spacing w:after="0"/>
              <w:rPr>
                <w:sz w:val="20"/>
                <w:szCs w:val="20"/>
                <w:color w:val="auto"/>
              </w:rPr>
            </w:pPr>
            <w:r>
              <w:rPr>
                <w:rFonts w:ascii="Arial" w:cs="Arial" w:eastAsia="Arial" w:hAnsi="Arial"/>
                <w:sz w:val="18"/>
                <w:szCs w:val="18"/>
                <w:color w:val="auto"/>
                <w:w w:val="88"/>
              </w:rPr>
              <w:t>1,389,947,479</w:t>
            </w:r>
          </w:p>
        </w:tc>
        <w:tc>
          <w:tcPr>
            <w:tcW w:w="2000" w:type="dxa"/>
            <w:vAlign w:val="bottom"/>
          </w:tcPr>
          <w:p>
            <w:pPr>
              <w:jc w:val="center"/>
              <w:ind w:right="50"/>
              <w:spacing w:after="0"/>
              <w:rPr>
                <w:sz w:val="20"/>
                <w:szCs w:val="20"/>
                <w:color w:val="auto"/>
              </w:rPr>
            </w:pPr>
            <w:r>
              <w:rPr>
                <w:rFonts w:ascii="Arial" w:cs="Arial" w:eastAsia="Arial" w:hAnsi="Arial"/>
                <w:sz w:val="18"/>
                <w:szCs w:val="18"/>
                <w:color w:val="auto"/>
                <w:w w:val="90"/>
              </w:rPr>
              <w:t>17,969,487</w:t>
            </w:r>
          </w:p>
        </w:tc>
      </w:tr>
      <w:tr>
        <w:trPr>
          <w:trHeight w:val="419"/>
        </w:trPr>
        <w:tc>
          <w:tcPr>
            <w:tcW w:w="20" w:type="dxa"/>
            <w:vAlign w:val="bottom"/>
          </w:tcPr>
          <w:p>
            <w:pPr>
              <w:spacing w:after="0"/>
              <w:rPr>
                <w:sz w:val="24"/>
                <w:szCs w:val="24"/>
                <w:color w:val="auto"/>
              </w:rPr>
            </w:pPr>
          </w:p>
        </w:tc>
        <w:tc>
          <w:tcPr>
            <w:tcW w:w="4920" w:type="dxa"/>
            <w:vAlign w:val="bottom"/>
          </w:tcPr>
          <w:p>
            <w:pPr>
              <w:spacing w:after="0"/>
              <w:rPr>
                <w:sz w:val="24"/>
                <w:szCs w:val="24"/>
                <w:color w:val="auto"/>
              </w:rPr>
            </w:pPr>
          </w:p>
        </w:tc>
        <w:tc>
          <w:tcPr>
            <w:tcW w:w="4480" w:type="dxa"/>
            <w:vAlign w:val="bottom"/>
          </w:tcPr>
          <w:p>
            <w:pPr>
              <w:jc w:val="right"/>
              <w:ind w:right="3551"/>
              <w:spacing w:after="0"/>
              <w:rPr>
                <w:sz w:val="20"/>
                <w:szCs w:val="20"/>
                <w:color w:val="auto"/>
              </w:rPr>
            </w:pPr>
            <w:r>
              <w:rPr>
                <w:rFonts w:ascii="Arial" w:cs="Arial" w:eastAsia="Arial" w:hAnsi="Arial"/>
                <w:sz w:val="14"/>
                <w:szCs w:val="14"/>
                <w:color w:val="auto"/>
              </w:rPr>
              <w:t>22</w:t>
            </w:r>
          </w:p>
        </w:tc>
        <w:tc>
          <w:tcPr>
            <w:tcW w:w="2000" w:type="dxa"/>
            <w:vAlign w:val="bottom"/>
          </w:tcPr>
          <w:p>
            <w:pPr>
              <w:spacing w:after="0"/>
              <w:rPr>
                <w:sz w:val="24"/>
                <w:szCs w:val="24"/>
                <w:color w:val="auto"/>
              </w:rPr>
            </w:pPr>
          </w:p>
        </w:tc>
      </w:tr>
      <w:tr>
        <w:trPr>
          <w:trHeight w:val="103"/>
        </w:trPr>
        <w:tc>
          <w:tcPr>
            <w:tcW w:w="20" w:type="dxa"/>
            <w:vAlign w:val="bottom"/>
          </w:tcPr>
          <w:p>
            <w:pPr>
              <w:spacing w:after="0"/>
              <w:rPr>
                <w:sz w:val="8"/>
                <w:szCs w:val="8"/>
                <w:color w:val="auto"/>
              </w:rPr>
            </w:pPr>
          </w:p>
        </w:tc>
        <w:tc>
          <w:tcPr>
            <w:tcW w:w="4920" w:type="dxa"/>
            <w:vAlign w:val="bottom"/>
            <w:tcBorders>
              <w:bottom w:val="single" w:sz="8" w:color="808080"/>
            </w:tcBorders>
          </w:tcPr>
          <w:p>
            <w:pPr>
              <w:spacing w:after="0"/>
              <w:rPr>
                <w:sz w:val="8"/>
                <w:szCs w:val="8"/>
                <w:color w:val="auto"/>
              </w:rPr>
            </w:pPr>
          </w:p>
        </w:tc>
        <w:tc>
          <w:tcPr>
            <w:tcW w:w="4480" w:type="dxa"/>
            <w:vAlign w:val="bottom"/>
            <w:tcBorders>
              <w:bottom w:val="single" w:sz="8" w:color="808080"/>
            </w:tcBorders>
          </w:tcPr>
          <w:p>
            <w:pPr>
              <w:spacing w:after="0"/>
              <w:rPr>
                <w:sz w:val="8"/>
                <w:szCs w:val="8"/>
                <w:color w:val="auto"/>
              </w:rPr>
            </w:pPr>
          </w:p>
        </w:tc>
        <w:tc>
          <w:tcPr>
            <w:tcW w:w="2000" w:type="dxa"/>
            <w:vAlign w:val="bottom"/>
            <w:tcBorders>
              <w:bottom w:val="single" w:sz="8" w:color="808080"/>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color w:val="auto"/>
        </w:rPr>
        <w:t>The Board proposal was approved with the following vote:</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380" w:type="dxa"/>
            <w:vAlign w:val="bottom"/>
          </w:tcPr>
          <w:p>
            <w:pPr>
              <w:jc w:val="center"/>
              <w:ind w:left="50"/>
              <w:spacing w:after="0"/>
              <w:rPr>
                <w:sz w:val="20"/>
                <w:szCs w:val="20"/>
                <w:color w:val="auto"/>
              </w:rPr>
            </w:pPr>
            <w:r>
              <w:rPr>
                <w:rFonts w:ascii="Arial" w:cs="Arial" w:eastAsia="Arial" w:hAnsi="Arial"/>
                <w:sz w:val="18"/>
                <w:szCs w:val="18"/>
                <w:b w:val="1"/>
                <w:bCs w:val="1"/>
                <w:color w:val="auto"/>
                <w:w w:val="90"/>
              </w:rPr>
              <w:t>Abstentions (Other Than</w:t>
            </w:r>
          </w:p>
        </w:tc>
        <w:tc>
          <w:tcPr>
            <w:tcW w:w="1780" w:type="dxa"/>
            <w:vAlign w:val="bottom"/>
          </w:tcPr>
          <w:p>
            <w:pPr>
              <w:spacing w:after="0"/>
              <w:rPr>
                <w:sz w:val="18"/>
                <w:szCs w:val="18"/>
                <w:color w:val="auto"/>
              </w:rPr>
            </w:pPr>
          </w:p>
        </w:tc>
      </w:tr>
      <w:tr>
        <w:trPr>
          <w:trHeight w:val="234"/>
        </w:trPr>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Proposal</w:t>
            </w:r>
          </w:p>
        </w:tc>
        <w:tc>
          <w:tcPr>
            <w:tcW w:w="182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96"/>
              </w:rPr>
              <w:t>For</w:t>
            </w:r>
          </w:p>
        </w:tc>
        <w:tc>
          <w:tcPr>
            <w:tcW w:w="1620" w:type="dxa"/>
            <w:vAlign w:val="bottom"/>
            <w:tcBorders>
              <w:bottom w:val="single" w:sz="8" w:color="auto"/>
            </w:tcBorders>
          </w:tcPr>
          <w:p>
            <w:pPr>
              <w:jc w:val="center"/>
              <w:ind w:left="130"/>
              <w:spacing w:after="0"/>
              <w:rPr>
                <w:sz w:val="20"/>
                <w:szCs w:val="20"/>
                <w:color w:val="auto"/>
              </w:rPr>
            </w:pPr>
            <w:r>
              <w:rPr>
                <w:rFonts w:ascii="Arial" w:cs="Arial" w:eastAsia="Arial" w:hAnsi="Arial"/>
                <w:sz w:val="18"/>
                <w:szCs w:val="18"/>
                <w:b w:val="1"/>
                <w:bCs w:val="1"/>
                <w:color w:val="auto"/>
                <w:w w:val="90"/>
              </w:rPr>
              <w:t>Against</w:t>
            </w:r>
          </w:p>
        </w:tc>
        <w:tc>
          <w:tcPr>
            <w:tcW w:w="2380" w:type="dxa"/>
            <w:vAlign w:val="bottom"/>
            <w:tcBorders>
              <w:bottom w:val="single" w:sz="8" w:color="auto"/>
            </w:tcBorders>
          </w:tcPr>
          <w:p>
            <w:pPr>
              <w:jc w:val="center"/>
              <w:ind w:left="50"/>
              <w:spacing w:after="0"/>
              <w:rPr>
                <w:sz w:val="20"/>
                <w:szCs w:val="20"/>
                <w:color w:val="auto"/>
              </w:rPr>
            </w:pPr>
            <w:r>
              <w:rPr>
                <w:rFonts w:ascii="Arial" w:cs="Arial" w:eastAsia="Arial" w:hAnsi="Arial"/>
                <w:sz w:val="18"/>
                <w:szCs w:val="18"/>
                <w:b w:val="1"/>
                <w:bCs w:val="1"/>
                <w:color w:val="auto"/>
                <w:w w:val="90"/>
              </w:rPr>
              <w:t>Broker Non-Votes)</w:t>
            </w:r>
          </w:p>
        </w:tc>
        <w:tc>
          <w:tcPr>
            <w:tcW w:w="178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0"/>
              </w:rPr>
              <w:t>Broker Non-Votes</w:t>
            </w:r>
          </w:p>
        </w:tc>
      </w:tr>
      <w:tr>
        <w:trPr>
          <w:trHeight w:val="438"/>
        </w:trPr>
        <w:tc>
          <w:tcPr>
            <w:tcW w:w="3820" w:type="dxa"/>
            <w:vAlign w:val="bottom"/>
          </w:tcPr>
          <w:p>
            <w:pPr>
              <w:spacing w:after="0"/>
              <w:rPr>
                <w:sz w:val="20"/>
                <w:szCs w:val="20"/>
                <w:color w:val="auto"/>
              </w:rPr>
            </w:pPr>
            <w:r>
              <w:rPr>
                <w:rFonts w:ascii="Arial" w:cs="Arial" w:eastAsia="Arial" w:hAnsi="Arial"/>
                <w:sz w:val="18"/>
                <w:szCs w:val="18"/>
                <w:color w:val="auto"/>
                <w:w w:val="98"/>
              </w:rPr>
              <w:t>Board proposal to ratify the appointment of Ernst</w:t>
            </w:r>
          </w:p>
        </w:tc>
        <w:tc>
          <w:tcPr>
            <w:tcW w:w="1820" w:type="dxa"/>
            <w:vAlign w:val="bottom"/>
          </w:tcPr>
          <w:p>
            <w:pPr>
              <w:jc w:val="right"/>
              <w:ind w:right="410"/>
              <w:spacing w:after="0"/>
              <w:rPr>
                <w:sz w:val="20"/>
                <w:szCs w:val="20"/>
                <w:color w:val="auto"/>
              </w:rPr>
            </w:pPr>
            <w:r>
              <w:rPr>
                <w:rFonts w:ascii="Arial" w:cs="Arial" w:eastAsia="Arial" w:hAnsi="Arial"/>
                <w:sz w:val="18"/>
                <w:szCs w:val="18"/>
                <w:color w:val="auto"/>
              </w:rPr>
              <w:t>1,382,355,751</w:t>
            </w:r>
          </w:p>
        </w:tc>
        <w:tc>
          <w:tcPr>
            <w:tcW w:w="1620" w:type="dxa"/>
            <w:vAlign w:val="bottom"/>
          </w:tcPr>
          <w:p>
            <w:pPr>
              <w:jc w:val="right"/>
              <w:ind w:right="210"/>
              <w:spacing w:after="0"/>
              <w:rPr>
                <w:sz w:val="20"/>
                <w:szCs w:val="20"/>
                <w:color w:val="auto"/>
              </w:rPr>
            </w:pPr>
            <w:r>
              <w:rPr>
                <w:rFonts w:ascii="Arial" w:cs="Arial" w:eastAsia="Arial" w:hAnsi="Arial"/>
                <w:sz w:val="18"/>
                <w:szCs w:val="18"/>
                <w:color w:val="auto"/>
              </w:rPr>
              <w:t>16,909,814</w:t>
            </w:r>
          </w:p>
        </w:tc>
        <w:tc>
          <w:tcPr>
            <w:tcW w:w="2380" w:type="dxa"/>
            <w:vAlign w:val="bottom"/>
          </w:tcPr>
          <w:p>
            <w:pPr>
              <w:jc w:val="center"/>
              <w:ind w:left="50"/>
              <w:spacing w:after="0"/>
              <w:rPr>
                <w:sz w:val="20"/>
                <w:szCs w:val="20"/>
                <w:color w:val="auto"/>
              </w:rPr>
            </w:pPr>
            <w:r>
              <w:rPr>
                <w:rFonts w:ascii="Arial" w:cs="Arial" w:eastAsia="Arial" w:hAnsi="Arial"/>
                <w:sz w:val="18"/>
                <w:szCs w:val="18"/>
                <w:color w:val="auto"/>
                <w:w w:val="89"/>
              </w:rPr>
              <w:t>8,652,799</w:t>
            </w:r>
          </w:p>
        </w:tc>
        <w:tc>
          <w:tcPr>
            <w:tcW w:w="1780" w:type="dxa"/>
            <w:vAlign w:val="bottom"/>
          </w:tcPr>
          <w:p>
            <w:pPr>
              <w:jc w:val="right"/>
              <w:ind w:right="830"/>
              <w:spacing w:after="0"/>
              <w:rPr>
                <w:sz w:val="20"/>
                <w:szCs w:val="20"/>
                <w:color w:val="auto"/>
              </w:rPr>
            </w:pPr>
            <w:r>
              <w:rPr>
                <w:rFonts w:ascii="Arial" w:cs="Arial" w:eastAsia="Arial" w:hAnsi="Arial"/>
                <w:sz w:val="18"/>
                <w:szCs w:val="18"/>
                <w:color w:val="auto"/>
              </w:rPr>
              <w:t>-</w:t>
            </w:r>
          </w:p>
        </w:tc>
      </w:tr>
      <w:tr>
        <w:trPr>
          <w:trHeight w:val="216"/>
        </w:trPr>
        <w:tc>
          <w:tcPr>
            <w:tcW w:w="3820" w:type="dxa"/>
            <w:vAlign w:val="bottom"/>
          </w:tcPr>
          <w:p>
            <w:pPr>
              <w:spacing w:after="0"/>
              <w:rPr>
                <w:sz w:val="20"/>
                <w:szCs w:val="20"/>
                <w:color w:val="auto"/>
              </w:rPr>
            </w:pPr>
            <w:r>
              <w:rPr>
                <w:rFonts w:ascii="Arial" w:cs="Arial" w:eastAsia="Arial" w:hAnsi="Arial"/>
                <w:sz w:val="18"/>
                <w:szCs w:val="18"/>
                <w:color w:val="auto"/>
              </w:rPr>
              <w:t>&amp; Young LLP as the company's independent</w:t>
            </w:r>
          </w:p>
        </w:tc>
        <w:tc>
          <w:tcPr>
            <w:tcW w:w="18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780" w:type="dxa"/>
            <w:vAlign w:val="bottom"/>
          </w:tcPr>
          <w:p>
            <w:pPr>
              <w:spacing w:after="0"/>
              <w:rPr>
                <w:sz w:val="18"/>
                <w:szCs w:val="18"/>
                <w:color w:val="auto"/>
              </w:rPr>
            </w:pPr>
          </w:p>
        </w:tc>
      </w:tr>
      <w:tr>
        <w:trPr>
          <w:trHeight w:val="230"/>
        </w:trPr>
        <w:tc>
          <w:tcPr>
            <w:tcW w:w="3820" w:type="dxa"/>
            <w:vAlign w:val="bottom"/>
          </w:tcPr>
          <w:p>
            <w:pPr>
              <w:spacing w:after="0"/>
              <w:rPr>
                <w:sz w:val="20"/>
                <w:szCs w:val="20"/>
                <w:color w:val="auto"/>
              </w:rPr>
            </w:pPr>
            <w:r>
              <w:rPr>
                <w:rFonts w:ascii="Arial" w:cs="Arial" w:eastAsia="Arial" w:hAnsi="Arial"/>
                <w:sz w:val="18"/>
                <w:szCs w:val="18"/>
                <w:color w:val="auto"/>
              </w:rPr>
              <w:t>registered public accounting firm</w:t>
            </w:r>
          </w:p>
        </w:tc>
        <w:tc>
          <w:tcPr>
            <w:tcW w:w="18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1780" w:type="dxa"/>
            <w:vAlign w:val="bottom"/>
          </w:tcPr>
          <w:p>
            <w:pPr>
              <w:spacing w:after="0"/>
              <w:rPr>
                <w:sz w:val="20"/>
                <w:szCs w:val="20"/>
                <w:color w:val="auto"/>
              </w:rPr>
            </w:pPr>
          </w:p>
        </w:tc>
      </w:tr>
    </w:tbl>
    <w:p>
      <w:pPr>
        <w:spacing w:after="0" w:line="25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3" w:name="page24"/>
    <w:bookmarkEnd w:id="23"/>
    <w:p>
      <w:pPr>
        <w:spacing w:after="0"/>
        <w:rPr>
          <w:sz w:val="20"/>
          <w:szCs w:val="20"/>
          <w:color w:val="auto"/>
        </w:rPr>
      </w:pPr>
      <w:r>
        <w:rPr>
          <w:rFonts w:ascii="Arial" w:cs="Arial" w:eastAsia="Arial" w:hAnsi="Arial"/>
          <w:sz w:val="17"/>
          <w:szCs w:val="17"/>
          <w:b w:val="1"/>
          <w:bCs w:val="1"/>
          <w:color w:val="auto"/>
        </w:rPr>
        <w:t>ITEM 6. Exhibits.</w:t>
      </w:r>
    </w:p>
    <w:p>
      <w:pPr>
        <w:spacing w:after="0" w:line="291" w:lineRule="exact"/>
        <w:rPr>
          <w:sz w:val="20"/>
          <w:szCs w:val="20"/>
          <w:color w:val="auto"/>
        </w:rPr>
      </w:pPr>
    </w:p>
    <w:p>
      <w:pPr>
        <w:ind w:left="180"/>
        <w:spacing w:after="0" w:line="257" w:lineRule="auto"/>
        <w:rPr>
          <w:sz w:val="20"/>
          <w:szCs w:val="20"/>
          <w:color w:val="auto"/>
        </w:rPr>
      </w:pPr>
      <w:r>
        <w:rPr>
          <w:rFonts w:ascii="Arial" w:cs="Arial" w:eastAsia="Arial" w:hAnsi="Arial"/>
          <w:sz w:val="18"/>
          <w:szCs w:val="18"/>
          <w:b w:val="1"/>
          <w:bCs w:val="1"/>
          <w:color w:val="auto"/>
        </w:rPr>
        <w:t>Designation of Exhibits in This Report</w:t>
      </w:r>
    </w:p>
    <w:p>
      <w:pPr>
        <w:spacing w:after="0" w:line="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31.1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98615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986155" cy="8890"/>
                    </a:xfrm>
                    <a:prstGeom prst="rect">
                      <a:avLst/>
                    </a:prstGeom>
                    <a:noFill/>
                  </pic:spPr>
                </pic:pic>
              </a:graphicData>
            </a:graphic>
          </wp:anchor>
        </w:drawing>
      </w:r>
    </w:p>
    <w:p>
      <w:pPr>
        <w:spacing w:after="0" w:line="258" w:lineRule="exact"/>
        <w:rPr>
          <w:sz w:val="20"/>
          <w:szCs w:val="20"/>
          <w:color w:val="auto"/>
        </w:rPr>
      </w:pPr>
    </w:p>
    <w:p>
      <w:pPr>
        <w:ind w:left="700"/>
        <w:spacing w:after="0"/>
        <w:rPr>
          <w:sz w:val="20"/>
          <w:szCs w:val="20"/>
          <w:color w:val="auto"/>
        </w:rPr>
      </w:pPr>
      <w:r>
        <w:rPr>
          <w:rFonts w:ascii="Arial" w:cs="Arial" w:eastAsia="Arial" w:hAnsi="Arial"/>
          <w:sz w:val="18"/>
          <w:szCs w:val="18"/>
          <w:color w:val="auto"/>
        </w:rPr>
        <w:t>31.2</w:t>
      </w:r>
    </w:p>
    <w:p>
      <w:pPr>
        <w:spacing w:after="0" w:line="27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32.1</w:t>
      </w:r>
    </w:p>
    <w:p>
      <w:pPr>
        <w:spacing w:after="0" w:line="27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32.2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Description of 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17145</wp:posOffset>
            </wp:positionV>
            <wp:extent cx="605472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054725" cy="8890"/>
                    </a:xfrm>
                    <a:prstGeom prst="rect">
                      <a:avLst/>
                    </a:prstGeom>
                    <a:noFill/>
                  </pic:spPr>
                </pic:pic>
              </a:graphicData>
            </a:graphic>
          </wp:anchor>
        </w:drawing>
      </w:r>
    </w:p>
    <w:p>
      <w:pPr>
        <w:spacing w:after="0" w:line="34" w:lineRule="exact"/>
        <w:rPr>
          <w:sz w:val="20"/>
          <w:szCs w:val="20"/>
          <w:color w:val="auto"/>
        </w:rPr>
      </w:pPr>
    </w:p>
    <w:p>
      <w:pPr>
        <w:spacing w:after="0"/>
        <w:rPr>
          <w:sz w:val="20"/>
          <w:szCs w:val="20"/>
          <w:color w:val="auto"/>
        </w:rPr>
      </w:pPr>
      <w:r>
        <w:rPr>
          <w:rFonts w:ascii="Arial" w:cs="Arial" w:eastAsia="Arial" w:hAnsi="Arial"/>
          <w:sz w:val="16"/>
          <w:szCs w:val="16"/>
          <w:color w:val="auto"/>
        </w:rPr>
        <w:t>Certification of Chief Executive Officer of Periodic Report Pursuant to Rule 13a-15(e) or Rule 15d-15(e).</w:t>
      </w:r>
    </w:p>
    <w:p>
      <w:pPr>
        <w:spacing w:after="0" w:line="302" w:lineRule="exact"/>
        <w:rPr>
          <w:sz w:val="20"/>
          <w:szCs w:val="20"/>
          <w:color w:val="auto"/>
        </w:rPr>
      </w:pPr>
    </w:p>
    <w:p>
      <w:pPr>
        <w:spacing w:after="0"/>
        <w:rPr>
          <w:sz w:val="20"/>
          <w:szCs w:val="20"/>
          <w:color w:val="auto"/>
        </w:rPr>
      </w:pPr>
      <w:r>
        <w:rPr>
          <w:rFonts w:ascii="Arial" w:cs="Arial" w:eastAsia="Arial" w:hAnsi="Arial"/>
          <w:sz w:val="16"/>
          <w:szCs w:val="16"/>
          <w:color w:val="auto"/>
        </w:rPr>
        <w:t>Certification of Chief Financial Officer of Periodic Report Pursuant to Rule 13a-15(e) or Rule 15d-15(e).</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color w:val="auto"/>
        </w:rPr>
        <w:t>Certification by Chief Executive Officer of Periodic Report Pursuant to 18 U.S.C. Section 1350.</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Certification by Chief Financial Officer of Periodic Report Pursuant to 18 U.S.C. Section 1350.</w:t>
      </w:r>
    </w:p>
    <w:p>
      <w:pPr>
        <w:spacing w:after="0" w:line="200" w:lineRule="exact"/>
        <w:rPr>
          <w:sz w:val="20"/>
          <w:szCs w:val="20"/>
          <w:color w:val="auto"/>
        </w:rPr>
      </w:pPr>
    </w:p>
    <w:p>
      <w:pPr>
        <w:sectPr>
          <w:pgSz w:w="11900" w:h="16838" w:orient="portrait"/>
          <w:cols w:equalWidth="0" w:num="2">
            <w:col w:w="1400" w:space="480"/>
            <w:col w:w="9440"/>
          </w:cols>
          <w:pgMar w:left="240" w:top="121" w:right="339" w:bottom="1440" w:gutter="0" w:footer="0" w:header="0"/>
        </w:sectPr>
      </w:pP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“Safe Harbor” Statement under the Private Securities Litigation Reform Act of 1995:</w:t>
      </w:r>
    </w:p>
    <w:p>
      <w:pPr>
        <w:spacing w:after="0" w:line="279"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This report includes forward-looking statements intended to qualify for the safe harbor from liability established by the Private Securities Litigation Reform Act of 1995. These forward-looking statements generally can be identified by phrases such as TI or its management “believes,” “expects,” “anticipates,” “foresees,” “forecasts,” “estimates” or other words or phrases of similar import. Similarly, statements herein that describe TI’s business strategy, outlook, objectives, plans, intentions or goals also are forward-looking statements. All such forward-looking statements are subject to certain risks and uncertainties that could cause actual results to differ materially from those in forward-looking statements.</w:t>
      </w:r>
    </w:p>
    <w:p>
      <w:pPr>
        <w:spacing w:after="0" w:line="227"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We urge you to carefully consider the following important factors that could cause actual results to differ materially from the expectations of TI or its management:</w:t>
      </w:r>
    </w:p>
    <w:p>
      <w:pPr>
        <w:spacing w:after="0" w:line="224" w:lineRule="exact"/>
        <w:rPr>
          <w:sz w:val="20"/>
          <w:szCs w:val="20"/>
          <w:color w:val="auto"/>
        </w:rPr>
      </w:pPr>
    </w:p>
    <w:p>
      <w:pPr>
        <w:ind w:left="1000" w:right="600" w:hanging="425"/>
        <w:spacing w:after="0" w:line="258" w:lineRule="auto"/>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Market demand for semiconductors, particularly for analog chips and digital signal processors in key markets such as communications, entertainment electronics and computing;</w:t>
      </w:r>
    </w:p>
    <w:p>
      <w:pPr>
        <w:spacing w:after="0" w:line="1" w:lineRule="exact"/>
        <w:rPr>
          <w:rFonts w:ascii="Arial" w:cs="Arial" w:eastAsia="Arial" w:hAnsi="Arial"/>
          <w:sz w:val="18"/>
          <w:szCs w:val="18"/>
          <w:color w:val="auto"/>
        </w:rPr>
      </w:pPr>
    </w:p>
    <w:p>
      <w:pPr>
        <w:ind w:left="1000" w:hanging="425"/>
        <w:spacing w:after="0" w:line="250" w:lineRule="auto"/>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TI’s ability to maintain or improve profit margins, including its ability to utilize its manufacturing facilities at sufficient levels to cover its fixed operating costs, in an intensely competitive and cyclical industry;</w:t>
      </w:r>
    </w:p>
    <w:p>
      <w:pPr>
        <w:ind w:left="1000" w:hanging="425"/>
        <w:spacing w:after="0"/>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TI’s ability to develop, manufacture and market innovative products in a rapidly changing technological environment;</w:t>
      </w:r>
    </w:p>
    <w:p>
      <w:pPr>
        <w:spacing w:after="0" w:line="48" w:lineRule="exact"/>
        <w:rPr>
          <w:rFonts w:ascii="Arial" w:cs="Arial" w:eastAsia="Arial" w:hAnsi="Arial"/>
          <w:sz w:val="18"/>
          <w:szCs w:val="18"/>
          <w:color w:val="auto"/>
        </w:rPr>
      </w:pPr>
    </w:p>
    <w:p>
      <w:pPr>
        <w:ind w:left="1000" w:hanging="425"/>
        <w:spacing w:after="0"/>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TI’s ability to compete in products and prices in an intensely competitive industry;</w:t>
      </w:r>
    </w:p>
    <w:p>
      <w:pPr>
        <w:spacing w:after="0" w:line="63" w:lineRule="exact"/>
        <w:rPr>
          <w:rFonts w:ascii="Arial" w:cs="Arial" w:eastAsia="Arial" w:hAnsi="Arial"/>
          <w:sz w:val="18"/>
          <w:szCs w:val="18"/>
          <w:color w:val="auto"/>
        </w:rPr>
      </w:pPr>
    </w:p>
    <w:p>
      <w:pPr>
        <w:ind w:left="1000" w:hanging="425"/>
        <w:spacing w:after="0"/>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TI’s ability to maintain and enforce a strong intellectual property portfolio and obtain needed licenses from third parties;</w:t>
      </w:r>
    </w:p>
    <w:p>
      <w:pPr>
        <w:spacing w:after="0" w:line="63" w:lineRule="exact"/>
        <w:rPr>
          <w:rFonts w:ascii="Arial" w:cs="Arial" w:eastAsia="Arial" w:hAnsi="Arial"/>
          <w:sz w:val="18"/>
          <w:szCs w:val="18"/>
          <w:color w:val="auto"/>
        </w:rPr>
      </w:pPr>
    </w:p>
    <w:p>
      <w:pPr>
        <w:ind w:left="1000" w:hanging="425"/>
        <w:spacing w:after="0"/>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Expiration of license agreements between TI and its licensees, and market conditions reducing royalty payments to TI;</w:t>
      </w:r>
    </w:p>
    <w:p>
      <w:pPr>
        <w:spacing w:after="0" w:line="63" w:lineRule="exact"/>
        <w:rPr>
          <w:rFonts w:ascii="Arial" w:cs="Arial" w:eastAsia="Arial" w:hAnsi="Arial"/>
          <w:sz w:val="18"/>
          <w:szCs w:val="18"/>
          <w:color w:val="auto"/>
        </w:rPr>
      </w:pPr>
    </w:p>
    <w:p>
      <w:pPr>
        <w:ind w:left="1000" w:right="300" w:hanging="425"/>
        <w:spacing w:after="0" w:line="258" w:lineRule="auto"/>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Economic, social and political conditions in the countries in which TI, its customers or its suppliers operate, including security risks, health conditions, possible disruptions in transportation networks and fluctuations in foreign currency exchange rates;</w:t>
      </w:r>
    </w:p>
    <w:p>
      <w:pPr>
        <w:spacing w:after="0" w:line="1" w:lineRule="exact"/>
        <w:rPr>
          <w:rFonts w:ascii="Arial" w:cs="Arial" w:eastAsia="Arial" w:hAnsi="Arial"/>
          <w:sz w:val="18"/>
          <w:szCs w:val="18"/>
          <w:color w:val="auto"/>
        </w:rPr>
      </w:pPr>
    </w:p>
    <w:p>
      <w:pPr>
        <w:ind w:left="1000" w:hanging="425"/>
        <w:spacing w:after="0"/>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Natural events such as severe weather and earthquakes in the locations in which TI, its customers or suppliers operate;</w:t>
      </w:r>
    </w:p>
    <w:p>
      <w:pPr>
        <w:spacing w:after="0" w:line="48" w:lineRule="exact"/>
        <w:rPr>
          <w:rFonts w:ascii="Arial" w:cs="Arial" w:eastAsia="Arial" w:hAnsi="Arial"/>
          <w:sz w:val="18"/>
          <w:szCs w:val="18"/>
          <w:color w:val="auto"/>
        </w:rPr>
      </w:pPr>
    </w:p>
    <w:p>
      <w:pPr>
        <w:ind w:left="1000" w:hanging="425"/>
        <w:spacing w:after="0"/>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Availability and cost of raw materials, utilities and critical manufacturing equipment;</w:t>
      </w:r>
    </w:p>
    <w:p>
      <w:pPr>
        <w:spacing w:after="0" w:line="63" w:lineRule="exact"/>
        <w:rPr>
          <w:rFonts w:ascii="Arial" w:cs="Arial" w:eastAsia="Arial" w:hAnsi="Arial"/>
          <w:sz w:val="18"/>
          <w:szCs w:val="18"/>
          <w:color w:val="auto"/>
        </w:rPr>
      </w:pPr>
    </w:p>
    <w:p>
      <w:pPr>
        <w:ind w:left="1000" w:right="240" w:hanging="425"/>
        <w:spacing w:after="0" w:line="277" w:lineRule="auto"/>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the tax rate applicable to TI as the result of changes in tax law, the jurisdictions in which profits are determined to be earned and taxed, the outcome of tax audits and the ability to realize deferred tax assets;</w:t>
      </w:r>
    </w:p>
    <w:p>
      <w:pPr>
        <w:spacing w:after="0" w:line="193"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21" w:right="339" w:bottom="1440" w:gutter="0" w:footer="0" w:header="0"/>
          <w:type w:val="continuous"/>
        </w:sectPr>
      </w:pPr>
    </w:p>
    <w:bookmarkStart w:id="24" w:name="page25"/>
    <w:bookmarkEnd w:id="24"/>
    <w:p>
      <w:pPr>
        <w:ind w:left="1000" w:hanging="425"/>
        <w:spacing w:after="0"/>
        <w:tabs>
          <w:tab w:leader="none" w:pos="10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Losses or curtailments of purchases from key customers and the timing and amount of distributor and other customer inventory adjustments;</w:t>
      </w:r>
    </w:p>
    <w:p>
      <w:pPr>
        <w:spacing w:after="0" w:line="86" w:lineRule="exact"/>
        <w:rPr>
          <w:rFonts w:ascii="Arial" w:cs="Arial" w:eastAsia="Arial" w:hAnsi="Arial"/>
          <w:sz w:val="16"/>
          <w:szCs w:val="16"/>
          <w:color w:val="auto"/>
        </w:rPr>
      </w:pPr>
    </w:p>
    <w:p>
      <w:pPr>
        <w:ind w:left="1000" w:hanging="425"/>
        <w:spacing w:after="0"/>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Customer demand that differs from company forecasts;</w:t>
      </w:r>
    </w:p>
    <w:p>
      <w:pPr>
        <w:spacing w:after="0" w:line="63" w:lineRule="exact"/>
        <w:rPr>
          <w:rFonts w:ascii="Arial" w:cs="Arial" w:eastAsia="Arial" w:hAnsi="Arial"/>
          <w:sz w:val="18"/>
          <w:szCs w:val="18"/>
          <w:color w:val="auto"/>
        </w:rPr>
      </w:pPr>
    </w:p>
    <w:p>
      <w:pPr>
        <w:ind w:left="1000" w:hanging="425"/>
        <w:spacing w:after="0"/>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financial impact of inadequate or excess TI inventories to meet demand that differs from projections;</w:t>
      </w:r>
    </w:p>
    <w:p>
      <w:pPr>
        <w:spacing w:after="0" w:line="36" w:lineRule="exact"/>
        <w:rPr>
          <w:rFonts w:ascii="Arial" w:cs="Arial" w:eastAsia="Arial" w:hAnsi="Arial"/>
          <w:sz w:val="18"/>
          <w:szCs w:val="18"/>
          <w:color w:val="auto"/>
        </w:rPr>
      </w:pPr>
    </w:p>
    <w:p>
      <w:pPr>
        <w:ind w:left="1000" w:hanging="425"/>
        <w:spacing w:after="0"/>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Product liability or warranty claims, or recalls by TI customers for a product containing a TI part;</w:t>
      </w:r>
    </w:p>
    <w:p>
      <w:pPr>
        <w:spacing w:after="0" w:line="36" w:lineRule="exact"/>
        <w:rPr>
          <w:rFonts w:ascii="Arial" w:cs="Arial" w:eastAsia="Arial" w:hAnsi="Arial"/>
          <w:sz w:val="18"/>
          <w:szCs w:val="18"/>
          <w:color w:val="auto"/>
        </w:rPr>
      </w:pPr>
    </w:p>
    <w:p>
      <w:pPr>
        <w:ind w:left="1000" w:hanging="425"/>
        <w:spacing w:after="0"/>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TI’s ability to recruit and retain skilled personnel; and</w:t>
      </w:r>
    </w:p>
    <w:p>
      <w:pPr>
        <w:spacing w:after="0" w:line="63" w:lineRule="exact"/>
        <w:rPr>
          <w:rFonts w:ascii="Arial" w:cs="Arial" w:eastAsia="Arial" w:hAnsi="Arial"/>
          <w:sz w:val="18"/>
          <w:szCs w:val="18"/>
          <w:color w:val="auto"/>
        </w:rPr>
      </w:pPr>
    </w:p>
    <w:p>
      <w:pPr>
        <w:ind w:left="1000" w:hanging="425"/>
        <w:spacing w:after="0" w:line="277" w:lineRule="auto"/>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Timely implementation of new manufacturing technologies, installation of manufacturing equipment and the ability to obtain needed third-party foundry and assembly/test subcontract services.</w:t>
      </w:r>
    </w:p>
    <w:p>
      <w:pPr>
        <w:spacing w:after="0" w:line="224"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For a more detailed discussion of these factors, see the Risk Factors discussion in Item 1A of the Company’s most recent Form 10-K. The forward-looking statements included in this quarterly report on Form 10-Q are made only as of the date of this report, and the Company undertakes no obligation to update the forward-looking statements to reflect subsequent events or circumstances.</w:t>
      </w: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SIGNATURE</w:t>
      </w:r>
    </w:p>
    <w:p>
      <w:pPr>
        <w:spacing w:after="0" w:line="23"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38" w:lineRule="exact"/>
        <w:rPr>
          <w:sz w:val="20"/>
          <w:szCs w:val="20"/>
          <w:color w:val="auto"/>
        </w:rPr>
      </w:pPr>
    </w:p>
    <w:p>
      <w:pPr>
        <w:ind w:left="8040"/>
        <w:spacing w:after="0"/>
        <w:rPr>
          <w:sz w:val="20"/>
          <w:szCs w:val="20"/>
          <w:color w:val="auto"/>
        </w:rPr>
      </w:pPr>
      <w:r>
        <w:rPr>
          <w:rFonts w:ascii="Arial" w:cs="Arial" w:eastAsia="Arial" w:hAnsi="Arial"/>
          <w:sz w:val="17"/>
          <w:szCs w:val="17"/>
          <w:color w:val="auto"/>
        </w:rPr>
        <w:t>TEXAS INSTRUMENTS INCORPORATED</w:t>
      </w:r>
    </w:p>
    <w:p>
      <w:pPr>
        <w:spacing w:after="0" w:line="237" w:lineRule="exact"/>
        <w:rPr>
          <w:sz w:val="20"/>
          <w:szCs w:val="20"/>
          <w:color w:val="auto"/>
        </w:rPr>
      </w:pPr>
    </w:p>
    <w:p>
      <w:pPr>
        <w:ind w:left="804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Kevin P.</w:t>
      </w:r>
    </w:p>
    <w:p>
      <w:pPr>
        <w:spacing w:after="0" w:line="23" w:lineRule="exact"/>
        <w:rPr>
          <w:sz w:val="20"/>
          <w:szCs w:val="20"/>
          <w:color w:val="auto"/>
        </w:rPr>
      </w:pPr>
    </w:p>
    <w:p>
      <w:pPr>
        <w:ind w:left="8000"/>
        <w:spacing w:after="0"/>
        <w:rPr>
          <w:sz w:val="20"/>
          <w:szCs w:val="20"/>
          <w:color w:val="auto"/>
        </w:rPr>
      </w:pPr>
      <w:r>
        <w:rPr>
          <w:rFonts w:ascii="Arial" w:cs="Arial" w:eastAsia="Arial" w:hAnsi="Arial"/>
          <w:sz w:val="18"/>
          <w:szCs w:val="18"/>
          <w:color w:val="auto"/>
        </w:rPr>
        <w:t>March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5081905</wp:posOffset>
            </wp:positionH>
            <wp:positionV relativeFrom="paragraph">
              <wp:posOffset>-19050</wp:posOffset>
            </wp:positionV>
            <wp:extent cx="138430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384300" cy="8890"/>
                    </a:xfrm>
                    <a:prstGeom prst="rect">
                      <a:avLst/>
                    </a:prstGeom>
                    <a:noFill/>
                  </pic:spPr>
                </pic:pic>
              </a:graphicData>
            </a:graphic>
          </wp:anchor>
        </w:drawing>
      </w:r>
    </w:p>
    <w:p>
      <w:pPr>
        <w:ind w:left="8380"/>
        <w:spacing w:after="0"/>
        <w:rPr>
          <w:sz w:val="20"/>
          <w:szCs w:val="20"/>
          <w:color w:val="auto"/>
        </w:rPr>
      </w:pPr>
      <w:r>
        <w:rPr>
          <w:rFonts w:ascii="Arial" w:cs="Arial" w:eastAsia="Arial" w:hAnsi="Arial"/>
          <w:sz w:val="18"/>
          <w:szCs w:val="18"/>
          <w:color w:val="auto"/>
        </w:rPr>
        <w:t>Kevin P. March</w:t>
      </w:r>
    </w:p>
    <w:p>
      <w:pPr>
        <w:spacing w:after="0" w:line="23" w:lineRule="exact"/>
        <w:rPr>
          <w:sz w:val="20"/>
          <w:szCs w:val="20"/>
          <w:color w:val="auto"/>
        </w:rPr>
      </w:pPr>
    </w:p>
    <w:p>
      <w:pPr>
        <w:ind w:left="8380"/>
        <w:spacing w:after="0"/>
        <w:rPr>
          <w:sz w:val="20"/>
          <w:szCs w:val="20"/>
          <w:color w:val="auto"/>
        </w:rPr>
      </w:pPr>
      <w:r>
        <w:rPr>
          <w:rFonts w:ascii="Arial" w:cs="Arial" w:eastAsia="Arial" w:hAnsi="Arial"/>
          <w:sz w:val="18"/>
          <w:szCs w:val="18"/>
          <w:color w:val="auto"/>
        </w:rPr>
        <w:t>Senior Vice President and</w:t>
      </w:r>
    </w:p>
    <w:p>
      <w:pPr>
        <w:spacing w:after="0" w:line="9" w:lineRule="exact"/>
        <w:rPr>
          <w:sz w:val="20"/>
          <w:szCs w:val="20"/>
          <w:color w:val="auto"/>
        </w:rPr>
      </w:pPr>
    </w:p>
    <w:p>
      <w:pPr>
        <w:ind w:left="8380"/>
        <w:spacing w:after="0"/>
        <w:rPr>
          <w:sz w:val="20"/>
          <w:szCs w:val="20"/>
          <w:color w:val="auto"/>
        </w:rPr>
      </w:pPr>
      <w:r>
        <w:rPr>
          <w:rFonts w:ascii="Arial" w:cs="Arial" w:eastAsia="Arial" w:hAnsi="Arial"/>
          <w:sz w:val="18"/>
          <w:szCs w:val="18"/>
          <w:color w:val="auto"/>
        </w:rPr>
        <w:t>Chief Financial Officer</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color w:val="auto"/>
        </w:rPr>
        <w:t>Date: August 2, 2006</w:t>
      </w:r>
    </w:p>
    <w:p>
      <w:pPr>
        <w:spacing w:after="0" w:line="275"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25" w:name="page26"/>
    <w:bookmarkEnd w:id="25"/>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26" w:name="page27"/>
    <w:bookmarkEnd w:id="26"/>
    <w:p>
      <w:pPr>
        <w:jc w:val="right"/>
        <w:spacing w:after="0"/>
        <w:rPr>
          <w:sz w:val="20"/>
          <w:szCs w:val="20"/>
          <w:color w:val="auto"/>
        </w:rPr>
      </w:pPr>
      <w:r>
        <w:rPr>
          <w:rFonts w:ascii="Arial" w:cs="Arial" w:eastAsia="Arial" w:hAnsi="Arial"/>
          <w:sz w:val="18"/>
          <w:szCs w:val="18"/>
          <w:b w:val="1"/>
          <w:bCs w:val="1"/>
          <w:u w:val="single" w:color="auto"/>
          <w:color w:val="auto"/>
        </w:rPr>
        <w:t>Exhibit 31.1</w:t>
      </w: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I, Richard K. Templeton, certify that:</w:t>
      </w:r>
    </w:p>
    <w:p>
      <w:pPr>
        <w:spacing w:after="0" w:line="279" w:lineRule="exact"/>
        <w:rPr>
          <w:sz w:val="20"/>
          <w:szCs w:val="20"/>
          <w:color w:val="auto"/>
        </w:rPr>
      </w:pPr>
    </w:p>
    <w:p>
      <w:pPr>
        <w:ind w:left="680" w:hanging="186"/>
        <w:spacing w:after="0"/>
        <w:tabs>
          <w:tab w:leader="none" w:pos="6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Texas Instruments Incorporated;</w:t>
      </w:r>
    </w:p>
    <w:p>
      <w:pPr>
        <w:spacing w:after="0" w:line="279" w:lineRule="exact"/>
        <w:rPr>
          <w:rFonts w:ascii="Arial" w:cs="Arial" w:eastAsia="Arial" w:hAnsi="Arial"/>
          <w:sz w:val="18"/>
          <w:szCs w:val="18"/>
          <w:color w:val="auto"/>
        </w:rPr>
      </w:pPr>
    </w:p>
    <w:p>
      <w:pPr>
        <w:ind w:right="280" w:firstLine="494"/>
        <w:spacing w:after="0" w:line="342" w:lineRule="auto"/>
        <w:tabs>
          <w:tab w:leader="none" w:pos="666" w:val="left"/>
        </w:tabs>
        <w:numPr>
          <w:ilvl w:val="0"/>
          <w:numId w:val="1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7" w:lineRule="exact"/>
        <w:rPr>
          <w:rFonts w:ascii="Arial" w:cs="Arial" w:eastAsia="Arial" w:hAnsi="Arial"/>
          <w:sz w:val="16"/>
          <w:szCs w:val="16"/>
          <w:color w:val="auto"/>
        </w:rPr>
      </w:pPr>
    </w:p>
    <w:p>
      <w:pPr>
        <w:ind w:right="240" w:firstLine="494"/>
        <w:spacing w:after="0" w:line="277" w:lineRule="auto"/>
        <w:tabs>
          <w:tab w:leader="none" w:pos="666"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24" w:lineRule="exact"/>
        <w:rPr>
          <w:rFonts w:ascii="Arial" w:cs="Arial" w:eastAsia="Arial" w:hAnsi="Arial"/>
          <w:sz w:val="18"/>
          <w:szCs w:val="18"/>
          <w:color w:val="auto"/>
        </w:rPr>
      </w:pPr>
    </w:p>
    <w:p>
      <w:pPr>
        <w:jc w:val="both"/>
        <w:ind w:right="260" w:firstLine="494"/>
        <w:spacing w:after="0" w:line="264" w:lineRule="auto"/>
        <w:tabs>
          <w:tab w:leader="none" w:pos="666"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35" w:lineRule="exact"/>
        <w:rPr>
          <w:sz w:val="20"/>
          <w:szCs w:val="20"/>
          <w:color w:val="auto"/>
        </w:rPr>
      </w:pPr>
    </w:p>
    <w:p>
      <w:pPr>
        <w:ind w:left="500" w:right="20" w:hanging="6"/>
        <w:spacing w:after="0" w:line="264" w:lineRule="auto"/>
        <w:tabs>
          <w:tab w:leader="none" w:pos="685"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35" w:lineRule="exact"/>
        <w:rPr>
          <w:rFonts w:ascii="Arial" w:cs="Arial" w:eastAsia="Arial" w:hAnsi="Arial"/>
          <w:sz w:val="18"/>
          <w:szCs w:val="18"/>
          <w:color w:val="auto"/>
        </w:rPr>
      </w:pPr>
    </w:p>
    <w:p>
      <w:pPr>
        <w:ind w:left="500" w:right="400" w:hanging="6"/>
        <w:spacing w:after="0" w:line="264" w:lineRule="auto"/>
        <w:tabs>
          <w:tab w:leader="none" w:pos="695"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35" w:lineRule="exact"/>
        <w:rPr>
          <w:rFonts w:ascii="Arial" w:cs="Arial" w:eastAsia="Arial" w:hAnsi="Arial"/>
          <w:sz w:val="18"/>
          <w:szCs w:val="18"/>
          <w:color w:val="auto"/>
        </w:rPr>
      </w:pPr>
    </w:p>
    <w:p>
      <w:pPr>
        <w:ind w:left="500" w:right="60" w:hanging="6"/>
        <w:spacing w:after="0" w:line="308" w:lineRule="auto"/>
        <w:tabs>
          <w:tab w:leader="none" w:pos="685" w:val="left"/>
        </w:tabs>
        <w:numPr>
          <w:ilvl w:val="0"/>
          <w:numId w:val="15"/>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0" w:lineRule="exact"/>
        <w:rPr>
          <w:rFonts w:ascii="Arial" w:cs="Arial" w:eastAsia="Arial" w:hAnsi="Arial"/>
          <w:sz w:val="17"/>
          <w:szCs w:val="17"/>
          <w:color w:val="auto"/>
        </w:rPr>
      </w:pPr>
    </w:p>
    <w:p>
      <w:pPr>
        <w:jc w:val="both"/>
        <w:ind w:left="500" w:right="80" w:hanging="6"/>
        <w:spacing w:after="0" w:line="264" w:lineRule="auto"/>
        <w:tabs>
          <w:tab w:leader="none" w:pos="695"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35" w:lineRule="exact"/>
        <w:rPr>
          <w:sz w:val="20"/>
          <w:szCs w:val="20"/>
          <w:color w:val="auto"/>
        </w:rPr>
      </w:pPr>
    </w:p>
    <w:p>
      <w:pPr>
        <w:ind w:right="240" w:firstLine="494"/>
        <w:spacing w:after="0" w:line="308" w:lineRule="auto"/>
        <w:tabs>
          <w:tab w:leader="none" w:pos="666"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w:t>
      </w:r>
    </w:p>
    <w:p>
      <w:pPr>
        <w:spacing w:after="0" w:line="201" w:lineRule="exact"/>
        <w:rPr>
          <w:sz w:val="20"/>
          <w:szCs w:val="20"/>
          <w:color w:val="auto"/>
        </w:rPr>
      </w:pPr>
    </w:p>
    <w:p>
      <w:pPr>
        <w:ind w:left="500" w:right="440" w:hanging="6"/>
        <w:spacing w:after="0" w:line="277" w:lineRule="auto"/>
        <w:tabs>
          <w:tab w:leader="none" w:pos="685" w:val="left"/>
        </w:tabs>
        <w:numPr>
          <w:ilvl w:val="0"/>
          <w:numId w:val="1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24" w:lineRule="exact"/>
        <w:rPr>
          <w:rFonts w:ascii="Arial" w:cs="Arial" w:eastAsia="Arial" w:hAnsi="Arial"/>
          <w:sz w:val="18"/>
          <w:szCs w:val="18"/>
          <w:color w:val="auto"/>
        </w:rPr>
      </w:pPr>
    </w:p>
    <w:p>
      <w:pPr>
        <w:ind w:left="500" w:right="20" w:hanging="6"/>
        <w:spacing w:after="0" w:line="277" w:lineRule="auto"/>
        <w:tabs>
          <w:tab w:leader="none" w:pos="695"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Date: August 2, 2006</w:t>
      </w:r>
    </w:p>
    <w:p>
      <w:pPr>
        <w:spacing w:after="0" w:line="279" w:lineRule="exact"/>
        <w:rPr>
          <w:sz w:val="20"/>
          <w:szCs w:val="20"/>
          <w:color w:val="auto"/>
        </w:rPr>
      </w:pPr>
    </w:p>
    <w:p>
      <w:pPr>
        <w:ind w:left="8000"/>
        <w:spacing w:after="0"/>
        <w:rPr>
          <w:sz w:val="20"/>
          <w:szCs w:val="20"/>
          <w:color w:val="auto"/>
        </w:rPr>
      </w:pPr>
      <w:r>
        <w:rPr>
          <w:rFonts w:ascii="Arial" w:cs="Arial" w:eastAsia="Arial" w:hAnsi="Arial"/>
          <w:sz w:val="18"/>
          <w:szCs w:val="18"/>
          <w:color w:val="auto"/>
        </w:rPr>
        <w:t>/s/ Richard K. Templeton</w:t>
      </w:r>
    </w:p>
    <w:p>
      <w:pPr>
        <w:spacing w:after="0" w:line="23" w:lineRule="exact"/>
        <w:rPr>
          <w:sz w:val="20"/>
          <w:szCs w:val="20"/>
          <w:color w:val="auto"/>
        </w:rPr>
      </w:pPr>
    </w:p>
    <w:p>
      <w:pPr>
        <w:ind w:left="8040"/>
        <w:spacing w:after="0"/>
        <w:rPr>
          <w:sz w:val="20"/>
          <w:szCs w:val="20"/>
          <w:color w:val="auto"/>
        </w:rPr>
      </w:pPr>
      <w:r>
        <w:rPr>
          <w:rFonts w:ascii="Arial" w:cs="Arial" w:eastAsia="Arial" w:hAnsi="Arial"/>
          <w:sz w:val="18"/>
          <w:szCs w:val="18"/>
          <w:color w:val="auto"/>
        </w:rPr>
        <w:t>Richard K. Templeton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5081905</wp:posOffset>
            </wp:positionH>
            <wp:positionV relativeFrom="paragraph">
              <wp:posOffset>-130810</wp:posOffset>
            </wp:positionV>
            <wp:extent cx="216979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3" w:lineRule="exact"/>
        <w:rPr>
          <w:sz w:val="20"/>
          <w:szCs w:val="20"/>
          <w:color w:val="auto"/>
        </w:rPr>
      </w:pPr>
    </w:p>
    <w:p>
      <w:pPr>
        <w:ind w:left="8040"/>
        <w:spacing w:after="0"/>
        <w:rPr>
          <w:sz w:val="20"/>
          <w:szCs w:val="20"/>
          <w:color w:val="auto"/>
        </w:rPr>
      </w:pPr>
      <w:r>
        <w:rPr>
          <w:rFonts w:ascii="Arial" w:cs="Arial" w:eastAsia="Arial" w:hAnsi="Arial"/>
          <w:sz w:val="18"/>
          <w:szCs w:val="18"/>
          <w:color w:val="auto"/>
        </w:rPr>
        <w:t>President and</w:t>
      </w:r>
    </w:p>
    <w:p>
      <w:pPr>
        <w:spacing w:after="0" w:line="9" w:lineRule="exact"/>
        <w:rPr>
          <w:sz w:val="20"/>
          <w:szCs w:val="20"/>
          <w:color w:val="auto"/>
        </w:rPr>
      </w:pPr>
    </w:p>
    <w:p>
      <w:pPr>
        <w:ind w:left="804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121" w:right="239" w:bottom="1440" w:gutter="0" w:footer="0" w:header="0"/>
        </w:sectPr>
      </w:pPr>
    </w:p>
    <w:bookmarkStart w:id="27" w:name="page28"/>
    <w:bookmarkEnd w:id="27"/>
    <w:p>
      <w:pPr>
        <w:jc w:val="right"/>
        <w:spacing w:after="0"/>
        <w:rPr>
          <w:sz w:val="20"/>
          <w:szCs w:val="20"/>
          <w:color w:val="auto"/>
        </w:rPr>
      </w:pPr>
      <w:r>
        <w:rPr>
          <w:rFonts w:ascii="Arial" w:cs="Arial" w:eastAsia="Arial" w:hAnsi="Arial"/>
          <w:sz w:val="18"/>
          <w:szCs w:val="18"/>
          <w:b w:val="1"/>
          <w:bCs w:val="1"/>
          <w:u w:val="single" w:color="auto"/>
          <w:color w:val="auto"/>
        </w:rPr>
        <w:t>Exhibit 31.2</w:t>
      </w: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I, Kevin P. March, certify that:</w:t>
      </w:r>
    </w:p>
    <w:p>
      <w:pPr>
        <w:spacing w:after="0" w:line="279" w:lineRule="exact"/>
        <w:rPr>
          <w:sz w:val="20"/>
          <w:szCs w:val="20"/>
          <w:color w:val="auto"/>
        </w:rPr>
      </w:pPr>
    </w:p>
    <w:p>
      <w:pPr>
        <w:ind w:left="680" w:hanging="186"/>
        <w:spacing w:after="0"/>
        <w:tabs>
          <w:tab w:leader="none" w:pos="6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Texas Instruments Incorporated;</w:t>
      </w:r>
    </w:p>
    <w:p>
      <w:pPr>
        <w:spacing w:after="0" w:line="279" w:lineRule="exact"/>
        <w:rPr>
          <w:rFonts w:ascii="Arial" w:cs="Arial" w:eastAsia="Arial" w:hAnsi="Arial"/>
          <w:sz w:val="18"/>
          <w:szCs w:val="18"/>
          <w:color w:val="auto"/>
        </w:rPr>
      </w:pPr>
    </w:p>
    <w:p>
      <w:pPr>
        <w:ind w:right="280" w:firstLine="494"/>
        <w:spacing w:after="0" w:line="342" w:lineRule="auto"/>
        <w:tabs>
          <w:tab w:leader="none" w:pos="666" w:val="left"/>
        </w:tabs>
        <w:numPr>
          <w:ilvl w:val="0"/>
          <w:numId w:val="1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7" w:lineRule="exact"/>
        <w:rPr>
          <w:rFonts w:ascii="Arial" w:cs="Arial" w:eastAsia="Arial" w:hAnsi="Arial"/>
          <w:sz w:val="16"/>
          <w:szCs w:val="16"/>
          <w:color w:val="auto"/>
        </w:rPr>
      </w:pPr>
    </w:p>
    <w:p>
      <w:pPr>
        <w:ind w:right="240" w:firstLine="494"/>
        <w:spacing w:after="0" w:line="277" w:lineRule="auto"/>
        <w:tabs>
          <w:tab w:leader="none" w:pos="666"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24" w:lineRule="exact"/>
        <w:rPr>
          <w:rFonts w:ascii="Arial" w:cs="Arial" w:eastAsia="Arial" w:hAnsi="Arial"/>
          <w:sz w:val="18"/>
          <w:szCs w:val="18"/>
          <w:color w:val="auto"/>
        </w:rPr>
      </w:pPr>
    </w:p>
    <w:p>
      <w:pPr>
        <w:jc w:val="both"/>
        <w:ind w:right="260" w:firstLine="494"/>
        <w:spacing w:after="0" w:line="264" w:lineRule="auto"/>
        <w:tabs>
          <w:tab w:leader="none" w:pos="666"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35" w:lineRule="exact"/>
        <w:rPr>
          <w:sz w:val="20"/>
          <w:szCs w:val="20"/>
          <w:color w:val="auto"/>
        </w:rPr>
      </w:pPr>
    </w:p>
    <w:p>
      <w:pPr>
        <w:ind w:left="500" w:right="20" w:hanging="6"/>
        <w:spacing w:after="0" w:line="264" w:lineRule="auto"/>
        <w:tabs>
          <w:tab w:leader="none" w:pos="685"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35" w:lineRule="exact"/>
        <w:rPr>
          <w:rFonts w:ascii="Arial" w:cs="Arial" w:eastAsia="Arial" w:hAnsi="Arial"/>
          <w:sz w:val="18"/>
          <w:szCs w:val="18"/>
          <w:color w:val="auto"/>
        </w:rPr>
      </w:pPr>
    </w:p>
    <w:p>
      <w:pPr>
        <w:ind w:left="500" w:right="400" w:hanging="6"/>
        <w:spacing w:after="0" w:line="264" w:lineRule="auto"/>
        <w:tabs>
          <w:tab w:leader="none" w:pos="695"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35" w:lineRule="exact"/>
        <w:rPr>
          <w:rFonts w:ascii="Arial" w:cs="Arial" w:eastAsia="Arial" w:hAnsi="Arial"/>
          <w:sz w:val="18"/>
          <w:szCs w:val="18"/>
          <w:color w:val="auto"/>
        </w:rPr>
      </w:pPr>
    </w:p>
    <w:p>
      <w:pPr>
        <w:ind w:left="500" w:right="60" w:hanging="6"/>
        <w:spacing w:after="0" w:line="308" w:lineRule="auto"/>
        <w:tabs>
          <w:tab w:leader="none" w:pos="685" w:val="left"/>
        </w:tabs>
        <w:numPr>
          <w:ilvl w:val="0"/>
          <w:numId w:val="19"/>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0" w:lineRule="exact"/>
        <w:rPr>
          <w:rFonts w:ascii="Arial" w:cs="Arial" w:eastAsia="Arial" w:hAnsi="Arial"/>
          <w:sz w:val="17"/>
          <w:szCs w:val="17"/>
          <w:color w:val="auto"/>
        </w:rPr>
      </w:pPr>
    </w:p>
    <w:p>
      <w:pPr>
        <w:jc w:val="both"/>
        <w:ind w:left="500" w:right="80" w:hanging="6"/>
        <w:spacing w:after="0" w:line="264" w:lineRule="auto"/>
        <w:tabs>
          <w:tab w:leader="none" w:pos="695" w:val="left"/>
        </w:tabs>
        <w:numPr>
          <w:ilvl w:val="0"/>
          <w:numId w:val="1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35" w:lineRule="exact"/>
        <w:rPr>
          <w:sz w:val="20"/>
          <w:szCs w:val="20"/>
          <w:color w:val="auto"/>
        </w:rPr>
      </w:pPr>
    </w:p>
    <w:p>
      <w:pPr>
        <w:ind w:right="240" w:firstLine="494"/>
        <w:spacing w:after="0" w:line="308" w:lineRule="auto"/>
        <w:tabs>
          <w:tab w:leader="none" w:pos="666"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w:t>
      </w:r>
    </w:p>
    <w:p>
      <w:pPr>
        <w:spacing w:after="0" w:line="201" w:lineRule="exact"/>
        <w:rPr>
          <w:sz w:val="20"/>
          <w:szCs w:val="20"/>
          <w:color w:val="auto"/>
        </w:rPr>
      </w:pPr>
    </w:p>
    <w:p>
      <w:pPr>
        <w:ind w:left="500" w:right="440" w:hanging="6"/>
        <w:spacing w:after="0" w:line="277" w:lineRule="auto"/>
        <w:tabs>
          <w:tab w:leader="none" w:pos="685" w:val="left"/>
        </w:tabs>
        <w:numPr>
          <w:ilvl w:val="0"/>
          <w:numId w:val="2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24" w:lineRule="exact"/>
        <w:rPr>
          <w:rFonts w:ascii="Arial" w:cs="Arial" w:eastAsia="Arial" w:hAnsi="Arial"/>
          <w:sz w:val="18"/>
          <w:szCs w:val="18"/>
          <w:color w:val="auto"/>
        </w:rPr>
      </w:pPr>
    </w:p>
    <w:p>
      <w:pPr>
        <w:ind w:left="500" w:right="20" w:hanging="6"/>
        <w:spacing w:after="0" w:line="277" w:lineRule="auto"/>
        <w:tabs>
          <w:tab w:leader="none" w:pos="695"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Date: August 2, 2006</w:t>
      </w:r>
    </w:p>
    <w:p>
      <w:pPr>
        <w:spacing w:after="0" w:line="279" w:lineRule="exact"/>
        <w:rPr>
          <w:sz w:val="20"/>
          <w:szCs w:val="20"/>
          <w:color w:val="auto"/>
        </w:rPr>
      </w:pPr>
    </w:p>
    <w:p>
      <w:pPr>
        <w:ind w:left="8000"/>
        <w:spacing w:after="0"/>
        <w:rPr>
          <w:sz w:val="20"/>
          <w:szCs w:val="20"/>
          <w:color w:val="auto"/>
        </w:rPr>
      </w:pPr>
      <w:r>
        <w:rPr>
          <w:rFonts w:ascii="Arial" w:cs="Arial" w:eastAsia="Arial" w:hAnsi="Arial"/>
          <w:sz w:val="18"/>
          <w:szCs w:val="18"/>
          <w:color w:val="auto"/>
        </w:rPr>
        <w:t>/s/ Kevin P. March</w:t>
      </w:r>
    </w:p>
    <w:p>
      <w:pPr>
        <w:spacing w:after="0" w:line="23" w:lineRule="exact"/>
        <w:rPr>
          <w:sz w:val="20"/>
          <w:szCs w:val="20"/>
          <w:color w:val="auto"/>
        </w:rPr>
      </w:pPr>
    </w:p>
    <w:p>
      <w:pPr>
        <w:ind w:left="8000"/>
        <w:spacing w:after="0"/>
        <w:rPr>
          <w:sz w:val="20"/>
          <w:szCs w:val="20"/>
          <w:color w:val="auto"/>
        </w:rPr>
      </w:pPr>
      <w:r>
        <w:rPr>
          <w:rFonts w:ascii="Arial" w:cs="Arial" w:eastAsia="Arial" w:hAnsi="Arial"/>
          <w:sz w:val="18"/>
          <w:szCs w:val="18"/>
          <w:color w:val="auto"/>
        </w:rPr>
        <w:t>Kevin P. March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5081905</wp:posOffset>
            </wp:positionH>
            <wp:positionV relativeFrom="paragraph">
              <wp:posOffset>-130810</wp:posOffset>
            </wp:positionV>
            <wp:extent cx="216979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3" w:lineRule="exact"/>
        <w:rPr>
          <w:sz w:val="20"/>
          <w:szCs w:val="20"/>
          <w:color w:val="auto"/>
        </w:rPr>
      </w:pPr>
    </w:p>
    <w:p>
      <w:pPr>
        <w:ind w:left="8000"/>
        <w:spacing w:after="0"/>
        <w:rPr>
          <w:sz w:val="20"/>
          <w:szCs w:val="20"/>
          <w:color w:val="auto"/>
        </w:rPr>
      </w:pPr>
      <w:r>
        <w:rPr>
          <w:rFonts w:ascii="Arial" w:cs="Arial" w:eastAsia="Arial" w:hAnsi="Arial"/>
          <w:sz w:val="18"/>
          <w:szCs w:val="18"/>
          <w:color w:val="auto"/>
        </w:rPr>
        <w:t>Senior Vice President and</w:t>
      </w:r>
    </w:p>
    <w:p>
      <w:pPr>
        <w:spacing w:after="0" w:line="9" w:lineRule="exact"/>
        <w:rPr>
          <w:sz w:val="20"/>
          <w:szCs w:val="20"/>
          <w:color w:val="auto"/>
        </w:rPr>
      </w:pPr>
    </w:p>
    <w:p>
      <w:pPr>
        <w:ind w:left="800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121" w:right="239" w:bottom="1440" w:gutter="0" w:footer="0" w:header="0"/>
        </w:sectPr>
      </w:pPr>
    </w:p>
    <w:bookmarkStart w:id="28" w:name="page29"/>
    <w:bookmarkEnd w:id="28"/>
    <w:p>
      <w:pPr>
        <w:jc w:val="right"/>
        <w:spacing w:after="0"/>
        <w:rPr>
          <w:sz w:val="20"/>
          <w:szCs w:val="20"/>
          <w:color w:val="auto"/>
        </w:rPr>
      </w:pPr>
      <w:r>
        <w:rPr>
          <w:rFonts w:ascii="Arial" w:cs="Arial" w:eastAsia="Arial" w:hAnsi="Arial"/>
          <w:sz w:val="18"/>
          <w:szCs w:val="18"/>
          <w:b w:val="1"/>
          <w:bCs w:val="1"/>
          <w:u w:val="single" w:color="auto"/>
          <w:color w:val="auto"/>
        </w:rPr>
        <w:t>Exhibit 32.1</w:t>
      </w: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Periodic Report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18 U.S.C. Section 1350</w:t>
      </w:r>
    </w:p>
    <w:p>
      <w:pPr>
        <w:spacing w:after="0" w:line="265" w:lineRule="exact"/>
        <w:rPr>
          <w:sz w:val="20"/>
          <w:szCs w:val="20"/>
          <w:color w:val="auto"/>
        </w:rPr>
      </w:pPr>
    </w:p>
    <w:p>
      <w:pPr>
        <w:ind w:left="500"/>
        <w:spacing w:after="0"/>
        <w:rPr>
          <w:sz w:val="20"/>
          <w:szCs w:val="20"/>
          <w:color w:val="auto"/>
        </w:rPr>
      </w:pPr>
      <w:r>
        <w:rPr>
          <w:rFonts w:ascii="Arial" w:cs="Arial" w:eastAsia="Arial" w:hAnsi="Arial"/>
          <w:sz w:val="17"/>
          <w:szCs w:val="17"/>
          <w:color w:val="auto"/>
        </w:rPr>
        <w:t>For purposes of 18 U.S.C. Section 1350, as adopted pursuant to Section 906 of the Sarbanes-Oxley Act of 2002, the undersigned, Richard K.</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Templeton, the President and Chief Executive Officer of Texas Instruments Incorporated (the “Company”), hereby certifies that, to his knowledge:</w:t>
      </w:r>
    </w:p>
    <w:p>
      <w:pPr>
        <w:spacing w:after="0" w:line="276" w:lineRule="exact"/>
        <w:rPr>
          <w:sz w:val="20"/>
          <w:szCs w:val="20"/>
          <w:color w:val="auto"/>
        </w:rPr>
      </w:pPr>
    </w:p>
    <w:p>
      <w:pPr>
        <w:ind w:left="500" w:right="100" w:hanging="6"/>
        <w:spacing w:after="0" w:line="342" w:lineRule="auto"/>
        <w:tabs>
          <w:tab w:leader="none" w:pos="715"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Quarterly Report on Form 10-Q of the Company for the quarter ended June 30, 2006, as filed with the Securities and Exchange Commission on the date hereof (the “Report”) fully complies with the requirements of Section 13(a) or 15(d) of the Securities Exchange Act of 1934; and</w:t>
      </w:r>
    </w:p>
    <w:p>
      <w:pPr>
        <w:spacing w:after="0" w:line="177" w:lineRule="exact"/>
        <w:rPr>
          <w:rFonts w:ascii="Arial" w:cs="Arial" w:eastAsia="Arial" w:hAnsi="Arial"/>
          <w:sz w:val="16"/>
          <w:szCs w:val="16"/>
          <w:color w:val="auto"/>
        </w:rPr>
      </w:pPr>
    </w:p>
    <w:p>
      <w:pPr>
        <w:ind w:right="280" w:firstLine="494"/>
        <w:spacing w:after="0" w:line="563" w:lineRule="auto"/>
        <w:tabs>
          <w:tab w:leader="none" w:pos="751"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 August 2, 2006</w:t>
      </w:r>
    </w:p>
    <w:p>
      <w:pPr>
        <w:spacing w:after="0" w:line="1" w:lineRule="exact"/>
        <w:rPr>
          <w:sz w:val="20"/>
          <w:szCs w:val="20"/>
          <w:color w:val="auto"/>
        </w:rPr>
      </w:pPr>
    </w:p>
    <w:p>
      <w:pPr>
        <w:ind w:left="8000"/>
        <w:spacing w:after="0"/>
        <w:rPr>
          <w:sz w:val="20"/>
          <w:szCs w:val="20"/>
          <w:color w:val="auto"/>
        </w:rPr>
      </w:pPr>
      <w:r>
        <w:rPr>
          <w:rFonts w:ascii="Arial" w:cs="Arial" w:eastAsia="Arial" w:hAnsi="Arial"/>
          <w:sz w:val="18"/>
          <w:szCs w:val="18"/>
          <w:color w:val="auto"/>
        </w:rPr>
        <w:t>/s/ Richard K. Templeton</w:t>
      </w:r>
    </w:p>
    <w:p>
      <w:pPr>
        <w:spacing w:after="0" w:line="23" w:lineRule="exact"/>
        <w:rPr>
          <w:sz w:val="20"/>
          <w:szCs w:val="20"/>
          <w:color w:val="auto"/>
        </w:rPr>
      </w:pPr>
    </w:p>
    <w:p>
      <w:pPr>
        <w:ind w:left="8040"/>
        <w:spacing w:after="0"/>
        <w:rPr>
          <w:sz w:val="20"/>
          <w:szCs w:val="20"/>
          <w:color w:val="auto"/>
        </w:rPr>
      </w:pPr>
      <w:r>
        <w:rPr>
          <w:rFonts w:ascii="Arial" w:cs="Arial" w:eastAsia="Arial" w:hAnsi="Arial"/>
          <w:sz w:val="18"/>
          <w:szCs w:val="18"/>
          <w:color w:val="auto"/>
        </w:rPr>
        <w:t>Richard K. Templeton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5081905</wp:posOffset>
            </wp:positionH>
            <wp:positionV relativeFrom="paragraph">
              <wp:posOffset>-130810</wp:posOffset>
            </wp:positionV>
            <wp:extent cx="216979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3" w:lineRule="exact"/>
        <w:rPr>
          <w:sz w:val="20"/>
          <w:szCs w:val="20"/>
          <w:color w:val="auto"/>
        </w:rPr>
      </w:pPr>
    </w:p>
    <w:p>
      <w:pPr>
        <w:ind w:left="8040"/>
        <w:spacing w:after="0"/>
        <w:rPr>
          <w:sz w:val="20"/>
          <w:szCs w:val="20"/>
          <w:color w:val="auto"/>
        </w:rPr>
      </w:pPr>
      <w:r>
        <w:rPr>
          <w:rFonts w:ascii="Arial" w:cs="Arial" w:eastAsia="Arial" w:hAnsi="Arial"/>
          <w:sz w:val="18"/>
          <w:szCs w:val="18"/>
          <w:color w:val="auto"/>
        </w:rPr>
        <w:t>President and</w:t>
      </w:r>
    </w:p>
    <w:p>
      <w:pPr>
        <w:spacing w:after="0" w:line="9" w:lineRule="exact"/>
        <w:rPr>
          <w:sz w:val="20"/>
          <w:szCs w:val="20"/>
          <w:color w:val="auto"/>
        </w:rPr>
      </w:pPr>
    </w:p>
    <w:p>
      <w:pPr>
        <w:ind w:left="804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121" w:right="239" w:bottom="1440" w:gutter="0" w:footer="0" w:header="0"/>
        </w:sectPr>
      </w:pPr>
    </w:p>
    <w:bookmarkStart w:id="29" w:name="page30"/>
    <w:bookmarkEnd w:id="29"/>
    <w:p>
      <w:pPr>
        <w:jc w:val="right"/>
        <w:spacing w:after="0"/>
        <w:rPr>
          <w:sz w:val="20"/>
          <w:szCs w:val="20"/>
          <w:color w:val="auto"/>
        </w:rPr>
      </w:pPr>
      <w:r>
        <w:rPr>
          <w:rFonts w:ascii="Arial" w:cs="Arial" w:eastAsia="Arial" w:hAnsi="Arial"/>
          <w:sz w:val="18"/>
          <w:szCs w:val="18"/>
          <w:b w:val="1"/>
          <w:bCs w:val="1"/>
          <w:u w:val="single" w:color="auto"/>
          <w:color w:val="auto"/>
        </w:rPr>
        <w:t>Exhibit 32.2</w:t>
      </w: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Periodic Report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18 U.S.C. Section 1350</w:t>
      </w:r>
    </w:p>
    <w:p>
      <w:pPr>
        <w:spacing w:after="0" w:line="265" w:lineRule="exact"/>
        <w:rPr>
          <w:sz w:val="20"/>
          <w:szCs w:val="20"/>
          <w:color w:val="auto"/>
        </w:rPr>
      </w:pPr>
    </w:p>
    <w:p>
      <w:pPr>
        <w:ind w:right="400" w:firstLine="486"/>
        <w:spacing w:after="0" w:line="342" w:lineRule="auto"/>
        <w:rPr>
          <w:sz w:val="20"/>
          <w:szCs w:val="20"/>
          <w:color w:val="auto"/>
        </w:rPr>
      </w:pPr>
      <w:r>
        <w:rPr>
          <w:rFonts w:ascii="Arial" w:cs="Arial" w:eastAsia="Arial" w:hAnsi="Arial"/>
          <w:sz w:val="16"/>
          <w:szCs w:val="16"/>
          <w:color w:val="auto"/>
        </w:rPr>
        <w:t>For purposes of 18 U.S.C. Section 1350, as adopted pursuant to Section 906 of the Sarbanes-Oxley Act of 2002, the undersigned, Kevin P. March, Senior Vice President and Chief Financial Officer of Texas Instruments Incorporated (the “Company”), hereby certifies that, to his knowledge:</w:t>
      </w:r>
    </w:p>
    <w:p>
      <w:pPr>
        <w:spacing w:after="0" w:line="178" w:lineRule="exact"/>
        <w:rPr>
          <w:sz w:val="20"/>
          <w:szCs w:val="20"/>
          <w:color w:val="auto"/>
        </w:rPr>
      </w:pPr>
    </w:p>
    <w:p>
      <w:pPr>
        <w:ind w:left="500" w:right="100" w:hanging="6"/>
        <w:spacing w:after="0" w:line="342" w:lineRule="auto"/>
        <w:tabs>
          <w:tab w:leader="none" w:pos="715"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Quarterly Report on Form 10-Q of the Company for the quarter ended June 30, 2006, as filed with the Securities and Exchange Commission on the date hereof (the “Report”) fully complies with the requirements of Section 13(a) or 15(d) of the Securities Exchange Act of 1934; and</w:t>
      </w:r>
    </w:p>
    <w:p>
      <w:pPr>
        <w:spacing w:after="0" w:line="177" w:lineRule="exact"/>
        <w:rPr>
          <w:rFonts w:ascii="Arial" w:cs="Arial" w:eastAsia="Arial" w:hAnsi="Arial"/>
          <w:sz w:val="16"/>
          <w:szCs w:val="16"/>
          <w:color w:val="auto"/>
        </w:rPr>
      </w:pPr>
    </w:p>
    <w:p>
      <w:pPr>
        <w:ind w:right="280" w:firstLine="494"/>
        <w:spacing w:after="0" w:line="563" w:lineRule="auto"/>
        <w:tabs>
          <w:tab w:leader="none" w:pos="751"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 August 2, 2006</w:t>
      </w:r>
    </w:p>
    <w:p>
      <w:pPr>
        <w:spacing w:after="0" w:line="1" w:lineRule="exact"/>
        <w:rPr>
          <w:sz w:val="20"/>
          <w:szCs w:val="20"/>
          <w:color w:val="auto"/>
        </w:rPr>
      </w:pPr>
    </w:p>
    <w:p>
      <w:pPr>
        <w:ind w:left="8000"/>
        <w:spacing w:after="0"/>
        <w:rPr>
          <w:sz w:val="20"/>
          <w:szCs w:val="20"/>
          <w:color w:val="auto"/>
        </w:rPr>
      </w:pPr>
      <w:r>
        <w:rPr>
          <w:rFonts w:ascii="Arial" w:cs="Arial" w:eastAsia="Arial" w:hAnsi="Arial"/>
          <w:sz w:val="18"/>
          <w:szCs w:val="18"/>
          <w:color w:val="auto"/>
        </w:rPr>
        <w:t>/s/ Kevin P. March</w:t>
      </w:r>
    </w:p>
    <w:p>
      <w:pPr>
        <w:spacing w:after="0" w:line="23" w:lineRule="exact"/>
        <w:rPr>
          <w:sz w:val="20"/>
          <w:szCs w:val="20"/>
          <w:color w:val="auto"/>
        </w:rPr>
      </w:pPr>
    </w:p>
    <w:p>
      <w:pPr>
        <w:ind w:left="8000"/>
        <w:spacing w:after="0"/>
        <w:rPr>
          <w:sz w:val="20"/>
          <w:szCs w:val="20"/>
          <w:color w:val="auto"/>
        </w:rPr>
      </w:pPr>
      <w:r>
        <w:rPr>
          <w:rFonts w:ascii="Arial" w:cs="Arial" w:eastAsia="Arial" w:hAnsi="Arial"/>
          <w:sz w:val="18"/>
          <w:szCs w:val="18"/>
          <w:color w:val="auto"/>
        </w:rPr>
        <w:t>Kevin P. March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5081905</wp:posOffset>
            </wp:positionH>
            <wp:positionV relativeFrom="paragraph">
              <wp:posOffset>-130810</wp:posOffset>
            </wp:positionV>
            <wp:extent cx="216979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3" w:lineRule="exact"/>
        <w:rPr>
          <w:sz w:val="20"/>
          <w:szCs w:val="20"/>
          <w:color w:val="auto"/>
        </w:rPr>
      </w:pPr>
    </w:p>
    <w:p>
      <w:pPr>
        <w:ind w:left="8000"/>
        <w:spacing w:after="0"/>
        <w:rPr>
          <w:sz w:val="20"/>
          <w:szCs w:val="20"/>
          <w:color w:val="auto"/>
        </w:rPr>
      </w:pPr>
      <w:r>
        <w:rPr>
          <w:rFonts w:ascii="Arial" w:cs="Arial" w:eastAsia="Arial" w:hAnsi="Arial"/>
          <w:sz w:val="18"/>
          <w:szCs w:val="18"/>
          <w:color w:val="auto"/>
        </w:rPr>
        <w:t>Senior Vice President and</w:t>
      </w:r>
    </w:p>
    <w:p>
      <w:pPr>
        <w:spacing w:after="0" w:line="9" w:lineRule="exact"/>
        <w:rPr>
          <w:sz w:val="20"/>
          <w:szCs w:val="20"/>
          <w:color w:val="auto"/>
        </w:rPr>
      </w:pPr>
    </w:p>
    <w:p>
      <w:pPr>
        <w:ind w:left="8000"/>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EF438D"/>
    <w:multiLevelType w:val="hybridMultilevel"/>
    <w:lvl w:ilvl="0">
      <w:lvlJc w:val="left"/>
      <w:lvlText w:val="x"/>
      <w:numFmt w:val="bullet"/>
      <w:start w:val="1"/>
    </w:lvl>
  </w:abstractNum>
  <w:abstractNum w:abstractNumId="1">
    <w:nsid w:val="140E0F76"/>
    <w:multiLevelType w:val="hybridMultilevel"/>
    <w:lvl w:ilvl="0">
      <w:lvlJc w:val="left"/>
      <w:lvlText w:val="☐"/>
      <w:numFmt w:val="bullet"/>
      <w:start w:val="1"/>
    </w:lvl>
  </w:abstractNum>
  <w:abstractNum w:abstractNumId="2">
    <w:nsid w:val="3352255A"/>
    <w:multiLevelType w:val="hybridMultilevel"/>
    <w:lvl w:ilvl="0">
      <w:lvlJc w:val="left"/>
      <w:lvlText w:val="%1."/>
      <w:numFmt w:val="decimal"/>
      <w:start w:val="1"/>
    </w:lvl>
  </w:abstractNum>
  <w:abstractNum w:abstractNumId="3">
    <w:nsid w:val="109CF92E"/>
    <w:multiLevelType w:val="hybridMultilevel"/>
    <w:lvl w:ilvl="0">
      <w:lvlJc w:val="left"/>
      <w:lvlText w:val="%1."/>
      <w:numFmt w:val="decimal"/>
      <w:start w:val="2"/>
    </w:lvl>
  </w:abstractNum>
  <w:abstractNum w:abstractNumId="4">
    <w:nsid w:val="DED7263"/>
    <w:multiLevelType w:val="hybridMultilevel"/>
    <w:lvl w:ilvl="0">
      <w:lvlJc w:val="left"/>
      <w:lvlText w:val="%1."/>
      <w:numFmt w:val="decimal"/>
      <w:start w:val="3"/>
    </w:lvl>
  </w:abstractNum>
  <w:abstractNum w:abstractNumId="5">
    <w:nsid w:val="7FDCC233"/>
    <w:multiLevelType w:val="hybridMultilevel"/>
    <w:lvl w:ilvl="0">
      <w:lvlJc w:val="left"/>
      <w:lvlText w:val="%1."/>
      <w:numFmt w:val="decimal"/>
      <w:start w:val="4"/>
    </w:lvl>
  </w:abstractNum>
  <w:abstractNum w:abstractNumId="6">
    <w:nsid w:val="1BEFD79F"/>
    <w:multiLevelType w:val="hybridMultilevel"/>
    <w:lvl w:ilvl="0">
      <w:lvlJc w:val="left"/>
      <w:lvlText w:val="(%1)"/>
      <w:numFmt w:val="lowerLetter"/>
      <w:start w:val="2"/>
    </w:lvl>
  </w:abstractNum>
  <w:abstractNum w:abstractNumId="7">
    <w:nsid w:val="41A7C4C9"/>
    <w:multiLevelType w:val="hybridMultilevel"/>
    <w:lvl w:ilvl="0">
      <w:lvlJc w:val="left"/>
      <w:lvlText w:val="%1."/>
      <w:numFmt w:val="decimal"/>
      <w:start w:val="6"/>
    </w:lvl>
  </w:abstractNum>
  <w:abstractNum w:abstractNumId="8">
    <w:nsid w:val="6B68079A"/>
    <w:multiLevelType w:val="hybridMultilevel"/>
    <w:lvl w:ilvl="0">
      <w:lvlJc w:val="left"/>
      <w:lvlText w:val="*"/>
      <w:numFmt w:val="bullet"/>
      <w:start w:val="1"/>
    </w:lvl>
  </w:abstractNum>
  <w:abstractNum w:abstractNumId="9">
    <w:nsid w:val="4E6AFB66"/>
    <w:multiLevelType w:val="hybridMultilevel"/>
    <w:lvl w:ilvl="0">
      <w:lvlJc w:val="left"/>
      <w:lvlText w:val="%1."/>
      <w:numFmt w:val="decimal"/>
      <w:start w:val="6"/>
    </w:lvl>
    <w:lvl w:ilvl="1">
      <w:lvlJc w:val="left"/>
      <w:lvlText w:val="**"/>
      <w:numFmt w:val="bullet"/>
      <w:start w:val="1"/>
    </w:lvl>
  </w:abstractNum>
  <w:abstractNum w:abstractNumId="10">
    <w:nsid w:val="25E45D32"/>
    <w:multiLevelType w:val="hybridMultilevel"/>
    <w:lvl w:ilvl="0">
      <w:lvlJc w:val="left"/>
      <w:lvlText w:val="(%1)"/>
      <w:numFmt w:val="decimal"/>
      <w:start w:val="1"/>
    </w:lvl>
  </w:abstractNum>
  <w:abstractNum w:abstractNumId="11">
    <w:nsid w:val="519B500D"/>
    <w:multiLevelType w:val="hybridMultilevel"/>
    <w:lvl w:ilvl="0">
      <w:lvlJc w:val="left"/>
      <w:lvlText w:val="•"/>
      <w:numFmt w:val="bullet"/>
      <w:start w:val="1"/>
    </w:lvl>
  </w:abstractNum>
  <w:abstractNum w:abstractNumId="12">
    <w:nsid w:val="431BD7B7"/>
    <w:multiLevelType w:val="hybridMultilevel"/>
    <w:lvl w:ilvl="0">
      <w:lvlJc w:val="left"/>
      <w:lvlText w:val="•"/>
      <w:numFmt w:val="bullet"/>
      <w:start w:val="1"/>
    </w:lvl>
  </w:abstractNum>
  <w:abstractNum w:abstractNumId="13">
    <w:nsid w:val="3F2DBA31"/>
    <w:multiLevelType w:val="hybridMultilevel"/>
    <w:lvl w:ilvl="0">
      <w:lvlJc w:val="left"/>
      <w:lvlText w:val="%1."/>
      <w:numFmt w:val="decimal"/>
      <w:start w:val="1"/>
    </w:lvl>
  </w:abstractNum>
  <w:abstractNum w:abstractNumId="14">
    <w:nsid w:val="7C83E458"/>
    <w:multiLevelType w:val="hybridMultilevel"/>
    <w:lvl w:ilvl="0">
      <w:lvlJc w:val="left"/>
      <w:lvlText w:val="%1)"/>
      <w:numFmt w:val="lowerLetter"/>
      <w:start w:val="1"/>
    </w:lvl>
  </w:abstractNum>
  <w:abstractNum w:abstractNumId="15">
    <w:nsid w:val="257130A3"/>
    <w:multiLevelType w:val="hybridMultilevel"/>
    <w:lvl w:ilvl="0">
      <w:lvlJc w:val="left"/>
      <w:lvlText w:val="%1."/>
      <w:numFmt w:val="decimal"/>
      <w:start w:val="5"/>
    </w:lvl>
  </w:abstractNum>
  <w:abstractNum w:abstractNumId="16">
    <w:nsid w:val="62BBD95A"/>
    <w:multiLevelType w:val="hybridMultilevel"/>
    <w:lvl w:ilvl="0">
      <w:lvlJc w:val="left"/>
      <w:lvlText w:val="%1)"/>
      <w:numFmt w:val="lowerLetter"/>
      <w:start w:val="1"/>
    </w:lvl>
  </w:abstractNum>
  <w:abstractNum w:abstractNumId="17">
    <w:nsid w:val="436C6125"/>
    <w:multiLevelType w:val="hybridMultilevel"/>
    <w:lvl w:ilvl="0">
      <w:lvlJc w:val="left"/>
      <w:lvlText w:val="%1."/>
      <w:numFmt w:val="decimal"/>
      <w:start w:val="1"/>
    </w:lvl>
  </w:abstractNum>
  <w:abstractNum w:abstractNumId="18">
    <w:nsid w:val="628C895D"/>
    <w:multiLevelType w:val="hybridMultilevel"/>
    <w:lvl w:ilvl="0">
      <w:lvlJc w:val="left"/>
      <w:lvlText w:val="%1)"/>
      <w:numFmt w:val="lowerLetter"/>
      <w:start w:val="1"/>
    </w:lvl>
  </w:abstractNum>
  <w:abstractNum w:abstractNumId="19">
    <w:nsid w:val="333AB105"/>
    <w:multiLevelType w:val="hybridMultilevel"/>
    <w:lvl w:ilvl="0">
      <w:lvlJc w:val="left"/>
      <w:lvlText w:val="%1."/>
      <w:numFmt w:val="decimal"/>
      <w:start w:val="5"/>
    </w:lvl>
  </w:abstractNum>
  <w:abstractNum w:abstractNumId="20">
    <w:nsid w:val="721DA317"/>
    <w:multiLevelType w:val="hybridMultilevel"/>
    <w:lvl w:ilvl="0">
      <w:lvlJc w:val="left"/>
      <w:lvlText w:val="%1)"/>
      <w:numFmt w:val="lowerLetter"/>
      <w:start w:val="1"/>
    </w:lvl>
  </w:abstractNum>
  <w:abstractNum w:abstractNumId="21">
    <w:nsid w:val="2443A858"/>
    <w:multiLevelType w:val="hybridMultilevel"/>
    <w:lvl w:ilvl="0">
      <w:lvlJc w:val="left"/>
      <w:lvlText w:val="(%1)"/>
      <w:numFmt w:val="lowerRoman"/>
      <w:start w:val="1"/>
    </w:lvl>
  </w:abstractNum>
  <w:abstractNum w:abstractNumId="22">
    <w:nsid w:val="2D1D5AE9"/>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2019-12-13T07:36:28Z</dcterms:created>
  <dcterms:modified xsi:type="dcterms:W3CDTF">2019-12-13T07:36:28Z</dcterms:modified>
</cp:coreProperties>
</file>