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23495</wp:posOffset>
            </wp:positionV>
            <wp:extent cx="5460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38735</wp:posOffset>
            </wp:positionV>
            <wp:extent cx="5460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50"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For the transition period from ___________ to 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32385</wp:posOffset>
            </wp:positionV>
            <wp:extent cx="5460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TEXAS INSTRUMENTS INCORPORATED</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32385</wp:posOffset>
            </wp:positionV>
            <wp:extent cx="5477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165" w:lineRule="exact"/>
        <w:rPr>
          <w:sz w:val="24"/>
          <w:szCs w:val="24"/>
          <w:color w:val="auto"/>
        </w:rPr>
      </w:pPr>
    </w:p>
    <w:tbl>
      <w:tblPr>
        <w:tblLayout w:type="fixed"/>
        <w:tblInd w:w="1860" w:type="dxa"/>
        <w:tblCellMar>
          <w:top w:w="0" w:type="dxa"/>
          <w:left w:w="0" w:type="dxa"/>
          <w:bottom w:w="0" w:type="dxa"/>
          <w:right w:w="0" w:type="dxa"/>
        </w:tblCellMar>
      </w:tblPr>
      <w:tr>
        <w:trPr>
          <w:trHeight w:val="221"/>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w w:val="99"/>
              </w:rPr>
              <w:t>Delaware</w:t>
            </w:r>
          </w:p>
        </w:tc>
        <w:tc>
          <w:tcPr>
            <w:tcW w:w="3520" w:type="dxa"/>
            <w:vAlign w:val="bottom"/>
          </w:tcPr>
          <w:p>
            <w:pPr>
              <w:jc w:val="right"/>
              <w:ind w:right="684"/>
              <w:spacing w:after="0"/>
              <w:rPr>
                <w:sz w:val="20"/>
                <w:szCs w:val="20"/>
                <w:color w:val="auto"/>
              </w:rPr>
            </w:pPr>
            <w:r>
              <w:rPr>
                <w:rFonts w:ascii="Arial" w:cs="Arial" w:eastAsia="Arial" w:hAnsi="Arial"/>
                <w:sz w:val="16"/>
                <w:szCs w:val="16"/>
                <w:b w:val="1"/>
                <w:bCs w:val="1"/>
                <w:color w:val="auto"/>
              </w:rPr>
              <w:t>75-0289970</w:t>
            </w:r>
          </w:p>
        </w:tc>
      </w:tr>
      <w:tr>
        <w:trPr>
          <w:trHeight w:val="196"/>
        </w:trPr>
        <w:tc>
          <w:tcPr>
            <w:tcW w:w="3840" w:type="dxa"/>
            <w:vAlign w:val="bottom"/>
          </w:tcPr>
          <w:p>
            <w:pPr>
              <w:jc w:val="center"/>
              <w:ind w:right="1104"/>
              <w:spacing w:after="0"/>
              <w:rPr>
                <w:sz w:val="20"/>
                <w:szCs w:val="20"/>
                <w:color w:val="auto"/>
              </w:rPr>
            </w:pPr>
            <w:r>
              <w:rPr>
                <w:rFonts w:ascii="Arial" w:cs="Arial" w:eastAsia="Arial" w:hAnsi="Arial"/>
                <w:sz w:val="14"/>
                <w:szCs w:val="14"/>
                <w:b w:val="1"/>
                <w:bCs w:val="1"/>
                <w:color w:val="auto"/>
              </w:rPr>
              <w:t>(State of Incorporation)</w:t>
            </w:r>
          </w:p>
        </w:tc>
        <w:tc>
          <w:tcPr>
            <w:tcW w:w="3520" w:type="dxa"/>
            <w:vAlign w:val="bottom"/>
          </w:tcPr>
          <w:p>
            <w:pPr>
              <w:jc w:val="center"/>
              <w:ind w:left="1084"/>
              <w:spacing w:after="0"/>
              <w:rPr>
                <w:sz w:val="20"/>
                <w:szCs w:val="20"/>
                <w:color w:val="auto"/>
              </w:rPr>
            </w:pPr>
            <w:r>
              <w:rPr>
                <w:rFonts w:ascii="Arial" w:cs="Arial" w:eastAsia="Arial" w:hAnsi="Arial"/>
                <w:sz w:val="14"/>
                <w:szCs w:val="14"/>
                <w:b w:val="1"/>
                <w:bCs w:val="1"/>
                <w:color w:val="auto"/>
              </w:rPr>
              <w:t>(I.R.S. Employer Identification No.)</w:t>
            </w:r>
          </w:p>
        </w:tc>
      </w:tr>
      <w:tr>
        <w:trPr>
          <w:trHeight w:val="508"/>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rPr>
              <w:t>12500 TI Boulevard, Dallas, Texas</w:t>
            </w:r>
          </w:p>
        </w:tc>
        <w:tc>
          <w:tcPr>
            <w:tcW w:w="3520" w:type="dxa"/>
            <w:vAlign w:val="bottom"/>
          </w:tcPr>
          <w:p>
            <w:pPr>
              <w:jc w:val="right"/>
              <w:ind w:right="884"/>
              <w:spacing w:after="0"/>
              <w:rPr>
                <w:sz w:val="20"/>
                <w:szCs w:val="20"/>
                <w:color w:val="auto"/>
              </w:rPr>
            </w:pPr>
            <w:r>
              <w:rPr>
                <w:rFonts w:ascii="Arial" w:cs="Arial" w:eastAsia="Arial" w:hAnsi="Arial"/>
                <w:sz w:val="16"/>
                <w:szCs w:val="16"/>
                <w:b w:val="1"/>
                <w:bCs w:val="1"/>
                <w:color w:val="auto"/>
              </w:rPr>
              <w:t>75243</w:t>
            </w:r>
          </w:p>
        </w:tc>
      </w:tr>
      <w:tr>
        <w:trPr>
          <w:trHeight w:val="221"/>
        </w:trPr>
        <w:tc>
          <w:tcPr>
            <w:tcW w:w="3840" w:type="dxa"/>
            <w:vAlign w:val="bottom"/>
          </w:tcPr>
          <w:p>
            <w:pPr>
              <w:jc w:val="center"/>
              <w:ind w:right="1084"/>
              <w:spacing w:after="0"/>
              <w:rPr>
                <w:sz w:val="20"/>
                <w:szCs w:val="20"/>
                <w:color w:val="auto"/>
              </w:rPr>
            </w:pPr>
            <w:r>
              <w:rPr>
                <w:rFonts w:ascii="Arial" w:cs="Arial" w:eastAsia="Arial" w:hAnsi="Arial"/>
                <w:sz w:val="14"/>
                <w:szCs w:val="14"/>
                <w:b w:val="1"/>
                <w:bCs w:val="1"/>
                <w:color w:val="auto"/>
              </w:rPr>
              <w:t>(Address of principal executive offices)</w:t>
            </w:r>
          </w:p>
        </w:tc>
        <w:tc>
          <w:tcPr>
            <w:tcW w:w="3520" w:type="dxa"/>
            <w:vAlign w:val="bottom"/>
          </w:tcPr>
          <w:p>
            <w:pPr>
              <w:jc w:val="center"/>
              <w:ind w:left="1064"/>
              <w:spacing w:after="0"/>
              <w:rPr>
                <w:sz w:val="20"/>
                <w:szCs w:val="20"/>
                <w:color w:val="auto"/>
              </w:rPr>
            </w:pPr>
            <w:r>
              <w:rPr>
                <w:rFonts w:ascii="Arial" w:cs="Arial" w:eastAsia="Arial" w:hAnsi="Arial"/>
                <w:sz w:val="14"/>
                <w:szCs w:val="14"/>
                <w:b w:val="1"/>
                <w:bCs w:val="1"/>
                <w:color w:val="auto"/>
              </w:rPr>
              <w:t>(Zip Code)</w:t>
            </w:r>
          </w:p>
        </w:tc>
      </w:tr>
    </w:tbl>
    <w:p>
      <w:pPr>
        <w:spacing w:after="0" w:line="285"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55245</wp:posOffset>
            </wp:positionV>
            <wp:extent cx="5477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751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TXN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28" w:lineRule="exact"/>
        <w:rPr>
          <w:sz w:val="24"/>
          <w:szCs w:val="24"/>
          <w:color w:val="auto"/>
        </w:rPr>
      </w:pPr>
    </w:p>
    <w:p>
      <w:pPr>
        <w:ind w:right="2300"/>
        <w:spacing w:after="0" w:line="251"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4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6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20"/>
        <w:spacing w:after="0" w:line="26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7"/>
        </w:trPr>
        <w:tc>
          <w:tcPr>
            <w:tcW w:w="25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120"/>
              <w:spacing w:after="0"/>
              <w:rPr>
                <w:sz w:val="20"/>
                <w:szCs w:val="20"/>
                <w:color w:val="auto"/>
              </w:rPr>
            </w:pPr>
            <w:r>
              <w:rPr>
                <w:rFonts w:ascii="Arial" w:cs="Arial" w:eastAsia="Arial" w:hAnsi="Arial"/>
                <w:sz w:val="15"/>
                <w:szCs w:val="15"/>
                <w:color w:val="auto"/>
              </w:rPr>
              <w:t>Accelerated filer</w:t>
            </w:r>
          </w:p>
        </w:tc>
        <w:tc>
          <w:tcPr>
            <w:tcW w:w="860" w:type="dxa"/>
            <w:vAlign w:val="bottom"/>
          </w:tcPr>
          <w:p>
            <w:pPr>
              <w:ind w:left="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2540" w:type="dxa"/>
            <w:vAlign w:val="bottom"/>
          </w:tcPr>
          <w:p>
            <w:pPr>
              <w:spacing w:after="0"/>
              <w:rPr>
                <w:sz w:val="20"/>
                <w:szCs w:val="20"/>
                <w:color w:val="auto"/>
              </w:rPr>
            </w:pPr>
            <w:r>
              <w:rPr>
                <w:rFonts w:ascii="Arial" w:cs="Arial" w:eastAsia="Arial" w:hAnsi="Arial"/>
                <w:sz w:val="15"/>
                <w:szCs w:val="15"/>
                <w:color w:val="auto"/>
              </w:rPr>
              <w:t>Non-accelerated filer</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120"/>
              <w:spacing w:after="0"/>
              <w:rPr>
                <w:sz w:val="20"/>
                <w:szCs w:val="20"/>
                <w:color w:val="auto"/>
              </w:rPr>
            </w:pPr>
            <w:r>
              <w:rPr>
                <w:rFonts w:ascii="Arial" w:cs="Arial" w:eastAsia="Arial" w:hAnsi="Arial"/>
                <w:sz w:val="15"/>
                <w:szCs w:val="15"/>
                <w:color w:val="auto"/>
              </w:rPr>
              <w:t>Smaller reporting company</w:t>
            </w:r>
          </w:p>
        </w:tc>
        <w:tc>
          <w:tcPr>
            <w:tcW w:w="860" w:type="dxa"/>
            <w:vAlign w:val="bottom"/>
          </w:tcPr>
          <w:p>
            <w:pPr>
              <w:ind w:left="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5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0" w:lineRule="exact"/>
        <w:rPr>
          <w:sz w:val="24"/>
          <w:szCs w:val="24"/>
          <w:color w:val="auto"/>
        </w:rPr>
      </w:pPr>
    </w:p>
    <w:p>
      <w:pPr>
        <w:sectPr>
          <w:pgSz w:w="11900" w:h="16838" w:orient="portrait"/>
          <w:cols w:equalWidth="0" w:num="1">
            <w:col w:w="11240"/>
          </w:cols>
          <w:pgMar w:left="320" w:top="1074" w:right="339" w:bottom="1440" w:gutter="0" w:footer="0" w:header="0"/>
        </w:sectPr>
      </w:pPr>
    </w:p>
    <w:p>
      <w:pPr>
        <w:spacing w:after="0" w:line="50" w:lineRule="exact"/>
        <w:rPr>
          <w:sz w:val="24"/>
          <w:szCs w:val="24"/>
          <w:color w:val="auto"/>
        </w:rPr>
      </w:pPr>
    </w:p>
    <w:p>
      <w:pPr>
        <w:ind w:left="20" w:right="200"/>
        <w:spacing w:after="0" w:line="25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w:t>
      </w:r>
    </w:p>
    <w:p>
      <w:pPr>
        <w:spacing w:after="0" w:line="4" w:lineRule="exact"/>
        <w:rPr>
          <w:sz w:val="24"/>
          <w:szCs w:val="24"/>
          <w:color w:val="auto"/>
        </w:rPr>
      </w:pPr>
    </w:p>
    <w:p>
      <w:pPr>
        <w:ind w:left="20"/>
        <w:spacing w:after="0" w:line="233" w:lineRule="auto"/>
        <w:rPr>
          <w:sz w:val="20"/>
          <w:szCs w:val="20"/>
          <w:color w:val="auto"/>
        </w:rPr>
      </w:pPr>
      <w:r>
        <w:rPr>
          <w:rFonts w:ascii="Arial" w:cs="Arial" w:eastAsia="Arial" w:hAnsi="Arial"/>
          <w:sz w:val="15"/>
          <w:szCs w:val="15"/>
          <w:color w:val="auto"/>
        </w:rPr>
        <w:t>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20" w:right="160"/>
        <w:spacing w:after="0" w:line="253" w:lineRule="auto"/>
        <w:rPr>
          <w:sz w:val="20"/>
          <w:szCs w:val="20"/>
          <w:color w:val="auto"/>
        </w:rPr>
      </w:pPr>
      <w:r>
        <w:rPr>
          <w:rFonts w:ascii="Arial" w:cs="Arial" w:eastAsia="Arial" w:hAnsi="Arial"/>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4"/>
          <w:szCs w:val="24"/>
          <w:color w:val="auto"/>
        </w:rPr>
      </w:pPr>
    </w:p>
    <w:p>
      <w:pPr>
        <w:ind w:left="20"/>
        <w:spacing w:after="0" w:line="264" w:lineRule="auto"/>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6" w:lineRule="exact"/>
        <w:rPr>
          <w:sz w:val="24"/>
          <w:szCs w:val="24"/>
          <w:color w:val="auto"/>
        </w:rPr>
      </w:pPr>
    </w:p>
    <w:p>
      <w:pPr>
        <w:ind w:left="2700" w:right="1200" w:hanging="2695"/>
        <w:spacing w:after="0" w:line="328"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$177,352,918,130 as of June 30, 2024. 910,332,971 (Number of shares of common stock outstanding as of January 28, 2025)</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Part III hereof incorporates information by reference to the Registrant’s proxy statement for the 2025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60" w:space="200"/>
            <w:col w:w="280"/>
          </w:cols>
          <w:pgMar w:left="320" w:top="1074"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2024, we generated $15.64 billion of revenue.</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decades, we have operated with a passion to create a better world by making electronics more affordable through semiconductors. We were pioneers in the transition from vacuum tubes to transistors and then to integrated circuits. As each generation has become more reliable, more affordable and lower in power, semiconductors are used by a growing number of customers and markets. Our passion continues to be alive today as we help our customers develop electronics and new applications.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Our ambitions are foundational to ensuring that we operate in a sustainable and environmentally responsible manner. When we are successful in achieving these ambitions, our employees, customers, communities and shareholders all win.</w:t>
      </w:r>
    </w:p>
    <w:p>
      <w:pPr>
        <w:spacing w:after="0" w:line="17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engineers, we are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second element of our strategy to maximize free cash flow per share growth is disciplined allocation of capital. This spans how we select R&amp;D projects, develop new capabilities, invest in manufacturing capacity or how we think about acquisitions and returning cash to our owners. Over a 10-year period from 2015 to 2024, we allocated $101 billion, which reinforces the importance of discipline in capital allocation. The largest allocation over this period was to drive organic growth, which includes investments in R&amp;D, sales and marketing, capital expenditures and working capital for inventory. In this period, we allocated about $20 billion to capital expenditures. Our increased capital expenditures are to support future revenue growth, which will be a greater component of free cash flow per share growth going forward. Beyond that, we also allocated capital to dividends and share repurchases. Dividends are designed to appeal to a broad set of investors, and share repurchases are made with the goal of the accretive capture of future free cash flow for long-term investors. Lastly, for inorganic growth, we allocate to acquisitions that meet our financial and strategic objectives.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 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 w:name="page3"/>
    <w:bookmarkEnd w:id="2"/>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more than 80,000 products that are integral to almost every type of electronic equipment.</w:t>
      </w:r>
    </w:p>
    <w:p>
      <w:pPr>
        <w:spacing w:after="0" w:line="17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Our segments represent groups of products that have similar design and development requirements, product characteristics and manufacturing processes. Our segments also reflect how management allocates resources and measures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Analog segment generated $ 12.16 billion of revenue in 2024.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Sales of our Analog products generated about 78% of our revenue in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and Signal Chain.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including battery-management solutions, DC/DC switching regulators, AC/DC and isolated DC/DC switching regulators, power switches, linear and low-dropout regulators, voltage references, multiphase controllers and power stages, and lighting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include amplifiers, data converters, interface products, motor drives, clocks, logic and sensing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Embedded Processing segment generated $2.53 billion of revenue in 2024.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pacing w:after="0" w:line="17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R&amp;D to write software that operates on our products. This investment tends to increase the length of our customer relationships because many customers prefer to reuse software from one product generation to the next.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Sales of Embedded Processing products generated about 16% of our revenue in 2024.</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Our Embedded Processing segment includes microcontrollers, processors, wireless connectivity and radar products. Microcontrollers are self-contained systems with a processor core, memory and peripherals that are designed to control a set of specific tasks for electronic equipment and often integrate analog functionality. Our processors are designed for specific computing activity in embedded applications.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$ 947 million of revenue in 2024 and includes revenue from DLP</w:t>
      </w:r>
      <w:r>
        <w:rPr>
          <w:rFonts w:ascii="Arial" w:cs="Arial" w:eastAsia="Arial" w:hAnsi="Arial"/>
          <w:sz w:val="10"/>
          <w:szCs w:val="10"/>
          <w:color w:val="auto"/>
        </w:rPr>
        <w:t>®</w:t>
      </w:r>
      <w:r>
        <w:rPr>
          <w:rFonts w:ascii="Arial" w:cs="Arial" w:eastAsia="Arial" w:hAnsi="Arial"/>
          <w:sz w:val="18"/>
          <w:szCs w:val="18"/>
          <w:color w:val="auto"/>
        </w:rPr>
        <w:t xml:space="preserve"> products (primarily used to project high-definition images), calculators and certain custom semiconductors known as application-specific integrated circuits (ASICs).</w:t>
      </w:r>
    </w:p>
    <w:p>
      <w:pPr>
        <w:spacing w:after="0" w:line="17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as well as certain corporate-level items, such as litigation expenses, environmental costs and gains and losses from other activities, including asset dispositions.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780"/>
        <w:spacing w:after="0" w:line="279" w:lineRule="auto"/>
        <w:rPr>
          <w:sz w:val="20"/>
          <w:szCs w:val="20"/>
          <w:color w:val="auto"/>
        </w:rPr>
      </w:pPr>
      <w:r>
        <w:rPr>
          <w:rFonts w:ascii="Arial" w:cs="Arial" w:eastAsia="Arial" w:hAnsi="Arial"/>
          <w:sz w:val="18"/>
          <w:szCs w:val="18"/>
          <w:color w:val="auto"/>
        </w:rPr>
        <w:t>The table below lists the major markets for our products in 2024 and the estimated percentage of our 2024 revenue that the market represented. The chart also lists, in declining order of our revenue, the sectors within each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20" w:type="dxa"/>
            <w:vAlign w:val="bottom"/>
            <w:tcBorders>
              <w:bottom w:val="single" w:sz="8" w:color="DBDBDB"/>
            </w:tcBorders>
          </w:tcPr>
          <w:p>
            <w:pPr>
              <w:spacing w:after="0"/>
              <w:rPr>
                <w:sz w:val="17"/>
                <w:szCs w:val="17"/>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Sector</w:t>
            </w:r>
          </w:p>
        </w:tc>
      </w:tr>
      <w:tr>
        <w:trPr>
          <w:trHeight w:val="224"/>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Industrial</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Industrial automation</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(34%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Aerospace &amp; defense</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Medical &amp; healthcare</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Energy infrastructure</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Building automation</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Other industrial equipment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Test &amp; measurement</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Appliances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Power delivery</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Robotics</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Automotive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Infotainment &amp; cluster</w:t>
            </w: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(35%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Advanced driver assistance systems (ADAS)</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Hybrid, electric &amp; powertrain systems</w:t>
            </w:r>
          </w:p>
        </w:tc>
      </w:tr>
      <w:tr>
        <w:trPr>
          <w:trHeight w:val="229"/>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Body electronics &amp; lighting</w:t>
            </w:r>
          </w:p>
        </w:tc>
      </w:tr>
      <w:tr>
        <w:trPr>
          <w:trHeight w:val="235"/>
        </w:trPr>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Passive safety</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Personal electronics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Mobile phones</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PC &amp; notebooks</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Portable electronics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Tablets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Connected peripherals &amp; printers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Home theater &amp; entertainment</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TV</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Wearables (non-medical)</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Gaming</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storage</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Enterprise systems</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Data center &amp; enterprise computing</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(5%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Enterprise projectors</w:t>
            </w:r>
          </w:p>
        </w:tc>
      </w:tr>
      <w:tr>
        <w:trPr>
          <w:trHeight w:val="235"/>
        </w:trPr>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Enterprise machine</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Communications equipment</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Wireless infrastructure</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Wired networking</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Broadband fixed line access</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Datacom module</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(calculators and other)</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23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(2% of TI revenue)</w:t>
            </w: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535"/>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Market characteristics</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380"/>
        </w:trPr>
        <w:tc>
          <w:tcPr>
            <w:tcW w:w="5540" w:type="dxa"/>
            <w:vAlign w:val="bottom"/>
            <w:gridSpan w:val="2"/>
          </w:tcPr>
          <w:p>
            <w:pPr>
              <w:spacing w:after="0"/>
              <w:rPr>
                <w:sz w:val="20"/>
                <w:szCs w:val="20"/>
                <w:color w:val="auto"/>
              </w:rPr>
            </w:pPr>
            <w:r>
              <w:rPr>
                <w:rFonts w:ascii="Arial" w:cs="Arial" w:eastAsia="Arial" w:hAnsi="Arial"/>
                <w:sz w:val="18"/>
                <w:szCs w:val="18"/>
                <w:color w:val="auto"/>
              </w:rPr>
              <w:t>Competitive landscape</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Despite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2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sell our products to over 100,000 customers. Our customer base is diverse, with about half of our revenue derived from customers outside of our largest 50.</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market and sell our products through direct sales channels, including our website and broad sales and marketing team, and, to a lesser extent, through distributors. Over the past several years, we have been investing in new capabilities to build closer direct customer relationships. In 2024, about 80% of our revenue was direct, which includes TI.com. Our investments in new and improved capabilities to directly support our customers include order fulfillment services, inventory programs, business processes and logistics and website and e-commerce capabilities. Closer direct relationships with our customers help to strengthen our reach of market channel advantage and give us access to more customers and more of their design projects, leading to opportunities to sell more of our products into each design. Additionally, broader and deeper access gives us better insight and knowledge of customer needs.</w:t>
      </w:r>
    </w:p>
    <w:p>
      <w:pPr>
        <w:spacing w:after="0" w:line="18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addition to doing business directly with TI, we offer customers the option of using a single worldwide distributor and a few region-specific distributors for order fulfillment.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w:t>
      </w:r>
    </w:p>
    <w:p>
      <w:pPr>
        <w:spacing w:after="0" w:line="15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invest in manufacturing technologies and do most of our manufacturing in-house. This strategic decision to make manufacturing and technology a core competitive advantage provides us with tangible benefits of lower manufacturing costs and greater control of our supply chain, offering our customers geopolitically dependable capacity. We have focused on creating a competitive manufacturing structural cost advantage by investing in our advanced 300mm capacity. An unpackaged chip built on a 300mm wafer costs about 40% less than an unpackaged chip built on a 200mm wafer.</w:t>
      </w:r>
    </w:p>
    <w:p>
      <w:pPr>
        <w:spacing w:after="0" w:line="1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 to meet demand over time. Semiconductor growth in electronics, particularly in industrial and automotive markets, is expected to continue well into the future. Progress and investments include: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Ramping production in 300mm wafer fabrication facilities RFAB2 in Richardson, Texas, and LFAB1 in Lehi, Utah.</w:t>
      </w:r>
    </w:p>
    <w:p>
      <w:pPr>
        <w:spacing w:after="0" w:line="117"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Equipping SM1 and continuing construction on SM2 in Sherman, Texas, where we are building four 300mm wafer fabrication facilities.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construction on LFAB2, another 300mm wafer fabrication facility in Lehi, Utah.</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Together, these investments are designed to strengthen our manufacturing and technology competitive advantage, provide us with lower costs and greater control of our supply chain, and support growth in the years ahead.</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assess and are careful to address potential health, safety and environmental risks presented by our operations, including our manufacturing operations. We care for our environment and work to prevent pollution and the potential risks related to climate change. We invest to reduce emissions over the long term in several ways, including installing new factory equipment with state-of-the-art emissions reduction technology, as well as retrofitting existing factory equipment with advanced abatement technology, in addition to using alternative gases and increasing the use of renewable electricity. We also continue to implement practices such as recycling and reusing materials and properly handling hazardous and restricted substances.</w:t>
      </w:r>
    </w:p>
    <w:p>
      <w:pPr>
        <w:spacing w:after="0" w:line="18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expect to continue to maintain sufficient internal manufacturing capacity to meet the majority of our production needs and to obtain manufacturing equipment to support new technology developments and revenue growth. In 2024, we sourced the majority of our wafer fabrication, as well as assembly and test, internally. With our planned capacity expansions, we expect our internal sourcing to continue to increase. To supplement our internal manufacturing capacity, we selectively use the capacity of outside suppliers, commonly known as foundries and subcontractors.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source materials, parts and supplies from a diverse set of suppliers globally. The materials, parts and supplies essential to our business are generally available, and we believe that such materials, parts and supplies will be available in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5"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2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Ahmad Bahai</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DBDBDB"/>
            </w:tcBorders>
            <w:shd w:val="clear" w:color="auto" w:fill="DBDBDB"/>
          </w:tcPr>
          <w:p>
            <w:pPr>
              <w:spacing w:after="0"/>
              <w:rPr>
                <w:sz w:val="19"/>
                <w:szCs w:val="19"/>
                <w:color w:val="auto"/>
              </w:rPr>
            </w:pPr>
          </w:p>
        </w:tc>
        <w:tc>
          <w:tcPr>
            <w:tcW w:w="73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Mark Gary</w:t>
            </w:r>
          </w:p>
        </w:tc>
        <w:tc>
          <w:tcPr>
            <w:tcW w:w="740" w:type="dxa"/>
            <w:vAlign w:val="bottom"/>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 President and Chief Executive Officer</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Katie Kane</w:t>
            </w:r>
          </w:p>
        </w:tc>
        <w:tc>
          <w:tcPr>
            <w:tcW w:w="740" w:type="dxa"/>
            <w:vAlign w:val="bottom"/>
          </w:tcPr>
          <w:p>
            <w:pPr>
              <w:ind w:lef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 Secretary and General Counsel</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Hagop Kozanian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Shanon Leonard</w:t>
            </w:r>
          </w:p>
        </w:tc>
        <w:tc>
          <w:tcPr>
            <w:tcW w:w="74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Rafael Lizardi</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Mark Roberts</w:t>
            </w:r>
          </w:p>
        </w:tc>
        <w:tc>
          <w:tcPr>
            <w:tcW w:w="74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Richard Templeton</w:t>
            </w:r>
          </w:p>
        </w:tc>
        <w:tc>
          <w:tcPr>
            <w:tcW w:w="740" w:type="dxa"/>
            <w:vAlign w:val="bottom"/>
          </w:tcPr>
          <w:p>
            <w:pPr>
              <w:ind w:left="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Director and Chairman of the Board</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Christine Witzsche</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Mohammad Yunus</w:t>
            </w:r>
          </w:p>
        </w:tc>
        <w:tc>
          <w:tcPr>
            <w:tcW w:w="74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82"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The term of office of these officers is from the date of their election until their successor shall have been elected and qualified. All have been employees of the company for more than five years. Messrs. Bahai, Ilan, Kozanian, Lizardi, Ron and Templeton have served as executive officers of the company for more than five years. Mr. Gary became an executive officer in 2020. Mr. Roberts and Ms. Witzsche became executive officers in 2021. Mr. Leonard became an executive officer in 2022. Ms. Kane and Mr. Yunus became executive officers in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2024, we had about 34,000 employees worldwide. Of those, about 90% were in R&amp;D, sales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development programs that provide the opportunity to quickly gain experience in different areas. In 2024, our turnover rate was 9.1%.</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We encourage you to review our Corporate Citizenship Report for more information. Nothing in the Corporate Citizenship Report shall be deemed incorporated by reference into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Securities and Exchange Commission. Also available through the TI Investor Relations website are reports filed by our directors and executive officers on Forms 3, 4 and 5, and amendments to those reports.</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Available on our website at www.ti.com/corporategovernance: (i) our corporate governance guidelines; (ii) charters for the audit, compensation, and governance and stockholder relations committees of our board of directors; (iii) our code of conduct; and (iv) our code of ethics for TI’s chief executive officer and senior finance officers. Stockholders may request copies of these documents free of charge by writing to Texas Instruments Incorporated, Attention: Investor Relations, P.O. Box 660199, MS 8657, Dallas, Texas, 75266-0199.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facilities in more than 30 countries. About 60% of our revenue comes from customers with headquarter locations outside the United States; revenue from end customers headquartered in China represents about 20% of our revenue. We also continue to expand our offerings of online transactions and services worldwide. Certain countries where we operate have experienced, and other countries may experience, geopolitical tensions that affect global trade and macroeconomic conditions through the enactment of tariffs, import or export restrictions, trade embargoes and sanctions, restrictions on cross-border investment and other trade barriers. Geopolitical tensions may impact our ability to deliver products, support customers, receive manufacturing equipment or cause customers to seek alternate suppliers, which could adversely affect our operations and financial results.</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exposed to political, social and economic conditions, security risks, acts of war, terrorism or other hostile acts, pandemics, epidemics or other public health crises, labor conditions, climate change risks and possible disruptions in power, water supply, transportation, communications and information technology networks of the various countries in which we operate. Any of these factors could adversely affect our results of operations, financial condition and reputation.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and utilize available incentives offered by various countries and government entities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18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results of operations also might suffer because of a general decline or volatility in customer demand resulting from, for example: uncertainty regarding the stability of global credit and financial markets; natural events, pandemics,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ability to match inventory and production with the product mix needed to fill orders may affect our ability to meet a quarter’s revenue forecast. We manufacture products with the intent to provide high levels of customer service. Our manufacturing forecasts are based on multiple assumptions, and if inaccurate, could cause us to hold inadequate, excess or obsolete inventory that would reduce our profit margins and adversely affect our results of operations and financial condition.</w:t>
      </w:r>
    </w:p>
    <w:p>
      <w:pPr>
        <w:spacing w:after="0" w:line="176"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u w:val="single" w:color="auto"/>
          <w:color w:val="auto"/>
        </w:rPr>
        <w:t>Our operating results and our reputation could be adversely affected by cybersecurity events, breaches, disruptions or other incidents relating to our information technology systems.</w:t>
      </w:r>
    </w:p>
    <w:p>
      <w:pPr>
        <w:spacing w:after="0" w:line="1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Breaches, disruptions or other incidents relating to our information technology systems or the systems of our customers, suppliers and other third parties could be caused by factors such as computer viruses, ransomware, malware, software vulnerabilities, system failures, restricted network access, unauthorized access, terrorism, nation-state espionage, employee malfeasance, use of artificial intelligence (AI) tools, or human error. These events could, among other things, compromise our information technology networks; result in corrupt or lost data or the unauthorized release of our or our customers’, suppliers’, and other third parties’ confidential or proprietary information; cause a disruption to our manufacturing and other operations (including our online services, platforms and transactions);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suppliers and other third parties are frequent, increasingly sophisticated and constantly evolving, thereby making them more difficult to detect, mitigate and defend against.</w:t>
      </w:r>
    </w:p>
    <w:p>
      <w:pPr>
        <w:spacing w:after="0" w:line="18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u w:val="single" w:color="auto"/>
          <w:color w:val="auto"/>
        </w:rPr>
        <w:t>Our ability to successfully implement strategic, business and organizational changes could affect our business plans and results of operations.</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capital investments and restructuring actions, to support or carry out our objectives.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epidemics that could adversely affect manufacturing capacity, availability and cost of key materials, services, utilities and equipment or otherwise disrupt operations. Climate change might exacerbate these occurrences or cause natural disasters to occur with greater frequency and with more intense effects. A natural disaster that results in a prolonged disruption, particularly where we have principal manufacturing and design operations, as listed in the Properties section in Item 2, may adversely affect our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rely on third parties to supply us with goods and services in a cost-effective and timely manner. Our access to needed goods and services may be adversely affected by potential disputes with suppliers or disruptions in our own or suppliers’ operations as a result of, for example: quality excursions; uncertainty regarding the stability of global credit and financial markets; domestic or international political, social, economic and other conditions; cybersecurity incidents; ability to access conflict-free minerals; natural events or epidemics in the locations in which our suppliers operate; or limited or delayed access to and high costs of key materials, services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particular, our manufacturing processes and critical manufacturing equipment, and those of our suppliers, require that certain key materials, services and utilities be available. Suppliers of these items have and might continue to extend lead times, limit supply or increase prices due to factors beyond our control. Limited or delayed access to and high costs of key materials, services and utilities could adversely affect our results of operations.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inability to timely implement new manufacturing technologies, install manufacturing equipment or secure necessary personnel for manufacturing operations could adversely affect our results of operations. We have made and will continue to make significant investments in manufacturing capacity, and we might not realize our expected return on those investments. We subcontract a portion of our wafer fabrication and assembly and testing of our products, and we depend on third parties (including contractors and other service providers) to support key portions of our operations (including manufacturing operations and advanced logic manufacturing process technology development) and to construct our facilities.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or build facilities in a timely, cost-effective, and appropriate manner, the possibility of suppliers’ imposition of increased costs on us and the unauthorized disclosure or use of our intellectual property. In addition, failure by these suppliers to fulfill expectations, commitments and responsibilities in accordance with agreed terms or applicable laws, rules and regulations (including health, safety, forced labor, human trafficking and supply chain standards) could adversely affect our results of operations, financial condition and reputation.</w:t>
      </w:r>
    </w:p>
    <w:p>
      <w:pPr>
        <w:spacing w:after="0" w:line="19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u w:val="single" w:color="auto"/>
          <w:color w:val="auto"/>
        </w:rPr>
        <w:t>Our continued success depends in part on our ability to retain, train and recruit a sufficient number of qualified employees in a competitive environment.</w:t>
      </w:r>
    </w:p>
    <w:p>
      <w:pPr>
        <w:spacing w:after="0" w:line="15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contributions and effective succession of senior management and other key employees. Skilled and experienced personnel in our industry, including engineering, management, sales, technical and staff personnel, are in high demand, and competition for their talents is intense. There can be no assurance that we will be able to successfully retain, train and recruit the key engineering, management and technical personnel that we require to execute our business strategy. Our ability to recruit internationally or deploy employees to various locations may be limited by immigration laws and policies, including changes to, or the administration or interpretation of, those laws and policies. Failure to retain, train and recruit key personnel could disrupt our business and adversely affect our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1040"/>
        <w:spacing w:after="0" w:line="287" w:lineRule="auto"/>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Claims based on warranty, product liability, epidemic or delivery failures, or other grounds relating to our products, software,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Improper, incorrect, illicit or unauthorized storage, handling, modification, diversion or use of our products, or use of counterfeit products, by third parties could result in reputational harm. Any of these events could adversely affect our results of operations, financial condition and reputation.</w:t>
      </w:r>
    </w:p>
    <w:p>
      <w:pPr>
        <w:spacing w:after="0" w:line="18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u w:val="single" w:color="auto"/>
          <w:color w:val="auto"/>
        </w:rPr>
        <w:t>Our results of operations could be adversely affected by distributors’ promotion of competing product lines or our distributors’ financial performance.</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2024, about 20%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vary.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profit margins vary due to a number of factors, which may include customer demand and shipment volume; capital expenditures and resulting depreciation;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With our planned capacity expansions, capital expenditures and depreciation have increased. In general, these fixed costs do not decline with reductions in customer demand or factory loadings, and can adversely affect profit margins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complex laws, rules and regulations on an international, national and local level that affect our domestic and international operations relating to, for example, the environment and climate change; safety; health; trade, including import and export; bribery and corruption; financial reporting; tax; data privacy and protection; labor and employment; competition; facilities and code compliance; market access; pandemics, epidemics or other public health crises; intellectual property ownership and infringement; and the movement of currency. Compliance with these laws, rules and regulations may be onerous and expensive and could restrict our ability to manufacture or ship our products and operate our business. From time to time, we receive inquiries from government entities regarding our compliance with laws and regulations, and we could be subject to related litigation, investigations or enforcement activity that can be unpredictable and time-consuming, as well as disruptions to our operations, or significant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Increased focus from government authorities, investors, customers and other key stakeholders on environmental, social and governance (ESG) matters has led to new and more stringent reporting standards and disclosure requirements. As the nature, scope and complexity of ESG reporting, diligence and disclosure requirements expand, we might have to undertake costly efforts to control, assess and report on ESG metrics. Any failure, or perceived failure, to achieve stated goals or meet stakeholder expectations and standards could adversely affect our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320"/>
        <w:spacing w:after="0" w:line="257" w:lineRule="auto"/>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material or process might not be available, or might not be available at reasonable cost.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subject to laws and regulations in various jurisdictions that determine how much profit has been earned and when it is subject to taxation in that jurisdiction. These laws and regulations can be complex and subject to interpretation. In addition, many countries have enacted or begun the process of enacting laws that align with the Organisation for Economic Cooperation and Development’s Base Erosion and Profit Shifting recommendations. Changes in these laws and regulations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received and may in the future continue to receive government incentives, including but not limited to tax incentives, designed to encourage certain investments in our operations. We may be subject to increased scrutiny from government entities, shareholders and others on how these incentives are used and spent. Such incentives could be subject to reduction, modification, clawback or termination, and such changes to these incentives could adversely affect our results of operations, financial condition and reputation.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our trade secrets, or unauthorized copying and cloning, in their products without the right to do so, or third parties’ sale of counterfeit products bearing our trademark. Activities such as those listed above may affect our reputation and impede our ability to sell our products. The laws of countries where we operate may not protect our intellectual property rights to the same extent as U.S.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our financing activities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maintain bank accounts, a portfolio of investments, access to one or more revolving credit agreements and the ability to issue debt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could adversely affect our results of operations.</w:t>
      </w:r>
    </w:p>
    <w:p>
      <w:pPr>
        <w:spacing w:after="0" w:line="22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We have a significant amount of goodwill on our consolidated balance sheet. Charges associated with impairments of goodwill could adversely affect our financial condition and results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cybersecurity risk management is based on recognized cybersecurity industry frameworks and standards, including those of the National Institute of Standards and Technology, the Center for Internet Security Controls, and the International Organization for Standardization. We use these frameworks, together with information collected from internal assessments, to develop policies for use of our information assets (for example, TI business information and information resources such as mobile phones, computers and workstations), access to specific intellectual property or technologies, and protection of personal information. We protect these information assets through industry-standard techniques, such as multifactor authentication and malware defenses. We also work with internal stakeholders across the company to integrate foundational cybersecurity principles throughout our organization’s operations, including employment of multiple layers of cybersecurity defenses, restricted access based on business need, and integrity of our business information. Throughout the year, we also regularly train our employees on cybersecurity awareness, confidential information protection and simulated phishing attacks.</w:t>
      </w:r>
    </w:p>
    <w:p>
      <w:pPr>
        <w:spacing w:after="0" w:line="18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We regularly engage third-party assessors to conduct penetration testing and measure our program to industry standard frameworks. We also have standing engagements with incident response experts and external counsel. We frequently collaborate with industry experts and cybersecurity practitioners at other companies to exchange information about potential cybersecurity threats, best practices and trends.</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cybersecurity risk management extends to risks associated with our use of third-party service providers. For instance, we conduct risk and compliance assessments of third-party service providers that request access to our information assets.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t>Our cybersecurity risk management is an important part of our comprehensive business continuity program and enterprise risk management. Our global information security team periodically engages with a cross-functional group of subject matter experts and leaders to assess and refine our cybersecurity risk posture and preparedness. For example, we regularly evaluate and update contingency strategies for our business in the event that a portion of our information resources were to be unavailable due to a cybersecurity incident. We practice our response to potential cybersecurity incidents through regular tabletop exercises, threat hunting and red team exercises.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cybersecurity risks, see the Risk factors discussion in Item 1A of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cybersecurity risk management</w:t>
      </w:r>
    </w:p>
    <w:p>
      <w:pPr>
        <w:spacing w:after="0" w:line="22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board of directors, as a whole, has oversight responsibility for our strategic and operational risks. The audit committee assists the board of directors with this responsibility by reviewing and discussing our risk assessment and risk management practices, including cybersecurity risks, with members of management. The audit committee, in turn, periodically reports on its review with the board of directors.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responsible for day-to-day assessment and management of cybersecurity risks. Our chief information officer has primary oversight of material risks from cybersecurity threats. Our chief information officer is the senior vice president responsible for the Information Technology Solutions (ITS) organization and for information protection. Our chief information officer has more than 25 years of experience across various engineering, business and management roles, including serving as the vice president of the design and manufacturing ITS organization, leading the development and implementation of information technology strategies and roadmaps for manufacturing automation.</w:t>
      </w:r>
    </w:p>
    <w:p>
      <w:pPr>
        <w:spacing w:after="0" w:line="17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chief information security officer reports to our chief information officer. Our chief information security officer has more than 15 years of experience working in information technology-related roles, a degree in Information Technology, and Global Information Assurance Certifications in Security Essentials (GSEC) as an Intrusion Analyst (GCIA) and as a Penetration Tester (GPEN).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chief information officer and chief information security officer assess our cybersecurity readiness through internal assessment tools as well as third-party control tests, vulnerability assessments, audits and evaluation against industry standards. We have governance and compliance structures that are designed to elevate issues relating to cybersecurity to our chief information officer and chief information security officer, such as potential threats or vulnerabilities. We also employ various defensive and continuous monitoring techniques using recognized industry frameworks and cybersecurity standards.</w:t>
      </w:r>
    </w:p>
    <w:p>
      <w:pPr>
        <w:spacing w:after="0" w:line="17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chief information officer meets with the audit committee periodically to review our information technology systems and discuss key cybersecurity risks. In addition, the chief financial officer reviews with the audit committee at least annually our global enterprise risk management program, which includes cybersecurity risks, and is also reported to the board.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Analog</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85"/>
        </w:trPr>
        <w:tc>
          <w:tcPr>
            <w:tcW w:w="87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Processing</w:t>
            </w:r>
          </w:p>
        </w:tc>
        <w:tc>
          <w:tcPr>
            <w:tcW w:w="0" w:type="dxa"/>
            <w:vAlign w:val="bottom"/>
          </w:tcPr>
          <w:p>
            <w:pPr>
              <w:spacing w:after="0"/>
              <w:rPr>
                <w:sz w:val="1"/>
                <w:szCs w:val="1"/>
                <w:color w:val="auto"/>
              </w:rPr>
            </w:pPr>
          </w:p>
        </w:tc>
      </w:tr>
      <w:tr>
        <w:trPr>
          <w:trHeight w:val="223"/>
        </w:trPr>
        <w:tc>
          <w:tcPr>
            <w:tcW w:w="8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North Texas (Dallas, Richardson and Sherman)</w:t>
            </w: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top w:val="single" w:sz="8" w:color="DBDBDB"/>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Lehi, Utah</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 Portland, Maine</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Santa Clara, California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Houston, Texas</w:t>
            </w: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Tucson, Arizona</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Chengdu, China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Shanghai, China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Freising, Germany</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Bangalore, India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Aizu, Japan</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Miho, Japan</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Kuala Lumpur, Malaysia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Melaka, Malaysia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Aguascalientes, Mexico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Baguio, Philippines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Pampanga (Clark), Philippines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8700" w:type="dxa"/>
            <w:vAlign w:val="bottom"/>
          </w:tcPr>
          <w:p>
            <w:pPr>
              <w:ind w:left="20"/>
              <w:spacing w:after="0"/>
              <w:rPr>
                <w:sz w:val="20"/>
                <w:szCs w:val="20"/>
                <w:color w:val="auto"/>
              </w:rPr>
            </w:pPr>
            <w:r>
              <w:rPr>
                <w:rFonts w:ascii="Arial" w:cs="Arial" w:eastAsia="Arial" w:hAnsi="Arial"/>
                <w:sz w:val="18"/>
                <w:szCs w:val="18"/>
                <w:color w:val="auto"/>
              </w:rPr>
              <w:t>Taipei, Taiwan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Leased.</w:t>
      </w:r>
    </w:p>
    <w:p>
      <w:pPr>
        <w:spacing w:after="0" w:line="1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w:t>
      </w:r>
    </w:p>
    <w:p>
      <w:pPr>
        <w:spacing w:after="0" w:line="22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facilities in the United States contained approximately 17.6 million square feet at December 31, 2024, of which approximately 0.5 million square feet were leased. Our facilities outside the United States contained approximately 12.7 million square feet at December 31, 2024, of which approximately 2.3 million square feet were leased.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2024, we occupied substantially all of the space in our facilities.</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153"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TI common stock is quoted on The Nasdaq Global Select Market under the ticker symbol TXN. At December 31, 2024, we had 10,729 stockholders of record.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85"/>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1700" w:type="dxa"/>
            <w:vAlign w:val="bottom"/>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Programs (a)</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October 1 - 31, 2024</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550,939</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202.26</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550,939</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20.69</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November 1 - 30, 2024</w:t>
            </w:r>
          </w:p>
        </w:tc>
        <w:tc>
          <w:tcPr>
            <w:tcW w:w="1700" w:type="dxa"/>
            <w:vAlign w:val="bottom"/>
          </w:tcPr>
          <w:p>
            <w:pPr>
              <w:jc w:val="right"/>
              <w:spacing w:after="0"/>
              <w:rPr>
                <w:sz w:val="20"/>
                <w:szCs w:val="20"/>
                <w:color w:val="auto"/>
              </w:rPr>
            </w:pPr>
            <w:r>
              <w:rPr>
                <w:rFonts w:ascii="Arial" w:cs="Arial" w:eastAsia="Arial" w:hAnsi="Arial"/>
                <w:sz w:val="18"/>
                <w:szCs w:val="18"/>
                <w:color w:val="auto"/>
              </w:rPr>
              <w:t>854,198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203.84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854,198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20.51</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December 1 - 31, 2024</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1,348,059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191.23</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1,348,059</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 (b)</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2,753,196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80" w:hanging="492"/>
        <w:spacing w:after="0" w:line="268" w:lineRule="auto"/>
        <w:tabs>
          <w:tab w:leader="none" w:pos="4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62" w:lineRule="exact"/>
        <w:rPr>
          <w:rFonts w:ascii="Arial" w:cs="Arial" w:eastAsia="Arial" w:hAnsi="Arial"/>
          <w:sz w:val="18"/>
          <w:szCs w:val="18"/>
          <w:color w:val="auto"/>
        </w:rPr>
      </w:pPr>
    </w:p>
    <w:p>
      <w:pPr>
        <w:ind w:left="500" w:right="280" w:hanging="492"/>
        <w:spacing w:after="0" w:line="287" w:lineRule="auto"/>
        <w:tabs>
          <w:tab w:leader="none" w:pos="4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2024, this amount consisted of the remaining portion of the $12.0 billion authorized in September 2018 and the $15.0 billion authorized in September 2022. No expiration date has been specified for these authorizations.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20" w:hanging="328"/>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060" w:hanging="404"/>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980" w:right="240" w:hanging="324"/>
        <w:spacing w:after="0" w:line="287" w:lineRule="auto"/>
        <w:tabs>
          <w:tab w:leader="none" w:pos="1066" w:val="left"/>
        </w:tabs>
        <w:numPr>
          <w:ilvl w:val="1"/>
          <w:numId w:val="7"/>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ind w:left="980" w:right="640" w:hanging="324"/>
        <w:spacing w:after="0" w:line="287" w:lineRule="auto"/>
        <w:tabs>
          <w:tab w:leader="none" w:pos="106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44" w:lineRule="exact"/>
        <w:rPr>
          <w:rFonts w:ascii="Arial" w:cs="Arial" w:eastAsia="Arial" w:hAnsi="Arial"/>
          <w:sz w:val="18"/>
          <w:szCs w:val="18"/>
          <w:color w:val="auto"/>
        </w:rPr>
      </w:pPr>
    </w:p>
    <w:p>
      <w:pPr>
        <w:ind w:left="980" w:right="200" w:hanging="324"/>
        <w:spacing w:after="0" w:line="287" w:lineRule="auto"/>
        <w:tabs>
          <w:tab w:leader="none" w:pos="107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200" w:hanging="328"/>
        <w:spacing w:after="0" w:line="287"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invest in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60" w:right="8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980" w:right="560" w:hanging="324"/>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980" w:right="140" w:hanging="324"/>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980" w:right="240" w:hanging="324"/>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left="980" w:right="40" w:hanging="324"/>
        <w:spacing w:after="0" w:line="262"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results of operations provides details of our financial results for 2024 and 2023 and year-to-year comparisons between 2024 and 2023. Discussion of 2022 items and year-to-year comparisons between 2023 and 2022 that are not included in this Form 10-K can be found in “Management’s discussion and analysis of financial condition and results of operations” in Part II, Item 7 of the Company’s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strategic focus is on analog and embedded processing products. We sell our products into six end markets: industrial, automotive, personal electronics, enterprise systems, communications equipment and other. While all of these end markets represent good opportunities, we place additional strategic emphasis on designing and selling our products into the industrial and automotive markets, which we believe represent the best long-term growth opportunities.</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$6.32 billion underscored the strength of our business model, the quality of our product portfolio and the benefit of 300mm production. Free cash flow was $ 1.50 billion and represented 9.6% of revenue. During 2024, we invested $3.75 billion in R&amp;D and SG&amp;A, invested $4.82 billion in capital expenditures and returned $5.72 billion to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2024 compared with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$15.64 billion decreased $1.88 billion, or 10.7%, due to lower revenue from Analog and Embedded Processing.</w:t>
      </w:r>
    </w:p>
    <w:p>
      <w:pPr>
        <w:spacing w:after="0" w:line="225"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Gross profit of $9.09 billion was down $1.93 billion, or 17.5%, primarily due to lower revenue and, to a lesser extent, higher manufacturing costs associated with our planned capacity expansions. As a percentage of revenue, gross profit decreased to 58.1% from 62.9%.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$3.75 billion compared with $3.69 billion.</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Restructuring charges/other was a credit of $124 million primarily due to a gain on the sale of a property during 2024. See Note 11 to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$5.47 billion, or 34.9% of revenue, compared with $7.33 billion, or 41.8% of revenue.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Other income and expense (OI&amp;E) was $496 million of income compared with $440 million of income, due to interest income. See Note 11 to the financial statements.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Interest and debt expense of $508 million increased $155 million due to the issuance of additional long-term debt. See Note 8 to the financial statements.</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provision for income taxes was $ 654 million compared with $908 million. This decrease was due to lower income before income taxes. Our effective tax rate, which includes discrete tax items, was 12.0% in 2024 compared with 12.2% in 2023. See Note 4 to the financial statements for a reconciliation of the U.S. statutory corporate tax rate to our effective tax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$4.80 billion compared with $6.51 billion. EPS was $5.20 compared with $7.07.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Segment results – 2024 compared with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6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12,161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13,040</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4,608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37.9 %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Analog revenue decreased due to the mix of products shipped in both product lines, led by Signal Chain. Operating profit decreased primarily due to lower revenue and higher manufacturing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2,533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13.9 %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Operating profit decreased primarily due to lower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947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b w:val="1"/>
                <w:bCs w:val="1"/>
                <w:color w:val="auto"/>
              </w:rPr>
              <w:t>505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53.3 %</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Includes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$164 million, and operating profit increased $3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At the end of 2024, total cash (cash and cash equivalents plus short-term investments) was $7.58 billion, a decrease of $995 million from the end of 2023.</w:t>
      </w:r>
    </w:p>
    <w:p>
      <w:pPr>
        <w:spacing w:after="0" w:line="15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Accounts receivable were $1.72 billion, a decrease of $68 million compared with the end of 2023. Days sales outstanding at the end of 2024 and 2023 were 39.</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Inventory was $4.53 billion, an increase of $528 million from the end of 2023. Days of inventory at the end of 2024 were 241 compared with 219 at the end of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December 31, 2024, our credit facility was undrawn, and we had no commercial paper outstanding. Cash flows from operating activities for 2024 were $6.32 billion, a decrease of $102 million due to lower net income, partially offset by lower cash used for working capital. Cash flows from operating activities for 2024 include a cash benefit of $588 million from the U.S. CHIPS and Science Act (CHIPS Act) investment tax credit (ITC) used to reduce income taxes payable.</w:t>
      </w:r>
    </w:p>
    <w:p>
      <w:pPr>
        <w:spacing w:after="0" w:line="182"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Investing activities for 2024 used $3.20 billion compared with $4.36 billion in 2023. Capital expenditures were $4.82 billion compared with $5.07 billion in 2023 and were primarily for semiconductor manufacturing equipment and facilities in both periods. Short-term investments provided cash proceeds of $1.47 billion in 2024 compared with $682 million in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As we continue to invest to strengthen our competitive advantages in manufacturing and technology, as part of our long-term capacity planning, our capital expenditures are expected to remain at elevated levels. We expect to receive between $7.5 billion to $9.5 billion through 2034 from the CHIPS Act. This includes the ITC for qualified U.S. manufacturing investments and direct funding of up to $1.6 billion for our three large-scale 300mm wafer fabs currently under construction in Sherman, Texas, and Lehi, Utah. We received $588 million in associated cash benefit from qualifying capital expenditures in 2024.</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Financing activities for 2024 used $2.88 billion compared with $2.14 billion in 2023. In 2024, we received net proceeds of $2.98 billion from the issuance of fixed-rate, long-term debt and retired maturing debt of $600 million. In 2023, we received net proceeds of $3.00 billion from the issuance of fixed-rate, long-term debt and retired maturing debt of $500 million. Dividends paid in 2024 were $ 4.80 billion compared with $4.56 billion in 2023, reflecting an increased dividend rate. We used $929 million to repurchase 4.7 million shares of our common stock compared with $293 million used in 2023 to repurchase 1.8 million shares. Employee exercises of stock options provided cash proceeds of $517 million compared with $263 million in 2023.</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had $3.20 billion of cash and cash equivalents and $4.38 billion of short-term investments as of December 31, 2024.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For Years Ended December 31,</w:t>
            </w:r>
          </w:p>
        </w:tc>
      </w:tr>
      <w:tr>
        <w:trPr>
          <w:trHeight w:val="196"/>
        </w:trPr>
        <w:tc>
          <w:tcPr>
            <w:tcW w:w="80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24"/>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6,318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6,420</w:t>
            </w:r>
          </w:p>
        </w:tc>
      </w:tr>
      <w:tr>
        <w:trPr>
          <w:trHeight w:val="229"/>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(4,820)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(5,071)</w:t>
            </w:r>
          </w:p>
        </w:tc>
      </w:tr>
      <w:tr>
        <w:trPr>
          <w:trHeight w:val="248"/>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1,498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1,349</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5"/>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15,641</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17,519</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40.4 %</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36.6 %</w:t>
            </w:r>
          </w:p>
        </w:tc>
      </w:tr>
      <w:tr>
        <w:trPr>
          <w:trHeight w:val="247"/>
        </w:trPr>
        <w:tc>
          <w:tcPr>
            <w:tcW w:w="808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7.7 %</w:t>
            </w:r>
          </w:p>
        </w:tc>
      </w:tr>
    </w:tbl>
    <w:p>
      <w:pPr>
        <w:spacing w:after="0" w:line="166"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cash benefit of $588 million from the CHIPS Act ITC used to reduce income taxes payable for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that arise from temporary differences between the tax and financial statement recognition of revenue and expense.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evaluation of tax liabilities involves dealing with uncertainties in the interpretation and application of complex tax laws, and significant judgment is necessary to determine whether, based on the technical merits, a tax position is more likely than not to be sustained. We determine potential liabilities for anticipated tax audit issues in the United States and other tax jurisdictions based on an estimate of the ultimate resolution of whether, and the extent to which, additional taxes will be due. Although we believe our analysis of the underlying issues and the associated estimates are reasonable, no assurance can be given that the final outcome of these matters will not be different from what is reflected in the historical income tax provisions and accruals.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financial statements for a discussion of our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U.S. dollar is our functional currency for financial reporting. Our non-U.S. entities own assets or liabilities denominated in U.S. dollars or other currencies, and exchange rate fluctuations in those jurisdictions may impact our effective tax rate.</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balance sheet also reflects amounts remeasured from non-U.S. dollar currencies. Because most of the aggregate non-U.S. dollar balance sheet exposure is hedged by forward currency exchange contracts, which are based on year-end 2024 balances and currency exchange rates, a hypothetical 10% plus or minus fluctuation in non-U.S. currency exchange rates relative to the U.S. dollar would result in a pretax currency exchange gain or loss of less than $1 million.</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As of December 31, 2024, we had forward currency exchange contracts outstanding with a notional value of $565 million to hedge net balance sheet exposures (including $180 million to buy Indian rupee, $91 million to sell British pounds and $78 million to sell Japanese yen). Similar hedging activities existed at year-end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2024, a hypothetical 100 basis point increase in interest rates would decrease the fair value of our investments in cash equivalents and short-term investments by about $22 million and decrease the fair value of our long-term debt by $952 million. Because interest rates on our long-term debt are fixed, changes in interest rates would not affect the cash flows associated with long-term debt.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financial statements: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for each of the three years in the period ended December 31,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for each of the three years in the period ended December 31,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 sheets as of December 31, 2024 and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flows for each of the three years in the period ended December 31,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Stockholders’ equity for each of the three years in the period ended December 31,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(PCAOB ID: 42).</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1" w:right="5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15,641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17,519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20,028</w:t>
            </w:r>
          </w:p>
        </w:tc>
      </w:tr>
      <w:tr>
        <w:trPr>
          <w:trHeight w:val="230"/>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11,019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13,771</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1,704</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73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5,465</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7,331</w:t>
            </w:r>
          </w:p>
        </w:tc>
        <w:tc>
          <w:tcPr>
            <w:tcW w:w="120" w:type="dxa"/>
            <w:vAlign w:val="bottom"/>
            <w:tcBorders>
              <w:top w:val="single" w:sz="8" w:color="DBDBDB"/>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10,140</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10,032</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1,283</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4"/>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9.51</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3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9.41</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72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4"/>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916</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3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w:t>
            </w:r>
          </w:p>
        </w:tc>
      </w:tr>
      <w:tr>
        <w:trPr>
          <w:trHeight w:val="21"/>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 w:right="78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6,510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8,749</w:t>
            </w:r>
          </w:p>
        </w:tc>
      </w:tr>
      <w:tr>
        <w:trPr>
          <w:trHeight w:val="230"/>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4,775</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6,477</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8,710</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6,510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8,749</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($20), ($9) and $48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($3), ($5) and ($17)</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 of defined benefit plans: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$0,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$0, ($1) and $1</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DBDBDB"/>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4,864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8,652</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67"/>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3"/>
                <w:szCs w:val="23"/>
                <w:color w:val="auto"/>
              </w:rPr>
            </w:pPr>
          </w:p>
        </w:tc>
      </w:tr>
      <w:tr>
        <w:trPr>
          <w:trHeight w:val="195"/>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2023</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2,964</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5,611</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($21) and ($16)</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1,719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1,787</w:t>
            </w:r>
          </w:p>
        </w:tc>
      </w:tr>
      <w:tr>
        <w:trPr>
          <w:trHeight w:val="229"/>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2,214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2,109</w:t>
            </w:r>
          </w:p>
        </w:tc>
      </w:tr>
      <w:tr>
        <w:trPr>
          <w:trHeight w:val="230"/>
        </w:trPr>
        <w:tc>
          <w:tcPr>
            <w:tcW w:w="868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4,527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3,999</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15,026</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15,122</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15,254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13,268</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(3,907)</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(3,269)</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11,347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9,999</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3,348</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r>
      <w:tr>
        <w:trPr>
          <w:trHeight w:val="20"/>
        </w:trPr>
        <w:tc>
          <w:tcPr>
            <w:tcW w:w="85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3,643</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3,320</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10,624</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1,954</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1,336</w:t>
            </w:r>
          </w:p>
        </w:tc>
      </w:tr>
      <w:tr>
        <w:trPr>
          <w:trHeight w:val="223"/>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18,606</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52,262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52,283</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2024 – 830; 2023 – 832</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(40,895)</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(40,284)</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16,903</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16,897</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7"/>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00" w:type="dxa"/>
            <w:vAlign w:val="bottom"/>
            <w:tcBorders>
              <w:bottom w:val="single" w:sz="8" w:color="auto"/>
            </w:tcBorders>
          </w:tcPr>
          <w:p>
            <w:pPr>
              <w:spacing w:after="0"/>
              <w:rPr>
                <w:sz w:val="23"/>
                <w:szCs w:val="23"/>
                <w:color w:val="auto"/>
              </w:rPr>
            </w:pPr>
          </w:p>
        </w:tc>
      </w:tr>
      <w:tr>
        <w:trPr>
          <w:trHeight w:val="195"/>
        </w:trPr>
        <w:tc>
          <w:tcPr>
            <w:tcW w:w="74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r>
      <w:tr>
        <w:trPr>
          <w:trHeight w:val="211"/>
        </w:trPr>
        <w:tc>
          <w:tcPr>
            <w:tcW w:w="7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6,510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8,749</w:t>
            </w:r>
          </w:p>
        </w:tc>
      </w:tr>
      <w:tr>
        <w:trPr>
          <w:trHeight w:val="229"/>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29"/>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7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7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7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7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r>
      <w:tr>
        <w:trPr>
          <w:trHeight w:val="237"/>
        </w:trPr>
        <w:tc>
          <w:tcPr>
            <w:tcW w:w="73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(4,820)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(9,716)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(14,483)</w:t>
            </w:r>
          </w:p>
        </w:tc>
      </w:tr>
      <w:tr>
        <w:trPr>
          <w:trHeight w:val="230"/>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11,187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13,657</w:t>
            </w:r>
          </w:p>
        </w:tc>
      </w:tr>
      <w:tr>
        <w:trPr>
          <w:trHeight w:val="230"/>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r>
      <w:tr>
        <w:trPr>
          <w:trHeight w:val="237"/>
        </w:trPr>
        <w:tc>
          <w:tcPr>
            <w:tcW w:w="73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2,980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1,494</w:t>
            </w:r>
          </w:p>
        </w:tc>
      </w:tr>
      <w:tr>
        <w:trPr>
          <w:trHeight w:val="230"/>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(4,557)</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(4,297)</w:t>
            </w:r>
          </w:p>
        </w:tc>
      </w:tr>
      <w:tr>
        <w:trPr>
          <w:trHeight w:val="229"/>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230"/>
        </w:trPr>
        <w:tc>
          <w:tcPr>
            <w:tcW w:w="7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4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(2,880)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(6,718)</w:t>
            </w:r>
          </w:p>
        </w:tc>
      </w:tr>
      <w:tr>
        <w:trPr>
          <w:trHeight w:val="237"/>
        </w:trPr>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7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(1,581)</w:t>
            </w:r>
          </w:p>
        </w:tc>
      </w:tr>
      <w:tr>
        <w:trPr>
          <w:trHeight w:val="230"/>
        </w:trPr>
        <w:tc>
          <w:tcPr>
            <w:tcW w:w="7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r>
      <w:tr>
        <w:trPr>
          <w:trHeight w:val="248"/>
        </w:trPr>
        <w:tc>
          <w:tcPr>
            <w:tcW w:w="74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3,050</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r>
        <w:trPr>
          <w:trHeight w:val="177"/>
        </w:trPr>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9"/>
        </w:trPr>
        <w:tc>
          <w:tcPr>
            <w:tcW w:w="7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6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U.S. CHIPS and Science Act</w:t>
            </w: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588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Stockholders’ Equity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480" w:type="dxa"/>
            <w:vAlign w:val="bottom"/>
            <w:tcBorders>
              <w:top w:val="single" w:sz="8" w:color="auto"/>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($4.69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December 31, 2022</w:t>
            </w:r>
          </w:p>
        </w:tc>
        <w:tc>
          <w:tcPr>
            <w:tcW w:w="4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(40,214)</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Dividends declared and paid ($5.02 per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Balance, December 31, 2023</w:t>
            </w:r>
          </w:p>
        </w:tc>
        <w:tc>
          <w:tcPr>
            <w:tcW w:w="4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spacing w:after="0"/>
              <w:rPr>
                <w:sz w:val="19"/>
                <w:szCs w:val="19"/>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bottom w:val="single" w:sz="8" w:color="auto"/>
            </w:tcBorders>
            <w:shd w:val="clear" w:color="auto" w:fill="DBDBDB"/>
          </w:tcPr>
          <w:p>
            <w:pPr>
              <w:spacing w:after="0"/>
              <w:rPr>
                <w:sz w:val="19"/>
                <w:szCs w:val="19"/>
                <w:color w:val="auto"/>
              </w:rPr>
            </w:pP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2024</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($5.26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(940)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2024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See accompanying notes.</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5100" w:type="dxa"/>
            <w:vAlign w:val="bottom"/>
          </w:tcPr>
          <w:p>
            <w:pPr>
              <w:spacing w:after="0"/>
              <w:rPr>
                <w:sz w:val="24"/>
                <w:szCs w:val="24"/>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spacing w:after="0" w:line="176" w:lineRule="exact"/>
        <w:rPr>
          <w:sz w:val="20"/>
          <w:szCs w:val="20"/>
          <w:color w:val="auto"/>
        </w:rPr>
      </w:pPr>
    </w:p>
    <w:p>
      <w:pPr>
        <w:ind w:left="660" w:right="20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(see Note 11);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spacing w:after="0" w:line="17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CODM assesses the performance of our segments and decides how to allocate resources based on each segment’s revenue growth, gross margin and operating profit. The CODM utilizes these metrics by comparing budget versus actual results as well as benchmarking to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Year Ended December 31, 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Analog</w:t>
            </w:r>
          </w:p>
        </w:tc>
        <w:tc>
          <w:tcPr>
            <w:tcW w:w="160" w:type="dxa"/>
            <w:vAlign w:val="bottom"/>
          </w:tcPr>
          <w:p>
            <w:pPr>
              <w:spacing w:after="0"/>
              <w:rPr>
                <w:sz w:val="12"/>
                <w:szCs w:val="12"/>
                <w:color w:val="auto"/>
              </w:rPr>
            </w:pPr>
          </w:p>
        </w:tc>
        <w:tc>
          <w:tcPr>
            <w:tcW w:w="11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Embedded</w:t>
            </w:r>
          </w:p>
        </w:tc>
        <w:tc>
          <w:tcPr>
            <w:tcW w:w="26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Processing</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12,161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2,533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947</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15,641</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4,869</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w:t>
            </w:r>
          </w:p>
        </w:tc>
        <w:tc>
          <w:tcPr>
            <w:tcW w:w="0" w:type="dxa"/>
            <w:vAlign w:val="bottom"/>
          </w:tcPr>
          <w:p>
            <w:pPr>
              <w:spacing w:after="0"/>
              <w:rPr>
                <w:sz w:val="1"/>
                <w:szCs w:val="1"/>
                <w:color w:val="auto"/>
              </w:rPr>
            </w:pPr>
          </w:p>
        </w:tc>
      </w:tr>
      <w:tr>
        <w:trPr>
          <w:trHeight w:val="223"/>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7,292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9,094</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1,959</w:t>
            </w:r>
          </w:p>
        </w:tc>
        <w:tc>
          <w:tcPr>
            <w:tcW w:w="0" w:type="dxa"/>
            <w:vAlign w:val="bottom"/>
          </w:tcPr>
          <w:p>
            <w:pPr>
              <w:spacing w:after="0"/>
              <w:rPr>
                <w:sz w:val="1"/>
                <w:szCs w:val="1"/>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1,794</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Restructuring charges/other</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5,465</w:t>
            </w:r>
          </w:p>
        </w:tc>
        <w:tc>
          <w:tcPr>
            <w:tcW w:w="0" w:type="dxa"/>
            <w:vAlign w:val="bottom"/>
          </w:tcPr>
          <w:p>
            <w:pPr>
              <w:spacing w:after="0"/>
              <w:rPr>
                <w:sz w:val="1"/>
                <w:szCs w:val="1"/>
                <w:color w:val="auto"/>
              </w:rPr>
            </w:pP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Year Ended December 31, 2023</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Analog</w:t>
            </w:r>
          </w:p>
        </w:tc>
        <w:tc>
          <w:tcPr>
            <w:tcW w:w="160" w:type="dxa"/>
            <w:vAlign w:val="bottom"/>
          </w:tcPr>
          <w:p>
            <w:pPr>
              <w:spacing w:after="0"/>
              <w:rPr>
                <w:sz w:val="12"/>
                <w:szCs w:val="12"/>
                <w:color w:val="auto"/>
              </w:rPr>
            </w:pPr>
          </w:p>
        </w:tc>
        <w:tc>
          <w:tcPr>
            <w:tcW w:w="11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Embedded</w:t>
            </w:r>
          </w:p>
        </w:tc>
        <w:tc>
          <w:tcPr>
            <w:tcW w:w="26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Processing</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13,040</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3"/>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8,425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Year Ended December 31, 2022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Analog</w:t>
            </w:r>
          </w:p>
        </w:tc>
        <w:tc>
          <w:tcPr>
            <w:tcW w:w="160" w:type="dxa"/>
            <w:vAlign w:val="bottom"/>
          </w:tcPr>
          <w:p>
            <w:pPr>
              <w:spacing w:after="0"/>
              <w:rPr>
                <w:sz w:val="12"/>
                <w:szCs w:val="12"/>
                <w:color w:val="auto"/>
              </w:rPr>
            </w:pPr>
          </w:p>
        </w:tc>
        <w:tc>
          <w:tcPr>
            <w:tcW w:w="11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Embedded</w:t>
            </w:r>
          </w:p>
        </w:tc>
        <w:tc>
          <w:tcPr>
            <w:tcW w:w="26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Processing</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23"/>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32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4"/>
                <w:szCs w:val="14"/>
                <w:b w:val="1"/>
                <w:bCs w:val="1"/>
                <w:color w:val="auto"/>
              </w:rPr>
              <w:t>2022</w:t>
            </w:r>
          </w:p>
        </w:tc>
      </w:tr>
      <w:tr>
        <w:trPr>
          <w:trHeight w:val="210"/>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5,957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6,609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3,012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3,293</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4,807</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24</w:t>
            </w: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2,003</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10</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3,519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4,642</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4,807</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24</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267</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15,641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right="920" w:hanging="492"/>
        <w:spacing w:after="0" w:line="287" w:lineRule="auto"/>
        <w:tabs>
          <w:tab w:leader="none" w:pos="4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11%, 13% and 11% of total revenue in 2024, 2023 and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by geographic area, based on physical location: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r>
      <w:tr>
        <w:trPr>
          <w:trHeight w:val="21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8,342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7,548</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Major customer</w:t>
      </w:r>
    </w:p>
    <w:p>
      <w:pPr>
        <w:spacing w:after="0" w:line="22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One of our end customers accounted for 12% of revenue in 2024 recognized primarily in our Analog segment. No end customer accounted for 10% or more of revenue in 2023 or 2022.</w:t>
      </w:r>
    </w:p>
    <w:p>
      <w:pPr>
        <w:spacing w:after="0" w:line="153"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basis of these financial statements is comparable for all periods presented herein.</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and share amounts in the financial statements and tables in these notes, except per-share amounts, are presented in millions unless otherwise indicated. We have reclassified certain amounts in the prior periods’ financial statements to conform to the 2024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generate revenue primarily from the sale of semiconductor products, either directly to a customer or to a distributor, and recognize revenue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and incentives. We recognize shipping fees received from customers, if any, in revenue. We include the related shipping and handling costs in cost of revenue. The majority of our customers pay these fees directly to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We expense advertising and other promotional costs as incurred. This expense was $30 million, $28 million and $27 million in 2024, 2023 and 2022,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5"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terminate the lease when it is reasonably certain that we will exercise such options.</w:t>
      </w:r>
    </w:p>
    <w:p>
      <w:pPr>
        <w:spacing w:after="0" w:line="18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have agreements with lease and non-lease components, which are accounted for as a single lease component. Leases with an initial lease term of 12 months or less are not recorded on the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For Years Ended December 31,</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11"/>
        </w:trPr>
        <w:tc>
          <w:tcPr>
            <w:tcW w:w="2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(34)</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140"/>
              <w:spacing w:after="0" w:line="156"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4,775</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912</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908</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8,709</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916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DBDBDB"/>
          </w:tcPr>
          <w:p>
            <w:pPr>
              <w:ind w:left="140"/>
              <w:spacing w:after="0" w:line="142" w:lineRule="exact"/>
              <w:rPr>
                <w:sz w:val="20"/>
                <w:szCs w:val="20"/>
                <w:color w:val="auto"/>
              </w:rPr>
            </w:pPr>
            <w:r>
              <w:rPr>
                <w:rFonts w:ascii="Arial" w:cs="Arial" w:eastAsia="Arial" w:hAnsi="Arial"/>
                <w:sz w:val="16"/>
                <w:szCs w:val="16"/>
                <w:color w:val="auto"/>
              </w:rPr>
              <w:t>Dilutive effect of stock</w:t>
            </w:r>
          </w:p>
        </w:tc>
        <w:tc>
          <w:tcPr>
            <w:tcW w:w="2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compensation plans</w:t>
            </w:r>
          </w:p>
        </w:tc>
        <w:tc>
          <w:tcPr>
            <w:tcW w:w="2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(33)</w:t>
            </w:r>
          </w:p>
        </w:tc>
        <w:tc>
          <w:tcPr>
            <w:tcW w:w="100" w:type="dxa"/>
            <w:vAlign w:val="bottom"/>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40"/>
              <w:spacing w:after="0" w:line="156"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4,775</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916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8,710</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Potentially dilutive securities representing 8 million, 10 million and 5 million shares of common stock that were outstanding in 2024, 2023 and 2022,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other long-term assets. See Note 6 for additional information.</w:t>
      </w:r>
    </w:p>
    <w:p>
      <w:pPr>
        <w:spacing w:after="0" w:line="171" w:lineRule="exact"/>
        <w:rPr>
          <w:sz w:val="20"/>
          <w:szCs w:val="20"/>
          <w:color w:val="auto"/>
        </w:rPr>
      </w:pPr>
    </w:p>
    <w:p>
      <w:pPr>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 primary objectives of our cash equivalent and short-term investment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to preserve capital and maintain liquidity while generating appropriate returns. We consider investments in available-for-sale debt securities with maturities of 90 days or less from the date of our investment to be cash equivalents. We consider investments in available-for-sale debt securities with maturities beyond 90 days from the date of our investment as being available for use in current operations and include them in short-term investments.</w:t>
      </w:r>
    </w:p>
    <w:p>
      <w:pPr>
        <w:spacing w:after="0" w:line="71"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 Long-term investments, which are included within other long-term assets on our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consist of mutual funds, venture capital funds and nonmarketable securities.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18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and age of inventory. A specific allowance for each material type will be carried if there is a significant event not captured by the statistical allowance. We write off inventory in the period in which disposal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Government incentives</w:t>
      </w:r>
    </w:p>
    <w:p>
      <w:pPr>
        <w:spacing w:after="0" w:line="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Incentives provided by government entities are recognized when we have reasonable assurance that we will comply with the conditions of the incentive, if any, and the incentive will be received. Incentives, which include non-income tax incentives, related to the acquisition or construction of fixed assets are recognized as a reduction in the carrying amounts of the related assets and reduce depreciation expense over the useful lives of the assets. Incentives for specific operating activities are offset against the related expense in the period the expense is incurred.</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 CHIPS and Science Act (CHIPS Act) provides funding for manufacturing grants and research investments, and it establishes a 25% investment tax credit (ITC) for certain investments in U.S. semiconductor manufacturing. We expect to benefit from the ITC on qualifying manufacturing investments through 2034. We have also entered into an agreement with the U.S. Department of Commerce to receive direct funding of up to $1.6 billion for our three large-scale 300mm wafer fabs currently under construction in Sherman, Texas, and Lehi, Utah. Direct funding of the award will be based on the achievement of certain milestones. The agreement contains representations, warranties and covenants that relate to compliance with requirements for awards provided for in the CHIPS Act. In addition, the agreement includes certain events of default and related rights and remedies, including clawbacks.</w:t>
      </w:r>
    </w:p>
    <w:p>
      <w:pPr>
        <w:spacing w:after="0" w:line="1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2024, we have recognized $3.15 billion of CHIPS Act receivables, which are comprised of $904 million in prepaid expenses and other current assets and $2.25 billion in other long-term assets. We have also recognized deferred income of $600 million in other long-term liabilities for eligible expenditures that have not yet been incurred. See Note 11 for additional information.</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2024, the total cash benefit related to the ITC was $588 million, which was used to reduce our income taxes payable. The CHIPS Act ITC and direct funding incentives have reduced the carrying amounts of manufacturing assets by $ 3.14 billion, of which $1.78 billion was recognized in 2024. Cost of revenue benefited by $159 million and $45 million from the CHIPS Act incentives, recognized as a reduction of depreciation expense in 2024 and 2023,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and other capitalized costs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are generally amortized on a straight-line basis over the term of the license. Fully depreciated or amortized assets are written off against accumulated depreciation or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Goodwill is reviewed for impairment annually in the fourth quarter or more frequently if certain impairment indicators arise. We perform a qualitative assessment to determine if it is more likely than not that the fair value of a reporting unit is less than its carrying value, including goodwill. If we determine that it is more likely than not that the fair value of a reporting unit is less than its carrying value, or if we elect not to use a qualitative assessment, then we perform a quantitative goodwill impairment test. See Note 11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functional currency for our non-U.S. subsidiaries is the U.S. dollar. Accounts recorded in currencies other than the U.S. dollar are remeasured into the functional currency. Current assets (except inventories), deferred taxes,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calculated at the appropriate daily rate of exchange. Currency exchange gains and losses from remeasurement are credited or charged to OI&amp;E.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5"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 The fair value per share of RSUs is generally determined based on the closing price of our common stock on the date of grant.</w:t>
      </w:r>
    </w:p>
    <w:p>
      <w:pPr>
        <w:spacing w:after="0" w:line="17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 As of December 31, 2024, 31 million shares remain available for future issuance under this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R&amp;D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80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7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ESPP and are net of estimated forfeitures.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1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2024, total future compensation related to equity awards not yet recognized in our Consolidated Statements of Income was $503 million, which we expect to recognize over a weighted average period of 1.7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methods and assumptions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all awards granted under our various stock compensation plans at fair value.</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We estimate the fair values for non-qualified stock options using the Black-Scholes-Merton option-pricing model with the following weighted 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Years Ended December 31,</w:t>
            </w:r>
          </w:p>
        </w:tc>
        <w:tc>
          <w:tcPr>
            <w:tcW w:w="1040" w:type="dxa"/>
            <w:vAlign w:val="bottom"/>
            <w:tcBorders>
              <w:bottom w:val="single" w:sz="8" w:color="auto"/>
            </w:tcBorders>
          </w:tcPr>
          <w:p>
            <w:pPr>
              <w:spacing w:after="0"/>
              <w:rPr>
                <w:sz w:val="17"/>
                <w:szCs w:val="17"/>
                <w:color w:val="auto"/>
              </w:rPr>
            </w:pPr>
          </w:p>
        </w:tc>
      </w:tr>
      <w:tr>
        <w:trPr>
          <w:trHeight w:val="196"/>
        </w:trPr>
        <w:tc>
          <w:tcPr>
            <w:tcW w:w="66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24"/>
        </w:trPr>
        <w:tc>
          <w:tcPr>
            <w:tcW w:w="6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37.58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39.94</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assumptions used: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Expected lives (in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4.04 %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1.83 %</w:t>
            </w:r>
          </w:p>
        </w:tc>
      </w:tr>
      <w:tr>
        <w:trPr>
          <w:trHeight w:val="247"/>
        </w:trPr>
        <w:tc>
          <w:tcPr>
            <w:tcW w:w="6680" w:type="dxa"/>
            <w:vAlign w:val="bottom"/>
          </w:tcPr>
          <w:p>
            <w:pPr>
              <w:ind w:left="140"/>
              <w:spacing w:after="0"/>
              <w:rPr>
                <w:sz w:val="20"/>
                <w:szCs w:val="20"/>
                <w:color w:val="auto"/>
              </w:rPr>
            </w:pPr>
            <w:r>
              <w:rPr>
                <w:rFonts w:ascii="Arial" w:cs="Arial" w:eastAsia="Arial" w:hAnsi="Arial"/>
                <w:sz w:val="18"/>
                <w:szCs w:val="18"/>
                <w:color w:val="auto"/>
              </w:rPr>
              <w:t>Expected dividend yields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2.64 %</w:t>
            </w:r>
          </w:p>
        </w:tc>
      </w:tr>
    </w:tbl>
    <w:p>
      <w:pPr>
        <w:spacing w:after="0" w:line="26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use market-based measures of implied volatility to determine expected volatility on all options granted. We determine expected lives of options based on the historical option exercise experience of our option holders using a rolling 10-year average.</w:t>
      </w:r>
    </w:p>
    <w:p>
      <w:pPr>
        <w:spacing w:after="0" w:line="15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8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Stock Options</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8"/>
          </w:tcPr>
          <w:p>
            <w:pPr>
              <w:jc w:val="right"/>
              <w:ind w:right="1097"/>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 Price per</w:t>
            </w:r>
          </w:p>
        </w:tc>
        <w:tc>
          <w:tcPr>
            <w:tcW w:w="160" w:type="dxa"/>
            <w:vAlign w:val="bottom"/>
          </w:tcPr>
          <w:p>
            <w:pPr>
              <w:spacing w:after="0"/>
              <w:rPr>
                <w:sz w:val="12"/>
                <w:szCs w:val="12"/>
                <w:color w:val="auto"/>
              </w:rPr>
            </w:pPr>
          </w:p>
        </w:tc>
        <w:tc>
          <w:tcPr>
            <w:tcW w:w="11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5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grants, December 31, 2023</w:t>
            </w:r>
          </w:p>
        </w:tc>
        <w:tc>
          <w:tcPr>
            <w:tcW w:w="96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119.60</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jc w:val="center"/>
              <w:ind w:left="798"/>
              <w:spacing w:after="0"/>
              <w:rPr>
                <w:sz w:val="20"/>
                <w:szCs w:val="20"/>
                <w:color w:val="auto"/>
              </w:rPr>
            </w:pPr>
            <w:r>
              <w:rPr>
                <w:rFonts w:ascii="Arial" w:cs="Arial" w:eastAsia="Arial" w:hAnsi="Arial"/>
                <w:sz w:val="18"/>
                <w:szCs w:val="18"/>
                <w:color w:val="auto"/>
                <w:w w:val="99"/>
              </w:rPr>
              <w:t>5</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gridSpan w:val="3"/>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161.40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798"/>
              <w:spacing w:after="0"/>
              <w:rPr>
                <w:sz w:val="20"/>
                <w:szCs w:val="20"/>
                <w:color w:val="auto"/>
              </w:rPr>
            </w:pPr>
            <w:r>
              <w:rPr>
                <w:rFonts w:ascii="Arial" w:cs="Arial" w:eastAsia="Arial" w:hAnsi="Arial"/>
                <w:sz w:val="18"/>
                <w:szCs w:val="18"/>
                <w:b w:val="1"/>
                <w:bCs w:val="1"/>
                <w:color w:val="auto"/>
                <w:w w:val="99"/>
              </w:rPr>
              <w:t>2</w:t>
            </w:r>
          </w:p>
        </w:tc>
        <w:tc>
          <w:tcPr>
            <w:tcW w:w="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173.59</w:t>
            </w:r>
          </w:p>
        </w:tc>
        <w:tc>
          <w:tcPr>
            <w:tcW w:w="0" w:type="dxa"/>
            <w:vAlign w:val="bottom"/>
          </w:tcPr>
          <w:p>
            <w:pPr>
              <w:spacing w:after="0"/>
              <w:rPr>
                <w:sz w:val="1"/>
                <w:szCs w:val="1"/>
                <w:color w:val="auto"/>
              </w:rPr>
            </w:pPr>
          </w:p>
        </w:tc>
      </w:tr>
      <w:tr>
        <w:trPr>
          <w:trHeight w:val="230"/>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Stock options exercised/RSUs vested</w:t>
            </w:r>
          </w:p>
        </w:tc>
        <w:tc>
          <w:tcPr>
            <w:tcW w:w="9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82.42</w:t>
            </w:r>
          </w:p>
        </w:tc>
        <w:tc>
          <w:tcPr>
            <w:tcW w:w="12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ind w:left="900"/>
              <w:spacing w:after="0"/>
              <w:rPr>
                <w:sz w:val="20"/>
                <w:szCs w:val="20"/>
                <w:color w:val="auto"/>
              </w:rPr>
            </w:pPr>
            <w:r>
              <w:rPr>
                <w:rFonts w:ascii="Arial" w:cs="Arial" w:eastAsia="Arial" w:hAnsi="Arial"/>
                <w:sz w:val="18"/>
                <w:szCs w:val="18"/>
                <w:b w:val="1"/>
                <w:bCs w:val="1"/>
                <w:color w:val="auto"/>
                <w:w w:val="99"/>
              </w:rPr>
              <w:t>(1)</w:t>
            </w:r>
          </w:p>
        </w:tc>
        <w:tc>
          <w:tcPr>
            <w:tcW w:w="240" w:type="dxa"/>
            <w:vAlign w:val="bottom"/>
            <w:gridSpan w:val="6"/>
            <w:shd w:val="clear" w:color="auto" w:fill="DBDBDB"/>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131.82</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grants, December 31, 2024 (a)</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798"/>
              <w:spacing w:after="0"/>
              <w:rPr>
                <w:sz w:val="20"/>
                <w:szCs w:val="20"/>
                <w:color w:val="auto"/>
              </w:rPr>
            </w:pPr>
            <w:r>
              <w:rPr>
                <w:rFonts w:ascii="Arial" w:cs="Arial" w:eastAsia="Arial" w:hAnsi="Arial"/>
                <w:sz w:val="18"/>
                <w:szCs w:val="18"/>
                <w:b w:val="1"/>
                <w:bCs w:val="1"/>
                <w:color w:val="auto"/>
                <w:w w:val="99"/>
              </w:rPr>
              <w:t>6</w:t>
            </w:r>
          </w:p>
        </w:tc>
        <w:tc>
          <w:tcPr>
            <w:tcW w:w="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168.68</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6600" w:type="dxa"/>
            <w:vAlign w:val="bottom"/>
            <w:gridSpan w:val="2"/>
          </w:tcPr>
          <w:p>
            <w:pPr>
              <w:spacing w:after="0"/>
              <w:rPr>
                <w:sz w:val="20"/>
                <w:szCs w:val="20"/>
                <w:color w:val="auto"/>
              </w:rPr>
            </w:pPr>
            <w:r>
              <w:rPr>
                <w:rFonts w:ascii="Arial" w:cs="Arial" w:eastAsia="Arial" w:hAnsi="Arial"/>
                <w:sz w:val="18"/>
                <w:szCs w:val="18"/>
                <w:color w:val="auto"/>
              </w:rPr>
              <w:t>(a)   Forfeited and expired shares were not material.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11"/>
          </w:tcPr>
          <w:p>
            <w:pPr>
              <w:jc w:val="center"/>
              <w:ind w:right="377"/>
              <w:spacing w:after="0"/>
              <w:rPr>
                <w:sz w:val="20"/>
                <w:szCs w:val="20"/>
                <w:color w:val="auto"/>
              </w:rPr>
            </w:pPr>
            <w:r>
              <w:rPr>
                <w:rFonts w:ascii="Arial" w:cs="Arial" w:eastAsia="Arial" w:hAnsi="Arial"/>
                <w:sz w:val="14"/>
                <w:szCs w:val="14"/>
                <w:b w:val="1"/>
                <w:bCs w:val="1"/>
                <w:color w:val="auto"/>
              </w:rPr>
              <w:t>For Years Ended December 31,</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3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 for RSUs</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173.59</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172.59</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gridSpan w:val="2"/>
            <w:shd w:val="clear" w:color="auto" w:fill="DBDBDB"/>
          </w:tcPr>
          <w:p>
            <w:pPr>
              <w:spacing w:after="0"/>
              <w:rPr>
                <w:sz w:val="19"/>
                <w:szCs w:val="19"/>
                <w:color w:val="auto"/>
              </w:rPr>
            </w:pPr>
          </w:p>
        </w:tc>
        <w:tc>
          <w:tcPr>
            <w:tcW w:w="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174.39</w:t>
            </w:r>
          </w:p>
        </w:tc>
        <w:tc>
          <w:tcPr>
            <w:tcW w:w="0" w:type="dxa"/>
            <w:vAlign w:val="bottom"/>
          </w:tcPr>
          <w:p>
            <w:pPr>
              <w:spacing w:after="0"/>
              <w:rPr>
                <w:sz w:val="1"/>
                <w:szCs w:val="1"/>
                <w:color w:val="auto"/>
              </w:rPr>
            </w:pPr>
          </w:p>
        </w:tc>
      </w:tr>
      <w:tr>
        <w:trPr>
          <w:trHeight w:val="229"/>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Total grant date fair value of shares vested for RSUs</w:t>
            </w:r>
          </w:p>
        </w:tc>
        <w:tc>
          <w:tcPr>
            <w:tcW w:w="3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gridSpan w:val="6"/>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340" w:type="dxa"/>
            <w:vAlign w:val="bottom"/>
            <w:shd w:val="clear" w:color="auto" w:fill="DBDBDB"/>
          </w:tcPr>
          <w:p>
            <w:pPr>
              <w:spacing w:after="0"/>
              <w:rPr>
                <w:sz w:val="19"/>
                <w:szCs w:val="19"/>
                <w:color w:val="auto"/>
              </w:rPr>
            </w:pP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597</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240" w:type="dxa"/>
            <w:vAlign w:val="bottom"/>
            <w:gridSpan w:val="6"/>
            <w:shd w:val="clear" w:color="auto" w:fill="DBDBDB"/>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517"/>
        </w:trPr>
        <w:tc>
          <w:tcPr>
            <w:tcW w:w="8480" w:type="dxa"/>
            <w:vAlign w:val="bottom"/>
            <w:gridSpan w:val="7"/>
          </w:tcPr>
          <w:p>
            <w:pPr>
              <w:spacing w:after="0"/>
              <w:rPr>
                <w:sz w:val="20"/>
                <w:szCs w:val="20"/>
                <w:color w:val="auto"/>
              </w:rPr>
            </w:pPr>
            <w:r>
              <w:rPr>
                <w:rFonts w:ascii="Arial" w:cs="Arial" w:eastAsia="Arial" w:hAnsi="Arial"/>
                <w:sz w:val="18"/>
                <w:szCs w:val="18"/>
                <w:color w:val="auto"/>
              </w:rPr>
              <w:t>As of December 31, 2024, 35 million shares remain available for future issuance under these plans.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80" w:type="dxa"/>
            <w:vAlign w:val="bottom"/>
            <w:gridSpan w:val="7"/>
          </w:tcPr>
          <w:p>
            <w:pPr>
              <w:spacing w:after="0"/>
              <w:rPr>
                <w:sz w:val="20"/>
                <w:szCs w:val="20"/>
                <w:color w:val="auto"/>
              </w:rPr>
            </w:pPr>
            <w:r>
              <w:rPr>
                <w:rFonts w:ascii="Arial" w:cs="Arial" w:eastAsia="Arial" w:hAnsi="Arial"/>
                <w:sz w:val="18"/>
                <w:szCs w:val="18"/>
                <w:color w:val="auto"/>
              </w:rPr>
              <w:t>Summarized information about stock options outstanding as of December 31, 2024, is as follows: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 Range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$49.03 to $206.61</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ind w:left="9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90"/>
        </w:trPr>
        <w:tc>
          <w:tcPr>
            <w:tcW w:w="5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rPr>
              <w:t>Options Fully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rPr>
              <w:t>Vested 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Expected to Vest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4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spacing w:after="0"/>
              <w:rPr>
                <w:sz w:val="16"/>
                <w:szCs w:val="16"/>
                <w:color w:val="auto"/>
              </w:rPr>
            </w:pPr>
          </w:p>
        </w:tc>
        <w:tc>
          <w:tcPr>
            <w:tcW w:w="3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460" w:type="dxa"/>
            <w:vAlign w:val="bottom"/>
            <w:tcBorders>
              <w:bottom w:val="single" w:sz="8" w:color="DBDBDB"/>
            </w:tcBorders>
          </w:tcPr>
          <w:p>
            <w:pPr>
              <w:spacing w:after="0"/>
              <w:rPr>
                <w:sz w:val="16"/>
                <w:szCs w:val="16"/>
                <w:color w:val="auto"/>
              </w:rPr>
            </w:pPr>
          </w:p>
        </w:tc>
        <w:tc>
          <w:tcPr>
            <w:tcW w:w="86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(a)</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 options outstanding (shares)</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798"/>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Weighted average exercise price per share</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136.44</w:t>
            </w:r>
          </w:p>
        </w:tc>
        <w:tc>
          <w:tcPr>
            <w:tcW w:w="240" w:type="dxa"/>
            <w:vAlign w:val="bottom"/>
            <w:gridSpan w:val="6"/>
            <w:shd w:val="clear" w:color="auto" w:fill="DBDBDB"/>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3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Intrinsic value (billions)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gridSpan w:val="6"/>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00" w:right="420" w:hanging="492"/>
        <w:spacing w:after="0" w:line="287" w:lineRule="auto"/>
        <w:tabs>
          <w:tab w:leader="none" w:pos="4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$1.24 billion.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2024, $20.26 billion of stock repurchase authorizations remain, and no expiration date has been specified.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7" w:name="page38"/>
    <w:bookmarkEnd w:id="37"/>
    <w:p>
      <w:pPr>
        <w:ind w:right="680"/>
        <w:spacing w:after="0" w:line="279" w:lineRule="auto"/>
        <w:rPr>
          <w:sz w:val="20"/>
          <w:szCs w:val="20"/>
          <w:color w:val="auto"/>
        </w:rPr>
      </w:pPr>
      <w:r>
        <w:rPr>
          <w:rFonts w:ascii="Arial" w:cs="Arial" w:eastAsia="Arial" w:hAnsi="Arial"/>
          <w:sz w:val="18"/>
          <w:szCs w:val="18"/>
          <w:color w:val="auto"/>
        </w:rPr>
        <w:t>Our practice is to issue shares of common stock from treasury shares upon exercise of stock options, distribution of director deferred compensation and vesting of RSUs. The following table reflects the changes in our treasury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7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832</w:t>
            </w:r>
          </w:p>
        </w:tc>
        <w:tc>
          <w:tcPr>
            <w:tcW w:w="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w:t>
            </w:r>
          </w:p>
        </w:tc>
        <w:tc>
          <w:tcPr>
            <w:tcW w:w="4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The effects on cash flows are as follows:</w:t>
            </w: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DBDBDB"/>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common stock transactions (a)</w:t>
            </w:r>
          </w:p>
        </w:tc>
        <w:tc>
          <w:tcPr>
            <w:tcW w:w="900" w:type="dxa"/>
            <w:vAlign w:val="bottom"/>
            <w:gridSpan w:val="2"/>
            <w:shd w:val="clear" w:color="auto" w:fill="DBDBDB"/>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517</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Tax benefit realized from stock compensation</w:t>
            </w:r>
          </w:p>
        </w:tc>
        <w:tc>
          <w:tcPr>
            <w:tcW w:w="9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4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640" w:firstLine="8"/>
        <w:spacing w:after="0" w:line="500" w:lineRule="auto"/>
        <w:tabs>
          <w:tab w:leader="none" w:pos="4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Net of taxes paid for employee shares withheld of $39 million, $46 million and $50 million in 2024, 2023 and 2022, respectively. 4. </w:t>
      </w:r>
      <w:r>
        <w:rPr>
          <w:rFonts w:ascii="Arial" w:cs="Arial" w:eastAsia="Arial" w:hAnsi="Arial"/>
          <w:sz w:val="18"/>
          <w:szCs w:val="18"/>
          <w:u w:val="single" w:color="auto"/>
          <w:color w:val="auto"/>
        </w:rPr>
        <w:t>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7"/>
                <w:szCs w:val="17"/>
                <w:color w:val="auto"/>
              </w:rPr>
            </w:pPr>
          </w:p>
        </w:tc>
      </w:tr>
      <w:tr>
        <w:trPr>
          <w:trHeight w:val="196"/>
        </w:trPr>
        <w:tc>
          <w:tcPr>
            <w:tcW w:w="704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4,438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9,122</w:t>
            </w:r>
          </w:p>
        </w:tc>
      </w:tr>
      <w:tr>
        <w:trPr>
          <w:trHeight w:val="230"/>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1,015</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48"/>
        </w:trPr>
        <w:tc>
          <w:tcPr>
            <w:tcW w:w="7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5,453</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10,032</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For Years Ended December 31,</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224"/>
        </w:trPr>
        <w:tc>
          <w:tcPr>
            <w:tcW w:w="1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U.S. federal</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466</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state</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5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15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r>
      <w:tr>
        <w:trPr>
          <w:trHeight w:val="20"/>
        </w:trPr>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26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For Years Ended December 31,</w:t>
            </w:r>
          </w:p>
        </w:tc>
        <w:tc>
          <w:tcPr>
            <w:tcW w:w="94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r>
      <w:tr>
        <w:trPr>
          <w:trHeight w:val="224"/>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statutory income tax rate</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(7.0)</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 compensation</w:t>
            </w:r>
          </w:p>
        </w:tc>
        <w:tc>
          <w:tcPr>
            <w:tcW w:w="134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(0.7)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R&amp;D tax credit</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(0.9)</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in uncertain tax positions</w:t>
            </w:r>
          </w:p>
        </w:tc>
        <w:tc>
          <w:tcPr>
            <w:tcW w:w="13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DBDBDB"/>
          </w:tcPr>
          <w:p>
            <w:pPr>
              <w:spacing w:after="0"/>
              <w:rPr>
                <w:sz w:val="19"/>
                <w:szCs w:val="19"/>
                <w:color w:val="auto"/>
              </w:rPr>
            </w:pPr>
          </w:p>
        </w:tc>
        <w:tc>
          <w:tcPr>
            <w:tcW w:w="1820" w:type="dxa"/>
            <w:vAlign w:val="bottom"/>
            <w:gridSpan w:val="3"/>
            <w:shd w:val="clear" w:color="auto" w:fill="DBDBDB"/>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0.1</w:t>
            </w:r>
          </w:p>
        </w:tc>
      </w:tr>
      <w:tr>
        <w:trPr>
          <w:trHeight w:val="229"/>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r>
      <w:tr>
        <w:trPr>
          <w:trHeight w:val="24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12.0 %</w:t>
            </w:r>
          </w:p>
        </w:tc>
        <w:tc>
          <w:tcPr>
            <w:tcW w:w="1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12.8 %</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right="20"/>
        <w:spacing w:after="0" w:line="255" w:lineRule="auto"/>
        <w:rPr>
          <w:sz w:val="20"/>
          <w:szCs w:val="20"/>
          <w:color w:val="auto"/>
        </w:rPr>
      </w:pPr>
      <w:r>
        <w:rPr>
          <w:rFonts w:ascii="Arial" w:cs="Arial" w:eastAsia="Arial" w:hAnsi="Arial"/>
          <w:sz w:val="18"/>
          <w:szCs w:val="18"/>
          <w:color w:val="auto"/>
        </w:rPr>
        <w:t>The earnings represented by non-cash operating assets, such as fixed assets and inventory, will continue to be permanently reinvested outside the United States. Provisions of the U.S. Tax Cuts and Jobs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2024, we have no basis differences that would result in material unrecognized deferred tax liabilities.</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have made an allowable policy election to account for the effects of GILTI as a component of income tax expense in the period in which the tax is incurred.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r>
      <w:tr>
        <w:trPr>
          <w:trHeight w:val="211"/>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Capitalized R&amp;D</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1,076</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Deferred loss and tax credit carryforwards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Retirement costs for defined benefit and retiree health care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6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assets, before valuation allowance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1,920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1,542</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assets, after valuation allowance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CHIPS Act incentives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International earnings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Acquisition-related intangibles and fair-value adjustments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deferred tax asset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883</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deferred tax asset</w:t>
            </w:r>
          </w:p>
        </w:tc>
        <w:tc>
          <w:tcPr>
            <w:tcW w:w="780" w:type="dxa"/>
            <w:vAlign w:val="bottom"/>
            <w:tcBorders>
              <w:bottom w:val="single" w:sz="8" w:color="auto"/>
            </w:tcBorders>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883</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$14 million, $9 million and $1 million in 2024, 2023 and 2022, respectively. These changes had no impact to net income in 2024, 2023 or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tax loss carryforwards as of December 31,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right="520"/>
        <w:spacing w:after="0" w:line="268" w:lineRule="auto"/>
        <w:rPr>
          <w:sz w:val="20"/>
          <w:szCs w:val="20"/>
          <w:color w:val="auto"/>
        </w:rPr>
      </w:pPr>
      <w:r>
        <w:rPr>
          <w:rFonts w:ascii="Arial" w:cs="Arial" w:eastAsia="Arial" w:hAnsi="Arial"/>
          <w:sz w:val="18"/>
          <w:szCs w:val="18"/>
          <w:color w:val="auto"/>
        </w:rPr>
        <w:t>Cash payments made for income taxes, net of refunds, were $451 million, $1.35 billion and $1.48 billion in 2024, 2023 and 2022, respectively. In 2024, the total cash benefit related to the CHIPS Act ITC was $588 million, which was used to reduce our income taxes payable.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840" w:type="dxa"/>
            <w:vAlign w:val="bottom"/>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840" w:type="dxa"/>
            <w:vAlign w:val="bottom"/>
            <w:tcBorders>
              <w:top w:val="single" w:sz="8" w:color="auto"/>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4"/>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expense recognized in the year ended December 31</w:t>
            </w: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4"/>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payable as of December 31</w:t>
            </w: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of the $85 million and $82 million liabilities for uncertain tax positions as of December 31, 2024 and 2023, respectively, are comprised of positions that, if recognized, would lower the effective tax rate. If these liabilities are ultimately realized, no existing deferred tax assets in 2024 or 2023 would also be realized.</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December 31, 2024, the statute of limitations remains open for U.S. federal tax returns for 2018 and following years. Certain tax treaty procedures for relief from double taxation remain pending for U.S. federal tax returns for the years 2018 through 2022.</w:t>
      </w:r>
    </w:p>
    <w:p>
      <w:pPr>
        <w:spacing w:after="0" w:line="15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2012.</w:t>
      </w:r>
    </w:p>
    <w:p>
      <w:pPr>
        <w:spacing w:after="0" w:line="153"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hold derivative financial instruments such as forward foreign currency exchange contracts, the fair value of which was not material as of December 31, 2024. Our forward foreign currency exchange contracts outstanding as of December 31, 2024, had a notional value of $565 million to hedge our non-U.S. dollar net balance sheet exposures, including $180 million to buy Indian rupee, $91 million to sell British pounds and $78 million to sell Japanese yen.</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2024, the carrying value of long-term debt, including the current portion, was $13.60 billion, and the estimated fair value was $ 12.48 billion. The estimated fair value is measured using broker-dealer quotes, which are Level 2 inputs. See Note 6 for a description of fair value and the definition of Level 2 inputs.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Risk concentration</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Accounts receivable allowances changed to reflect amounts charged to operating results by $5 million, $3 million and $5 million in 2024, 2023 and 2022, respectively.</w:t>
      </w:r>
    </w:p>
    <w:p>
      <w:pPr>
        <w:spacing w:after="0" w:line="153"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xml:space="preserve">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Long-Term</w:t>
            </w: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2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9"/>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0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2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2,457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4,380</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5,611</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4,380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December 31, 2024 and 2023, unrealized gains and losses associated with our debt investments were not material. We did not recognize any credit losses related to debt investments in 2024, 2023 or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debt investments as of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5,348</w:t>
            </w:r>
          </w:p>
        </w:tc>
      </w:tr>
      <w:tr>
        <w:trPr>
          <w:trHeight w:val="239"/>
        </w:trPr>
        <w:tc>
          <w:tcPr>
            <w:tcW w:w="968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w:t>
            </w:r>
          </w:p>
        </w:tc>
      </w:tr>
    </w:tbl>
    <w:p>
      <w:pPr>
        <w:spacing w:after="0" w:line="26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2024, 2023 and 2022, the proceeds from sales, redemptions and maturities of short-term debt investments were $11.19 billion, $13.39 billion and $13.66 billion, respectively. Gross realized gains and losses from these sales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 The three-level hierarchy described below indicates the inputs used to estimate fair-value measurements.</w:t>
      </w:r>
    </w:p>
    <w:p>
      <w:pPr>
        <w:spacing w:after="0" w:line="171" w:lineRule="exact"/>
        <w:rPr>
          <w:sz w:val="20"/>
          <w:szCs w:val="20"/>
          <w:color w:val="auto"/>
        </w:rPr>
      </w:pPr>
    </w:p>
    <w:p>
      <w:pPr>
        <w:ind w:left="660" w:right="1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44"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measurement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spacing w:after="0" w:line="6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As of December 31, 2024 and 2023, we had no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ind w:right="10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December 31, 2024</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2023</w:t>
            </w:r>
          </w:p>
        </w:tc>
        <w:tc>
          <w:tcPr>
            <w:tcW w:w="76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0"/>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760" w:type="dxa"/>
            <w:vAlign w:val="bottom"/>
            <w:tcBorders>
              <w:top w:val="single" w:sz="8" w:color="auto"/>
            </w:tcBorders>
            <w:shd w:val="clear" w:color="auto" w:fill="DBDBDB"/>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1,954</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4,504</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3,364</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6,848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4,698</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7,786</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9"/>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443</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Postretirement benefit plans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of December 31, 2024 and 2023, as a result of employees’ elections, TI’s U.S. defined contribution plans held shares of TI common stock totaling 5 million shares in both periods valued at $852 million and $873 million, respectively. Dividends paid on these shares in 2024 and 2023 were $26 million and $27 million, respectively. Effective April 1, 2016, the TI common stock fund was frozen to new contributions or transfers into the fund.</w:t>
      </w:r>
    </w:p>
    <w:p>
      <w:pPr>
        <w:spacing w:after="0" w:line="17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Our aggregate expense for the U.S. defined contribution plans was $76 million, $75 million and $70 million in 2024, 2023 and 2022, respectively.</w:t>
      </w:r>
    </w:p>
    <w:p>
      <w:pPr>
        <w:spacing w:after="0" w:line="15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8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December 31, 2024 and 2023, as a result of employees’ elections, TI’s non-U.S. defined contribution plans held TI common stock valued at $34 million in both periods. Dividends paid on these shares of TI common stock in 2024 and 2023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8"/>
          </w:tcPr>
          <w:p>
            <w:pPr>
              <w:ind w:left="320"/>
              <w:spacing w:after="0"/>
              <w:rPr>
                <w:sz w:val="20"/>
                <w:szCs w:val="20"/>
                <w:color w:val="auto"/>
              </w:rPr>
            </w:pPr>
            <w:r>
              <w:rPr>
                <w:rFonts w:ascii="Arial" w:cs="Arial" w:eastAsia="Arial" w:hAnsi="Arial"/>
                <w:sz w:val="14"/>
                <w:szCs w:val="14"/>
                <w:b w:val="1"/>
                <w:bCs w:val="1"/>
                <w:color w:val="auto"/>
              </w:rPr>
              <w:t>U.S. Defined Benefit</w:t>
            </w:r>
          </w:p>
        </w:tc>
        <w:tc>
          <w:tcPr>
            <w:tcW w:w="160" w:type="dxa"/>
            <w:vAlign w:val="bottom"/>
          </w:tcPr>
          <w:p>
            <w:pPr>
              <w:spacing w:after="0"/>
              <w:rPr>
                <w:sz w:val="17"/>
                <w:szCs w:val="17"/>
                <w:color w:val="auto"/>
              </w:rPr>
            </w:pPr>
          </w:p>
        </w:tc>
        <w:tc>
          <w:tcPr>
            <w:tcW w:w="2240" w:type="dxa"/>
            <w:vAlign w:val="bottom"/>
            <w:gridSpan w:val="8"/>
          </w:tcPr>
          <w:p>
            <w:pPr>
              <w:ind w:left="160"/>
              <w:spacing w:after="0"/>
              <w:rPr>
                <w:sz w:val="20"/>
                <w:szCs w:val="20"/>
                <w:color w:val="auto"/>
              </w:rPr>
            </w:pPr>
            <w:r>
              <w:rPr>
                <w:rFonts w:ascii="Arial" w:cs="Arial" w:eastAsia="Arial" w:hAnsi="Arial"/>
                <w:sz w:val="14"/>
                <w:szCs w:val="14"/>
                <w:b w:val="1"/>
                <w:bCs w:val="1"/>
                <w:color w:val="auto"/>
              </w:rPr>
              <w:t>U.S. Retiree Health Care</w:t>
            </w:r>
          </w:p>
        </w:tc>
        <w:tc>
          <w:tcPr>
            <w:tcW w:w="160" w:type="dxa"/>
            <w:vAlign w:val="bottom"/>
          </w:tcPr>
          <w:p>
            <w:pPr>
              <w:spacing w:after="0"/>
              <w:rPr>
                <w:sz w:val="17"/>
                <w:szCs w:val="17"/>
                <w:color w:val="auto"/>
              </w:rPr>
            </w:pPr>
          </w:p>
        </w:tc>
        <w:tc>
          <w:tcPr>
            <w:tcW w:w="2200" w:type="dxa"/>
            <w:vAlign w:val="bottom"/>
            <w:gridSpan w:val="7"/>
          </w:tcPr>
          <w:p>
            <w:pPr>
              <w:jc w:val="right"/>
              <w:ind w:right="252"/>
              <w:spacing w:after="0"/>
              <w:rPr>
                <w:sz w:val="20"/>
                <w:szCs w:val="20"/>
                <w:color w:val="auto"/>
              </w:rPr>
            </w:pPr>
            <w:r>
              <w:rPr>
                <w:rFonts w:ascii="Arial" w:cs="Arial" w:eastAsia="Arial" w:hAnsi="Arial"/>
                <w:sz w:val="14"/>
                <w:szCs w:val="14"/>
                <w:b w:val="1"/>
                <w:bCs w:val="1"/>
                <w:color w:val="auto"/>
              </w:rPr>
              <w:t>Non-U.S. Defined Benefit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Recognized net actuarial losses (gains)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14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line="156" w:lineRule="exact"/>
              <w:rPr>
                <w:sz w:val="20"/>
                <w:szCs w:val="20"/>
                <w:color w:val="auto"/>
              </w:rPr>
            </w:pPr>
            <w:r>
              <w:rPr>
                <w:rFonts w:ascii="Arial" w:cs="Arial" w:eastAsia="Arial" w:hAnsi="Arial"/>
                <w:sz w:val="18"/>
                <w:szCs w:val="18"/>
                <w:color w:val="auto"/>
              </w:rPr>
              <w:t>Total, including other postretirement losses</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(gains)</w:t>
            </w:r>
          </w:p>
        </w:tc>
        <w:tc>
          <w:tcPr>
            <w:tcW w:w="1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5"/>
          </w:tcPr>
          <w:p>
            <w:pPr>
              <w:ind w:left="40"/>
              <w:spacing w:after="0"/>
              <w:rPr>
                <w:sz w:val="20"/>
                <w:szCs w:val="20"/>
                <w:color w:val="auto"/>
              </w:rPr>
            </w:pPr>
            <w:r>
              <w:rPr>
                <w:rFonts w:ascii="Arial" w:cs="Arial" w:eastAsia="Arial" w:hAnsi="Arial"/>
                <w:sz w:val="14"/>
                <w:szCs w:val="14"/>
                <w:b w:val="1"/>
                <w:bCs w:val="1"/>
                <w:color w:val="auto"/>
              </w:rPr>
              <w:t>U.S. Defined Benefit</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U.S. Retiree Health Care</w:t>
            </w: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552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r>
      <w:tr>
        <w:trPr>
          <w:trHeight w:val="211"/>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benefit obligation</w:t>
            </w:r>
          </w:p>
        </w:tc>
        <w:tc>
          <w:tcPr>
            <w:tcW w:w="16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229"/>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Participant contributions</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Actuarial loss (gain)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Effects of exchange rate changes</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5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1,522</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37"/>
        </w:trPr>
        <w:tc>
          <w:tcPr>
            <w:tcW w:w="55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5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1,822</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Employer contributions (qualified plans)</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Employer contributions (non-qualified plans)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Participant contributions</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Effects of exchange rate changes</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r>
      <w:tr>
        <w:trPr>
          <w:trHeight w:val="237"/>
        </w:trPr>
        <w:tc>
          <w:tcPr>
            <w:tcW w:w="552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68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Changes in actuarial gains and losses in the projected benefit obligations are generally driven by discount rate movement.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Defined Benefit</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Non-U.S. Defined</w:t>
            </w:r>
          </w:p>
        </w:tc>
        <w:tc>
          <w:tcPr>
            <w:tcW w:w="34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Care</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top w:val="single" w:sz="8" w:color="auto"/>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Overfunded retirement plans</w:t>
            </w:r>
          </w:p>
        </w:tc>
        <w:tc>
          <w:tcPr>
            <w:tcW w:w="6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b w:val="1"/>
                <w:bCs w:val="1"/>
                <w:color w:val="auto"/>
              </w:rPr>
              <w:t>Accrued expenses and other liabilities &amp; other long-term</w:t>
            </w:r>
          </w:p>
        </w:tc>
        <w:tc>
          <w:tcPr>
            <w:tcW w:w="6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Underfunded retirement plans</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Funded status at end of 2024</w:t>
            </w:r>
          </w:p>
        </w:tc>
        <w:tc>
          <w:tcPr>
            <w:tcW w:w="6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Overfunded retirement plans</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Accrued expenses and other liabilities &amp; other long-term</w:t>
            </w:r>
          </w:p>
        </w:tc>
        <w:tc>
          <w:tcPr>
            <w:tcW w:w="6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liabilities</w:t>
            </w:r>
          </w:p>
        </w:tc>
        <w:tc>
          <w:tcPr>
            <w:tcW w:w="60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Underfunded retirement plans</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Funded status at end of 2023</w:t>
            </w:r>
          </w:p>
        </w:tc>
        <w:tc>
          <w:tcPr>
            <w:tcW w:w="6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 million to our retirement benefit plans in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5" w:name="page46"/>
    <w:bookmarkEnd w:id="45"/>
    <w:p>
      <w:pPr>
        <w:ind w:right="60"/>
        <w:spacing w:after="0" w:line="268"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$470 million and $480 million as of December 31, 2024 and 2023, respectively, for the U.S. defined benefit plans, and $1.47 billion and $1.67 billion as of December 31, 2024 and 2023, respectively, for the non-U.S. defined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U.S. Defined</w:t>
            </w:r>
          </w:p>
        </w:tc>
        <w:tc>
          <w:tcPr>
            <w:tcW w:w="140" w:type="dxa"/>
            <w:vAlign w:val="bottom"/>
          </w:tcPr>
          <w:p>
            <w:pPr>
              <w:spacing w:after="0"/>
              <w:rPr>
                <w:sz w:val="14"/>
                <w:szCs w:val="14"/>
                <w:color w:val="auto"/>
              </w:rPr>
            </w:pPr>
          </w:p>
        </w:tc>
        <w:tc>
          <w:tcPr>
            <w:tcW w:w="22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U.S. Retiree Health Care</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Non-U.S. Defined Benefit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Actuarial</w:t>
            </w:r>
          </w:p>
        </w:tc>
        <w:tc>
          <w:tcPr>
            <w:tcW w:w="14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4"/>
                <w:szCs w:val="14"/>
                <w:b w:val="1"/>
                <w:bCs w:val="1"/>
                <w:color w:val="auto"/>
              </w:rPr>
              <w:t>Prior Service</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7"/>
              </w:rPr>
              <w:t>Loss</w:t>
            </w:r>
          </w:p>
        </w:tc>
        <w:tc>
          <w:tcPr>
            <w:tcW w:w="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Credit</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55"/>
        </w:trPr>
        <w:tc>
          <w:tcPr>
            <w:tcW w:w="26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AOCI balance, net of taxes,</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DBDBDB"/>
          </w:tcPr>
          <w:p>
            <w:pPr>
              <w:ind w:left="7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DBDBDB"/>
          </w:tcPr>
          <w:p>
            <w:pPr>
              <w:ind w:left="7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DBDBDB"/>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December 31, 2023</w:t>
            </w:r>
          </w:p>
        </w:tc>
        <w:tc>
          <w:tcPr>
            <w:tcW w:w="14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vMerge w:val="continue"/>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100" w:type="dxa"/>
            <w:vAlign w:val="bottom"/>
            <w:gridSpan w:val="2"/>
            <w:vMerge w:val="continue"/>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100" w:type="dxa"/>
            <w:vAlign w:val="bottom"/>
            <w:gridSpan w:val="2"/>
            <w:vMerge w:val="continue"/>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Changes in AOCI by category:</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266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Recognized within net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ind w:left="78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Tax effect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Total change to AOCI</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155"/>
        </w:trPr>
        <w:tc>
          <w:tcPr>
            <w:tcW w:w="26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AOCI balance, net of taxes,</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ind w:left="760"/>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144</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ind w:left="78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36"/>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2024</w:t>
            </w:r>
          </w:p>
        </w:tc>
        <w:tc>
          <w:tcPr>
            <w:tcW w:w="14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vMerge w:val="continue"/>
            <w:shd w:val="clear" w:color="auto" w:fill="DBDBDB"/>
          </w:tcPr>
          <w:p>
            <w:pPr>
              <w:spacing w:after="0"/>
              <w:rPr>
                <w:sz w:val="20"/>
                <w:szCs w:val="20"/>
                <w:color w:val="auto"/>
              </w:rPr>
            </w:pPr>
          </w:p>
        </w:tc>
        <w:tc>
          <w:tcPr>
            <w:tcW w:w="100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100" w:type="dxa"/>
            <w:vAlign w:val="bottom"/>
            <w:gridSpan w:val="2"/>
            <w:vMerge w:val="continue"/>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0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4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plan assets</w:t>
      </w:r>
    </w:p>
    <w:p>
      <w:pPr>
        <w:spacing w:after="0" w:line="22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 of U.S. defined benefit plan:</w:t>
            </w:r>
          </w:p>
        </w:tc>
        <w:tc>
          <w:tcPr>
            <w:tcW w:w="880" w:type="dxa"/>
            <w:vAlign w:val="bottom"/>
            <w:tcBorders>
              <w:top w:val="single" w:sz="8" w:color="auto"/>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880" w:type="dxa"/>
            <w:vAlign w:val="bottom"/>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88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Assets of U.S. retiree health care plan:</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880" w:type="dxa"/>
            <w:vAlign w:val="bottom"/>
            <w:shd w:val="clear" w:color="auto" w:fill="DBDBDB"/>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198</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Equity securities</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shd w:val="clear" w:color="auto" w:fill="DBDBDB"/>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 of non-U.S. defined benefit plans:</w:t>
            </w:r>
          </w:p>
        </w:tc>
        <w:tc>
          <w:tcPr>
            <w:tcW w:w="8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880" w:type="dxa"/>
            <w:vAlign w:val="bottom"/>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8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398</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Assets of U.S. defined benefit plan:</w:t>
            </w: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Assets of U.S. retiree health care plan: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Assets of non-U.S. defined benefit plans:</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r>
      <w:tr>
        <w:trPr>
          <w:trHeight w:val="21"/>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320" w:type="dxa"/>
            <w:vAlign w:val="bottom"/>
            <w:gridSpan w:val="4"/>
          </w:tcPr>
          <w:p>
            <w:pPr>
              <w:ind w:left="420"/>
              <w:spacing w:after="0"/>
              <w:rPr>
                <w:sz w:val="20"/>
                <w:szCs w:val="20"/>
                <w:color w:val="auto"/>
              </w:rPr>
            </w:pPr>
            <w:r>
              <w:rPr>
                <w:rFonts w:ascii="Arial" w:cs="Arial" w:eastAsia="Arial" w:hAnsi="Arial"/>
                <w:sz w:val="14"/>
                <w:szCs w:val="14"/>
                <w:b w:val="1"/>
                <w:bCs w:val="1"/>
                <w:color w:val="auto"/>
              </w:rPr>
              <w:t>U.S. Defined Benefit</w:t>
            </w: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U.S. Retiree Health Care</w:t>
            </w:r>
          </w:p>
        </w:tc>
        <w:tc>
          <w:tcPr>
            <w:tcW w:w="2240" w:type="dxa"/>
            <w:vAlign w:val="bottom"/>
            <w:gridSpan w:val="3"/>
          </w:tcPr>
          <w:p>
            <w:pPr>
              <w:ind w:left="260"/>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43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56"/>
        </w:trPr>
        <w:tc>
          <w:tcPr>
            <w:tcW w:w="4300" w:type="dxa"/>
            <w:vAlign w:val="bottom"/>
            <w:shd w:val="clear" w:color="auto" w:fill="DBDBDB"/>
          </w:tcPr>
          <w:p>
            <w:pPr>
              <w:ind w:left="20"/>
              <w:spacing w:after="0" w:line="157"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benefit obligations:</w:t>
            </w: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5.55%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5.20%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5.65%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3.76%</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3.28%</w:t>
            </w:r>
          </w:p>
        </w:tc>
      </w:tr>
      <w:tr>
        <w:trPr>
          <w:trHeight w:val="230"/>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3.00%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3.00%</w:t>
            </w:r>
          </w:p>
        </w:tc>
        <w:tc>
          <w:tcPr>
            <w:tcW w:w="10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shd w:val="clear" w:color="auto" w:fill="DBDBDB"/>
          </w:tcPr>
          <w:p>
            <w:pPr>
              <w:ind w:left="42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3.14%</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3.12%</w:t>
            </w:r>
          </w:p>
        </w:tc>
      </w:tr>
      <w:tr>
        <w:trPr>
          <w:trHeight w:val="257"/>
        </w:trPr>
        <w:tc>
          <w:tcPr>
            <w:tcW w:w="4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75"/>
        </w:trPr>
        <w:tc>
          <w:tcPr>
            <w:tcW w:w="43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net periodic benefit cost:</w:t>
            </w: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5.21%</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5.67%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5.17%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3.28%</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3.45%</w:t>
            </w:r>
          </w:p>
        </w:tc>
      </w:tr>
      <w:tr>
        <w:trPr>
          <w:trHeight w:val="229"/>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rate of return on plan assets</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6.10%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5.70%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6.00%</w:t>
            </w: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4.28%</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3.50%</w:t>
            </w:r>
          </w:p>
        </w:tc>
      </w:tr>
      <w:tr>
        <w:trPr>
          <w:trHeight w:val="247"/>
        </w:trPr>
        <w:tc>
          <w:tcPr>
            <w:tcW w:w="4300" w:type="dxa"/>
            <w:vAlign w:val="bottom"/>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3.00%</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3.75%</w:t>
            </w: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3.12%</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3.03%</w:t>
            </w:r>
          </w:p>
        </w:tc>
      </w:tr>
    </w:tbl>
    <w:p>
      <w:pPr>
        <w:spacing w:after="0" w:line="2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simulate a portfolio that would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7" w:name="page48"/>
    <w:bookmarkEnd w:id="47"/>
    <w:p>
      <w:pPr>
        <w:ind w:right="100"/>
        <w:spacing w:after="0" w:line="262"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 Defined Benefit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U.S. Retiree Health</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Care</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223"/>
        </w:trPr>
        <w:tc>
          <w:tcPr>
            <w:tcW w:w="6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60% – 75%</w:t>
            </w:r>
          </w:p>
        </w:tc>
        <w:tc>
          <w:tcPr>
            <w:tcW w:w="100" w:type="dxa"/>
            <w:vAlign w:val="bottom"/>
            <w:tcBorders>
              <w:top w:val="single" w:sz="8" w:color="DBDBDB"/>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75% – 85%</w:t>
            </w:r>
          </w:p>
        </w:tc>
        <w:tc>
          <w:tcPr>
            <w:tcW w:w="100" w:type="dxa"/>
            <w:vAlign w:val="bottom"/>
            <w:tcBorders>
              <w:top w:val="single" w:sz="8" w:color="DBDBDB"/>
            </w:tcBorders>
            <w:shd w:val="clear" w:color="auto" w:fill="DBDBDB"/>
          </w:tcPr>
          <w:p>
            <w:pPr>
              <w:spacing w:after="0"/>
              <w:rPr>
                <w:sz w:val="19"/>
                <w:szCs w:val="19"/>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8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25% – 40%</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15% – 25%</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ind w:left="20"/>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outside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U.S. Defined Benefit</w:t>
            </w: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176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Care</w:t>
            </w:r>
          </w:p>
        </w:tc>
        <w:tc>
          <w:tcPr>
            <w:tcW w:w="560" w:type="dxa"/>
            <w:vAlign w:val="bottom"/>
          </w:tcPr>
          <w:p>
            <w:pPr>
              <w:spacing w:after="0"/>
              <w:rPr>
                <w:sz w:val="16"/>
                <w:szCs w:val="16"/>
                <w:color w:val="auto"/>
              </w:rPr>
            </w:pPr>
          </w:p>
        </w:tc>
        <w:tc>
          <w:tcPr>
            <w:tcW w:w="108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620" w:type="dxa"/>
            <w:vAlign w:val="bottom"/>
            <w:tcBorders>
              <w:top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top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2024</w:t>
            </w:r>
          </w:p>
        </w:tc>
        <w:tc>
          <w:tcPr>
            <w:tcW w:w="1080" w:type="dxa"/>
            <w:vAlign w:val="bottom"/>
            <w:tcBorders>
              <w:top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7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61%</w:t>
            </w:r>
          </w:p>
        </w:tc>
        <w:tc>
          <w:tcPr>
            <w:tcW w:w="10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65%</w:t>
            </w:r>
          </w:p>
        </w:tc>
        <w:tc>
          <w:tcPr>
            <w:tcW w:w="120" w:type="dxa"/>
            <w:vAlign w:val="bottom"/>
            <w:tcBorders>
              <w:top w:val="single" w:sz="8" w:color="DBDBDB"/>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center"/>
              <w:ind w:left="59"/>
              <w:spacing w:after="0"/>
              <w:rPr>
                <w:sz w:val="20"/>
                <w:szCs w:val="20"/>
                <w:color w:val="auto"/>
              </w:rPr>
            </w:pPr>
            <w:r>
              <w:rPr>
                <w:rFonts w:ascii="Arial" w:cs="Arial" w:eastAsia="Arial" w:hAnsi="Arial"/>
                <w:sz w:val="18"/>
                <w:szCs w:val="18"/>
                <w:b w:val="1"/>
                <w:bCs w:val="1"/>
                <w:color w:val="auto"/>
                <w:w w:val="99"/>
              </w:rPr>
              <w:t>80%</w:t>
            </w:r>
          </w:p>
        </w:tc>
        <w:tc>
          <w:tcPr>
            <w:tcW w:w="1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80%</w:t>
            </w:r>
          </w:p>
        </w:tc>
        <w:tc>
          <w:tcPr>
            <w:tcW w:w="120" w:type="dxa"/>
            <w:vAlign w:val="bottom"/>
            <w:tcBorders>
              <w:top w:val="single" w:sz="8" w:color="DBDBDB"/>
            </w:tcBorders>
            <w:shd w:val="clear" w:color="auto" w:fill="DBDBDB"/>
          </w:tcPr>
          <w:p>
            <w:pPr>
              <w:spacing w:after="0"/>
              <w:rPr>
                <w:sz w:val="19"/>
                <w:szCs w:val="19"/>
                <w:color w:val="auto"/>
              </w:rPr>
            </w:pPr>
          </w:p>
        </w:tc>
        <w:tc>
          <w:tcPr>
            <w:tcW w:w="560" w:type="dxa"/>
            <w:vAlign w:val="bottom"/>
            <w:tcBorders>
              <w:top w:val="single" w:sz="8" w:color="auto"/>
            </w:tcBorders>
            <w:shd w:val="clear" w:color="auto" w:fill="DBDBDB"/>
          </w:tcPr>
          <w:p>
            <w:pPr>
              <w:jc w:val="center"/>
              <w:ind w:left="119"/>
              <w:spacing w:after="0"/>
              <w:rPr>
                <w:sz w:val="20"/>
                <w:szCs w:val="20"/>
                <w:color w:val="auto"/>
              </w:rPr>
            </w:pPr>
            <w:r>
              <w:rPr>
                <w:rFonts w:ascii="Arial" w:cs="Arial" w:eastAsia="Arial" w:hAnsi="Arial"/>
                <w:sz w:val="18"/>
                <w:szCs w:val="18"/>
                <w:b w:val="1"/>
                <w:bCs w:val="1"/>
                <w:color w:val="auto"/>
                <w:w w:val="99"/>
              </w:rPr>
              <w:t>77%</w:t>
            </w:r>
          </w:p>
        </w:tc>
        <w:tc>
          <w:tcPr>
            <w:tcW w:w="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247"/>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39%</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21"/>
                <w:szCs w:val="21"/>
                <w:color w:val="auto"/>
              </w:rPr>
            </w:pPr>
          </w:p>
        </w:tc>
        <w:tc>
          <w:tcPr>
            <w:tcW w:w="620" w:type="dxa"/>
            <w:vAlign w:val="bottom"/>
          </w:tcPr>
          <w:p>
            <w:pPr>
              <w:jc w:val="center"/>
              <w:ind w:left="59"/>
              <w:spacing w:after="0"/>
              <w:rPr>
                <w:sz w:val="20"/>
                <w:szCs w:val="20"/>
                <w:color w:val="auto"/>
              </w:rPr>
            </w:pPr>
            <w:r>
              <w:rPr>
                <w:rFonts w:ascii="Arial" w:cs="Arial" w:eastAsia="Arial" w:hAnsi="Arial"/>
                <w:sz w:val="18"/>
                <w:szCs w:val="18"/>
                <w:b w:val="1"/>
                <w:bCs w:val="1"/>
                <w:color w:val="auto"/>
                <w:w w:val="99"/>
              </w:rPr>
              <w:t>20%</w:t>
            </w:r>
          </w:p>
        </w:tc>
        <w:tc>
          <w:tcPr>
            <w:tcW w:w="1020" w:type="dxa"/>
            <w:vAlign w:val="bottom"/>
            <w:gridSpan w:val="3"/>
          </w:tcPr>
          <w:p>
            <w:pPr>
              <w:jc w:val="center"/>
              <w:ind w:left="182"/>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21"/>
                <w:szCs w:val="21"/>
                <w:color w:val="auto"/>
              </w:rPr>
            </w:pPr>
          </w:p>
        </w:tc>
        <w:tc>
          <w:tcPr>
            <w:tcW w:w="560" w:type="dxa"/>
            <w:vAlign w:val="bottom"/>
          </w:tcPr>
          <w:p>
            <w:pPr>
              <w:jc w:val="center"/>
              <w:ind w:left="119"/>
              <w:spacing w:after="0"/>
              <w:rPr>
                <w:sz w:val="20"/>
                <w:szCs w:val="20"/>
                <w:color w:val="auto"/>
              </w:rPr>
            </w:pPr>
            <w:r>
              <w:rPr>
                <w:rFonts w:ascii="Arial" w:cs="Arial" w:eastAsia="Arial" w:hAnsi="Arial"/>
                <w:sz w:val="18"/>
                <w:szCs w:val="18"/>
                <w:b w:val="1"/>
                <w:bCs w:val="1"/>
                <w:color w:val="auto"/>
                <w:w w:val="99"/>
              </w:rPr>
              <w:t>23%</w:t>
            </w:r>
          </w:p>
        </w:tc>
        <w:tc>
          <w:tcPr>
            <w:tcW w:w="1080" w:type="dxa"/>
            <w:vAlign w:val="bottom"/>
            <w:gridSpan w:val="3"/>
          </w:tcPr>
          <w:p>
            <w:pPr>
              <w:jc w:val="center"/>
              <w:ind w:left="242"/>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None of the plan assets related to the defined benefit pension plans and retiree health care benefit plan are directly invested in TI common stock.</w:t>
      </w:r>
    </w:p>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2027</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DBDBDB"/>
            </w:tcBorders>
          </w:tcPr>
          <w:p>
            <w:pPr>
              <w:spacing w:after="0"/>
              <w:rPr>
                <w:sz w:val="17"/>
                <w:szCs w:val="17"/>
                <w:color w:val="auto"/>
              </w:rPr>
            </w:pP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2029</w:t>
            </w: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2030 – 2034</w:t>
            </w:r>
          </w:p>
        </w:tc>
        <w:tc>
          <w:tcPr>
            <w:tcW w:w="20" w:type="dxa"/>
            <w:vAlign w:val="bottom"/>
          </w:tcPr>
          <w:p>
            <w:pPr>
              <w:spacing w:after="0"/>
              <w:rPr>
                <w:sz w:val="17"/>
                <w:szCs w:val="17"/>
                <w:color w:val="auto"/>
              </w:rPr>
            </w:pPr>
          </w:p>
        </w:tc>
      </w:tr>
      <w:tr>
        <w:trPr>
          <w:trHeight w:val="224"/>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Defined Benefit</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U.S. Retiree Health Care</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Non-U.S. Defined Benefit</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9"/>
                <w:szCs w:val="19"/>
                <w:color w:val="auto"/>
              </w:rPr>
            </w:pPr>
          </w:p>
        </w:tc>
      </w:tr>
      <w:tr>
        <w:trPr>
          <w:trHeight w:val="530"/>
        </w:trPr>
        <w:tc>
          <w:tcPr>
            <w:tcW w:w="9580" w:type="dxa"/>
            <w:vAlign w:val="bottom"/>
            <w:gridSpan w:val="15"/>
          </w:tcPr>
          <w:p>
            <w:pPr>
              <w:spacing w:after="0"/>
              <w:rPr>
                <w:sz w:val="20"/>
                <w:szCs w:val="20"/>
                <w:color w:val="auto"/>
              </w:rPr>
            </w:pPr>
            <w:r>
              <w:rPr>
                <w:rFonts w:ascii="Arial" w:cs="Arial" w:eastAsia="Arial" w:hAnsi="Arial"/>
                <w:sz w:val="18"/>
                <w:szCs w:val="18"/>
                <w:color w:val="auto"/>
              </w:rPr>
              <w:t>Assumed health care cost trend rates for the U.S. retiree health care benefit plan as of December 31 are as follows: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9"/>
                <w:szCs w:val="19"/>
                <w:color w:val="auto"/>
              </w:rPr>
            </w:pPr>
          </w:p>
        </w:tc>
      </w:tr>
      <w:tr>
        <w:trPr>
          <w:trHeight w:val="224"/>
        </w:trPr>
        <w:tc>
          <w:tcPr>
            <w:tcW w:w="434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Assumed health care cost trend rate for next year</w:t>
            </w:r>
          </w:p>
        </w:tc>
        <w:tc>
          <w:tcPr>
            <w:tcW w:w="3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center"/>
              <w:ind w:left="230"/>
              <w:spacing w:after="0"/>
              <w:rPr>
                <w:sz w:val="20"/>
                <w:szCs w:val="20"/>
                <w:color w:val="auto"/>
              </w:rPr>
            </w:pPr>
            <w:r>
              <w:rPr>
                <w:rFonts w:ascii="Arial" w:cs="Arial" w:eastAsia="Arial" w:hAnsi="Arial"/>
                <w:sz w:val="18"/>
                <w:szCs w:val="18"/>
                <w:b w:val="1"/>
                <w:bCs w:val="1"/>
                <w:color w:val="auto"/>
              </w:rPr>
              <w:t>7.00%</w:t>
            </w:r>
          </w:p>
        </w:tc>
        <w:tc>
          <w:tcPr>
            <w:tcW w:w="30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center"/>
              <w:ind w:right="55"/>
              <w:spacing w:after="0"/>
              <w:rPr>
                <w:sz w:val="20"/>
                <w:szCs w:val="20"/>
                <w:color w:val="auto"/>
              </w:rPr>
            </w:pPr>
            <w:r>
              <w:rPr>
                <w:rFonts w:ascii="Arial" w:cs="Arial" w:eastAsia="Arial" w:hAnsi="Arial"/>
                <w:sz w:val="18"/>
                <w:szCs w:val="18"/>
                <w:color w:val="auto"/>
                <w:w w:val="97"/>
              </w:rPr>
              <w:t>7.00%</w:t>
            </w:r>
          </w:p>
        </w:tc>
        <w:tc>
          <w:tcPr>
            <w:tcW w:w="20" w:type="dxa"/>
            <w:vAlign w:val="bottom"/>
            <w:tcBorders>
              <w:top w:val="single" w:sz="8" w:color="auto"/>
            </w:tcBorders>
            <w:shd w:val="clear" w:color="auto" w:fill="DBDBDB"/>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left="257"/>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5"/>
              <w:spacing w:after="0"/>
              <w:rPr>
                <w:sz w:val="20"/>
                <w:szCs w:val="20"/>
                <w:color w:val="auto"/>
              </w:rPr>
            </w:pPr>
            <w:r>
              <w:rPr>
                <w:rFonts w:ascii="Arial" w:cs="Arial" w:eastAsia="Arial" w:hAnsi="Arial"/>
                <w:sz w:val="18"/>
                <w:szCs w:val="18"/>
                <w:color w:val="auto"/>
                <w:w w:val="97"/>
              </w:rPr>
              <w:t>5.00%</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Year in which ultimate trend rate is reached</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center"/>
              <w:ind w:left="257"/>
              <w:spacing w:after="0"/>
              <w:rPr>
                <w:sz w:val="20"/>
                <w:szCs w:val="20"/>
                <w:color w:val="auto"/>
              </w:rPr>
            </w:pPr>
            <w:r>
              <w:rPr>
                <w:rFonts w:ascii="Arial" w:cs="Arial" w:eastAsia="Arial" w:hAnsi="Arial"/>
                <w:sz w:val="18"/>
                <w:szCs w:val="18"/>
                <w:b w:val="1"/>
                <w:bCs w:val="1"/>
                <w:color w:val="auto"/>
                <w:w w:val="99"/>
              </w:rPr>
              <w:t>2033</w:t>
            </w:r>
          </w:p>
        </w:tc>
        <w:tc>
          <w:tcPr>
            <w:tcW w:w="3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center"/>
              <w:ind w:right="35"/>
              <w:spacing w:after="0"/>
              <w:rPr>
                <w:sz w:val="20"/>
                <w:szCs w:val="20"/>
                <w:color w:val="auto"/>
              </w:rPr>
            </w:pPr>
            <w:r>
              <w:rPr>
                <w:rFonts w:ascii="Arial" w:cs="Arial" w:eastAsia="Arial" w:hAnsi="Arial"/>
                <w:sz w:val="18"/>
                <w:szCs w:val="18"/>
                <w:color w:val="auto"/>
                <w:w w:val="99"/>
              </w:rPr>
              <w:t>2032</w:t>
            </w:r>
          </w:p>
        </w:tc>
        <w:tc>
          <w:tcPr>
            <w:tcW w:w="20" w:type="dxa"/>
            <w:vAlign w:val="bottom"/>
            <w:shd w:val="clear" w:color="auto" w:fill="DBDBDB"/>
          </w:tcPr>
          <w:p>
            <w:pPr>
              <w:spacing w:after="0"/>
              <w:rPr>
                <w:sz w:val="19"/>
                <w:szCs w:val="19"/>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2024, our liability to participants of the deferred compensation plans was $443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2024, we held $11 million in mutual funds related to these plans that are recorded in long-term investments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December 31, 2024, the aforementioned line of credit was a variable-rate, revolving credit facility from a consortium of investment-grade banks that allows us to borrow up to $1 billion until March 2025. The interest rate on borrowings under this credit facility, if drawn, is indexed to the applicable Term Secured Overnight Financing Rate (Term SOFR). As of December 31, 2024,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we issued five series of senior unsecured notes for an aggregate principal amount of $3.00 billion, consisting of</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$650 million of 4.60% notes due in 2027, $ 650 million of 4.60% notes due in 2029, $ 600 million of 4.85% notes due in 2034, $750 million of 5.15% notes due in 2054 and $350 million of 5.05% notes due in 2063. We incurred $16 million of issuance and other related costs. The proceeds of the offering were $2.98 billion, net of the original issuance discounts, which will be used for general corporate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retired $300 million of maturing debt in May 2024 and an additional $300 million in November 2024.</w:t>
      </w:r>
    </w:p>
    <w:p>
      <w:pPr>
        <w:spacing w:after="0" w:line="22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March 2023, we issued two series of senior unsecured notes for an aggregate principal amount of $1.40 billion, consisting of $750 million of 4.90% notes due in 2033 and $650 million of 5.00% notes due in 2053. We incurred $11 million of issuance and other related costs. The proceeds of the offering were $1.40 billion, net of the original issuance discounts, which will be used for general corporate purposes.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May 2023, we issued three series of senior unsecured notes for an aggregate principal amount of $1.60 billion, consisting of $ 200 million of 4.60% notes due in 2028, $200 million of 4.90% notes due in 2033 and $1.20 billion of 5.05% notes due in 2063. We incurred $7 million of issuance and other related costs. The proceeds of the offering were $1.60 billion, net of the original issuance discounts and premiums, which will be used for general corporate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May 2023, we retired $500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retired $500 million of maturing debt.</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August 2022, we issued two series of senior unsecured notes for an aggregate principal amount of $700 million, consisting of $400 million of 3.65% notes due in 2032 and $300 million of 4.10% notes due in 2052. We incurred $3 million of issuance and other related costs. The proceeds of the offering were $695 million, net of the original issuance discounts, which will be used for general corporate purposes.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November 2022, we issued two series of senior unsecured notes for an aggregate principal amount of $ 800 million, consisting of $300 million of 4.70% notes due in 2024 and $500 million of 4.60% notes due in 2028. We incurred $3 million of issuance and other related costs. The proceeds of the offering were $799 million, net of the original issuance discounts, which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2024 at 4.70%</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4.60%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2029 at 4.60%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2033 at 4.90%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2034 at 4.85%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2054 at 5.15%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2063 at 5.05%</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13,596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11,223</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was $508 million, $353 million and $214 million in 2024, 2023 and 2022, respectively. This was net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amortized discounts, premiums and issuance and other related costs. Cash payments for interest on long-term debt were $473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$321 million and $198 million in 2024, 2023 and 2022, respectively. Capitalized interest was $20 million, $11 million and $6 million in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 and 2022, respectively.</w:t>
      </w:r>
    </w:p>
    <w:p>
      <w:pPr>
        <w:spacing w:after="0" w:line="207"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786</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579</w:t>
            </w:r>
          </w:p>
        </w:tc>
      </w:tr>
      <w:tr>
        <w:trPr>
          <w:trHeight w:val="243"/>
        </w:trPr>
        <w:tc>
          <w:tcPr>
            <w:tcW w:w="8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w:t>
            </w:r>
          </w:p>
        </w:tc>
      </w:tr>
      <w:tr>
        <w:trPr>
          <w:trHeight w:val="247"/>
        </w:trPr>
        <w:tc>
          <w:tcPr>
            <w:tcW w:w="86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Details of our operating leases are as follows:</w:t>
      </w:r>
    </w:p>
    <w:p>
      <w:pPr>
        <w:spacing w:after="0" w:line="5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For Years Ended</w:t>
      </w:r>
    </w:p>
    <w:p>
      <w:pPr>
        <w:spacing w:after="0" w:line="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tcBorders>
              <w:bottom w:val="single" w:sz="8" w:color="DBDBDB"/>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r>
      <w:tr>
        <w:trPr>
          <w:trHeight w:val="223"/>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cost related to lease liabilities</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340" w:type="dxa"/>
            <w:vAlign w:val="bottom"/>
            <w:shd w:val="clear" w:color="auto" w:fill="DBDBDB"/>
          </w:tcPr>
          <w:p>
            <w:pPr>
              <w:spacing w:after="0"/>
              <w:rPr>
                <w:sz w:val="23"/>
                <w:szCs w:val="23"/>
                <w:color w:val="auto"/>
              </w:rPr>
            </w:pPr>
          </w:p>
        </w:tc>
        <w:tc>
          <w:tcPr>
            <w:tcW w:w="80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Operating cash flows for lease cost</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7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we had committed to make the following minimum payments under our noncancelable operating leases: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4"/>
        </w:trPr>
        <w:tc>
          <w:tcPr>
            <w:tcW w:w="2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Lease payments</w:t>
            </w: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center"/>
              <w:ind w:left="375"/>
              <w:spacing w:after="0"/>
              <w:rPr>
                <w:sz w:val="20"/>
                <w:szCs w:val="20"/>
                <w:color w:val="auto"/>
              </w:rPr>
            </w:pPr>
            <w:r>
              <w:rPr>
                <w:rFonts w:ascii="Arial" w:cs="Arial" w:eastAsia="Arial" w:hAnsi="Arial"/>
                <w:sz w:val="18"/>
                <w:szCs w:val="18"/>
                <w:color w:val="auto"/>
                <w:w w:val="99"/>
              </w:rPr>
              <w:t>999</w:t>
            </w:r>
          </w:p>
        </w:tc>
      </w:tr>
      <w:tr>
        <w:trPr>
          <w:trHeight w:val="229"/>
        </w:trPr>
        <w:tc>
          <w:tcPr>
            <w:tcW w:w="22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Imputed lease interest</w:t>
            </w: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6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9"/>
              </w:rPr>
              <w:t>(218)</w:t>
            </w:r>
          </w:p>
        </w:tc>
      </w:tr>
      <w:tr>
        <w:trPr>
          <w:trHeight w:val="248"/>
        </w:trPr>
        <w:tc>
          <w:tcPr>
            <w:tcW w:w="2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center"/>
              <w:ind w:left="375"/>
              <w:spacing w:after="0"/>
              <w:rPr>
                <w:sz w:val="20"/>
                <w:szCs w:val="20"/>
                <w:color w:val="auto"/>
              </w:rPr>
            </w:pPr>
            <w:r>
              <w:rPr>
                <w:rFonts w:ascii="Arial" w:cs="Arial" w:eastAsia="Arial" w:hAnsi="Arial"/>
                <w:sz w:val="18"/>
                <w:szCs w:val="18"/>
                <w:color w:val="auto"/>
                <w:w w:val="99"/>
              </w:rPr>
              <w:t>781</w:t>
            </w:r>
          </w:p>
        </w:tc>
      </w:tr>
      <w:tr>
        <w:trPr>
          <w:trHeight w:val="20"/>
        </w:trPr>
        <w:tc>
          <w:tcPr>
            <w:tcW w:w="22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weighted average remaining lease term was 10.8 years and 11.7 years as of December 31, 2024 and 2023, respectively. The weighted average discount rate was 4.53% and 4.22% as of December 31, 2024 and 2023, respectively.</w:t>
      </w:r>
    </w:p>
    <w:p>
      <w:pPr>
        <w:spacing w:after="0" w:line="153"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Our purchase commitments include payments for software licenses and contractual arrangements with suppliers when there is a fixed, noncancelable payment schedule or when minimum payments are due with a reduced delivery schedule.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we had committed to make the following minimum payments under our purchase commitments: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24"/>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Purchase commitments</w:t>
            </w:r>
          </w:p>
        </w:tc>
        <w:tc>
          <w:tcPr>
            <w:tcW w:w="760" w:type="dxa"/>
            <w:vAlign w:val="bottom"/>
            <w:tcBorders>
              <w:top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317</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263</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1,417</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2024, restructuring charges/other was a credit of $124 million primarily due to a gain on the sale of a property. During 2023, there were no restructuring charges/other. During 2022, restructuring charges/other was a cost of $257 million related to preproduction costs at our Lehi, Utah, manufacturing facility. These amounts are included in Other for segment reporting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(a)</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 (b)</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(38)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interest, royalty and lease income.</w:t>
      </w:r>
    </w:p>
    <w:p>
      <w:pPr>
        <w:spacing w:after="0" w:line="117" w:lineRule="exact"/>
        <w:rPr>
          <w:rFonts w:ascii="Arial" w:cs="Arial" w:eastAsia="Arial" w:hAnsi="Arial"/>
          <w:sz w:val="18"/>
          <w:szCs w:val="18"/>
          <w:color w:val="auto"/>
        </w:rPr>
      </w:pPr>
    </w:p>
    <w:p>
      <w:pPr>
        <w:ind w:left="500" w:right="40" w:hanging="492"/>
        <w:spacing w:after="0" w:line="287" w:lineRule="auto"/>
        <w:tabs>
          <w:tab w:leader="none" w:pos="4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 portion of pension and other retiree benefit costs, lease expense, tax interest, currency gains and losses and miscellaneous items.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Property, plant and equipment at cost</w:t>
            </w:r>
          </w:p>
        </w:tc>
        <w:tc>
          <w:tcPr>
            <w:tcW w:w="12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360" w:type="dxa"/>
            <w:vAlign w:val="bottom"/>
          </w:tcPr>
          <w:p>
            <w:pPr>
              <w:spacing w:after="0"/>
              <w:rPr>
                <w:sz w:val="24"/>
                <w:szCs w:val="24"/>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Depreciable</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6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Lives (Years)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Up to 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Machinery and equipment</w:t>
            </w:r>
          </w:p>
        </w:tc>
        <w:tc>
          <w:tcPr>
            <w:tcW w:w="1300" w:type="dxa"/>
            <w:vAlign w:val="bottom"/>
            <w:gridSpan w:val="2"/>
            <w:shd w:val="clear" w:color="auto" w:fill="DBDBDB"/>
          </w:tcPr>
          <w:p>
            <w:pPr>
              <w:jc w:val="center"/>
              <w:ind w:right="80"/>
              <w:spacing w:after="0"/>
              <w:rPr>
                <w:sz w:val="20"/>
                <w:szCs w:val="20"/>
                <w:color w:val="auto"/>
              </w:rPr>
            </w:pPr>
            <w:r>
              <w:rPr>
                <w:rFonts w:ascii="Arial" w:cs="Arial" w:eastAsia="Arial" w:hAnsi="Arial"/>
                <w:sz w:val="18"/>
                <w:szCs w:val="18"/>
                <w:color w:val="auto"/>
                <w:w w:val="99"/>
              </w:rPr>
              <w:t>5 – 10</w:t>
            </w: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8,717</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7,569</w:t>
            </w:r>
          </w:p>
        </w:tc>
        <w:tc>
          <w:tcPr>
            <w:tcW w:w="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i w:val="1"/>
                <w:iCs w:val="1"/>
                <w:color w:val="auto"/>
              </w:rPr>
              <w:t>Goodwill</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Goodwill by segment as of December 31, 2024 and 2023, is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360" w:type="dxa"/>
            <w:vAlign w:val="bottom"/>
            <w:tcBorders>
              <w:bottom w:val="single" w:sz="8" w:color="DBDBDB"/>
            </w:tcBorders>
          </w:tcPr>
          <w:p>
            <w:pPr>
              <w:spacing w:after="0"/>
              <w:rPr>
                <w:sz w:val="19"/>
                <w:szCs w:val="19"/>
                <w:color w:val="auto"/>
              </w:rPr>
            </w:pPr>
          </w:p>
        </w:tc>
        <w:tc>
          <w:tcPr>
            <w:tcW w:w="12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b w:val="1"/>
                <w:bCs w:val="1"/>
                <w:color w:val="auto"/>
              </w:rPr>
              <w:t>Goodwill</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4,158</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We perform our annual goodwill impairment test in the fourth quarter and determine whether the fair value of each of our reporting units is in excess of its carrying value. In 2024, 2023 and 2022, we determined no impairment was indicated.</w:t>
      </w:r>
    </w:p>
    <w:p>
      <w:pPr>
        <w:sectPr>
          <w:pgSz w:w="11900" w:h="16838" w:orient="portrait"/>
          <w:cols w:equalWidth="0" w:num="1">
            <w:col w:w="11220"/>
          </w:cols>
          <w:pgMar w:left="320" w:top="987" w:right="35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Other long-term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2,246</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1,102</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3,348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Accrued expenses and other liabilities</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capital-related expenditures</w:t>
            </w: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Postretirement benefit plans:</w:t>
            </w: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Prior service credit</w:t>
            </w: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Unrealized gains on available-for-sale investments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hedge derivative instruments</w:t>
            </w: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2024, 2023 and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where these transactions are recorded in our 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860" w:type="dxa"/>
            <w:vAlign w:val="bottom"/>
            <w:tcBorders>
              <w:bottom w:val="single" w:sz="8" w:color="auto"/>
            </w:tcBorders>
            <w:gridSpan w:val="8"/>
          </w:tcPr>
          <w:p>
            <w:pPr>
              <w:jc w:val="right"/>
              <w:ind w:right="293"/>
              <w:spacing w:after="0"/>
              <w:rPr>
                <w:sz w:val="20"/>
                <w:szCs w:val="20"/>
                <w:color w:val="auto"/>
              </w:rPr>
            </w:pPr>
            <w:r>
              <w:rPr>
                <w:rFonts w:ascii="Arial" w:cs="Arial" w:eastAsia="Arial" w:hAnsi="Arial"/>
                <w:sz w:val="14"/>
                <w:szCs w:val="14"/>
                <w:b w:val="1"/>
                <w:bCs w:val="1"/>
                <w:color w:val="auto"/>
              </w:rPr>
              <w:t>For Years Ended December 31,</w:t>
            </w:r>
          </w:p>
        </w:tc>
        <w:tc>
          <w:tcPr>
            <w:tcW w:w="120" w:type="dxa"/>
            <w:vAlign w:val="bottom"/>
          </w:tcPr>
          <w:p>
            <w:pPr>
              <w:spacing w:after="0"/>
              <w:rPr>
                <w:sz w:val="17"/>
                <w:szCs w:val="17"/>
                <w:color w:val="auto"/>
              </w:rPr>
            </w:pPr>
          </w:p>
        </w:tc>
        <w:tc>
          <w:tcPr>
            <w:tcW w:w="2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Impact to Related Statement of</w:t>
            </w:r>
          </w:p>
        </w:tc>
        <w:tc>
          <w:tcPr>
            <w:tcW w:w="0" w:type="dxa"/>
            <w:vAlign w:val="bottom"/>
          </w:tcPr>
          <w:p>
            <w:pPr>
              <w:spacing w:after="0"/>
              <w:rPr>
                <w:sz w:val="1"/>
                <w:szCs w:val="1"/>
                <w:color w:val="auto"/>
              </w:rPr>
            </w:pPr>
          </w:p>
        </w:tc>
      </w:tr>
      <w:tr>
        <w:trPr>
          <w:trHeight w:val="53"/>
        </w:trPr>
        <w:tc>
          <w:tcPr>
            <w:tcW w:w="5740" w:type="dxa"/>
            <w:vAlign w:val="bottom"/>
          </w:tcPr>
          <w:p>
            <w:pPr>
              <w:spacing w:after="0"/>
              <w:rPr>
                <w:sz w:val="4"/>
                <w:szCs w:val="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4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Income Lines</w:t>
            </w:r>
          </w:p>
        </w:tc>
        <w:tc>
          <w:tcPr>
            <w:tcW w:w="0" w:type="dxa"/>
            <w:vAlign w:val="bottom"/>
          </w:tcPr>
          <w:p>
            <w:pPr>
              <w:spacing w:after="0"/>
              <w:rPr>
                <w:sz w:val="1"/>
                <w:szCs w:val="1"/>
                <w:color w:val="auto"/>
              </w:rPr>
            </w:pPr>
          </w:p>
        </w:tc>
      </w:tr>
      <w:tr>
        <w:trPr>
          <w:trHeight w:val="210"/>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6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Recognized net actuarial loss and settlement losses (a)</w:t>
            </w:r>
          </w:p>
        </w:tc>
        <w:tc>
          <w:tcPr>
            <w:tcW w:w="600" w:type="dxa"/>
            <w:vAlign w:val="bottom"/>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Pr>
          <w:p>
            <w:pPr>
              <w:spacing w:after="0"/>
              <w:rPr>
                <w:sz w:val="19"/>
                <w:szCs w:val="19"/>
                <w:color w:val="auto"/>
              </w:rPr>
            </w:pP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175"/>
        </w:trPr>
        <w:tc>
          <w:tcPr>
            <w:tcW w:w="574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600" w:type="dxa"/>
            <w:vAlign w:val="bottom"/>
            <w:shd w:val="clear" w:color="auto" w:fill="DBDBDB"/>
          </w:tcPr>
          <w:p>
            <w:pPr>
              <w:spacing w:after="0"/>
              <w:rPr>
                <w:sz w:val="15"/>
                <w:szCs w:val="15"/>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(3)</w:t>
            </w:r>
          </w:p>
        </w:tc>
        <w:tc>
          <w:tcPr>
            <w:tcW w:w="1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5"/>
                <w:szCs w:val="15"/>
                <w:color w:val="auto"/>
              </w:rPr>
            </w:pPr>
          </w:p>
        </w:tc>
        <w:tc>
          <w:tcPr>
            <w:tcW w:w="2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to provision for</w:t>
            </w:r>
          </w:p>
        </w:tc>
        <w:tc>
          <w:tcPr>
            <w:tcW w:w="0" w:type="dxa"/>
            <w:vAlign w:val="bottom"/>
          </w:tcPr>
          <w:p>
            <w:pPr>
              <w:spacing w:after="0"/>
              <w:rPr>
                <w:sz w:val="1"/>
                <w:szCs w:val="1"/>
                <w:color w:val="auto"/>
              </w:rPr>
            </w:pPr>
          </w:p>
        </w:tc>
      </w:tr>
      <w:tr>
        <w:trPr>
          <w:trHeight w:val="243"/>
        </w:trPr>
        <w:tc>
          <w:tcPr>
            <w:tcW w:w="5740" w:type="dxa"/>
            <w:vAlign w:val="bottom"/>
            <w:vMerge w:val="continue"/>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26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574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Prior service cost (credit) of defined benefit plans: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Amortization of prior service cost (credit) (a)</w:t>
            </w:r>
          </w:p>
        </w:tc>
        <w:tc>
          <w:tcPr>
            <w:tcW w:w="600" w:type="dxa"/>
            <w:vAlign w:val="bottom"/>
            <w:shd w:val="clear" w:color="auto" w:fill="DBDBDB"/>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Decrease (increase) to OI&amp;E</w:t>
            </w:r>
          </w:p>
        </w:tc>
        <w:tc>
          <w:tcPr>
            <w:tcW w:w="0" w:type="dxa"/>
            <w:vAlign w:val="bottom"/>
          </w:tcPr>
          <w:p>
            <w:pPr>
              <w:spacing w:after="0"/>
              <w:rPr>
                <w:sz w:val="1"/>
                <w:szCs w:val="1"/>
                <w:color w:val="auto"/>
              </w:rPr>
            </w:pPr>
          </w:p>
        </w:tc>
      </w:tr>
      <w:tr>
        <w:trPr>
          <w:trHeight w:val="175"/>
        </w:trPr>
        <w:tc>
          <w:tcPr>
            <w:tcW w:w="5740" w:type="dxa"/>
            <w:vAlign w:val="bottom"/>
            <w:vMerge w:val="restart"/>
          </w:tcPr>
          <w:p>
            <w:pPr>
              <w:ind w:left="140"/>
              <w:spacing w:after="0"/>
              <w:rPr>
                <w:sz w:val="20"/>
                <w:szCs w:val="20"/>
                <w:color w:val="auto"/>
              </w:rPr>
            </w:pPr>
            <w:r>
              <w:rPr>
                <w:rFonts w:ascii="Arial" w:cs="Arial" w:eastAsia="Arial" w:hAnsi="Arial"/>
                <w:sz w:val="18"/>
                <w:szCs w:val="18"/>
                <w:color w:val="auto"/>
              </w:rPr>
              <w:t>Tax effect</w:t>
            </w:r>
          </w:p>
        </w:tc>
        <w:tc>
          <w:tcPr>
            <w:tcW w:w="60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(Decrease) increase to</w:t>
            </w: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156"/>
        </w:trPr>
        <w:tc>
          <w:tcPr>
            <w:tcW w:w="5740" w:type="dxa"/>
            <w:vAlign w:val="bottom"/>
            <w:tcBorders>
              <w:top w:val="single" w:sz="8" w:color="DBDBDB"/>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00" w:type="dxa"/>
            <w:vAlign w:val="bottom"/>
            <w:tcBorders>
              <w:top w:val="single" w:sz="8" w:color="auto"/>
            </w:tcBorders>
            <w:vMerge w:val="restart"/>
            <w:shd w:val="clear" w:color="auto" w:fill="DBDBDB"/>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600" w:type="dxa"/>
            <w:vAlign w:val="bottom"/>
            <w:tcBorders>
              <w:top w:val="single" w:sz="8" w:color="auto"/>
            </w:tcBorders>
            <w:vMerge w:val="restart"/>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2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248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color w:val="auto"/>
              </w:rPr>
              <w:t>Decrease (increase) to net</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DBDBDB"/>
            </w:tcBorders>
            <w:vMerge w:val="continue"/>
            <w:shd w:val="clear" w:color="auto" w:fill="DBDBDB"/>
          </w:tcPr>
          <w:p>
            <w:pPr>
              <w:spacing w:after="0"/>
              <w:rPr>
                <w:sz w:val="20"/>
                <w:szCs w:val="20"/>
                <w:color w:val="auto"/>
              </w:rPr>
            </w:pPr>
          </w:p>
        </w:tc>
        <w:tc>
          <w:tcPr>
            <w:tcW w:w="600" w:type="dxa"/>
            <w:vAlign w:val="bottom"/>
            <w:tcBorders>
              <w:bottom w:val="single" w:sz="8" w:color="auto"/>
            </w:tcBorders>
            <w:vMerge w:val="continue"/>
            <w:shd w:val="clear" w:color="auto" w:fill="DBDBDB"/>
          </w:tcPr>
          <w:p>
            <w:pPr>
              <w:spacing w:after="0"/>
              <w:rPr>
                <w:sz w:val="20"/>
                <w:szCs w:val="20"/>
                <w:color w:val="auto"/>
              </w:rPr>
            </w:pP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600" w:type="dxa"/>
            <w:vAlign w:val="bottom"/>
            <w:tcBorders>
              <w:bottom w:val="single" w:sz="8" w:color="auto"/>
            </w:tcBorders>
            <w:vMerge w:val="continue"/>
            <w:shd w:val="clear" w:color="auto" w:fill="DBDBDB"/>
          </w:tcPr>
          <w:p>
            <w:pPr>
              <w:spacing w:after="0"/>
              <w:rPr>
                <w:sz w:val="20"/>
                <w:szCs w:val="20"/>
                <w:color w:val="auto"/>
              </w:rPr>
            </w:pPr>
          </w:p>
        </w:tc>
        <w:tc>
          <w:tcPr>
            <w:tcW w:w="2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vMerge w:val="continue"/>
            <w:shd w:val="clear" w:color="auto" w:fill="DBDBDB"/>
          </w:tcPr>
          <w:p>
            <w:pPr>
              <w:spacing w:after="0"/>
              <w:rPr>
                <w:sz w:val="20"/>
                <w:szCs w:val="20"/>
                <w:color w:val="auto"/>
              </w:rPr>
            </w:pPr>
          </w:p>
        </w:tc>
        <w:tc>
          <w:tcPr>
            <w:tcW w:w="6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(a)</w:t>
        <w:tab/>
        <w:t>Detailed in Note 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3" w:name="page54"/>
    <w:bookmarkEnd w:id="53"/>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Texas Instruments Incorporated (the Company) as of December 31, 2024 and 2023, the related consolidated statements of income,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14, 2025,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Uncertain tax positions</w:t>
      </w:r>
    </w:p>
    <w:p>
      <w:pPr>
        <w:spacing w:after="0" w:line="63" w:lineRule="exact"/>
        <w:rPr>
          <w:sz w:val="20"/>
          <w:szCs w:val="20"/>
          <w:color w:val="auto"/>
        </w:rPr>
      </w:pPr>
    </w:p>
    <w:p>
      <w:pPr>
        <w:ind w:left="2260" w:hanging="2226"/>
        <w:spacing w:after="0" w:line="274"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As discussed in Note 4 to the consolidated financial statements, the Company 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evaluates uncertain tax positions to determine whether, based on the technical merits, a tax position is more likely than not to be sustained upon examination by the taxing authorities. Auditing management’s evaluation of whether an uncertain tax position is more likely than not to be sustained is complex and is based on interpretations of tax laws and legal rulings.</w:t>
      </w:r>
    </w:p>
    <w:p>
      <w:pPr>
        <w:spacing w:after="0" w:line="166"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27" w:lineRule="exact"/>
        <w:rPr>
          <w:sz w:val="20"/>
          <w:szCs w:val="20"/>
          <w:color w:val="auto"/>
        </w:rPr>
      </w:pPr>
    </w:p>
    <w:p>
      <w:pPr>
        <w:ind w:left="2260" w:hanging="2226"/>
        <w:spacing w:after="0" w:line="253" w:lineRule="auto"/>
        <w:tabs>
          <w:tab w:leader="none" w:pos="22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process for interpretation and application of tax laws and rulings used in evaluation of uncertain tax positions. To test the Company’s assessment of the technical merits of tax positions, we performed audit procedures that included, among others, evaluating management’s assumptions and analysis which detailed the basis and technical merits of the uncertain tax positions. We involved our tax professionals to assess the technical merits of the Company’s tax positions and used our knowledge of relevant tax laws and experience with related taxing authorities. We also evaluated the adequacy of the Company’s financial statement disclosures in Note 4 to the consolidated financial statements related to these tax matters.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2024 that has materially affected, or is reasonably likely to materially affect, our internal control over financial reporting.</w:t>
      </w:r>
    </w:p>
    <w:p>
      <w:pPr>
        <w:spacing w:after="0" w:line="182"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2024. In making this assessment, we used the criteria set forth by the Committee of Sponsoring Organizations of the Treadway Commission (2013 framework) (the COSO criteria) in Internal Control − Integrated Framework. Based on our assessment, we believe that, as of December 31, 2024, our internal control over financial reporting is effective based on the COSO criteria.</w:t>
      </w:r>
    </w:p>
    <w:p>
      <w:pPr>
        <w:spacing w:after="0" w:line="17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2024,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2024, based on the COSO criteria.</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three years in the period ended December 31, 2024, and the related notes, and our report dated February 14, 2025,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2025 annual meeting of stockholders, is incorporated herein by reference to such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information with respect to Section 16(a) of the Securities Exchange Act of 1934 beneficial ownership reporting compliance contained under the caption “Delinquent Section 16(a) reports” in our proxy statement for the 2025 annual meeting of stockholders is incorporated herein by reference to such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2025 annual meeting of stockholders is incorporated herein by reference to such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policies and procedures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information contained under the caption “Insider trading policies and procedures” in our proxy statement for the 2025 annual meeting of stockholders is incorporated herein by reference to such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2025 annual meeting of stockholders is incorporated herein by reference to such proxy statement, provided that the Compensation Committee report shall not be deemed filed with this Form 10-K.</w:t>
      </w:r>
    </w:p>
    <w:p>
      <w:pPr>
        <w:spacing w:after="0" w:line="171"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2025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 Issued Upon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341"/>
              <w:spacing w:after="0" w:line="135" w:lineRule="exact"/>
              <w:rPr>
                <w:sz w:val="20"/>
                <w:szCs w:val="20"/>
                <w:color w:val="auto"/>
              </w:rPr>
            </w:pPr>
            <w:r>
              <w:rPr>
                <w:rFonts w:ascii="Arial" w:cs="Arial" w:eastAsia="Arial" w:hAnsi="Arial"/>
                <w:sz w:val="14"/>
                <w:szCs w:val="14"/>
                <w:b w:val="1"/>
                <w:bCs w:val="1"/>
                <w:color w:val="auto"/>
              </w:rPr>
              <w:t>Exercise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 Price of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5920" w:type="dxa"/>
            <w:vAlign w:val="bottom"/>
            <w:gridSpan w:val="2"/>
            <w:vMerge w:val="continue"/>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 (1)</w:t>
            </w:r>
          </w:p>
        </w:tc>
        <w:tc>
          <w:tcPr>
            <w:tcW w:w="100" w:type="dxa"/>
            <w:vAlign w:val="bottom"/>
          </w:tcPr>
          <w:p>
            <w:pPr>
              <w:spacing w:after="0"/>
              <w:rPr>
                <w:sz w:val="16"/>
                <w:szCs w:val="16"/>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Warrants and Rights (2)</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column (1)) (3)</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DBDBDB"/>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30,369,933</w:t>
            </w:r>
          </w:p>
        </w:tc>
        <w:tc>
          <w:tcPr>
            <w:tcW w:w="4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DBDBDB"/>
          </w:tcPr>
          <w:p>
            <w:pPr>
              <w:jc w:val="right"/>
              <w:ind w:right="97"/>
              <w:spacing w:after="0"/>
              <w:rPr>
                <w:sz w:val="20"/>
                <w:szCs w:val="20"/>
                <w:color w:val="auto"/>
              </w:rPr>
            </w:pPr>
            <w:r>
              <w:rPr>
                <w:rFonts w:ascii="Arial" w:cs="Arial" w:eastAsia="Arial" w:hAnsi="Arial"/>
                <w:sz w:val="18"/>
                <w:szCs w:val="18"/>
                <w:color w:val="auto"/>
              </w:rPr>
              <w:t>137.01 (b)</w:t>
            </w:r>
          </w:p>
        </w:tc>
        <w:tc>
          <w:tcPr>
            <w:tcW w:w="100" w:type="dxa"/>
            <w:vAlign w:val="bottom"/>
            <w:tcBorders>
              <w:top w:val="single" w:sz="8" w:color="DBDBDB"/>
            </w:tcBorders>
            <w:shd w:val="clear" w:color="auto" w:fill="DBDBDB"/>
          </w:tcPr>
          <w:p>
            <w:pPr>
              <w:spacing w:after="0"/>
              <w:rPr>
                <w:sz w:val="19"/>
                <w:szCs w:val="19"/>
                <w:color w:val="auto"/>
              </w:rPr>
            </w:pPr>
          </w:p>
        </w:tc>
        <w:tc>
          <w:tcPr>
            <w:tcW w:w="1680" w:type="dxa"/>
            <w:vAlign w:val="bottom"/>
            <w:tcBorders>
              <w:top w:val="single" w:sz="8" w:color="auto"/>
            </w:tcBorders>
            <w:shd w:val="clear" w:color="auto" w:fill="DBDBDB"/>
          </w:tcPr>
          <w:p>
            <w:pPr>
              <w:jc w:val="right"/>
              <w:ind w:right="103"/>
              <w:spacing w:after="0"/>
              <w:rPr>
                <w:sz w:val="20"/>
                <w:szCs w:val="20"/>
                <w:color w:val="auto"/>
              </w:rPr>
            </w:pPr>
            <w:r>
              <w:rPr>
                <w:rFonts w:ascii="Arial" w:cs="Arial" w:eastAsia="Arial" w:hAnsi="Arial"/>
                <w:sz w:val="18"/>
                <w:szCs w:val="18"/>
                <w:color w:val="auto"/>
              </w:rPr>
              <w:t>65,541,964 (c)</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30,369,933</w:t>
            </w:r>
          </w:p>
        </w:tc>
        <w:tc>
          <w:tcPr>
            <w:tcW w:w="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(d)</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397"/>
              <w:spacing w:after="0"/>
              <w:rPr>
                <w:sz w:val="20"/>
                <w:szCs w:val="20"/>
                <w:color w:val="auto"/>
              </w:rPr>
            </w:pPr>
            <w:r>
              <w:rPr>
                <w:rFonts w:ascii="Arial" w:cs="Arial" w:eastAsia="Arial" w:hAnsi="Arial"/>
                <w:sz w:val="18"/>
                <w:szCs w:val="18"/>
                <w:color w:val="auto"/>
              </w:rPr>
              <w:t>137.01</w:t>
            </w:r>
          </w:p>
        </w:tc>
        <w:tc>
          <w:tcPr>
            <w:tcW w:w="10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ind w:right="403"/>
              <w:spacing w:after="0"/>
              <w:rPr>
                <w:sz w:val="20"/>
                <w:szCs w:val="20"/>
                <w:color w:val="auto"/>
              </w:rPr>
            </w:pPr>
            <w:r>
              <w:rPr>
                <w:rFonts w:ascii="Arial" w:cs="Arial" w:eastAsia="Arial" w:hAnsi="Arial"/>
                <w:sz w:val="18"/>
                <w:szCs w:val="18"/>
                <w:color w:val="auto"/>
              </w:rPr>
              <w:t>65,541,964</w:t>
            </w:r>
          </w:p>
        </w:tc>
        <w:tc>
          <w:tcPr>
            <w:tcW w:w="0" w:type="dxa"/>
            <w:vAlign w:val="bottom"/>
          </w:tcPr>
          <w:p>
            <w:pPr>
              <w:spacing w:after="0"/>
              <w:rPr>
                <w:sz w:val="1"/>
                <w:szCs w:val="1"/>
                <w:color w:val="auto"/>
              </w:rPr>
            </w:pP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line="262" w:lineRule="auto"/>
        <w:tabs>
          <w:tab w:leader="none" w:pos="4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Texas Instruments 2009 Director Compensation Plan, the TI Employees 2014 Stock Purchase Plan (the “2014 ESPP”), the Texas Instruments 2018 Director Compensation Plan (the “2018 Director Plan”), and the Texas Instruments 2024 Long-Term Incentive Plan (the “2024 LTIP”) and its predecessor stockholder-approved plans.</w:t>
      </w:r>
    </w:p>
    <w:p>
      <w:pPr>
        <w:spacing w:after="0" w:line="68" w:lineRule="exact"/>
        <w:rPr>
          <w:rFonts w:ascii="Arial" w:cs="Arial" w:eastAsia="Arial" w:hAnsi="Arial"/>
          <w:sz w:val="18"/>
          <w:szCs w:val="18"/>
          <w:color w:val="auto"/>
        </w:rPr>
      </w:pPr>
    </w:p>
    <w:p>
      <w:pPr>
        <w:ind w:left="500" w:right="180" w:hanging="492"/>
        <w:spacing w:after="0" w:line="318" w:lineRule="auto"/>
        <w:tabs>
          <w:tab w:leader="none" w:pos="49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Restricted stock units and stock units credited to directors’ deferred compensation accounts are settled in shares of TI common stock on a one-for-one basis. Accordingly, such units have been excluded for purposes of computing the weighted average exercise price.</w:t>
      </w:r>
    </w:p>
    <w:p>
      <w:pPr>
        <w:spacing w:after="0" w:line="21" w:lineRule="exact"/>
        <w:rPr>
          <w:rFonts w:ascii="Arial" w:cs="Arial" w:eastAsia="Arial" w:hAnsi="Arial"/>
          <w:sz w:val="17"/>
          <w:szCs w:val="17"/>
          <w:color w:val="auto"/>
        </w:rPr>
      </w:pPr>
    </w:p>
    <w:p>
      <w:pPr>
        <w:ind w:left="500" w:right="100" w:hanging="492"/>
        <w:spacing w:after="0" w:line="262" w:lineRule="auto"/>
        <w:tabs>
          <w:tab w:leader="none" w:pos="4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2024 LTIP, the 2014 ESPP and the 2018 Director Plan. 33,049,176 shares remain available for future issuance under the 2024 LTIP and 1,745,284 shares remain available for future issuance under the 2018 Director Plan. Under the 2024 LTIP and the 2018 Director Plan, awards may be granted in the form of restricted stock units, options or other stock-based awards such as restricted stock.</w:t>
      </w:r>
    </w:p>
    <w:p>
      <w:pPr>
        <w:spacing w:after="0" w:line="68" w:lineRule="exact"/>
        <w:rPr>
          <w:rFonts w:ascii="Arial" w:cs="Arial" w:eastAsia="Arial" w:hAnsi="Arial"/>
          <w:sz w:val="18"/>
          <w:szCs w:val="18"/>
          <w:color w:val="auto"/>
        </w:rPr>
      </w:pPr>
    </w:p>
    <w:p>
      <w:pPr>
        <w:ind w:left="500" w:right="20" w:hanging="492"/>
        <w:spacing w:after="0" w:line="268" w:lineRule="auto"/>
        <w:tabs>
          <w:tab w:leader="none" w:pos="4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24,503,062 shares for issuance upon exercise of outstanding grants of options, 5,601,406 shares for issuance upon vesting of outstanding grants of restricted stock units, 161,494 shares for issuance under the 2014 ESPP and 103,971 shares for issuance in settlement of directors’ deferred compensation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directors and management” in our proxy statement for the 2025 annual meeting of stockholders is incorporated herein by reference to such proxy statement.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2025 annual meeting of stockholders is incorporated herein by reference to such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information with respect to principal accountant fees and services contained under the caption “Proposal to ratify appointment of independent registered public accounting firm” in our proxy statement for the 2025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gridSpan w:val="2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of Filing</w:t>
            </w:r>
          </w:p>
        </w:tc>
        <w:tc>
          <w:tcPr>
            <w:tcW w:w="17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380" w:type="dxa"/>
            <w:vAlign w:val="bottom"/>
            <w:tcBorders>
              <w:bottom w:val="single" w:sz="8" w:color="auto"/>
              <w:right w:val="single" w:sz="8" w:color="auto"/>
            </w:tcBorders>
            <w:gridSpan w:val="24"/>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3(a)</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Restated Certificate of Incorporation of</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2015</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3(a)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3"/>
                <w:szCs w:val="13"/>
                <w:color w:val="auto"/>
              </w:rPr>
            </w:pPr>
          </w:p>
        </w:tc>
        <w:tc>
          <w:tcPr>
            <w:tcW w:w="3080" w:type="dxa"/>
            <w:vAlign w:val="bottom"/>
            <w:tcBorders>
              <w:top w:val="single" w:sz="8" w:color="0000FF"/>
              <w:bottom w:val="single" w:sz="8" w:color="0000FF"/>
            </w:tcBorders>
            <w:gridSpan w:val="19"/>
            <w:shd w:val="clear" w:color="auto" w:fill="DBDBDB"/>
          </w:tcPr>
          <w:p>
            <w:pPr>
              <w:spacing w:after="0" w:line="156"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the Registrant, dated April 18, 1985, as</w:t>
              </w:r>
            </w:hyperlink>
          </w:p>
        </w:tc>
        <w:tc>
          <w:tcPr>
            <w:tcW w:w="4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820" w:type="dxa"/>
            <w:vAlign w:val="bottom"/>
            <w:tcBorders>
              <w:top w:val="single" w:sz="8" w:color="DBDBDB"/>
              <w:bottom w:val="single" w:sz="8" w:color="DBDBDB"/>
            </w:tcBorders>
            <w:shd w:val="clear" w:color="auto" w:fill="DBDBDB"/>
          </w:tcPr>
          <w:p>
            <w:pPr>
              <w:spacing w:after="0"/>
              <w:rPr>
                <w:sz w:val="13"/>
                <w:szCs w:val="13"/>
                <w:color w:val="auto"/>
              </w:rPr>
            </w:pPr>
          </w:p>
        </w:tc>
        <w:tc>
          <w:tcPr>
            <w:tcW w:w="1020" w:type="dxa"/>
            <w:vAlign w:val="bottom"/>
            <w:tcBorders>
              <w:top w:val="single" w:sz="8" w:color="DBDBDB"/>
              <w:bottom w:val="single" w:sz="8" w:color="DBDBDB"/>
            </w:tcBorders>
            <w:shd w:val="clear" w:color="auto" w:fill="DBDBDB"/>
          </w:tcPr>
          <w:p>
            <w:pPr>
              <w:spacing w:after="0"/>
              <w:rPr>
                <w:sz w:val="13"/>
                <w:szCs w:val="13"/>
                <w:color w:val="auto"/>
              </w:rPr>
            </w:pPr>
          </w:p>
        </w:tc>
        <w:tc>
          <w:tcPr>
            <w:tcW w:w="2200" w:type="dxa"/>
            <w:vAlign w:val="bottom"/>
            <w:tcBorders>
              <w:top w:val="single" w:sz="8" w:color="DBDBDB"/>
              <w:bottom w:val="single" w:sz="8" w:color="DBDBDB"/>
            </w:tcBorders>
            <w:shd w:val="clear" w:color="auto" w:fill="DBDBDB"/>
          </w:tcPr>
          <w:p>
            <w:pPr>
              <w:spacing w:after="0"/>
              <w:rPr>
                <w:sz w:val="13"/>
                <w:szCs w:val="13"/>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3140" w:type="dxa"/>
            <w:vAlign w:val="bottom"/>
            <w:tcBorders>
              <w:bottom w:val="single" w:sz="8" w:color="auto"/>
            </w:tcBorders>
            <w:gridSpan w:val="21"/>
            <w:shd w:val="clear" w:color="auto" w:fill="DBDBDB"/>
          </w:tcPr>
          <w:p>
            <w:pPr>
              <w:spacing w:after="0" w:line="169" w:lineRule="exact"/>
              <w:rPr>
                <w:rFonts w:ascii="Arial" w:cs="Arial" w:eastAsia="Arial" w:hAnsi="Arial"/>
                <w:sz w:val="18"/>
                <w:szCs w:val="18"/>
                <w:color w:val="0000FF"/>
              </w:rPr>
            </w:pPr>
            <w:hyperlink r:id="rId77">
              <w:r>
                <w:rPr>
                  <w:rFonts w:ascii="Arial" w:cs="Arial" w:eastAsia="Arial" w:hAnsi="Arial"/>
                  <w:sz w:val="18"/>
                  <w:szCs w:val="18"/>
                  <w:color w:val="0000FF"/>
                </w:rPr>
                <w:t>amended</w:t>
              </w:r>
            </w:hyperlink>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3(b)</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By-Laws of the Registrant</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January 26, 2022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3</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4(a)</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Indenture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23, 2011</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4(b)</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0">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November 3, 2017</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4(c)</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7, 2018</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4(d)</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June 8, 2018</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4(e)</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11, 2019</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4(f)</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September 4, 2019</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4(g)</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12, 2020</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4(h)</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4, 2020</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4(i)</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September 15, 2021</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4(j)</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August 16, 2022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4(k)</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November 18, 2022</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4(l)</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March 14, 2023</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4(m)</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18, 2023</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4(n)</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8, 2024</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4(o)</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Description of Securities</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20, 2020</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4(l)</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10(a)</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TI Deferred Compensation Plan, as</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10(a)</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10(b)</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TI Employees Non-Qualified Pension</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10(b)</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2960" w:type="dxa"/>
            <w:vAlign w:val="bottom"/>
            <w:tcBorders>
              <w:top w:val="single" w:sz="8" w:color="0000FF"/>
            </w:tcBorders>
            <w:gridSpan w:val="18"/>
            <w:shd w:val="clear" w:color="auto" w:fill="DBDBDB"/>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Plan, effective January 1, 2009, as</w:t>
              </w:r>
            </w:hyperlink>
          </w:p>
        </w:tc>
        <w:tc>
          <w:tcPr>
            <w:tcW w:w="160" w:type="dxa"/>
            <w:vAlign w:val="bottom"/>
            <w:tcBorders>
              <w:top w:val="single" w:sz="8" w:color="DBDBDB"/>
            </w:tcBorders>
            <w:gridSpan w:val="2"/>
            <w:shd w:val="clear" w:color="auto" w:fill="DBDBDB"/>
          </w:tcPr>
          <w:p>
            <w:pPr>
              <w:spacing w:after="0"/>
              <w:rPr>
                <w:sz w:val="13"/>
                <w:szCs w:val="13"/>
                <w:color w:val="auto"/>
              </w:rPr>
            </w:pPr>
          </w:p>
        </w:tc>
        <w:tc>
          <w:tcPr>
            <w:tcW w:w="40" w:type="dxa"/>
            <w:vAlign w:val="bottom"/>
            <w:tcBorders>
              <w:top w:val="single" w:sz="8" w:color="DBDBDB"/>
            </w:tcBorders>
            <w:gridSpan w:val="2"/>
            <w:shd w:val="clear" w:color="auto" w:fill="DBDBDB"/>
          </w:tcPr>
          <w:p>
            <w:pPr>
              <w:spacing w:after="0"/>
              <w:rPr>
                <w:sz w:val="13"/>
                <w:szCs w:val="13"/>
                <w:color w:val="auto"/>
              </w:rPr>
            </w:pPr>
          </w:p>
        </w:tc>
        <w:tc>
          <w:tcPr>
            <w:tcW w:w="20" w:type="dxa"/>
            <w:vAlign w:val="bottom"/>
            <w:tcBorders>
              <w:top w:val="single" w:sz="8" w:color="DBDBDB"/>
            </w:tcBorders>
            <w:shd w:val="clear" w:color="auto" w:fill="DBDBDB"/>
          </w:tcPr>
          <w:p>
            <w:pPr>
              <w:spacing w:after="0"/>
              <w:rPr>
                <w:sz w:val="13"/>
                <w:szCs w:val="13"/>
                <w:color w:val="auto"/>
              </w:rPr>
            </w:pPr>
          </w:p>
        </w:tc>
        <w:tc>
          <w:tcPr>
            <w:tcW w:w="200" w:type="dxa"/>
            <w:vAlign w:val="bottom"/>
            <w:tcBorders>
              <w:top w:val="single" w:sz="8" w:color="DBDBDB"/>
              <w:right w:val="single" w:sz="8" w:color="auto"/>
            </w:tcBorders>
            <w:shd w:val="clear" w:color="auto" w:fill="DBDBDB"/>
          </w:tcPr>
          <w:p>
            <w:pPr>
              <w:spacing w:after="0"/>
              <w:rPr>
                <w:sz w:val="13"/>
                <w:szCs w:val="13"/>
                <w:color w:val="auto"/>
              </w:rPr>
            </w:pPr>
          </w:p>
        </w:tc>
        <w:tc>
          <w:tcPr>
            <w:tcW w:w="820" w:type="dxa"/>
            <w:vAlign w:val="bottom"/>
            <w:tcBorders>
              <w:top w:val="single" w:sz="8" w:color="DBDBDB"/>
            </w:tcBorders>
            <w:shd w:val="clear" w:color="auto" w:fill="DBDBDB"/>
          </w:tcPr>
          <w:p>
            <w:pPr>
              <w:spacing w:after="0"/>
              <w:rPr>
                <w:sz w:val="13"/>
                <w:szCs w:val="13"/>
                <w:color w:val="auto"/>
              </w:rPr>
            </w:pPr>
          </w:p>
        </w:tc>
        <w:tc>
          <w:tcPr>
            <w:tcW w:w="1020" w:type="dxa"/>
            <w:vAlign w:val="bottom"/>
            <w:tcBorders>
              <w:top w:val="single" w:sz="8" w:color="DBDBDB"/>
            </w:tcBorders>
            <w:shd w:val="clear" w:color="auto" w:fill="DBDBDB"/>
          </w:tcPr>
          <w:p>
            <w:pPr>
              <w:spacing w:after="0"/>
              <w:rPr>
                <w:sz w:val="13"/>
                <w:szCs w:val="13"/>
                <w:color w:val="auto"/>
              </w:rPr>
            </w:pPr>
          </w:p>
        </w:tc>
        <w:tc>
          <w:tcPr>
            <w:tcW w:w="2200" w:type="dxa"/>
            <w:vAlign w:val="bottom"/>
            <w:tcBorders>
              <w:top w:val="single" w:sz="8" w:color="DBDBDB"/>
            </w:tcBorders>
            <w:shd w:val="clear" w:color="auto" w:fill="DBDBDB"/>
          </w:tcPr>
          <w:p>
            <w:pPr>
              <w:spacing w:after="0"/>
              <w:rPr>
                <w:sz w:val="13"/>
                <w:szCs w:val="13"/>
                <w:color w:val="auto"/>
              </w:rPr>
            </w:pPr>
          </w:p>
        </w:tc>
        <w:tc>
          <w:tcPr>
            <w:tcW w:w="17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2760" w:type="dxa"/>
            <w:vAlign w:val="bottom"/>
            <w:tcBorders>
              <w:top w:val="single" w:sz="8" w:color="0000FF"/>
              <w:bottom w:val="single" w:sz="8" w:color="auto"/>
            </w:tcBorders>
            <w:gridSpan w:val="12"/>
            <w:shd w:val="clear" w:color="auto" w:fill="DBDBDB"/>
          </w:tcPr>
          <w:p>
            <w:pPr>
              <w:spacing w:after="0" w:line="169" w:lineRule="exact"/>
              <w:rPr>
                <w:rFonts w:ascii="Arial" w:cs="Arial" w:eastAsia="Arial" w:hAnsi="Arial"/>
                <w:sz w:val="18"/>
                <w:szCs w:val="18"/>
                <w:color w:val="0000FF"/>
              </w:rPr>
            </w:pPr>
            <w:hyperlink r:id="rId95">
              <w:r>
                <w:rPr>
                  <w:rFonts w:ascii="Arial" w:cs="Arial" w:eastAsia="Arial" w:hAnsi="Arial"/>
                  <w:sz w:val="18"/>
                  <w:szCs w:val="18"/>
                  <w:color w:val="0000FF"/>
                </w:rPr>
                <w:t>amended*</w:t>
              </w:r>
            </w:hyperlink>
          </w:p>
        </w:tc>
        <w:tc>
          <w:tcPr>
            <w:tcW w:w="8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4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tcBorders>
            <w:gridSpan w:val="3"/>
            <w:shd w:val="clear" w:color="auto" w:fill="DBDBDB"/>
          </w:tcPr>
          <w:p>
            <w:pPr>
              <w:spacing w:after="0"/>
              <w:rPr>
                <w:sz w:val="18"/>
                <w:szCs w:val="18"/>
                <w:color w:val="auto"/>
              </w:rPr>
            </w:pPr>
          </w:p>
        </w:tc>
        <w:tc>
          <w:tcPr>
            <w:tcW w:w="4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10(c)</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TI Employees Non-Qualified Pension</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2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Plan II*</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10(d)</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Texas Instruments Long-Term Incentive</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2012</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3160" w:type="dxa"/>
            <w:vAlign w:val="bottom"/>
            <w:tcBorders>
              <w:top w:val="single" w:sz="8" w:color="0000FF"/>
              <w:bottom w:val="single" w:sz="8" w:color="auto"/>
            </w:tcBorders>
            <w:gridSpan w:val="22"/>
            <w:shd w:val="clear" w:color="auto" w:fill="DBDBDB"/>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Plan, adopted April 15, 1993*</w:t>
              </w:r>
            </w:hyperlink>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10(e)</w:t>
            </w:r>
          </w:p>
        </w:tc>
        <w:tc>
          <w:tcPr>
            <w:tcW w:w="3380" w:type="dxa"/>
            <w:vAlign w:val="bottom"/>
            <w:tcBorders>
              <w:right w:val="single" w:sz="8" w:color="auto"/>
            </w:tcBorders>
            <w:gridSpan w:val="24"/>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Texas Instruments 2003 Director</w:t>
              </w:r>
            </w:hyperlink>
          </w:p>
        </w:tc>
        <w:tc>
          <w:tcPr>
            <w:tcW w:w="820" w:type="dxa"/>
            <w:vAlign w:val="bottom"/>
          </w:tcPr>
          <w:p>
            <w:pPr>
              <w:ind w:left="20"/>
              <w:spacing w:after="0" w:line="169"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69" w:lineRule="exact"/>
              <w:rPr>
                <w:sz w:val="20"/>
                <w:szCs w:val="20"/>
                <w:color w:val="auto"/>
              </w:rPr>
            </w:pPr>
            <w:r>
              <w:rPr>
                <w:rFonts w:ascii="Arial" w:cs="Arial" w:eastAsia="Arial" w:hAnsi="Arial"/>
                <w:sz w:val="18"/>
                <w:szCs w:val="18"/>
                <w:color w:val="auto"/>
              </w:rPr>
              <w:t>February 24, 2015</w:t>
            </w:r>
          </w:p>
        </w:tc>
        <w:tc>
          <w:tcPr>
            <w:tcW w:w="17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10(j)</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2600" w:type="dxa"/>
            <w:vAlign w:val="bottom"/>
            <w:tcBorders>
              <w:top w:val="single" w:sz="8" w:color="0000FF"/>
            </w:tcBorders>
            <w:gridSpan w:val="11"/>
          </w:tcPr>
          <w:p>
            <w:pPr>
              <w:spacing w:after="0" w:line="162"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Compensation Plan as amended</w:t>
              </w:r>
            </w:hyperlink>
          </w:p>
        </w:tc>
        <w:tc>
          <w:tcPr>
            <w:tcW w:w="780" w:type="dxa"/>
            <w:vAlign w:val="bottom"/>
            <w:tcBorders>
              <w:right w:val="single" w:sz="8" w:color="auto"/>
            </w:tcBorders>
            <w:gridSpan w:val="13"/>
          </w:tcPr>
          <w:p>
            <w:pPr>
              <w:ind w:left="60"/>
              <w:spacing w:after="0" w:line="162" w:lineRule="exact"/>
              <w:rPr>
                <w:rFonts w:ascii="Arial" w:cs="Arial" w:eastAsia="Arial" w:hAnsi="Arial"/>
                <w:sz w:val="18"/>
                <w:szCs w:val="18"/>
                <w:color w:val="0000FF"/>
              </w:rPr>
            </w:pPr>
            <w:hyperlink r:id="rId98">
              <w:r>
                <w:rPr>
                  <w:rFonts w:ascii="Arial" w:cs="Arial" w:eastAsia="Arial" w:hAnsi="Arial"/>
                  <w:sz w:val="18"/>
                  <w:szCs w:val="18"/>
                  <w:color w:val="0000FF"/>
                </w:rPr>
                <w:t>January</w:t>
              </w:r>
            </w:hyperlink>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19, 2012</w:t>
              </w:r>
            </w:hyperlink>
          </w:p>
        </w:tc>
        <w:tc>
          <w:tcPr>
            <w:tcW w:w="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10(f)</w:t>
            </w:r>
          </w:p>
        </w:tc>
        <w:tc>
          <w:tcPr>
            <w:tcW w:w="2860" w:type="dxa"/>
            <w:vAlign w:val="bottom"/>
            <w:tcBorders>
              <w:bottom w:val="single" w:sz="8" w:color="0000FF"/>
            </w:tcBorders>
            <w:gridSpan w:val="15"/>
            <w:shd w:val="clear" w:color="auto" w:fill="DBDBDB"/>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Form of Non-Qualified Stock Option</w:t>
              </w:r>
            </w:hyperlink>
          </w:p>
        </w:tc>
        <w:tc>
          <w:tcPr>
            <w:tcW w:w="520" w:type="dxa"/>
            <w:vAlign w:val="bottom"/>
            <w:tcBorders>
              <w:bottom w:val="single" w:sz="8" w:color="DBDBDB"/>
              <w:right w:val="single" w:sz="8" w:color="auto"/>
            </w:tcBorders>
            <w:gridSpan w:val="9"/>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Borders>
              <w:bottom w:val="single" w:sz="8" w:color="DBDBDB"/>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DBDBDB"/>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23, 2017</w:t>
            </w:r>
          </w:p>
        </w:tc>
        <w:tc>
          <w:tcPr>
            <w:tcW w:w="1720" w:type="dxa"/>
            <w:vAlign w:val="bottom"/>
            <w:tcBorders>
              <w:bottom w:val="single" w:sz="8" w:color="DBDBDB"/>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bottom w:val="single" w:sz="8" w:color="DBDBDB"/>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shd w:val="clear" w:color="auto" w:fill="DBDBDB"/>
          </w:tcPr>
          <w:p>
            <w:pPr>
              <w:spacing w:after="0"/>
              <w:rPr>
                <w:sz w:val="13"/>
                <w:szCs w:val="13"/>
                <w:color w:val="auto"/>
              </w:rPr>
            </w:pPr>
          </w:p>
        </w:tc>
        <w:tc>
          <w:tcPr>
            <w:tcW w:w="3380" w:type="dxa"/>
            <w:vAlign w:val="bottom"/>
            <w:tcBorders>
              <w:right w:val="single" w:sz="8" w:color="auto"/>
            </w:tcBorders>
            <w:gridSpan w:val="24"/>
            <w:shd w:val="clear" w:color="auto" w:fill="DBDBDB"/>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Agreement for Executive Officers under</w:t>
              </w:r>
            </w:hyperlink>
          </w:p>
        </w:tc>
        <w:tc>
          <w:tcPr>
            <w:tcW w:w="82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2200" w:type="dxa"/>
            <w:vAlign w:val="bottom"/>
            <w:shd w:val="clear" w:color="auto" w:fill="DBDBDB"/>
          </w:tcPr>
          <w:p>
            <w:pPr>
              <w:spacing w:after="0"/>
              <w:rPr>
                <w:sz w:val="13"/>
                <w:szCs w:val="13"/>
                <w:color w:val="auto"/>
              </w:rPr>
            </w:pPr>
          </w:p>
        </w:tc>
        <w:tc>
          <w:tcPr>
            <w:tcW w:w="1720" w:type="dxa"/>
            <w:vAlign w:val="bottom"/>
            <w:tcBorders>
              <w:right w:val="single" w:sz="8" w:color="auto"/>
            </w:tcBorders>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DBDBDB"/>
              <w:left w:val="single" w:sz="8" w:color="auto"/>
              <w:right w:val="single" w:sz="8" w:color="auto"/>
            </w:tcBorders>
            <w:shd w:val="clear" w:color="auto" w:fill="DBDBDB"/>
          </w:tcPr>
          <w:p>
            <w:pPr>
              <w:spacing w:after="0"/>
              <w:rPr>
                <w:sz w:val="14"/>
                <w:szCs w:val="14"/>
                <w:color w:val="auto"/>
              </w:rPr>
            </w:pPr>
          </w:p>
        </w:tc>
        <w:tc>
          <w:tcPr>
            <w:tcW w:w="3180" w:type="dxa"/>
            <w:vAlign w:val="bottom"/>
            <w:tcBorders>
              <w:top w:val="single" w:sz="8" w:color="0000FF"/>
            </w:tcBorders>
            <w:gridSpan w:val="23"/>
            <w:shd w:val="clear" w:color="auto" w:fill="DBDBDB"/>
          </w:tcPr>
          <w:p>
            <w:pPr>
              <w:spacing w:after="0" w:line="169"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the Texas Instruments 2009 Long-Term</w:t>
              </w:r>
            </w:hyperlink>
          </w:p>
        </w:tc>
        <w:tc>
          <w:tcPr>
            <w:tcW w:w="200" w:type="dxa"/>
            <w:vAlign w:val="bottom"/>
            <w:tcBorders>
              <w:top w:val="single" w:sz="8" w:color="DBDBDB"/>
              <w:right w:val="single" w:sz="8" w:color="auto"/>
            </w:tcBorders>
            <w:shd w:val="clear" w:color="auto" w:fill="DBDBDB"/>
          </w:tcPr>
          <w:p>
            <w:pPr>
              <w:spacing w:after="0"/>
              <w:rPr>
                <w:sz w:val="14"/>
                <w:szCs w:val="14"/>
                <w:color w:val="auto"/>
              </w:rPr>
            </w:pPr>
          </w:p>
        </w:tc>
        <w:tc>
          <w:tcPr>
            <w:tcW w:w="820" w:type="dxa"/>
            <w:vAlign w:val="bottom"/>
            <w:tcBorders>
              <w:top w:val="single" w:sz="8" w:color="DBDBDB"/>
            </w:tcBorders>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2200" w:type="dxa"/>
            <w:vAlign w:val="bottom"/>
            <w:tcBorders>
              <w:top w:val="single" w:sz="8" w:color="DBDBDB"/>
            </w:tcBorders>
            <w:shd w:val="clear" w:color="auto" w:fill="DBDBDB"/>
          </w:tcPr>
          <w:p>
            <w:pPr>
              <w:spacing w:after="0"/>
              <w:rPr>
                <w:sz w:val="14"/>
                <w:szCs w:val="14"/>
                <w:color w:val="auto"/>
              </w:rPr>
            </w:pPr>
          </w:p>
        </w:tc>
        <w:tc>
          <w:tcPr>
            <w:tcW w:w="1720" w:type="dxa"/>
            <w:vAlign w:val="bottom"/>
            <w:tcBorders>
              <w:top w:val="single" w:sz="8" w:color="DBDBDB"/>
              <w:right w:val="single" w:sz="8" w:color="auto"/>
            </w:tcBorders>
            <w:shd w:val="clear" w:color="auto" w:fill="DBDBDB"/>
          </w:tcPr>
          <w:p>
            <w:pPr>
              <w:spacing w:after="0"/>
              <w:rPr>
                <w:sz w:val="14"/>
                <w:szCs w:val="14"/>
                <w:color w:val="auto"/>
              </w:rPr>
            </w:pPr>
          </w:p>
        </w:tc>
        <w:tc>
          <w:tcPr>
            <w:tcW w:w="960" w:type="dxa"/>
            <w:vAlign w:val="bottom"/>
            <w:tcBorders>
              <w:top w:val="single" w:sz="8" w:color="DBDBDB"/>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3120" w:type="dxa"/>
            <w:vAlign w:val="bottom"/>
            <w:tcBorders>
              <w:top w:val="single" w:sz="8" w:color="0000FF"/>
              <w:bottom w:val="single" w:sz="8" w:color="auto"/>
            </w:tcBorders>
            <w:gridSpan w:val="20"/>
            <w:shd w:val="clear" w:color="auto" w:fill="DBDBDB"/>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Incentive Plan*</w:t>
              </w:r>
            </w:hyperlink>
          </w:p>
        </w:tc>
        <w:tc>
          <w:tcPr>
            <w:tcW w:w="260" w:type="dxa"/>
            <w:vAlign w:val="bottom"/>
            <w:tcBorders>
              <w:top w:val="single" w:sz="8" w:color="DBDBDB"/>
              <w:bottom w:val="single" w:sz="8" w:color="auto"/>
              <w:right w:val="single" w:sz="8" w:color="auto"/>
            </w:tcBorders>
            <w:gridSpan w:val="4"/>
            <w:shd w:val="clear" w:color="auto" w:fill="DBDBDB"/>
          </w:tcPr>
          <w:p>
            <w:pPr>
              <w:spacing w:after="0"/>
              <w:rPr>
                <w:sz w:val="17"/>
                <w:szCs w:val="17"/>
                <w:color w:val="auto"/>
              </w:rPr>
            </w:pPr>
          </w:p>
        </w:tc>
        <w:tc>
          <w:tcPr>
            <w:tcW w:w="820" w:type="dxa"/>
            <w:vAlign w:val="bottom"/>
            <w:tcBorders>
              <w:top w:val="single" w:sz="8" w:color="DBDBDB"/>
              <w:bottom w:val="single" w:sz="8" w:color="auto"/>
            </w:tcBorders>
            <w:shd w:val="clear" w:color="auto" w:fill="DBDBDB"/>
          </w:tcPr>
          <w:p>
            <w:pPr>
              <w:spacing w:after="0"/>
              <w:rPr>
                <w:sz w:val="17"/>
                <w:szCs w:val="17"/>
                <w:color w:val="auto"/>
              </w:rPr>
            </w:pPr>
          </w:p>
        </w:tc>
        <w:tc>
          <w:tcPr>
            <w:tcW w:w="1020" w:type="dxa"/>
            <w:vAlign w:val="bottom"/>
            <w:tcBorders>
              <w:top w:val="single" w:sz="8" w:color="DBDBDB"/>
              <w:bottom w:val="single" w:sz="8" w:color="auto"/>
            </w:tcBorders>
            <w:shd w:val="clear" w:color="auto" w:fill="DBDBDB"/>
          </w:tcPr>
          <w:p>
            <w:pPr>
              <w:spacing w:after="0"/>
              <w:rPr>
                <w:sz w:val="17"/>
                <w:szCs w:val="17"/>
                <w:color w:val="auto"/>
              </w:rPr>
            </w:pPr>
          </w:p>
        </w:tc>
        <w:tc>
          <w:tcPr>
            <w:tcW w:w="2200" w:type="dxa"/>
            <w:vAlign w:val="bottom"/>
            <w:tcBorders>
              <w:top w:val="single" w:sz="8" w:color="DBDBDB"/>
              <w:bottom w:val="single" w:sz="8" w:color="auto"/>
            </w:tcBorders>
            <w:shd w:val="clear" w:color="auto" w:fill="DBDBDB"/>
          </w:tcPr>
          <w:p>
            <w:pPr>
              <w:spacing w:after="0"/>
              <w:rPr>
                <w:sz w:val="17"/>
                <w:szCs w:val="17"/>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10(g)</w:t>
            </w:r>
          </w:p>
        </w:tc>
        <w:tc>
          <w:tcPr>
            <w:tcW w:w="292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Form of Restricted Stock Unit Award</w:t>
              </w:r>
            </w:hyperlink>
          </w:p>
        </w:tc>
        <w:tc>
          <w:tcPr>
            <w:tcW w:w="460" w:type="dxa"/>
            <w:vAlign w:val="bottom"/>
            <w:tcBorders>
              <w:right w:val="single" w:sz="8" w:color="auto"/>
            </w:tcBorders>
            <w:gridSpan w:val="7"/>
          </w:tcPr>
          <w:p>
            <w:pPr>
              <w:spacing w:after="0"/>
              <w:rPr>
                <w:sz w:val="15"/>
                <w:szCs w:val="15"/>
                <w:color w:val="auto"/>
              </w:rPr>
            </w:pPr>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23, 2017</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10(l)</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gridSpan w:val="24"/>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Agreement for Executive Officers under</w:t>
              </w:r>
            </w:hyperlink>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3180" w:type="dxa"/>
            <w:vAlign w:val="bottom"/>
            <w:tcBorders>
              <w:top w:val="single" w:sz="8" w:color="0000FF"/>
            </w:tcBorders>
            <w:gridSpan w:val="23"/>
          </w:tcPr>
          <w:p>
            <w:pPr>
              <w:spacing w:after="0" w:line="169"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the Texas Instruments 2009 Long-Term</w:t>
              </w:r>
            </w:hyperlink>
          </w:p>
        </w:tc>
        <w:tc>
          <w:tcPr>
            <w:tcW w:w="2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1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Incentive Plan*</w:t>
              </w:r>
            </w:hyperlink>
          </w:p>
        </w:tc>
        <w:tc>
          <w:tcPr>
            <w:tcW w:w="260" w:type="dxa"/>
            <w:vAlign w:val="bottom"/>
            <w:tcBorders>
              <w:right w:val="single" w:sz="8" w:color="auto"/>
            </w:tcBorders>
            <w:gridSpan w:val="4"/>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10(h)</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Texas Instruments 2009 Long-Term</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DEF 14A</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9, 2016</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Appendix B</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3"/>
                <w:szCs w:val="13"/>
                <w:color w:val="auto"/>
              </w:rPr>
            </w:pPr>
          </w:p>
        </w:tc>
        <w:tc>
          <w:tcPr>
            <w:tcW w:w="2840" w:type="dxa"/>
            <w:vAlign w:val="bottom"/>
            <w:tcBorders>
              <w:top w:val="single" w:sz="8" w:color="0000FF"/>
              <w:bottom w:val="single" w:sz="8" w:color="0000FF"/>
            </w:tcBorders>
            <w:gridSpan w:val="14"/>
            <w:shd w:val="clear" w:color="auto" w:fill="DBDBDB"/>
          </w:tcPr>
          <w:p>
            <w:pPr>
              <w:spacing w:after="0" w:line="156" w:lineRule="exact"/>
              <w:rPr>
                <w:rFonts w:ascii="Arial" w:cs="Arial" w:eastAsia="Arial" w:hAnsi="Arial"/>
                <w:sz w:val="18"/>
                <w:szCs w:val="18"/>
                <w:color w:val="0000FF"/>
                <w:w w:val="97"/>
              </w:rPr>
            </w:pPr>
            <w:hyperlink r:id="rId101">
              <w:r>
                <w:rPr>
                  <w:rFonts w:ascii="Arial" w:cs="Arial" w:eastAsia="Arial" w:hAnsi="Arial"/>
                  <w:sz w:val="18"/>
                  <w:szCs w:val="18"/>
                  <w:color w:val="0000FF"/>
                  <w:w w:val="97"/>
                </w:rPr>
                <w:t>Incentive Plan as amended April 21,</w:t>
              </w:r>
            </w:hyperlink>
          </w:p>
        </w:tc>
        <w:tc>
          <w:tcPr>
            <w:tcW w:w="40" w:type="dxa"/>
            <w:vAlign w:val="bottom"/>
            <w:tcBorders>
              <w:top w:val="single" w:sz="8" w:color="DBDBDB"/>
              <w:bottom w:val="single" w:sz="8" w:color="0000FF"/>
            </w:tcBorders>
            <w:gridSpan w:val="2"/>
            <w:shd w:val="clear" w:color="auto" w:fill="DBDBDB"/>
          </w:tcPr>
          <w:p>
            <w:pPr>
              <w:spacing w:after="0"/>
              <w:rPr>
                <w:sz w:val="13"/>
                <w:szCs w:val="13"/>
                <w:color w:val="auto"/>
              </w:rPr>
            </w:pPr>
          </w:p>
        </w:tc>
        <w:tc>
          <w:tcPr>
            <w:tcW w:w="500" w:type="dxa"/>
            <w:vAlign w:val="bottom"/>
            <w:tcBorders>
              <w:top w:val="single" w:sz="8" w:color="DBDBDB"/>
              <w:bottom w:val="single" w:sz="8" w:color="DBDBDB"/>
              <w:right w:val="single" w:sz="8" w:color="auto"/>
            </w:tcBorders>
            <w:gridSpan w:val="8"/>
            <w:shd w:val="clear" w:color="auto" w:fill="DBDBDB"/>
          </w:tcPr>
          <w:p>
            <w:pPr>
              <w:spacing w:after="0"/>
              <w:rPr>
                <w:sz w:val="13"/>
                <w:szCs w:val="13"/>
                <w:color w:val="auto"/>
              </w:rPr>
            </w:pPr>
          </w:p>
        </w:tc>
        <w:tc>
          <w:tcPr>
            <w:tcW w:w="820" w:type="dxa"/>
            <w:vAlign w:val="bottom"/>
            <w:tcBorders>
              <w:top w:val="single" w:sz="8" w:color="DBDBDB"/>
              <w:bottom w:val="single" w:sz="8" w:color="DBDBDB"/>
            </w:tcBorders>
            <w:shd w:val="clear" w:color="auto" w:fill="DBDBDB"/>
          </w:tcPr>
          <w:p>
            <w:pPr>
              <w:spacing w:after="0"/>
              <w:rPr>
                <w:sz w:val="13"/>
                <w:szCs w:val="13"/>
                <w:color w:val="auto"/>
              </w:rPr>
            </w:pPr>
          </w:p>
        </w:tc>
        <w:tc>
          <w:tcPr>
            <w:tcW w:w="1020" w:type="dxa"/>
            <w:vAlign w:val="bottom"/>
            <w:tcBorders>
              <w:top w:val="single" w:sz="8" w:color="DBDBDB"/>
              <w:bottom w:val="single" w:sz="8" w:color="DBDBDB"/>
            </w:tcBorders>
            <w:shd w:val="clear" w:color="auto" w:fill="DBDBDB"/>
          </w:tcPr>
          <w:p>
            <w:pPr>
              <w:spacing w:after="0"/>
              <w:rPr>
                <w:sz w:val="13"/>
                <w:szCs w:val="13"/>
                <w:color w:val="auto"/>
              </w:rPr>
            </w:pPr>
          </w:p>
        </w:tc>
        <w:tc>
          <w:tcPr>
            <w:tcW w:w="2200" w:type="dxa"/>
            <w:vAlign w:val="bottom"/>
            <w:tcBorders>
              <w:top w:val="single" w:sz="8" w:color="DBDBDB"/>
              <w:bottom w:val="single" w:sz="8" w:color="DBDBDB"/>
            </w:tcBorders>
            <w:shd w:val="clear" w:color="auto" w:fill="DBDBDB"/>
          </w:tcPr>
          <w:p>
            <w:pPr>
              <w:spacing w:after="0"/>
              <w:rPr>
                <w:sz w:val="13"/>
                <w:szCs w:val="13"/>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580" w:type="dxa"/>
            <w:vAlign w:val="bottom"/>
            <w:tcBorders>
              <w:bottom w:val="single" w:sz="8" w:color="auto"/>
            </w:tcBorders>
            <w:gridSpan w:val="2"/>
            <w:shd w:val="clear" w:color="auto" w:fill="DBDBDB"/>
          </w:tcPr>
          <w:p>
            <w:pPr>
              <w:spacing w:after="0" w:line="169" w:lineRule="exact"/>
              <w:rPr>
                <w:rFonts w:ascii="Arial" w:cs="Arial" w:eastAsia="Arial" w:hAnsi="Arial"/>
                <w:sz w:val="18"/>
                <w:szCs w:val="18"/>
                <w:color w:val="0000FF"/>
              </w:rPr>
            </w:pPr>
            <w:hyperlink r:id="rId101">
              <w:r>
                <w:rPr>
                  <w:rFonts w:ascii="Arial" w:cs="Arial" w:eastAsia="Arial" w:hAnsi="Arial"/>
                  <w:sz w:val="18"/>
                  <w:szCs w:val="18"/>
                  <w:color w:val="0000FF"/>
                </w:rPr>
                <w:t>2016*</w:t>
              </w:r>
            </w:hyperlink>
          </w:p>
        </w:tc>
        <w:tc>
          <w:tcPr>
            <w:tcW w:w="12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0" w:name="page61"/>
    <w:bookmarkEnd w:id="60"/>
    <w:tbl>
      <w:tblPr>
        <w:tblLayout w:type="fixed"/>
        <w:tblInd w:w="10" w:type="dxa"/>
        <w:tblCellMar>
          <w:top w:w="0" w:type="dxa"/>
          <w:left w:w="0" w:type="dxa"/>
          <w:bottom w:w="0" w:type="dxa"/>
          <w:right w:w="0" w:type="dxa"/>
        </w:tblCellMar>
      </w:tblPr>
      <w:tr>
        <w:trPr>
          <w:trHeight w:val="254"/>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gridSpan w:val="25"/>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of Filing</w:t>
            </w:r>
          </w:p>
        </w:tc>
        <w:tc>
          <w:tcPr>
            <w:tcW w:w="17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380" w:type="dxa"/>
            <w:vAlign w:val="bottom"/>
            <w:tcBorders>
              <w:bottom w:val="single" w:sz="8" w:color="auto"/>
              <w:right w:val="single" w:sz="8" w:color="auto"/>
            </w:tcBorders>
            <w:gridSpan w:val="25"/>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10(i)</w:t>
            </w:r>
          </w:p>
        </w:tc>
        <w:tc>
          <w:tcPr>
            <w:tcW w:w="3380" w:type="dxa"/>
            <w:vAlign w:val="bottom"/>
            <w:tcBorders>
              <w:right w:val="single" w:sz="8" w:color="auto"/>
            </w:tcBorders>
            <w:gridSpan w:val="25"/>
          </w:tcPr>
          <w:p>
            <w:pPr>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Texas Instruments 2009 Director</w:t>
              </w:r>
            </w:hyperlink>
          </w:p>
        </w:tc>
        <w:tc>
          <w:tcPr>
            <w:tcW w:w="820" w:type="dxa"/>
            <w:vAlign w:val="bottom"/>
          </w:tcPr>
          <w:p>
            <w:pPr>
              <w:ind w:left="20"/>
              <w:spacing w:after="0" w:line="169"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69" w:lineRule="exact"/>
              <w:rPr>
                <w:sz w:val="20"/>
                <w:szCs w:val="20"/>
                <w:color w:val="auto"/>
              </w:rPr>
            </w:pPr>
            <w:r>
              <w:rPr>
                <w:rFonts w:ascii="Arial" w:cs="Arial" w:eastAsia="Arial" w:hAnsi="Arial"/>
                <w:sz w:val="18"/>
                <w:szCs w:val="18"/>
                <w:color w:val="auto"/>
              </w:rPr>
              <w:t>February 23, 2017</w:t>
            </w:r>
          </w:p>
        </w:tc>
        <w:tc>
          <w:tcPr>
            <w:tcW w:w="17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10(n)</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2600" w:type="dxa"/>
            <w:vAlign w:val="bottom"/>
            <w:tcBorders>
              <w:top w:val="single" w:sz="8" w:color="0000FF"/>
            </w:tcBorders>
            <w:gridSpan w:val="12"/>
          </w:tcPr>
          <w:p>
            <w:pPr>
              <w:spacing w:after="0" w:line="162" w:lineRule="exact"/>
              <w:rPr>
                <w:rFonts w:ascii="Arial" w:cs="Arial" w:eastAsia="Arial" w:hAnsi="Arial"/>
                <w:sz w:val="18"/>
                <w:szCs w:val="18"/>
                <w:color w:val="0000FF"/>
                <w:w w:val="98"/>
              </w:rPr>
            </w:pPr>
            <w:hyperlink r:id="rId103">
              <w:r>
                <w:rPr>
                  <w:rFonts w:ascii="Arial" w:cs="Arial" w:eastAsia="Arial" w:hAnsi="Arial"/>
                  <w:sz w:val="18"/>
                  <w:szCs w:val="18"/>
                  <w:color w:val="0000FF"/>
                  <w:w w:val="98"/>
                </w:rPr>
                <w:t>Compensation 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right w:val="single" w:sz="8" w:color="auto"/>
            </w:tcBorders>
            <w:gridSpan w:val="11"/>
          </w:tcPr>
          <w:p>
            <w:pPr>
              <w:ind w:left="20"/>
              <w:spacing w:after="0" w:line="162" w:lineRule="exact"/>
              <w:rPr>
                <w:rFonts w:ascii="Arial" w:cs="Arial" w:eastAsia="Arial" w:hAnsi="Arial"/>
                <w:sz w:val="18"/>
                <w:szCs w:val="18"/>
                <w:color w:val="0000FF"/>
              </w:rPr>
            </w:pPr>
            <w:hyperlink r:id="rId103">
              <w:r>
                <w:rPr>
                  <w:rFonts w:ascii="Arial" w:cs="Arial" w:eastAsia="Arial" w:hAnsi="Arial"/>
                  <w:sz w:val="18"/>
                  <w:szCs w:val="18"/>
                  <w:color w:val="0000FF"/>
                </w:rPr>
                <w:t>January</w:t>
              </w:r>
            </w:hyperlink>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114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19, 2012</w:t>
              </w:r>
            </w:hyperlink>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10(j)</w:t>
            </w:r>
          </w:p>
        </w:tc>
        <w:tc>
          <w:tcPr>
            <w:tcW w:w="2860" w:type="dxa"/>
            <w:vAlign w:val="bottom"/>
            <w:tcBorders>
              <w:bottom w:val="single" w:sz="8" w:color="0000FF"/>
            </w:tcBorders>
            <w:gridSpan w:val="18"/>
            <w:shd w:val="clear" w:color="auto" w:fill="DBDBDB"/>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Form of Non-Qualified Stock Option</w:t>
              </w:r>
            </w:hyperlink>
          </w:p>
        </w:tc>
        <w:tc>
          <w:tcPr>
            <w:tcW w:w="520" w:type="dxa"/>
            <w:vAlign w:val="bottom"/>
            <w:tcBorders>
              <w:bottom w:val="single" w:sz="8" w:color="DBDBDB"/>
              <w:right w:val="single" w:sz="8" w:color="auto"/>
            </w:tcBorders>
            <w:gridSpan w:val="7"/>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Borders>
              <w:bottom w:val="single" w:sz="8" w:color="DBDBDB"/>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DBDBDB"/>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 2024</w:t>
            </w:r>
          </w:p>
        </w:tc>
        <w:tc>
          <w:tcPr>
            <w:tcW w:w="1720" w:type="dxa"/>
            <w:vAlign w:val="bottom"/>
            <w:tcBorders>
              <w:bottom w:val="single" w:sz="8" w:color="DBDBDB"/>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bottom w:val="single" w:sz="8" w:color="DBDBDB"/>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shd w:val="clear" w:color="auto" w:fill="DBDBDB"/>
          </w:tcPr>
          <w:p>
            <w:pPr>
              <w:spacing w:after="0"/>
              <w:rPr>
                <w:sz w:val="13"/>
                <w:szCs w:val="13"/>
                <w:color w:val="auto"/>
              </w:rPr>
            </w:pPr>
          </w:p>
        </w:tc>
        <w:tc>
          <w:tcPr>
            <w:tcW w:w="3380" w:type="dxa"/>
            <w:vAlign w:val="bottom"/>
            <w:tcBorders>
              <w:right w:val="single" w:sz="8" w:color="auto"/>
            </w:tcBorders>
            <w:gridSpan w:val="25"/>
            <w:shd w:val="clear" w:color="auto" w:fill="DBDBDB"/>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Award Agreement for Executive Officers</w:t>
              </w:r>
            </w:hyperlink>
          </w:p>
        </w:tc>
        <w:tc>
          <w:tcPr>
            <w:tcW w:w="82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2200" w:type="dxa"/>
            <w:vAlign w:val="bottom"/>
            <w:shd w:val="clear" w:color="auto" w:fill="DBDBDB"/>
          </w:tcPr>
          <w:p>
            <w:pPr>
              <w:spacing w:after="0"/>
              <w:rPr>
                <w:sz w:val="13"/>
                <w:szCs w:val="13"/>
                <w:color w:val="auto"/>
              </w:rPr>
            </w:pPr>
          </w:p>
        </w:tc>
        <w:tc>
          <w:tcPr>
            <w:tcW w:w="1720" w:type="dxa"/>
            <w:vAlign w:val="bottom"/>
            <w:tcBorders>
              <w:right w:val="single" w:sz="8" w:color="auto"/>
            </w:tcBorders>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3200" w:type="dxa"/>
            <w:vAlign w:val="bottom"/>
            <w:tcBorders>
              <w:top w:val="single" w:sz="8" w:color="0000FF"/>
              <w:bottom w:val="single" w:sz="8" w:color="auto"/>
            </w:tcBorders>
            <w:gridSpan w:val="23"/>
            <w:shd w:val="clear" w:color="auto" w:fill="DBDBDB"/>
          </w:tcPr>
          <w:p>
            <w:pPr>
              <w:spacing w:after="0" w:line="169" w:lineRule="exact"/>
              <w:rPr>
                <w:rFonts w:ascii="Arial" w:cs="Arial" w:eastAsia="Arial" w:hAnsi="Arial"/>
                <w:sz w:val="18"/>
                <w:szCs w:val="18"/>
                <w:color w:val="0000FF"/>
              </w:rPr>
            </w:pPr>
            <w:hyperlink r:id="rId104">
              <w:r>
                <w:rPr>
                  <w:rFonts w:ascii="Arial" w:cs="Arial" w:eastAsia="Arial" w:hAnsi="Arial"/>
                  <w:sz w:val="18"/>
                  <w:szCs w:val="18"/>
                  <w:color w:val="0000FF"/>
                </w:rPr>
                <w:t>effective as of January 18, 2024*</w:t>
              </w:r>
            </w:hyperlink>
          </w:p>
        </w:tc>
        <w:tc>
          <w:tcPr>
            <w:tcW w:w="180" w:type="dxa"/>
            <w:vAlign w:val="bottom"/>
            <w:tcBorders>
              <w:top w:val="single" w:sz="8" w:color="DBDBDB"/>
              <w:bottom w:val="single" w:sz="8" w:color="auto"/>
              <w:right w:val="single" w:sz="8" w:color="auto"/>
            </w:tcBorders>
            <w:gridSpan w:val="2"/>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10(k)</w:t>
            </w:r>
          </w:p>
        </w:tc>
        <w:tc>
          <w:tcPr>
            <w:tcW w:w="3380" w:type="dxa"/>
            <w:vAlign w:val="bottom"/>
            <w:tcBorders>
              <w:right w:val="single" w:sz="8" w:color="auto"/>
            </w:tcBorders>
            <w:gridSpan w:val="25"/>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Form of Restricted Stock Unit Award</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 2024</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10(l)</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29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Agreement for Executive Officers</w:t>
              </w:r>
            </w:hyperlink>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right w:val="single" w:sz="8" w:color="auto"/>
            </w:tcBorders>
            <w:gridSpan w:val="3"/>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2640" w:type="dxa"/>
            <w:vAlign w:val="bottom"/>
            <w:tcBorders>
              <w:top w:val="single" w:sz="8" w:color="0000FF"/>
            </w:tcBorders>
            <w:gridSpan w:val="14"/>
          </w:tcPr>
          <w:p>
            <w:pPr>
              <w:spacing w:after="0" w:line="169"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effective as of January 18, 2024*</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right w:val="single" w:sz="8" w:color="auto"/>
            </w:tcBorders>
            <w:gridSpan w:val="3"/>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10(l)</w:t>
            </w:r>
          </w:p>
        </w:tc>
        <w:tc>
          <w:tcPr>
            <w:tcW w:w="3380" w:type="dxa"/>
            <w:vAlign w:val="bottom"/>
            <w:tcBorders>
              <w:right w:val="single" w:sz="8" w:color="auto"/>
            </w:tcBorders>
            <w:gridSpan w:val="25"/>
            <w:shd w:val="clear" w:color="auto" w:fill="DBDBDB"/>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Texas Instruments 2024 Long-Term</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DEF 14A</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12, 2024</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Appendix 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2820" w:type="dxa"/>
            <w:vAlign w:val="bottom"/>
            <w:tcBorders>
              <w:top w:val="single" w:sz="8" w:color="0000FF"/>
              <w:bottom w:val="single" w:sz="8" w:color="auto"/>
            </w:tcBorders>
            <w:gridSpan w:val="16"/>
            <w:shd w:val="clear" w:color="auto" w:fill="DBDBDB"/>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Incentive Plan*</w:t>
              </w:r>
            </w:hyperlink>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4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4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40" w:type="dxa"/>
            <w:vAlign w:val="bottom"/>
            <w:tcBorders>
              <w:top w:val="single" w:sz="8" w:color="DBDBDB"/>
              <w:bottom w:val="single" w:sz="8" w:color="auto"/>
            </w:tcBorders>
            <w:shd w:val="clear" w:color="auto" w:fill="DBDBDB"/>
          </w:tcPr>
          <w:p>
            <w:pPr>
              <w:spacing w:after="0"/>
              <w:rPr>
                <w:sz w:val="18"/>
                <w:szCs w:val="18"/>
                <w:color w:val="auto"/>
              </w:rPr>
            </w:pPr>
          </w:p>
        </w:tc>
        <w:tc>
          <w:tcPr>
            <w:tcW w:w="220" w:type="dxa"/>
            <w:vAlign w:val="bottom"/>
            <w:tcBorders>
              <w:top w:val="single" w:sz="8" w:color="DBDBDB"/>
              <w:bottom w:val="single" w:sz="8" w:color="auto"/>
              <w:right w:val="single" w:sz="8" w:color="auto"/>
            </w:tcBorders>
            <w:gridSpan w:val="3"/>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10(m)</w:t>
            </w:r>
          </w:p>
        </w:tc>
        <w:tc>
          <w:tcPr>
            <w:tcW w:w="3380" w:type="dxa"/>
            <w:vAlign w:val="bottom"/>
            <w:tcBorders>
              <w:right w:val="single" w:sz="8" w:color="auto"/>
            </w:tcBorders>
            <w:gridSpan w:val="25"/>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Texas Instruments 2018 Director</w:t>
              </w:r>
            </w:hyperlink>
          </w:p>
        </w:tc>
        <w:tc>
          <w:tcPr>
            <w:tcW w:w="820" w:type="dxa"/>
            <w:vAlign w:val="bottom"/>
          </w:tcPr>
          <w:p>
            <w:pPr>
              <w:ind w:left="20"/>
              <w:spacing w:after="0" w:line="169" w:lineRule="exact"/>
              <w:rPr>
                <w:sz w:val="20"/>
                <w:szCs w:val="20"/>
                <w:color w:val="auto"/>
              </w:rPr>
            </w:pPr>
            <w:r>
              <w:rPr>
                <w:rFonts w:ascii="Arial" w:cs="Arial" w:eastAsia="Arial" w:hAnsi="Arial"/>
                <w:sz w:val="18"/>
                <w:szCs w:val="18"/>
                <w:color w:val="auto"/>
              </w:rPr>
              <w:t>10-Q</w:t>
            </w:r>
          </w:p>
        </w:tc>
        <w:tc>
          <w:tcPr>
            <w:tcW w:w="1020" w:type="dxa"/>
            <w:vAlign w:val="bottom"/>
          </w:tcPr>
          <w:p>
            <w:pPr>
              <w:ind w:left="6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69" w:lineRule="exact"/>
              <w:rPr>
                <w:sz w:val="20"/>
                <w:szCs w:val="20"/>
                <w:color w:val="auto"/>
              </w:rPr>
            </w:pPr>
            <w:r>
              <w:rPr>
                <w:rFonts w:ascii="Arial" w:cs="Arial" w:eastAsia="Arial" w:hAnsi="Arial"/>
                <w:sz w:val="18"/>
                <w:szCs w:val="18"/>
                <w:color w:val="auto"/>
              </w:rPr>
              <w:t>July 24, 2024</w:t>
            </w:r>
          </w:p>
        </w:tc>
        <w:tc>
          <w:tcPr>
            <w:tcW w:w="17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10(a)</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2600" w:type="dxa"/>
            <w:vAlign w:val="bottom"/>
            <w:tcBorders>
              <w:top w:val="single" w:sz="8" w:color="0000FF"/>
            </w:tcBorders>
            <w:gridSpan w:val="12"/>
          </w:tcPr>
          <w:p>
            <w:pPr>
              <w:spacing w:after="0" w:line="162" w:lineRule="exact"/>
              <w:rPr>
                <w:rFonts w:ascii="Arial" w:cs="Arial" w:eastAsia="Arial" w:hAnsi="Arial"/>
                <w:sz w:val="18"/>
                <w:szCs w:val="18"/>
                <w:color w:val="0000FF"/>
                <w:w w:val="98"/>
              </w:rPr>
            </w:pPr>
            <w:hyperlink r:id="rId107">
              <w:r>
                <w:rPr>
                  <w:rFonts w:ascii="Arial" w:cs="Arial" w:eastAsia="Arial" w:hAnsi="Arial"/>
                  <w:sz w:val="18"/>
                  <w:szCs w:val="18"/>
                  <w:color w:val="0000FF"/>
                  <w:w w:val="98"/>
                </w:rPr>
                <w:t>Compensation Plan as amended</w:t>
              </w:r>
            </w:hyperlink>
          </w:p>
        </w:tc>
        <w:tc>
          <w:tcPr>
            <w:tcW w:w="780" w:type="dxa"/>
            <w:vAlign w:val="bottom"/>
            <w:tcBorders>
              <w:right w:val="single" w:sz="8" w:color="auto"/>
            </w:tcBorders>
            <w:gridSpan w:val="13"/>
          </w:tcPr>
          <w:p>
            <w:pPr>
              <w:ind w:left="60"/>
              <w:spacing w:after="0" w:line="162" w:lineRule="exact"/>
              <w:rPr>
                <w:rFonts w:ascii="Arial" w:cs="Arial" w:eastAsia="Arial" w:hAnsi="Arial"/>
                <w:sz w:val="18"/>
                <w:szCs w:val="18"/>
                <w:color w:val="0000FF"/>
              </w:rPr>
            </w:pPr>
            <w:hyperlink r:id="rId107">
              <w:r>
                <w:rPr>
                  <w:rFonts w:ascii="Arial" w:cs="Arial" w:eastAsia="Arial" w:hAnsi="Arial"/>
                  <w:sz w:val="18"/>
                  <w:szCs w:val="18"/>
                  <w:color w:val="0000FF"/>
                </w:rPr>
                <w:t>April 25,</w:t>
              </w:r>
            </w:hyperlink>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70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2024</w:t>
              </w:r>
            </w:hyperlink>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19</w:t>
            </w:r>
          </w:p>
        </w:tc>
        <w:tc>
          <w:tcPr>
            <w:tcW w:w="3120" w:type="dxa"/>
            <w:vAlign w:val="bottom"/>
            <w:tcBorders>
              <w:bottom w:val="single" w:sz="8" w:color="0000FF"/>
            </w:tcBorders>
            <w:gridSpan w:val="21"/>
            <w:shd w:val="clear" w:color="auto" w:fill="DBDBDB"/>
          </w:tcPr>
          <w:p>
            <w:pPr>
              <w:spacing w:after="0" w:line="182" w:lineRule="exact"/>
              <w:rPr>
                <w:sz w:val="20"/>
                <w:szCs w:val="20"/>
                <w:color w:val="auto"/>
              </w:rPr>
            </w:pPr>
            <w:r>
              <w:rPr>
                <w:rFonts w:ascii="Arial" w:cs="Arial" w:eastAsia="Arial" w:hAnsi="Arial"/>
                <w:sz w:val="18"/>
                <w:szCs w:val="18"/>
                <w:color w:val="0000FF"/>
                <w:w w:val="98"/>
              </w:rPr>
              <w:t>Texas Instruments Incorporated Insider</w:t>
            </w:r>
          </w:p>
        </w:tc>
        <w:tc>
          <w:tcPr>
            <w:tcW w:w="260" w:type="dxa"/>
            <w:vAlign w:val="bottom"/>
            <w:tcBorders>
              <w:bottom w:val="single" w:sz="8" w:color="DBDBDB"/>
              <w:right w:val="single" w:sz="8" w:color="auto"/>
            </w:tcBorders>
            <w:gridSpan w:val="4"/>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2200" w:type="dxa"/>
            <w:vAlign w:val="bottom"/>
            <w:tcBorders>
              <w:bottom w:val="single" w:sz="8" w:color="DBDBDB"/>
            </w:tcBorders>
            <w:shd w:val="clear" w:color="auto" w:fill="DBDBDB"/>
          </w:tcPr>
          <w:p>
            <w:pPr>
              <w:spacing w:after="0"/>
              <w:rPr>
                <w:sz w:val="15"/>
                <w:szCs w:val="15"/>
                <w:color w:val="auto"/>
              </w:rPr>
            </w:pPr>
          </w:p>
        </w:tc>
        <w:tc>
          <w:tcPr>
            <w:tcW w:w="1720" w:type="dxa"/>
            <w:vAlign w:val="bottom"/>
            <w:tcBorders>
              <w:bottom w:val="single" w:sz="8" w:color="DBDBDB"/>
              <w:right w:val="single" w:sz="8" w:color="auto"/>
            </w:tcBorders>
            <w:shd w:val="clear" w:color="auto" w:fill="DBDBDB"/>
          </w:tcPr>
          <w:p>
            <w:pPr>
              <w:spacing w:after="0"/>
              <w:rPr>
                <w:sz w:val="15"/>
                <w:szCs w:val="15"/>
                <w:color w:val="auto"/>
              </w:rPr>
            </w:pPr>
          </w:p>
        </w:tc>
        <w:tc>
          <w:tcPr>
            <w:tcW w:w="960" w:type="dxa"/>
            <w:vAlign w:val="bottom"/>
            <w:tcBorders>
              <w:bottom w:val="single" w:sz="8" w:color="DBDBDB"/>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shd w:val="clear" w:color="auto" w:fill="DBDBDB"/>
          </w:tcPr>
          <w:p>
            <w:pPr>
              <w:spacing w:after="0"/>
              <w:rPr>
                <w:sz w:val="10"/>
                <w:szCs w:val="10"/>
                <w:color w:val="auto"/>
              </w:rPr>
            </w:pPr>
          </w:p>
        </w:tc>
        <w:tc>
          <w:tcPr>
            <w:tcW w:w="3380" w:type="dxa"/>
            <w:vAlign w:val="bottom"/>
            <w:tcBorders>
              <w:right w:val="single" w:sz="8" w:color="auto"/>
            </w:tcBorders>
            <w:gridSpan w:val="25"/>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Trading Policy</w:t>
            </w:r>
          </w:p>
        </w:tc>
        <w:tc>
          <w:tcPr>
            <w:tcW w:w="8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2200" w:type="dxa"/>
            <w:vAlign w:val="bottom"/>
            <w:shd w:val="clear" w:color="auto" w:fill="DBDBDB"/>
          </w:tcPr>
          <w:p>
            <w:pPr>
              <w:spacing w:after="0"/>
              <w:rPr>
                <w:sz w:val="10"/>
                <w:szCs w:val="10"/>
                <w:color w:val="auto"/>
              </w:rPr>
            </w:pPr>
          </w:p>
        </w:tc>
        <w:tc>
          <w:tcPr>
            <w:tcW w:w="1720" w:type="dxa"/>
            <w:vAlign w:val="bottom"/>
            <w:tcBorders>
              <w:right w:val="single" w:sz="8" w:color="auto"/>
            </w:tcBorders>
            <w:shd w:val="clear" w:color="auto" w:fill="DBDBDB"/>
          </w:tcPr>
          <w:p>
            <w:pPr>
              <w:spacing w:after="0"/>
              <w:rPr>
                <w:sz w:val="10"/>
                <w:szCs w:val="10"/>
                <w:color w:val="auto"/>
              </w:rPr>
            </w:pPr>
          </w:p>
        </w:tc>
        <w:tc>
          <w:tcPr>
            <w:tcW w:w="960" w:type="dxa"/>
            <w:vAlign w:val="bottom"/>
            <w:tcBorders>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3380" w:type="dxa"/>
            <w:vAlign w:val="bottom"/>
            <w:tcBorders>
              <w:bottom w:val="single" w:sz="8" w:color="auto"/>
              <w:right w:val="single" w:sz="8" w:color="auto"/>
            </w:tcBorders>
            <w:gridSpan w:val="25"/>
            <w:vMerge w:val="continue"/>
            <w:shd w:val="clear" w:color="auto" w:fill="DBDBDB"/>
          </w:tcPr>
          <w:p>
            <w:pPr>
              <w:spacing w:after="0"/>
              <w:rPr>
                <w:sz w:val="7"/>
                <w:szCs w:val="7"/>
                <w:color w:val="auto"/>
              </w:rPr>
            </w:pPr>
          </w:p>
        </w:tc>
        <w:tc>
          <w:tcPr>
            <w:tcW w:w="820" w:type="dxa"/>
            <w:vAlign w:val="bottom"/>
            <w:tcBorders>
              <w:bottom w:val="single" w:sz="8" w:color="auto"/>
            </w:tcBorders>
            <w:shd w:val="clear" w:color="auto" w:fill="DBDBDB"/>
          </w:tcPr>
          <w:p>
            <w:pPr>
              <w:spacing w:after="0"/>
              <w:rPr>
                <w:sz w:val="7"/>
                <w:szCs w:val="7"/>
                <w:color w:val="auto"/>
              </w:rPr>
            </w:pPr>
          </w:p>
        </w:tc>
        <w:tc>
          <w:tcPr>
            <w:tcW w:w="102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21</w:t>
            </w:r>
          </w:p>
        </w:tc>
        <w:tc>
          <w:tcPr>
            <w:tcW w:w="3380" w:type="dxa"/>
            <w:vAlign w:val="bottom"/>
            <w:tcBorders>
              <w:right w:val="single" w:sz="8" w:color="auto"/>
            </w:tcBorders>
            <w:gridSpan w:val="25"/>
          </w:tcPr>
          <w:p>
            <w:pPr>
              <w:spacing w:after="0" w:line="182" w:lineRule="exact"/>
              <w:rPr>
                <w:sz w:val="20"/>
                <w:szCs w:val="20"/>
                <w:color w:val="auto"/>
              </w:rPr>
            </w:pPr>
            <w:r>
              <w:rPr>
                <w:rFonts w:ascii="Arial" w:cs="Arial" w:eastAsia="Arial" w:hAnsi="Arial"/>
                <w:sz w:val="18"/>
                <w:szCs w:val="18"/>
                <w:color w:val="0000FF"/>
              </w:rPr>
              <w:t>List of Subsidiaries of the Registrant</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23</w:t>
            </w:r>
          </w:p>
        </w:tc>
        <w:tc>
          <w:tcPr>
            <w:tcW w:w="3380" w:type="dxa"/>
            <w:vAlign w:val="bottom"/>
            <w:tcBorders>
              <w:right w:val="single" w:sz="8" w:color="auto"/>
            </w:tcBorders>
            <w:gridSpan w:val="25"/>
            <w:shd w:val="clear" w:color="auto" w:fill="DBDBDB"/>
          </w:tcPr>
          <w:p>
            <w:pPr>
              <w:spacing w:after="0" w:line="182" w:lineRule="exact"/>
              <w:rPr>
                <w:sz w:val="20"/>
                <w:szCs w:val="20"/>
                <w:color w:val="auto"/>
              </w:rPr>
            </w:pPr>
            <w:r>
              <w:rPr>
                <w:rFonts w:ascii="Arial" w:cs="Arial" w:eastAsia="Arial" w:hAnsi="Arial"/>
                <w:sz w:val="18"/>
                <w:szCs w:val="18"/>
                <w:color w:val="0000FF"/>
              </w:rPr>
              <w:t>Consent of Independent Registered</w:t>
            </w:r>
          </w:p>
        </w:tc>
        <w:tc>
          <w:tcPr>
            <w:tcW w:w="8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top w:val="single" w:sz="8" w:color="DBDBDB"/>
              <w:left w:val="single" w:sz="8" w:color="auto"/>
              <w:right w:val="single" w:sz="8" w:color="auto"/>
            </w:tcBorders>
            <w:shd w:val="clear" w:color="auto" w:fill="DBDBDB"/>
          </w:tcPr>
          <w:p>
            <w:pPr>
              <w:spacing w:after="0"/>
              <w:rPr>
                <w:sz w:val="10"/>
                <w:szCs w:val="10"/>
                <w:color w:val="auto"/>
              </w:rPr>
            </w:pPr>
          </w:p>
        </w:tc>
        <w:tc>
          <w:tcPr>
            <w:tcW w:w="2840" w:type="dxa"/>
            <w:vAlign w:val="bottom"/>
            <w:tcBorders>
              <w:top w:val="single" w:sz="8" w:color="0000FF"/>
            </w:tcBorders>
            <w:gridSpan w:val="17"/>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Public Accounting Firm</w:t>
            </w:r>
          </w:p>
        </w:tc>
        <w:tc>
          <w:tcPr>
            <w:tcW w:w="540" w:type="dxa"/>
            <w:vAlign w:val="bottom"/>
            <w:tcBorders>
              <w:top w:val="single" w:sz="8" w:color="DBDBDB"/>
              <w:right w:val="single" w:sz="8" w:color="auto"/>
            </w:tcBorders>
            <w:gridSpan w:val="8"/>
            <w:vMerge w:val="restart"/>
            <w:shd w:val="clear" w:color="auto" w:fill="DBDBDB"/>
          </w:tcPr>
          <w:p>
            <w:pPr>
              <w:spacing w:after="0"/>
              <w:rPr>
                <w:sz w:val="10"/>
                <w:szCs w:val="10"/>
                <w:color w:val="auto"/>
              </w:rPr>
            </w:pPr>
          </w:p>
        </w:tc>
        <w:tc>
          <w:tcPr>
            <w:tcW w:w="820" w:type="dxa"/>
            <w:vAlign w:val="bottom"/>
            <w:tcBorders>
              <w:top w:val="single" w:sz="8" w:color="DBDBDB"/>
            </w:tcBorders>
            <w:shd w:val="clear" w:color="auto" w:fill="DBDBDB"/>
          </w:tcPr>
          <w:p>
            <w:pPr>
              <w:spacing w:after="0"/>
              <w:rPr>
                <w:sz w:val="10"/>
                <w:szCs w:val="10"/>
                <w:color w:val="auto"/>
              </w:rPr>
            </w:pPr>
          </w:p>
        </w:tc>
        <w:tc>
          <w:tcPr>
            <w:tcW w:w="1020" w:type="dxa"/>
            <w:vAlign w:val="bottom"/>
            <w:tcBorders>
              <w:top w:val="single" w:sz="8" w:color="DBDBDB"/>
            </w:tcBorders>
            <w:shd w:val="clear" w:color="auto" w:fill="DBDBDB"/>
          </w:tcPr>
          <w:p>
            <w:pPr>
              <w:spacing w:after="0"/>
              <w:rPr>
                <w:sz w:val="10"/>
                <w:szCs w:val="10"/>
                <w:color w:val="auto"/>
              </w:rPr>
            </w:pPr>
          </w:p>
        </w:tc>
        <w:tc>
          <w:tcPr>
            <w:tcW w:w="2200" w:type="dxa"/>
            <w:vAlign w:val="bottom"/>
            <w:tcBorders>
              <w:top w:val="single" w:sz="8" w:color="DBDBDB"/>
            </w:tcBorders>
            <w:shd w:val="clear" w:color="auto" w:fill="DBDBDB"/>
          </w:tcPr>
          <w:p>
            <w:pPr>
              <w:spacing w:after="0"/>
              <w:rPr>
                <w:sz w:val="10"/>
                <w:szCs w:val="10"/>
                <w:color w:val="auto"/>
              </w:rPr>
            </w:pPr>
          </w:p>
        </w:tc>
        <w:tc>
          <w:tcPr>
            <w:tcW w:w="1720" w:type="dxa"/>
            <w:vAlign w:val="bottom"/>
            <w:tcBorders>
              <w:top w:val="single" w:sz="8" w:color="DBDBDB"/>
              <w:right w:val="single" w:sz="8" w:color="auto"/>
            </w:tcBorders>
            <w:shd w:val="clear" w:color="auto" w:fill="DBDBDB"/>
          </w:tcPr>
          <w:p>
            <w:pPr>
              <w:spacing w:after="0"/>
              <w:rPr>
                <w:sz w:val="10"/>
                <w:szCs w:val="10"/>
                <w:color w:val="auto"/>
              </w:rPr>
            </w:pPr>
          </w:p>
        </w:tc>
        <w:tc>
          <w:tcPr>
            <w:tcW w:w="960" w:type="dxa"/>
            <w:vAlign w:val="bottom"/>
            <w:tcBorders>
              <w:top w:val="single" w:sz="8" w:color="DBDBDB"/>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2840" w:type="dxa"/>
            <w:vAlign w:val="bottom"/>
            <w:tcBorders>
              <w:bottom w:val="single" w:sz="8" w:color="auto"/>
            </w:tcBorders>
            <w:gridSpan w:val="17"/>
            <w:vMerge w:val="continue"/>
            <w:shd w:val="clear" w:color="auto" w:fill="DBDBDB"/>
          </w:tcPr>
          <w:p>
            <w:pPr>
              <w:spacing w:after="0"/>
              <w:rPr>
                <w:sz w:val="7"/>
                <w:szCs w:val="7"/>
                <w:color w:val="auto"/>
              </w:rPr>
            </w:pPr>
          </w:p>
        </w:tc>
        <w:tc>
          <w:tcPr>
            <w:tcW w:w="540" w:type="dxa"/>
            <w:vAlign w:val="bottom"/>
            <w:tcBorders>
              <w:bottom w:val="single" w:sz="8" w:color="auto"/>
              <w:right w:val="single" w:sz="8" w:color="auto"/>
            </w:tcBorders>
            <w:gridSpan w:val="8"/>
            <w:vMerge w:val="continue"/>
            <w:shd w:val="clear" w:color="auto" w:fill="DBDBDB"/>
          </w:tcPr>
          <w:p>
            <w:pPr>
              <w:spacing w:after="0"/>
              <w:rPr>
                <w:sz w:val="7"/>
                <w:szCs w:val="7"/>
                <w:color w:val="auto"/>
              </w:rPr>
            </w:pPr>
          </w:p>
        </w:tc>
        <w:tc>
          <w:tcPr>
            <w:tcW w:w="820" w:type="dxa"/>
            <w:vAlign w:val="bottom"/>
            <w:tcBorders>
              <w:bottom w:val="single" w:sz="8" w:color="auto"/>
            </w:tcBorders>
            <w:shd w:val="clear" w:color="auto" w:fill="DBDBDB"/>
          </w:tcPr>
          <w:p>
            <w:pPr>
              <w:spacing w:after="0"/>
              <w:rPr>
                <w:sz w:val="7"/>
                <w:szCs w:val="7"/>
                <w:color w:val="auto"/>
              </w:rPr>
            </w:pPr>
          </w:p>
        </w:tc>
        <w:tc>
          <w:tcPr>
            <w:tcW w:w="102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31(a)</w:t>
            </w:r>
          </w:p>
        </w:tc>
        <w:tc>
          <w:tcPr>
            <w:tcW w:w="3160" w:type="dxa"/>
            <w:vAlign w:val="bottom"/>
            <w:tcBorders>
              <w:bottom w:val="single" w:sz="8" w:color="0000FF"/>
            </w:tcBorders>
            <w:gridSpan w:val="22"/>
          </w:tcPr>
          <w:p>
            <w:pPr>
              <w:spacing w:after="0" w:line="182" w:lineRule="exact"/>
              <w:rPr>
                <w:sz w:val="20"/>
                <w:szCs w:val="20"/>
                <w:color w:val="auto"/>
              </w:rPr>
            </w:pPr>
            <w:r>
              <w:rPr>
                <w:rFonts w:ascii="Arial" w:cs="Arial" w:eastAsia="Arial" w:hAnsi="Arial"/>
                <w:sz w:val="18"/>
                <w:szCs w:val="18"/>
                <w:color w:val="0000FF"/>
                <w:w w:val="99"/>
              </w:rPr>
              <w:t>Rule 13a-14(a)/15(d)-14(a) Certification</w:t>
            </w:r>
          </w:p>
        </w:tc>
        <w:tc>
          <w:tcPr>
            <w:tcW w:w="220" w:type="dxa"/>
            <w:vAlign w:val="bottom"/>
            <w:tcBorders>
              <w:right w:val="single" w:sz="8" w:color="auto"/>
            </w:tcBorders>
            <w:gridSpan w:val="3"/>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gridSpan w:val="25"/>
            <w:vMerge w:val="restart"/>
          </w:tcPr>
          <w:p>
            <w:pPr>
              <w:spacing w:after="0" w:line="156" w:lineRule="exact"/>
              <w:rPr>
                <w:sz w:val="20"/>
                <w:szCs w:val="20"/>
                <w:color w:val="auto"/>
              </w:rPr>
            </w:pPr>
            <w:r>
              <w:rPr>
                <w:rFonts w:ascii="Arial" w:cs="Arial" w:eastAsia="Arial" w:hAnsi="Arial"/>
                <w:sz w:val="18"/>
                <w:szCs w:val="18"/>
                <w:color w:val="0000FF"/>
              </w:rPr>
              <w:t>of Chief Executive Officer</w:t>
            </w: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right w:val="single" w:sz="8" w:color="auto"/>
            </w:tcBorders>
          </w:tcPr>
          <w:p>
            <w:pPr>
              <w:spacing w:after="0"/>
              <w:rPr>
                <w:sz w:val="3"/>
                <w:szCs w:val="3"/>
                <w:color w:val="auto"/>
              </w:rPr>
            </w:pPr>
          </w:p>
        </w:tc>
        <w:tc>
          <w:tcPr>
            <w:tcW w:w="3380" w:type="dxa"/>
            <w:vAlign w:val="bottom"/>
            <w:tcBorders>
              <w:right w:val="single" w:sz="8" w:color="auto"/>
            </w:tcBorders>
            <w:gridSpan w:val="25"/>
            <w:vMerge w:val="continue"/>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31(b)</w:t>
            </w:r>
          </w:p>
        </w:tc>
        <w:tc>
          <w:tcPr>
            <w:tcW w:w="3160" w:type="dxa"/>
            <w:vAlign w:val="bottom"/>
            <w:tcBorders>
              <w:bottom w:val="single" w:sz="8" w:color="0000FF"/>
            </w:tcBorders>
            <w:gridSpan w:val="22"/>
            <w:shd w:val="clear" w:color="auto" w:fill="DBDBDB"/>
          </w:tcPr>
          <w:p>
            <w:pPr>
              <w:spacing w:after="0" w:line="182" w:lineRule="exact"/>
              <w:rPr>
                <w:sz w:val="20"/>
                <w:szCs w:val="20"/>
                <w:color w:val="auto"/>
              </w:rPr>
            </w:pPr>
            <w:r>
              <w:rPr>
                <w:rFonts w:ascii="Arial" w:cs="Arial" w:eastAsia="Arial" w:hAnsi="Arial"/>
                <w:sz w:val="18"/>
                <w:szCs w:val="18"/>
                <w:color w:val="0000FF"/>
                <w:w w:val="99"/>
              </w:rPr>
              <w:t>Rule 13a-14(a)/15(d)-14(a) Certification</w:t>
            </w:r>
          </w:p>
        </w:tc>
        <w:tc>
          <w:tcPr>
            <w:tcW w:w="220" w:type="dxa"/>
            <w:vAlign w:val="bottom"/>
            <w:tcBorders>
              <w:bottom w:val="single" w:sz="8" w:color="DBDBDB"/>
              <w:right w:val="single" w:sz="8" w:color="auto"/>
            </w:tcBorders>
            <w:gridSpan w:val="3"/>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2200" w:type="dxa"/>
            <w:vAlign w:val="bottom"/>
            <w:tcBorders>
              <w:bottom w:val="single" w:sz="8" w:color="DBDBDB"/>
            </w:tcBorders>
            <w:shd w:val="clear" w:color="auto" w:fill="DBDBDB"/>
          </w:tcPr>
          <w:p>
            <w:pPr>
              <w:spacing w:after="0"/>
              <w:rPr>
                <w:sz w:val="15"/>
                <w:szCs w:val="15"/>
                <w:color w:val="auto"/>
              </w:rPr>
            </w:pPr>
          </w:p>
        </w:tc>
        <w:tc>
          <w:tcPr>
            <w:tcW w:w="1720" w:type="dxa"/>
            <w:vAlign w:val="bottom"/>
            <w:tcBorders>
              <w:bottom w:val="single" w:sz="8" w:color="DBDBDB"/>
              <w:right w:val="single" w:sz="8" w:color="auto"/>
            </w:tcBorders>
            <w:shd w:val="clear" w:color="auto" w:fill="DBDBDB"/>
          </w:tcPr>
          <w:p>
            <w:pPr>
              <w:spacing w:after="0"/>
              <w:rPr>
                <w:sz w:val="15"/>
                <w:szCs w:val="15"/>
                <w:color w:val="auto"/>
              </w:rPr>
            </w:pPr>
          </w:p>
        </w:tc>
        <w:tc>
          <w:tcPr>
            <w:tcW w:w="960" w:type="dxa"/>
            <w:vAlign w:val="bottom"/>
            <w:tcBorders>
              <w:bottom w:val="single" w:sz="8" w:color="DBDBDB"/>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shd w:val="clear" w:color="auto" w:fill="DBDBDB"/>
          </w:tcPr>
          <w:p>
            <w:pPr>
              <w:spacing w:after="0"/>
              <w:rPr>
                <w:sz w:val="10"/>
                <w:szCs w:val="10"/>
                <w:color w:val="auto"/>
              </w:rPr>
            </w:pPr>
          </w:p>
        </w:tc>
        <w:tc>
          <w:tcPr>
            <w:tcW w:w="3380" w:type="dxa"/>
            <w:vAlign w:val="bottom"/>
            <w:tcBorders>
              <w:right w:val="single" w:sz="8" w:color="auto"/>
            </w:tcBorders>
            <w:gridSpan w:val="25"/>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of Chief Financial Officer</w:t>
            </w:r>
          </w:p>
        </w:tc>
        <w:tc>
          <w:tcPr>
            <w:tcW w:w="8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2200" w:type="dxa"/>
            <w:vAlign w:val="bottom"/>
            <w:shd w:val="clear" w:color="auto" w:fill="DBDBDB"/>
          </w:tcPr>
          <w:p>
            <w:pPr>
              <w:spacing w:after="0"/>
              <w:rPr>
                <w:sz w:val="10"/>
                <w:szCs w:val="10"/>
                <w:color w:val="auto"/>
              </w:rPr>
            </w:pPr>
          </w:p>
        </w:tc>
        <w:tc>
          <w:tcPr>
            <w:tcW w:w="1720" w:type="dxa"/>
            <w:vAlign w:val="bottom"/>
            <w:tcBorders>
              <w:right w:val="single" w:sz="8" w:color="auto"/>
            </w:tcBorders>
            <w:shd w:val="clear" w:color="auto" w:fill="DBDBDB"/>
          </w:tcPr>
          <w:p>
            <w:pPr>
              <w:spacing w:after="0"/>
              <w:rPr>
                <w:sz w:val="10"/>
                <w:szCs w:val="10"/>
                <w:color w:val="auto"/>
              </w:rPr>
            </w:pPr>
          </w:p>
        </w:tc>
        <w:tc>
          <w:tcPr>
            <w:tcW w:w="960" w:type="dxa"/>
            <w:vAlign w:val="bottom"/>
            <w:tcBorders>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3380" w:type="dxa"/>
            <w:vAlign w:val="bottom"/>
            <w:tcBorders>
              <w:bottom w:val="single" w:sz="8" w:color="auto"/>
              <w:right w:val="single" w:sz="8" w:color="auto"/>
            </w:tcBorders>
            <w:gridSpan w:val="25"/>
            <w:vMerge w:val="continue"/>
            <w:shd w:val="clear" w:color="auto" w:fill="DBDBDB"/>
          </w:tcPr>
          <w:p>
            <w:pPr>
              <w:spacing w:after="0"/>
              <w:rPr>
                <w:sz w:val="7"/>
                <w:szCs w:val="7"/>
                <w:color w:val="auto"/>
              </w:rPr>
            </w:pPr>
          </w:p>
        </w:tc>
        <w:tc>
          <w:tcPr>
            <w:tcW w:w="820" w:type="dxa"/>
            <w:vAlign w:val="bottom"/>
            <w:tcBorders>
              <w:bottom w:val="single" w:sz="8" w:color="auto"/>
            </w:tcBorders>
            <w:shd w:val="clear" w:color="auto" w:fill="DBDBDB"/>
          </w:tcPr>
          <w:p>
            <w:pPr>
              <w:spacing w:after="0"/>
              <w:rPr>
                <w:sz w:val="7"/>
                <w:szCs w:val="7"/>
                <w:color w:val="auto"/>
              </w:rPr>
            </w:pPr>
          </w:p>
        </w:tc>
        <w:tc>
          <w:tcPr>
            <w:tcW w:w="102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32(a)</w:t>
            </w:r>
          </w:p>
        </w:tc>
        <w:tc>
          <w:tcPr>
            <w:tcW w:w="3380" w:type="dxa"/>
            <w:vAlign w:val="bottom"/>
            <w:tcBorders>
              <w:right w:val="single" w:sz="8" w:color="auto"/>
            </w:tcBorders>
            <w:gridSpan w:val="25"/>
          </w:tcPr>
          <w:p>
            <w:pPr>
              <w:spacing w:after="0" w:line="182" w:lineRule="exact"/>
              <w:rPr>
                <w:sz w:val="20"/>
                <w:szCs w:val="20"/>
                <w:color w:val="auto"/>
              </w:rPr>
            </w:pPr>
            <w:r>
              <w:rPr>
                <w:rFonts w:ascii="Arial" w:cs="Arial" w:eastAsia="Arial" w:hAnsi="Arial"/>
                <w:sz w:val="18"/>
                <w:szCs w:val="18"/>
                <w:color w:val="0000FF"/>
              </w:rPr>
              <w:t>Section 1350 Certification of Chief</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2720" w:type="dxa"/>
            <w:vAlign w:val="bottom"/>
            <w:tcBorders>
              <w:top w:val="single" w:sz="8" w:color="0000FF"/>
            </w:tcBorders>
            <w:gridSpan w:val="15"/>
            <w:vMerge w:val="restart"/>
          </w:tcPr>
          <w:p>
            <w:pPr>
              <w:spacing w:after="0" w:line="156" w:lineRule="exact"/>
              <w:rPr>
                <w:sz w:val="20"/>
                <w:szCs w:val="20"/>
                <w:color w:val="auto"/>
              </w:rPr>
            </w:pPr>
            <w:r>
              <w:rPr>
                <w:rFonts w:ascii="Arial" w:cs="Arial" w:eastAsia="Arial" w:hAnsi="Arial"/>
                <w:sz w:val="18"/>
                <w:szCs w:val="18"/>
                <w:color w:val="0000FF"/>
              </w:rPr>
              <w:t>Executive Officer</w:t>
            </w:r>
          </w:p>
        </w:tc>
        <w:tc>
          <w:tcPr>
            <w:tcW w:w="660" w:type="dxa"/>
            <w:vAlign w:val="bottom"/>
            <w:tcBorders>
              <w:right w:val="single" w:sz="8" w:color="auto"/>
            </w:tcBorders>
            <w:gridSpan w:val="10"/>
            <w:vMerge w:val="restart"/>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40" w:type="dxa"/>
            <w:vAlign w:val="bottom"/>
            <w:tcBorders>
              <w:left w:val="single" w:sz="8" w:color="auto"/>
              <w:right w:val="single" w:sz="8" w:color="auto"/>
            </w:tcBorders>
          </w:tcPr>
          <w:p>
            <w:pPr>
              <w:spacing w:after="0"/>
              <w:rPr>
                <w:sz w:val="3"/>
                <w:szCs w:val="3"/>
                <w:color w:val="auto"/>
              </w:rPr>
            </w:pPr>
          </w:p>
        </w:tc>
        <w:tc>
          <w:tcPr>
            <w:tcW w:w="2720" w:type="dxa"/>
            <w:vAlign w:val="bottom"/>
            <w:gridSpan w:val="15"/>
            <w:vMerge w:val="continue"/>
          </w:tcPr>
          <w:p>
            <w:pPr>
              <w:spacing w:after="0"/>
              <w:rPr>
                <w:sz w:val="3"/>
                <w:szCs w:val="3"/>
                <w:color w:val="auto"/>
              </w:rPr>
            </w:pPr>
          </w:p>
        </w:tc>
        <w:tc>
          <w:tcPr>
            <w:tcW w:w="660" w:type="dxa"/>
            <w:vAlign w:val="bottom"/>
            <w:tcBorders>
              <w:right w:val="single" w:sz="8" w:color="auto"/>
            </w:tcBorders>
            <w:gridSpan w:val="10"/>
            <w:vMerge w:val="continue"/>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32(b)</w:t>
            </w:r>
          </w:p>
        </w:tc>
        <w:tc>
          <w:tcPr>
            <w:tcW w:w="3380" w:type="dxa"/>
            <w:vAlign w:val="bottom"/>
            <w:tcBorders>
              <w:right w:val="single" w:sz="8" w:color="auto"/>
            </w:tcBorders>
            <w:gridSpan w:val="25"/>
            <w:shd w:val="clear" w:color="auto" w:fill="DBDBDB"/>
          </w:tcPr>
          <w:p>
            <w:pPr>
              <w:spacing w:after="0" w:line="182" w:lineRule="exact"/>
              <w:rPr>
                <w:sz w:val="20"/>
                <w:szCs w:val="20"/>
                <w:color w:val="auto"/>
              </w:rPr>
            </w:pPr>
            <w:r>
              <w:rPr>
                <w:rFonts w:ascii="Arial" w:cs="Arial" w:eastAsia="Arial" w:hAnsi="Arial"/>
                <w:sz w:val="18"/>
                <w:szCs w:val="18"/>
                <w:color w:val="0000FF"/>
              </w:rPr>
              <w:t>Section 1350 Certification of Chief</w:t>
            </w:r>
          </w:p>
        </w:tc>
        <w:tc>
          <w:tcPr>
            <w:tcW w:w="8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top w:val="single" w:sz="8" w:color="DBDBDB"/>
              <w:left w:val="single" w:sz="8" w:color="auto"/>
              <w:right w:val="single" w:sz="8" w:color="auto"/>
            </w:tcBorders>
            <w:shd w:val="clear" w:color="auto" w:fill="DBDBDB"/>
          </w:tcPr>
          <w:p>
            <w:pPr>
              <w:spacing w:after="0"/>
              <w:rPr>
                <w:sz w:val="10"/>
                <w:szCs w:val="10"/>
                <w:color w:val="auto"/>
              </w:rPr>
            </w:pPr>
          </w:p>
        </w:tc>
        <w:tc>
          <w:tcPr>
            <w:tcW w:w="2720" w:type="dxa"/>
            <w:vAlign w:val="bottom"/>
            <w:tcBorders>
              <w:top w:val="single" w:sz="8" w:color="0000FF"/>
            </w:tcBorders>
            <w:gridSpan w:val="15"/>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Financial Officer</w:t>
            </w:r>
          </w:p>
        </w:tc>
        <w:tc>
          <w:tcPr>
            <w:tcW w:w="660" w:type="dxa"/>
            <w:vAlign w:val="bottom"/>
            <w:tcBorders>
              <w:top w:val="single" w:sz="8" w:color="DBDBDB"/>
              <w:right w:val="single" w:sz="8" w:color="auto"/>
            </w:tcBorders>
            <w:gridSpan w:val="10"/>
            <w:vMerge w:val="restart"/>
            <w:shd w:val="clear" w:color="auto" w:fill="DBDBDB"/>
          </w:tcPr>
          <w:p>
            <w:pPr>
              <w:spacing w:after="0"/>
              <w:rPr>
                <w:sz w:val="10"/>
                <w:szCs w:val="10"/>
                <w:color w:val="auto"/>
              </w:rPr>
            </w:pPr>
          </w:p>
        </w:tc>
        <w:tc>
          <w:tcPr>
            <w:tcW w:w="820" w:type="dxa"/>
            <w:vAlign w:val="bottom"/>
            <w:tcBorders>
              <w:top w:val="single" w:sz="8" w:color="DBDBDB"/>
            </w:tcBorders>
            <w:shd w:val="clear" w:color="auto" w:fill="DBDBDB"/>
          </w:tcPr>
          <w:p>
            <w:pPr>
              <w:spacing w:after="0"/>
              <w:rPr>
                <w:sz w:val="10"/>
                <w:szCs w:val="10"/>
                <w:color w:val="auto"/>
              </w:rPr>
            </w:pPr>
          </w:p>
        </w:tc>
        <w:tc>
          <w:tcPr>
            <w:tcW w:w="1020" w:type="dxa"/>
            <w:vAlign w:val="bottom"/>
            <w:tcBorders>
              <w:top w:val="single" w:sz="8" w:color="DBDBDB"/>
            </w:tcBorders>
            <w:shd w:val="clear" w:color="auto" w:fill="DBDBDB"/>
          </w:tcPr>
          <w:p>
            <w:pPr>
              <w:spacing w:after="0"/>
              <w:rPr>
                <w:sz w:val="10"/>
                <w:szCs w:val="10"/>
                <w:color w:val="auto"/>
              </w:rPr>
            </w:pPr>
          </w:p>
        </w:tc>
        <w:tc>
          <w:tcPr>
            <w:tcW w:w="2200" w:type="dxa"/>
            <w:vAlign w:val="bottom"/>
            <w:tcBorders>
              <w:top w:val="single" w:sz="8" w:color="DBDBDB"/>
            </w:tcBorders>
            <w:shd w:val="clear" w:color="auto" w:fill="DBDBDB"/>
          </w:tcPr>
          <w:p>
            <w:pPr>
              <w:spacing w:after="0"/>
              <w:rPr>
                <w:sz w:val="10"/>
                <w:szCs w:val="10"/>
                <w:color w:val="auto"/>
              </w:rPr>
            </w:pPr>
          </w:p>
        </w:tc>
        <w:tc>
          <w:tcPr>
            <w:tcW w:w="1720" w:type="dxa"/>
            <w:vAlign w:val="bottom"/>
            <w:tcBorders>
              <w:top w:val="single" w:sz="8" w:color="DBDBDB"/>
              <w:right w:val="single" w:sz="8" w:color="auto"/>
            </w:tcBorders>
            <w:shd w:val="clear" w:color="auto" w:fill="DBDBDB"/>
          </w:tcPr>
          <w:p>
            <w:pPr>
              <w:spacing w:after="0"/>
              <w:rPr>
                <w:sz w:val="10"/>
                <w:szCs w:val="10"/>
                <w:color w:val="auto"/>
              </w:rPr>
            </w:pPr>
          </w:p>
        </w:tc>
        <w:tc>
          <w:tcPr>
            <w:tcW w:w="960" w:type="dxa"/>
            <w:vAlign w:val="bottom"/>
            <w:tcBorders>
              <w:top w:val="single" w:sz="8" w:color="DBDBDB"/>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2720" w:type="dxa"/>
            <w:vAlign w:val="bottom"/>
            <w:tcBorders>
              <w:bottom w:val="single" w:sz="8" w:color="auto"/>
            </w:tcBorders>
            <w:gridSpan w:val="15"/>
            <w:vMerge w:val="continue"/>
            <w:shd w:val="clear" w:color="auto" w:fill="DBDBDB"/>
          </w:tcPr>
          <w:p>
            <w:pPr>
              <w:spacing w:after="0"/>
              <w:rPr>
                <w:sz w:val="7"/>
                <w:szCs w:val="7"/>
                <w:color w:val="auto"/>
              </w:rPr>
            </w:pPr>
          </w:p>
        </w:tc>
        <w:tc>
          <w:tcPr>
            <w:tcW w:w="660" w:type="dxa"/>
            <w:vAlign w:val="bottom"/>
            <w:tcBorders>
              <w:bottom w:val="single" w:sz="8" w:color="auto"/>
              <w:right w:val="single" w:sz="8" w:color="auto"/>
            </w:tcBorders>
            <w:gridSpan w:val="10"/>
            <w:vMerge w:val="continue"/>
            <w:shd w:val="clear" w:color="auto" w:fill="DBDBDB"/>
          </w:tcPr>
          <w:p>
            <w:pPr>
              <w:spacing w:after="0"/>
              <w:rPr>
                <w:sz w:val="7"/>
                <w:szCs w:val="7"/>
                <w:color w:val="auto"/>
              </w:rPr>
            </w:pPr>
          </w:p>
        </w:tc>
        <w:tc>
          <w:tcPr>
            <w:tcW w:w="820" w:type="dxa"/>
            <w:vAlign w:val="bottom"/>
            <w:tcBorders>
              <w:bottom w:val="single" w:sz="8" w:color="auto"/>
            </w:tcBorders>
            <w:shd w:val="clear" w:color="auto" w:fill="DBDBDB"/>
          </w:tcPr>
          <w:p>
            <w:pPr>
              <w:spacing w:after="0"/>
              <w:rPr>
                <w:sz w:val="7"/>
                <w:szCs w:val="7"/>
                <w:color w:val="auto"/>
              </w:rPr>
            </w:pPr>
          </w:p>
        </w:tc>
        <w:tc>
          <w:tcPr>
            <w:tcW w:w="102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97</w:t>
            </w:r>
          </w:p>
        </w:tc>
        <w:tc>
          <w:tcPr>
            <w:tcW w:w="3380" w:type="dxa"/>
            <w:vAlign w:val="bottom"/>
            <w:tcBorders>
              <w:right w:val="single" w:sz="8" w:color="auto"/>
            </w:tcBorders>
            <w:gridSpan w:val="25"/>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Texas Instruments Incorporated</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 2024</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97</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5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Recoupment Policy</w:t>
              </w:r>
            </w:hyperlink>
          </w:p>
        </w:tc>
        <w:tc>
          <w:tcPr>
            <w:tcW w:w="860" w:type="dxa"/>
            <w:vAlign w:val="bottom"/>
            <w:tcBorders>
              <w:right w:val="single" w:sz="8" w:color="auto"/>
            </w:tcBorders>
            <w:gridSpan w:val="14"/>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101.ins</w:t>
            </w:r>
          </w:p>
        </w:tc>
        <w:tc>
          <w:tcPr>
            <w:tcW w:w="3380" w:type="dxa"/>
            <w:vAlign w:val="bottom"/>
            <w:tcBorders>
              <w:bottom w:val="single" w:sz="8" w:color="auto"/>
              <w:right w:val="single" w:sz="8" w:color="auto"/>
            </w:tcBorders>
            <w:gridSpan w:val="25"/>
            <w:shd w:val="clear" w:color="auto" w:fill="DBDBDB"/>
          </w:tcPr>
          <w:p>
            <w:pPr>
              <w:spacing w:after="0"/>
              <w:rPr>
                <w:sz w:val="20"/>
                <w:szCs w:val="20"/>
                <w:color w:val="auto"/>
              </w:rPr>
            </w:pPr>
            <w:r>
              <w:rPr>
                <w:rFonts w:ascii="Arial" w:cs="Arial" w:eastAsia="Arial" w:hAnsi="Arial"/>
                <w:sz w:val="18"/>
                <w:szCs w:val="18"/>
                <w:color w:val="auto"/>
              </w:rPr>
              <w:t>Instance Document</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101.sch</w:t>
            </w:r>
          </w:p>
        </w:tc>
        <w:tc>
          <w:tcPr>
            <w:tcW w:w="3380" w:type="dxa"/>
            <w:vAlign w:val="bottom"/>
            <w:tcBorders>
              <w:bottom w:val="single" w:sz="8" w:color="auto"/>
              <w:right w:val="single" w:sz="8" w:color="auto"/>
            </w:tcBorders>
            <w:gridSpan w:val="25"/>
          </w:tcPr>
          <w:p>
            <w:pPr>
              <w:spacing w:after="0"/>
              <w:rPr>
                <w:sz w:val="20"/>
                <w:szCs w:val="20"/>
                <w:color w:val="auto"/>
              </w:rPr>
            </w:pPr>
            <w:r>
              <w:rPr>
                <w:rFonts w:ascii="Arial" w:cs="Arial" w:eastAsia="Arial" w:hAnsi="Arial"/>
                <w:sz w:val="18"/>
                <w:szCs w:val="18"/>
                <w:color w:val="auto"/>
              </w:rPr>
              <w:t>XBRL Taxonomy Schema</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101.cal</w:t>
            </w:r>
          </w:p>
        </w:tc>
        <w:tc>
          <w:tcPr>
            <w:tcW w:w="3380" w:type="dxa"/>
            <w:vAlign w:val="bottom"/>
            <w:tcBorders>
              <w:bottom w:val="single" w:sz="8" w:color="auto"/>
              <w:right w:val="single" w:sz="8" w:color="auto"/>
            </w:tcBorders>
            <w:gridSpan w:val="25"/>
            <w:shd w:val="clear" w:color="auto" w:fill="DBDBDB"/>
          </w:tcPr>
          <w:p>
            <w:pPr>
              <w:spacing w:after="0"/>
              <w:rPr>
                <w:sz w:val="20"/>
                <w:szCs w:val="20"/>
                <w:color w:val="auto"/>
              </w:rPr>
            </w:pPr>
            <w:r>
              <w:rPr>
                <w:rFonts w:ascii="Arial" w:cs="Arial" w:eastAsia="Arial" w:hAnsi="Arial"/>
                <w:sz w:val="18"/>
                <w:szCs w:val="18"/>
                <w:color w:val="auto"/>
              </w:rPr>
              <w:t>XBRL Taxonomy Calculation Linkbase</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101.def</w:t>
            </w:r>
          </w:p>
        </w:tc>
        <w:tc>
          <w:tcPr>
            <w:tcW w:w="3380" w:type="dxa"/>
            <w:vAlign w:val="bottom"/>
            <w:tcBorders>
              <w:bottom w:val="single" w:sz="8" w:color="auto"/>
              <w:right w:val="single" w:sz="8" w:color="auto"/>
            </w:tcBorders>
            <w:gridSpan w:val="25"/>
          </w:tcPr>
          <w:p>
            <w:pPr>
              <w:spacing w:after="0"/>
              <w:rPr>
                <w:sz w:val="20"/>
                <w:szCs w:val="20"/>
                <w:color w:val="auto"/>
              </w:rPr>
            </w:pPr>
            <w:r>
              <w:rPr>
                <w:rFonts w:ascii="Arial" w:cs="Arial" w:eastAsia="Arial" w:hAnsi="Arial"/>
                <w:sz w:val="18"/>
                <w:szCs w:val="18"/>
                <w:color w:val="auto"/>
              </w:rPr>
              <w:t>XBRL Taxonomy Definitions Document</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101.lab</w:t>
            </w:r>
          </w:p>
        </w:tc>
        <w:tc>
          <w:tcPr>
            <w:tcW w:w="3380" w:type="dxa"/>
            <w:vAlign w:val="bottom"/>
            <w:tcBorders>
              <w:bottom w:val="single" w:sz="8" w:color="auto"/>
              <w:right w:val="single" w:sz="8" w:color="auto"/>
            </w:tcBorders>
            <w:gridSpan w:val="25"/>
            <w:shd w:val="clear" w:color="auto" w:fill="DBDBDB"/>
          </w:tcPr>
          <w:p>
            <w:pPr>
              <w:spacing w:after="0"/>
              <w:rPr>
                <w:sz w:val="20"/>
                <w:szCs w:val="20"/>
                <w:color w:val="auto"/>
              </w:rPr>
            </w:pPr>
            <w:r>
              <w:rPr>
                <w:rFonts w:ascii="Arial" w:cs="Arial" w:eastAsia="Arial" w:hAnsi="Arial"/>
                <w:sz w:val="18"/>
                <w:szCs w:val="18"/>
                <w:color w:val="auto"/>
              </w:rPr>
              <w:t>XBRL Taxonomy Labels Linkbase</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101.pre</w:t>
            </w:r>
          </w:p>
        </w:tc>
        <w:tc>
          <w:tcPr>
            <w:tcW w:w="3380" w:type="dxa"/>
            <w:vAlign w:val="bottom"/>
            <w:tcBorders>
              <w:bottom w:val="single" w:sz="8" w:color="auto"/>
              <w:right w:val="single" w:sz="8" w:color="auto"/>
            </w:tcBorders>
            <w:gridSpan w:val="25"/>
          </w:tcPr>
          <w:p>
            <w:pPr>
              <w:spacing w:after="0"/>
              <w:rPr>
                <w:sz w:val="20"/>
                <w:szCs w:val="20"/>
                <w:color w:val="auto"/>
              </w:rPr>
            </w:pPr>
            <w:r>
              <w:rPr>
                <w:rFonts w:ascii="Arial" w:cs="Arial" w:eastAsia="Arial" w:hAnsi="Arial"/>
                <w:sz w:val="18"/>
                <w:szCs w:val="18"/>
                <w:color w:val="auto"/>
              </w:rPr>
              <w:t>XBRL Taxonomy Presentation Linkbase</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b w:val="1"/>
                <w:bCs w:val="1"/>
                <w:color w:val="auto"/>
              </w:rPr>
              <w:t>104</w:t>
            </w:r>
          </w:p>
        </w:tc>
        <w:tc>
          <w:tcPr>
            <w:tcW w:w="3380" w:type="dxa"/>
            <w:vAlign w:val="bottom"/>
            <w:tcBorders>
              <w:right w:val="single" w:sz="8" w:color="auto"/>
            </w:tcBorders>
            <w:gridSpan w:val="25"/>
            <w:shd w:val="clear" w:color="auto" w:fill="DBDBDB"/>
          </w:tcPr>
          <w:p>
            <w:pPr>
              <w:spacing w:after="0" w:line="169" w:lineRule="exact"/>
              <w:rPr>
                <w:sz w:val="20"/>
                <w:szCs w:val="20"/>
                <w:color w:val="auto"/>
              </w:rPr>
            </w:pPr>
            <w:r>
              <w:rPr>
                <w:rFonts w:ascii="Arial" w:cs="Arial" w:eastAsia="Arial" w:hAnsi="Arial"/>
                <w:sz w:val="18"/>
                <w:szCs w:val="18"/>
                <w:color w:val="auto"/>
              </w:rPr>
              <w:t>Cover Page Interactive Data File</w:t>
            </w:r>
          </w:p>
        </w:tc>
        <w:tc>
          <w:tcPr>
            <w:tcW w:w="82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2200" w:type="dxa"/>
            <w:vAlign w:val="bottom"/>
            <w:shd w:val="clear" w:color="auto" w:fill="DBDBDB"/>
          </w:tcPr>
          <w:p>
            <w:pPr>
              <w:spacing w:after="0"/>
              <w:rPr>
                <w:sz w:val="14"/>
                <w:szCs w:val="14"/>
                <w:color w:val="auto"/>
              </w:rPr>
            </w:pPr>
          </w:p>
        </w:tc>
        <w:tc>
          <w:tcPr>
            <w:tcW w:w="1720" w:type="dxa"/>
            <w:vAlign w:val="bottom"/>
            <w:tcBorders>
              <w:right w:val="single" w:sz="8" w:color="auto"/>
            </w:tcBorders>
            <w:shd w:val="clear" w:color="auto" w:fill="DBDBDB"/>
          </w:tcPr>
          <w:p>
            <w:pPr>
              <w:spacing w:after="0"/>
              <w:rPr>
                <w:sz w:val="14"/>
                <w:szCs w:val="14"/>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shd w:val="clear" w:color="auto" w:fill="DBDBDB"/>
          </w:tcPr>
          <w:p>
            <w:pPr>
              <w:spacing w:after="0"/>
              <w:rPr>
                <w:sz w:val="15"/>
                <w:szCs w:val="15"/>
                <w:color w:val="auto"/>
              </w:rPr>
            </w:pPr>
          </w:p>
        </w:tc>
        <w:tc>
          <w:tcPr>
            <w:tcW w:w="3380" w:type="dxa"/>
            <w:vAlign w:val="bottom"/>
            <w:tcBorders>
              <w:right w:val="single" w:sz="8" w:color="auto"/>
            </w:tcBorders>
            <w:gridSpan w:val="25"/>
            <w:shd w:val="clear" w:color="auto" w:fill="DBDBDB"/>
          </w:tcPr>
          <w:p>
            <w:pPr>
              <w:spacing w:after="0" w:line="183" w:lineRule="exact"/>
              <w:rPr>
                <w:sz w:val="20"/>
                <w:szCs w:val="20"/>
                <w:color w:val="auto"/>
              </w:rPr>
            </w:pPr>
            <w:r>
              <w:rPr>
                <w:rFonts w:ascii="Arial" w:cs="Arial" w:eastAsia="Arial" w:hAnsi="Arial"/>
                <w:sz w:val="18"/>
                <w:szCs w:val="18"/>
                <w:color w:val="auto"/>
              </w:rPr>
              <w:t>(embedded within the Inline XBRL</w:t>
            </w:r>
          </w:p>
        </w:tc>
        <w:tc>
          <w:tcPr>
            <w:tcW w:w="8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40" w:type="dxa"/>
            <w:vAlign w:val="bottom"/>
            <w:tcBorders>
              <w:left w:val="single" w:sz="8" w:color="auto"/>
              <w:bottom w:val="single" w:sz="8" w:color="auto"/>
              <w:right w:val="single" w:sz="8" w:color="auto"/>
            </w:tcBorders>
            <w:shd w:val="clear" w:color="auto" w:fill="DBDBDB"/>
          </w:tcPr>
          <w:p>
            <w:pPr>
              <w:spacing w:after="0"/>
              <w:rPr>
                <w:sz w:val="20"/>
                <w:szCs w:val="20"/>
                <w:color w:val="auto"/>
              </w:rPr>
            </w:pPr>
          </w:p>
        </w:tc>
        <w:tc>
          <w:tcPr>
            <w:tcW w:w="3380" w:type="dxa"/>
            <w:vAlign w:val="bottom"/>
            <w:tcBorders>
              <w:bottom w:val="single" w:sz="8" w:color="auto"/>
              <w:right w:val="single" w:sz="8" w:color="auto"/>
            </w:tcBorders>
            <w:gridSpan w:val="25"/>
            <w:shd w:val="clear" w:color="auto" w:fill="DBDBDB"/>
          </w:tcPr>
          <w:p>
            <w:pPr>
              <w:spacing w:after="0"/>
              <w:rPr>
                <w:sz w:val="20"/>
                <w:szCs w:val="20"/>
                <w:color w:val="auto"/>
              </w:rPr>
            </w:pPr>
            <w:r>
              <w:rPr>
                <w:rFonts w:ascii="Arial" w:cs="Arial" w:eastAsia="Arial" w:hAnsi="Arial"/>
                <w:sz w:val="18"/>
                <w:szCs w:val="18"/>
                <w:color w:val="auto"/>
              </w:rPr>
              <w:t>document)</w:t>
            </w:r>
          </w:p>
        </w:tc>
        <w:tc>
          <w:tcPr>
            <w:tcW w:w="82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spacing w:after="0"/>
              <w:rPr>
                <w:sz w:val="20"/>
                <w:szCs w:val="20"/>
                <w:color w:val="auto"/>
              </w:rPr>
            </w:pPr>
          </w:p>
        </w:tc>
        <w:tc>
          <w:tcPr>
            <w:tcW w:w="22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right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8"/>
          <w:szCs w:val="18"/>
          <w:color w:val="auto"/>
        </w:rPr>
        <w:t>Management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60" w:right="30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60" w:right="11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60" w:right="64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17780</wp:posOffset>
            </wp:positionV>
            <wp:extent cx="2957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 w:lineRule="exact"/>
        <w:rPr>
          <w:sz w:val="20"/>
          <w:szCs w:val="20"/>
          <w:color w:val="auto"/>
        </w:rPr>
      </w:pPr>
    </w:p>
    <w:p>
      <w:pPr>
        <w:jc w:val="center"/>
        <w:ind w:left="6480"/>
        <w:spacing w:after="0"/>
        <w:rPr>
          <w:sz w:val="20"/>
          <w:szCs w:val="20"/>
          <w:color w:val="auto"/>
        </w:rPr>
      </w:pPr>
      <w:r>
        <w:rPr>
          <w:rFonts w:ascii="Arial" w:cs="Arial" w:eastAsia="Arial" w:hAnsi="Arial"/>
          <w:sz w:val="18"/>
          <w:szCs w:val="18"/>
          <w:b w:val="1"/>
          <w:bCs w:val="1"/>
          <w:color w:val="auto"/>
        </w:rPr>
        <w:t xml:space="preserve">Rafael Lizardi, </w:t>
      </w:r>
      <w:r>
        <w:rPr>
          <w:rFonts w:ascii="Arial" w:cs="Arial" w:eastAsia="Arial" w:hAnsi="Arial"/>
          <w:sz w:val="18"/>
          <w:szCs w:val="18"/>
          <w:color w:val="auto"/>
        </w:rPr>
        <w:t>Senior Vice President and Chief Financial</w:t>
      </w:r>
    </w:p>
    <w:p>
      <w:pPr>
        <w:jc w:val="cente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4" w:name="page65"/>
    <w:bookmarkEnd w:id="64"/>
    <w:p>
      <w:pPr>
        <w:spacing w:after="0" w:line="255" w:lineRule="auto"/>
        <w:rPr>
          <w:sz w:val="20"/>
          <w:szCs w:val="20"/>
          <w:color w:val="auto"/>
        </w:rPr>
      </w:pPr>
      <w:r>
        <w:rPr>
          <w:rFonts w:ascii="Arial" w:cs="Arial" w:eastAsia="Arial" w:hAnsi="Arial"/>
          <w:sz w:val="18"/>
          <w:szCs w:val="18"/>
          <w:color w:val="auto"/>
        </w:rPr>
        <w:t>Each person whose signature appears below constitutes and appoints each of Haviv Ilan, Rafael Lizardi, Julie Knecht and Katie Kane,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2024,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8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14th day of February 2025.</w:t>
      </w:r>
    </w:p>
    <w:p>
      <w:pPr>
        <w:sectPr>
          <w:pgSz w:w="11900" w:h="16838" w:orient="portrait"/>
          <w:cols w:equalWidth="0" w:num="1">
            <w:col w:w="11240"/>
          </w:cols>
          <w:pgMar w:left="320" w:top="985" w:right="339" w:bottom="1440" w:gutter="0" w:footer="0" w:header="0"/>
        </w:sectPr>
      </w:pPr>
    </w:p>
    <w:p>
      <w:pPr>
        <w:spacing w:after="0" w:line="1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Mark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xml:space="preserve">Mark Blinn, </w:t>
      </w:r>
      <w:r>
        <w:rPr>
          <w:rFonts w:ascii="Arial" w:cs="Arial" w:eastAsia="Arial" w:hAnsi="Arial"/>
          <w:sz w:val="18"/>
          <w:szCs w:val="18"/>
          <w:color w:val="auto"/>
        </w:rPr>
        <w:t>Director</w:t>
      </w:r>
    </w:p>
    <w:p>
      <w:pPr>
        <w:spacing w:after="0" w:line="2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Janet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xml:space="preserve">Janet Clark, </w:t>
      </w:r>
      <w:r>
        <w:rPr>
          <w:rFonts w:ascii="Arial" w:cs="Arial" w:eastAsia="Arial" w:hAnsi="Arial"/>
          <w:sz w:val="18"/>
          <w:szCs w:val="18"/>
          <w:color w:val="auto"/>
        </w:rPr>
        <w:t>Director</w:t>
      </w:r>
    </w:p>
    <w:p>
      <w:pPr>
        <w:spacing w:after="0" w:line="2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Martin Craighead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xml:space="preserve">Martin Craighead, </w:t>
      </w:r>
      <w:r>
        <w:rPr>
          <w:rFonts w:ascii="Arial" w:cs="Arial" w:eastAsia="Arial" w:hAnsi="Arial"/>
          <w:sz w:val="18"/>
          <w:szCs w:val="18"/>
          <w:color w:val="auto"/>
        </w:rPr>
        <w:t>Director</w:t>
      </w:r>
    </w:p>
    <w:p>
      <w:pPr>
        <w:spacing w:after="0" w:line="2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Curtis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Curtis Farmer</w:t>
      </w:r>
      <w:r>
        <w:rPr>
          <w:rFonts w:ascii="Arial" w:cs="Arial" w:eastAsia="Arial" w:hAnsi="Arial"/>
          <w:sz w:val="18"/>
          <w:szCs w:val="18"/>
          <w:color w:val="auto"/>
        </w:rPr>
        <w:t>, Director</w:t>
      </w:r>
    </w:p>
    <w:p>
      <w:pPr>
        <w:spacing w:after="0" w:line="2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xml:space="preserve">Ronald Kirk, </w:t>
      </w:r>
      <w:r>
        <w:rPr>
          <w:rFonts w:ascii="Arial" w:cs="Arial" w:eastAsia="Arial" w:hAnsi="Arial"/>
          <w:sz w:val="18"/>
          <w:szCs w:val="18"/>
          <w:color w:val="auto"/>
        </w:rPr>
        <w:t>Director</w:t>
      </w:r>
    </w:p>
    <w:p>
      <w:pPr>
        <w:spacing w:after="0" w:line="2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Robert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 xml:space="preserve">Robert Sanchez, </w:t>
      </w: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 xml:space="preserve">Haviv Ilan, </w:t>
      </w:r>
      <w:r>
        <w:rPr>
          <w:rFonts w:ascii="Arial" w:cs="Arial" w:eastAsia="Arial" w:hAnsi="Arial"/>
          <w:sz w:val="17"/>
          <w:szCs w:val="17"/>
          <w:color w:val="auto"/>
        </w:rPr>
        <w:t>Director, President and</w:t>
      </w:r>
    </w:p>
    <w:p>
      <w:pPr>
        <w:ind w:left="1860"/>
        <w:spacing w:after="0"/>
        <w:rPr>
          <w:sz w:val="20"/>
          <w:szCs w:val="20"/>
          <w:color w:val="auto"/>
        </w:rPr>
      </w:pPr>
      <w:r>
        <w:rPr>
          <w:rFonts w:ascii="Arial" w:cs="Arial" w:eastAsia="Arial" w:hAnsi="Arial"/>
          <w:sz w:val="18"/>
          <w:szCs w:val="18"/>
          <w:color w:val="auto"/>
        </w:rPr>
        <w:t>Chief Executive Officer</w:t>
      </w:r>
    </w:p>
    <w:p>
      <w:pPr>
        <w:spacing w:after="0" w:line="288"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Julie Knecht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Julie Knecht, </w:t>
      </w:r>
      <w:r>
        <w:rPr>
          <w:rFonts w:ascii="Arial" w:cs="Arial" w:eastAsia="Arial" w:hAnsi="Arial"/>
          <w:sz w:val="18"/>
          <w:szCs w:val="18"/>
          <w:color w:val="auto"/>
        </w:rPr>
        <w:t>Vice President and</w:t>
      </w:r>
    </w:p>
    <w:p>
      <w:pPr>
        <w:ind w:left="180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/s/ Todd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 xml:space="preserve">Todd Bluedorn, </w:t>
      </w:r>
      <w:r>
        <w:rPr>
          <w:rFonts w:ascii="Arial" w:cs="Arial" w:eastAsia="Arial" w:hAnsi="Arial"/>
          <w:sz w:val="18"/>
          <w:szCs w:val="18"/>
          <w:color w:val="auto"/>
        </w:rPr>
        <w:t>Director</w:t>
      </w:r>
    </w:p>
    <w:p>
      <w:pPr>
        <w:spacing w:after="0" w:line="293"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/s/ Carrie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 xml:space="preserve">Carrie Cox, </w:t>
      </w:r>
      <w:r>
        <w:rPr>
          <w:rFonts w:ascii="Arial" w:cs="Arial" w:eastAsia="Arial" w:hAnsi="Arial"/>
          <w:sz w:val="18"/>
          <w:szCs w:val="18"/>
          <w:color w:val="auto"/>
        </w:rPr>
        <w:t>Director</w:t>
      </w:r>
    </w:p>
    <w:p>
      <w:pPr>
        <w:spacing w:after="0" w:line="293"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/s/ Reginald DesRoches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 xml:space="preserve">Reginald DesRoches, </w:t>
      </w:r>
      <w:r>
        <w:rPr>
          <w:rFonts w:ascii="Arial" w:cs="Arial" w:eastAsia="Arial" w:hAnsi="Arial"/>
          <w:sz w:val="18"/>
          <w:szCs w:val="18"/>
          <w:color w:val="auto"/>
        </w:rPr>
        <w:t>Director</w:t>
      </w:r>
    </w:p>
    <w:p>
      <w:pPr>
        <w:spacing w:after="0" w:line="293"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/s/ Jean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 xml:space="preserve">Jean Hobby, </w:t>
      </w:r>
      <w:r>
        <w:rPr>
          <w:rFonts w:ascii="Arial" w:cs="Arial" w:eastAsia="Arial" w:hAnsi="Arial"/>
          <w:sz w:val="18"/>
          <w:szCs w:val="18"/>
          <w:color w:val="auto"/>
        </w:rPr>
        <w:t>Director</w:t>
      </w:r>
    </w:p>
    <w:p>
      <w:pPr>
        <w:spacing w:after="0" w:line="293"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/s/ Pamela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 xml:space="preserve">Pamela Patsley, </w:t>
      </w:r>
      <w:r>
        <w:rPr>
          <w:rFonts w:ascii="Arial" w:cs="Arial" w:eastAsia="Arial" w:hAnsi="Arial"/>
          <w:sz w:val="18"/>
          <w:szCs w:val="18"/>
          <w:color w:val="auto"/>
        </w:rPr>
        <w:t>Director</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Richard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Richard Templeton, </w:t>
      </w:r>
      <w:r>
        <w:rPr>
          <w:rFonts w:ascii="Arial" w:cs="Arial" w:eastAsia="Arial" w:hAnsi="Arial"/>
          <w:sz w:val="18"/>
          <w:szCs w:val="18"/>
          <w:color w:val="auto"/>
        </w:rPr>
        <w:t>Director and</w:t>
      </w:r>
    </w:p>
    <w:p>
      <w:pPr>
        <w:ind w:left="760"/>
        <w:spacing w:after="0"/>
        <w:rPr>
          <w:sz w:val="20"/>
          <w:szCs w:val="20"/>
          <w:color w:val="auto"/>
        </w:rPr>
      </w:pPr>
      <w:r>
        <w:rPr>
          <w:rFonts w:ascii="Arial" w:cs="Arial" w:eastAsia="Arial" w:hAnsi="Arial"/>
          <w:sz w:val="18"/>
          <w:szCs w:val="18"/>
          <w:color w:val="auto"/>
        </w:rPr>
        <w:t>Chairman of the Board</w:t>
      </w:r>
    </w:p>
    <w:p>
      <w:pPr>
        <w:spacing w:after="0" w:line="2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17780</wp:posOffset>
            </wp:positionV>
            <wp:extent cx="3522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Rafael Lizardi, </w:t>
      </w:r>
      <w:r>
        <w:rPr>
          <w:rFonts w:ascii="Arial" w:cs="Arial" w:eastAsia="Arial" w:hAnsi="Arial"/>
          <w:sz w:val="17"/>
          <w:szCs w:val="17"/>
          <w:color w:val="auto"/>
        </w:rPr>
        <w:t>Senior Vice President and</w:t>
      </w:r>
    </w:p>
    <w:p>
      <w:pPr>
        <w:ind w:left="780"/>
        <w:spacing w:after="0"/>
        <w:rPr>
          <w:sz w:val="20"/>
          <w:szCs w:val="20"/>
          <w:color w:val="auto"/>
        </w:rPr>
      </w:pPr>
      <w:r>
        <w:rPr>
          <w:rFonts w:ascii="Arial" w:cs="Arial" w:eastAsia="Arial" w:hAnsi="Arial"/>
          <w:sz w:val="18"/>
          <w:szCs w:val="18"/>
          <w:color w:val="auto"/>
        </w:rPr>
        <w:t>Chief Financial Officer</w:t>
      </w:r>
    </w:p>
    <w:p>
      <w:pPr>
        <w:spacing w:after="0" w:line="1131" w:lineRule="exact"/>
        <w:rPr>
          <w:sz w:val="20"/>
          <w:szCs w:val="20"/>
          <w:color w:val="auto"/>
        </w:rPr>
      </w:pPr>
    </w:p>
    <w:p>
      <w:pPr>
        <w:sectPr>
          <w:pgSz w:w="11900" w:h="16838" w:orient="portrait"/>
          <w:cols w:equalWidth="0" w:num="2">
            <w:col w:w="6040" w:space="720"/>
            <w:col w:w="4480"/>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985" w:right="3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6"/>
          <w:szCs w:val="16"/>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wp:posOffset>
            </wp:positionV>
            <wp:extent cx="6129020" cy="3600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61290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TI Policy</w:t>
      </w:r>
    </w:p>
    <w:p>
      <w:pPr>
        <w:spacing w:after="0" w:line="315"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Insider Trading Policy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Summary</w:t>
      </w:r>
    </w:p>
    <w:p>
      <w:pPr>
        <w:spacing w:after="0" w:line="198" w:lineRule="exact"/>
        <w:rPr>
          <w:sz w:val="20"/>
          <w:szCs w:val="20"/>
          <w:color w:val="auto"/>
        </w:rPr>
      </w:pPr>
    </w:p>
    <w:p>
      <w:pPr>
        <w:ind w:left="100" w:right="440"/>
        <w:spacing w:after="0" w:line="258" w:lineRule="auto"/>
        <w:rPr>
          <w:sz w:val="20"/>
          <w:szCs w:val="20"/>
          <w:color w:val="auto"/>
        </w:rPr>
      </w:pPr>
      <w:r>
        <w:rPr>
          <w:rFonts w:ascii="Arial" w:cs="Arial" w:eastAsia="Arial" w:hAnsi="Arial"/>
          <w:sz w:val="20"/>
          <w:szCs w:val="20"/>
          <w:color w:val="auto"/>
        </w:rPr>
        <w:t>This document establishes Texas Instruments Incorporated (“TI”) policy and practice with respect to transactions in TI securities to assist TI employees in avoiding allegations of illegal insider trading. TI will interpret, administer and amend this policy within its sole discretion. This policy is not intended to and does not confer legal rights or impose legal obligations. This policy applies to all TI employees and contractors, and to business partners with access to material non-public information about the company.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Policy statement</w:t>
      </w:r>
    </w:p>
    <w:p>
      <w:pPr>
        <w:spacing w:after="0" w:line="231" w:lineRule="exact"/>
        <w:rPr>
          <w:sz w:val="20"/>
          <w:szCs w:val="20"/>
          <w:color w:val="auto"/>
        </w:rPr>
      </w:pPr>
    </w:p>
    <w:p>
      <w:pPr>
        <w:ind w:left="140" w:right="240"/>
        <w:spacing w:after="0" w:line="271" w:lineRule="auto"/>
        <w:rPr>
          <w:sz w:val="20"/>
          <w:szCs w:val="20"/>
          <w:color w:val="auto"/>
        </w:rPr>
      </w:pPr>
      <w:r>
        <w:rPr>
          <w:rFonts w:ascii="Arial" w:cs="Arial" w:eastAsia="Arial" w:hAnsi="Arial"/>
          <w:sz w:val="20"/>
          <w:szCs w:val="20"/>
          <w:color w:val="auto"/>
        </w:rPr>
        <w:t>It is TI policy that transactions in TI securities, including by TI employees, contractors, and business partners with access to material non-public information about the company, are made in compliance with applicable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29" w:lineRule="exact"/>
        <w:rPr>
          <w:sz w:val="20"/>
          <w:szCs w:val="20"/>
          <w:color w:val="auto"/>
        </w:rPr>
      </w:pPr>
    </w:p>
    <w:p>
      <w:pPr>
        <w:ind w:left="740" w:hanging="307"/>
        <w:spacing w:after="0"/>
        <w:tabs>
          <w:tab w:leader="none" w:pos="74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Executive officer: </w:t>
      </w:r>
      <w:r>
        <w:rPr>
          <w:rFonts w:ascii="Arial" w:cs="Arial" w:eastAsia="Arial" w:hAnsi="Arial"/>
          <w:sz w:val="20"/>
          <w:szCs w:val="20"/>
          <w:color w:val="auto"/>
        </w:rPr>
        <w:t>An employee of TI designated as an “executive officer” by the Board of Directors of TI.</w:t>
      </w:r>
    </w:p>
    <w:p>
      <w:pPr>
        <w:spacing w:after="0" w:line="5" w:lineRule="exact"/>
        <w:rPr>
          <w:rFonts w:ascii="Times New Roman" w:cs="Times New Roman" w:eastAsia="Times New Roman" w:hAnsi="Times New Roman"/>
          <w:sz w:val="20"/>
          <w:szCs w:val="20"/>
          <w:color w:val="auto"/>
        </w:rPr>
      </w:pPr>
    </w:p>
    <w:p>
      <w:pPr>
        <w:ind w:left="760" w:right="320" w:hanging="326"/>
        <w:spacing w:after="0" w:line="249" w:lineRule="auto"/>
        <w:tabs>
          <w:tab w:leader="none" w:pos="747"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Material non-public information: </w:t>
      </w:r>
      <w:r>
        <w:rPr>
          <w:rFonts w:ascii="Arial" w:cs="Arial" w:eastAsia="Arial" w:hAnsi="Arial"/>
          <w:sz w:val="20"/>
          <w:szCs w:val="20"/>
          <w:color w:val="auto"/>
        </w:rPr>
        <w:t>All information not publicly disclosed with respect to which there is a substantial</w:t>
      </w:r>
      <w:r>
        <w:rPr>
          <w:rFonts w:ascii="Arial" w:cs="Arial" w:eastAsia="Arial" w:hAnsi="Arial"/>
          <w:sz w:val="20"/>
          <w:szCs w:val="20"/>
          <w:b w:val="1"/>
          <w:bCs w:val="1"/>
          <w:color w:val="auto"/>
        </w:rPr>
        <w:t xml:space="preserve"> </w:t>
      </w:r>
      <w:r>
        <w:rPr>
          <w:rFonts w:ascii="Arial" w:cs="Arial" w:eastAsia="Arial" w:hAnsi="Arial"/>
          <w:sz w:val="20"/>
          <w:szCs w:val="20"/>
          <w:color w:val="auto"/>
        </w:rPr>
        <w:t>likelihood that a reasonable investor would consider it important in making an investment decision. All materiality determinations are based on the specific facts and circumstances of each situation, and decisions are made by TI’s Disclosure Committee.</w:t>
      </w:r>
    </w:p>
    <w:p>
      <w:pPr>
        <w:spacing w:after="0" w:line="3" w:lineRule="exact"/>
        <w:rPr>
          <w:rFonts w:ascii="Times New Roman" w:cs="Times New Roman" w:eastAsia="Times New Roman" w:hAnsi="Times New Roman"/>
          <w:sz w:val="20"/>
          <w:szCs w:val="20"/>
          <w:color w:val="auto"/>
        </w:rPr>
      </w:pPr>
    </w:p>
    <w:p>
      <w:pPr>
        <w:ind w:left="760" w:right="440" w:hanging="326"/>
        <w:spacing w:after="0" w:line="239" w:lineRule="auto"/>
        <w:tabs>
          <w:tab w:leader="none" w:pos="747"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Securities: </w:t>
      </w:r>
      <w:r>
        <w:rPr>
          <w:rFonts w:ascii="Arial" w:cs="Arial" w:eastAsia="Arial" w:hAnsi="Arial"/>
          <w:sz w:val="20"/>
          <w:szCs w:val="20"/>
          <w:color w:val="auto"/>
        </w:rPr>
        <w:t>Common stock, preferred stock, stock options, stock units such as Restricted Stock Units (RSUs) and</w:t>
      </w:r>
      <w:r>
        <w:rPr>
          <w:rFonts w:ascii="Arial" w:cs="Arial" w:eastAsia="Arial" w:hAnsi="Arial"/>
          <w:sz w:val="20"/>
          <w:szCs w:val="20"/>
          <w:b w:val="1"/>
          <w:bCs w:val="1"/>
          <w:color w:val="auto"/>
        </w:rPr>
        <w:t xml:space="preserve"> </w:t>
      </w:r>
      <w:r>
        <w:rPr>
          <w:rFonts w:ascii="Arial" w:cs="Arial" w:eastAsia="Arial" w:hAnsi="Arial"/>
          <w:sz w:val="20"/>
          <w:szCs w:val="20"/>
          <w:color w:val="auto"/>
        </w:rPr>
        <w:t>Stock Appreciation Rights (SARs), derivatives and debt securities.</w:t>
      </w:r>
    </w:p>
    <w:p>
      <w:pPr>
        <w:ind w:left="760" w:right="660" w:hanging="324"/>
        <w:spacing w:after="0" w:line="248" w:lineRule="auto"/>
        <w:tabs>
          <w:tab w:leader="none" w:pos="759"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Trading: </w:t>
      </w:r>
      <w:r>
        <w:rPr>
          <w:rFonts w:ascii="Arial" w:cs="Arial" w:eastAsia="Arial" w:hAnsi="Arial"/>
          <w:sz w:val="20"/>
          <w:szCs w:val="20"/>
          <w:color w:val="auto"/>
        </w:rPr>
        <w:t>Purchases, sales, gifts or donations of securities and includes open market transactions and cashless</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of stock options (simultaneous exercise and sale of acquired shares to cover the exercise price). The following transactions are not subject to this policy:</w:t>
      </w:r>
    </w:p>
    <w:p>
      <w:pPr>
        <w:spacing w:after="0" w:line="1" w:lineRule="exact"/>
        <w:rPr>
          <w:rFonts w:ascii="Times New Roman" w:cs="Times New Roman" w:eastAsia="Times New Roman" w:hAnsi="Times New Roman"/>
          <w:sz w:val="20"/>
          <w:szCs w:val="20"/>
          <w:color w:val="auto"/>
        </w:rPr>
      </w:pPr>
    </w:p>
    <w:p>
      <w:pPr>
        <w:ind w:left="1080" w:right="1040" w:hanging="1"/>
        <w:spacing w:after="0" w:line="254" w:lineRule="auto"/>
        <w:rPr>
          <w:rFonts w:ascii="Times New Roman" w:cs="Times New Roman" w:eastAsia="Times New Roman" w:hAnsi="Times New Roman"/>
          <w:sz w:val="20"/>
          <w:szCs w:val="20"/>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Enrollment in TI’s employee stock purchase plan (ESPP) and purchases of shares under the ESPP.</w:t>
      </w:r>
      <w:r>
        <w:rPr>
          <w:rFonts w:ascii="Courier New" w:cs="Courier New" w:eastAsia="Courier New" w:hAnsi="Courier New"/>
          <w:sz w:val="19"/>
          <w:szCs w:val="19"/>
          <w:color w:val="auto"/>
        </w:rPr>
        <w:t xml:space="preserve"> o </w:t>
      </w:r>
      <w:r>
        <w:rPr>
          <w:rFonts w:ascii="Arial" w:cs="Arial" w:eastAsia="Arial" w:hAnsi="Arial"/>
          <w:sz w:val="19"/>
          <w:szCs w:val="19"/>
          <w:color w:val="auto"/>
        </w:rPr>
        <w:t>Cash exercise of a stock option, without any sale of the underlying stock (an “exercise and hold”</w:t>
      </w:r>
    </w:p>
    <w:p>
      <w:pPr>
        <w:spacing w:after="0" w:line="1" w:lineRule="exact"/>
        <w:rPr>
          <w:rFonts w:ascii="Times New Roman" w:cs="Times New Roman" w:eastAsia="Times New Roman" w:hAnsi="Times New Roman"/>
          <w:sz w:val="20"/>
          <w:szCs w:val="20"/>
          <w:color w:val="auto"/>
        </w:rPr>
      </w:pPr>
    </w:p>
    <w:p>
      <w:pPr>
        <w:ind w:left="142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transaction).</w:t>
      </w:r>
    </w:p>
    <w:p>
      <w:pPr>
        <w:spacing w:after="0" w:line="13" w:lineRule="exact"/>
        <w:rPr>
          <w:rFonts w:ascii="Times New Roman" w:cs="Times New Roman" w:eastAsia="Times New Roman" w:hAnsi="Times New Roman"/>
          <w:sz w:val="20"/>
          <w:szCs w:val="20"/>
          <w:color w:val="auto"/>
        </w:rPr>
      </w:pPr>
    </w:p>
    <w:p>
      <w:pPr>
        <w:ind w:left="1420" w:right="1000" w:hanging="328"/>
        <w:spacing w:after="0" w:line="215"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Transactions in publicly traded index funds and mutual funds that are invested in a broad portfolio of</w:t>
      </w:r>
      <w:r>
        <w:rPr>
          <w:rFonts w:ascii="Courier New" w:cs="Courier New" w:eastAsia="Courier New" w:hAnsi="Courier New"/>
          <w:sz w:val="20"/>
          <w:szCs w:val="20"/>
          <w:color w:val="auto"/>
        </w:rPr>
        <w:t xml:space="preserve"> </w:t>
      </w:r>
      <w:r>
        <w:rPr>
          <w:rFonts w:ascii="Arial" w:cs="Arial" w:eastAsia="Arial" w:hAnsi="Arial"/>
          <w:sz w:val="20"/>
          <w:szCs w:val="20"/>
          <w:color w:val="auto"/>
        </w:rPr>
        <w:t>companies, which may include TI.</w:t>
      </w:r>
    </w:p>
    <w:p>
      <w:pPr>
        <w:spacing w:after="0" w:line="1"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Withholding of shares by TI to satisfy tax withholding obligations upon vesting of RSUs.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auto"/>
        </w:rPr>
        <w:t>Practice</w:t>
      </w:r>
    </w:p>
    <w:p>
      <w:pPr>
        <w:spacing w:after="0" w:line="231" w:lineRule="exact"/>
        <w:rPr>
          <w:sz w:val="20"/>
          <w:szCs w:val="20"/>
          <w:color w:val="auto"/>
        </w:rPr>
      </w:pPr>
    </w:p>
    <w:p>
      <w:pPr>
        <w:ind w:left="100" w:right="980"/>
        <w:spacing w:after="0" w:line="282" w:lineRule="auto"/>
        <w:rPr>
          <w:sz w:val="20"/>
          <w:szCs w:val="20"/>
          <w:color w:val="auto"/>
        </w:rPr>
      </w:pPr>
      <w:r>
        <w:rPr>
          <w:rFonts w:ascii="Arial" w:cs="Arial" w:eastAsia="Arial" w:hAnsi="Arial"/>
          <w:sz w:val="19"/>
          <w:szCs w:val="19"/>
          <w:b w:val="1"/>
          <w:bCs w:val="1"/>
          <w:i w:val="1"/>
          <w:iCs w:val="1"/>
          <w:color w:val="auto"/>
        </w:rPr>
        <w:t xml:space="preserve">No trading while in possession of material non-public information about TI. </w:t>
      </w:r>
      <w:r>
        <w:rPr>
          <w:rFonts w:ascii="Arial" w:cs="Arial" w:eastAsia="Arial" w:hAnsi="Arial"/>
          <w:sz w:val="19"/>
          <w:szCs w:val="19"/>
          <w:color w:val="auto"/>
        </w:rPr>
        <w:t>If you have material non- public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information about TI, you should not trade in TI securities or share the information with anyone else. This restriction applies until one full trading day has elapsed following public release of the material non- public information.</w:t>
      </w:r>
    </w:p>
    <w:p>
      <w:pPr>
        <w:spacing w:after="0" w:line="188" w:lineRule="exact"/>
        <w:rPr>
          <w:sz w:val="20"/>
          <w:szCs w:val="20"/>
          <w:color w:val="auto"/>
        </w:rPr>
      </w:pPr>
    </w:p>
    <w:p>
      <w:pPr>
        <w:ind w:left="120" w:right="660"/>
        <w:spacing w:after="0" w:line="272" w:lineRule="auto"/>
        <w:rPr>
          <w:sz w:val="20"/>
          <w:szCs w:val="20"/>
          <w:color w:val="auto"/>
        </w:rPr>
      </w:pPr>
      <w:r>
        <w:rPr>
          <w:rFonts w:ascii="Arial" w:cs="Arial" w:eastAsia="Arial" w:hAnsi="Arial"/>
          <w:sz w:val="19"/>
          <w:szCs w:val="19"/>
          <w:color w:val="auto"/>
        </w:rPr>
        <w:t>Specific individuals who have regular access to material non-public information are asked to refrain from trading during regularly scheduled restricted trading periods, or to trade only during a specific time each quarter. Additionally, TI sometimes implements special restricted trading periods for specific individuals based on particular events or developments. If these regular or special trading restrictions apply to you, you will be notified by the legal department.</w:t>
      </w:r>
    </w:p>
    <w:p>
      <w:pPr>
        <w:sectPr>
          <w:pgSz w:w="11900" w:h="16838" w:orient="portrait"/>
          <w:cols w:equalWidth="0" w:num="1">
            <w:col w:w="11140"/>
          </w:cols>
          <w:pgMar w:left="420" w:top="773" w:right="339" w:bottom="1440" w:gutter="0" w:footer="0" w:header="0"/>
        </w:sectPr>
      </w:pPr>
    </w:p>
    <w:bookmarkStart w:id="66" w:name="page67"/>
    <w:bookmarkEnd w:id="66"/>
    <w:p>
      <w:pPr>
        <w:spacing w:after="0" w:line="136"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b w:val="1"/>
          <w:bCs w:val="1"/>
          <w:i w:val="1"/>
          <w:iCs w:val="1"/>
          <w:color w:val="auto"/>
        </w:rPr>
        <w:t xml:space="preserve">No third-party trading or tipping. </w:t>
      </w:r>
      <w:r>
        <w:rPr>
          <w:rFonts w:ascii="Arial" w:cs="Arial" w:eastAsia="Arial" w:hAnsi="Arial"/>
          <w:sz w:val="20"/>
          <w:szCs w:val="20"/>
          <w:color w:val="auto"/>
        </w:rPr>
        <w:t>If you learn material non-public information about another company as a result of your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work for TI, you should not trade in the other company’s securities or share the information with anyone else.</w:t>
      </w:r>
    </w:p>
    <w:p>
      <w:pPr>
        <w:spacing w:after="0" w:line="181" w:lineRule="exact"/>
        <w:rPr>
          <w:sz w:val="20"/>
          <w:szCs w:val="20"/>
          <w:color w:val="auto"/>
        </w:rPr>
      </w:pPr>
    </w:p>
    <w:p>
      <w:pPr>
        <w:jc w:val="both"/>
        <w:ind w:right="340"/>
        <w:spacing w:after="0" w:line="263" w:lineRule="auto"/>
        <w:rPr>
          <w:sz w:val="20"/>
          <w:szCs w:val="20"/>
          <w:color w:val="auto"/>
        </w:rPr>
      </w:pPr>
      <w:r>
        <w:rPr>
          <w:rFonts w:ascii="Arial" w:cs="Arial" w:eastAsia="Arial" w:hAnsi="Arial"/>
          <w:sz w:val="20"/>
          <w:szCs w:val="20"/>
          <w:b w:val="1"/>
          <w:bCs w:val="1"/>
          <w:i w:val="1"/>
          <w:iCs w:val="1"/>
          <w:color w:val="auto"/>
        </w:rPr>
        <w:t>No short sales, hedging or trading in derivatives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You should not sell TI securities that you do not own (a “short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sale”). You also should not engage in puts, calls or publicly traded options, forward sale contracts and other swap, hedging and derivative transactions involving TI securities.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restrictions</w:t>
      </w:r>
    </w:p>
    <w:p>
      <w:pPr>
        <w:spacing w:after="0" w:line="231"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b w:val="1"/>
          <w:bCs w:val="1"/>
          <w:i w:val="1"/>
          <w:iCs w:val="1"/>
          <w:color w:val="auto"/>
        </w:rPr>
        <w:t xml:space="preserve">Additional restrictions for executive officers and directors. </w:t>
      </w:r>
      <w:r>
        <w:rPr>
          <w:rFonts w:ascii="Arial" w:cs="Arial" w:eastAsia="Arial" w:hAnsi="Arial"/>
          <w:sz w:val="19"/>
          <w:szCs w:val="19"/>
          <w:color w:val="auto"/>
        </w:rPr>
        <w:t>Executive officers and directors should not pledge any TI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including holding TI securities in a margin account or using TI securities as collateral for a loan. Also, executive officers and directors should pre-clear their transactions in TI securities with TI’s General Counsel or Chief Financial Officer.</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i w:val="1"/>
          <w:iCs w:val="1"/>
          <w:color w:val="auto"/>
        </w:rPr>
        <w:t xml:space="preserve">Restrictions related to transactions made by TI. </w:t>
      </w:r>
      <w:r>
        <w:rPr>
          <w:rFonts w:ascii="Arial" w:cs="Arial" w:eastAsia="Arial" w:hAnsi="Arial"/>
          <w:sz w:val="20"/>
          <w:szCs w:val="20"/>
          <w:color w:val="auto"/>
        </w:rPr>
        <w:t>When TI is in possession of material non-public information and for one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trading day after its public release, TI should not buy shares in the open market except pursuant to a 10b5-1 trading plan that has been approved by the legal department.</w:t>
      </w:r>
    </w:p>
    <w:p>
      <w:pPr>
        <w:spacing w:after="0" w:line="178" w:lineRule="exact"/>
        <w:rPr>
          <w:sz w:val="20"/>
          <w:szCs w:val="20"/>
          <w:color w:val="auto"/>
        </w:rPr>
      </w:pPr>
    </w:p>
    <w:p>
      <w:pPr>
        <w:ind w:right="920"/>
        <w:spacing w:after="0" w:line="286" w:lineRule="auto"/>
        <w:rPr>
          <w:sz w:val="20"/>
          <w:szCs w:val="20"/>
          <w:color w:val="auto"/>
        </w:rPr>
      </w:pPr>
      <w:r>
        <w:rPr>
          <w:rFonts w:ascii="Arial" w:cs="Arial" w:eastAsia="Arial" w:hAnsi="Arial"/>
          <w:sz w:val="20"/>
          <w:szCs w:val="20"/>
          <w:color w:val="auto"/>
        </w:rPr>
        <w:t>TI’s policies are designed to help you comply with law. Ultimately, it is your responsibility to ensure that you are not trading in TI securities while you have material non-public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Resources</w:t>
      </w:r>
    </w:p>
    <w:p>
      <w:pPr>
        <w:spacing w:after="0" w:line="218" w:lineRule="exact"/>
        <w:rPr>
          <w:sz w:val="20"/>
          <w:szCs w:val="20"/>
          <w:color w:val="auto"/>
        </w:rPr>
      </w:pPr>
    </w:p>
    <w:p>
      <w:pPr>
        <w:ind w:right="1180"/>
        <w:spacing w:after="0" w:line="286" w:lineRule="auto"/>
        <w:rPr>
          <w:sz w:val="20"/>
          <w:szCs w:val="20"/>
          <w:color w:val="auto"/>
        </w:rPr>
      </w:pPr>
      <w:r>
        <w:rPr>
          <w:rFonts w:ascii="Arial" w:cs="Arial" w:eastAsia="Arial" w:hAnsi="Arial"/>
          <w:sz w:val="20"/>
          <w:szCs w:val="20"/>
          <w:color w:val="auto"/>
        </w:rPr>
        <w:t>For questions or more information about this policy please consult with the legal department or refer to the legal department website.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w:t>
      </w:r>
      <w:r>
        <w:rPr>
          <w:rFonts w:ascii="Arial" w:cs="Arial" w:eastAsia="Arial" w:hAnsi="Arial"/>
          <w:sz w:val="20"/>
          <w:szCs w:val="20"/>
          <w:color w:val="auto"/>
        </w:rPr>
        <w:t>: Nov. 15, 2019</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last modified</w:t>
      </w:r>
      <w:r>
        <w:rPr>
          <w:rFonts w:ascii="Arial" w:cs="Arial" w:eastAsia="Arial" w:hAnsi="Arial"/>
          <w:sz w:val="20"/>
          <w:szCs w:val="20"/>
          <w:color w:val="auto"/>
        </w:rPr>
        <w:t>: Jan. 23, 2025</w:t>
      </w:r>
      <w:r>
        <w:rPr>
          <w:rFonts w:ascii="Arial" w:cs="Arial" w:eastAsia="Arial" w:hAnsi="Arial"/>
          <w:sz w:val="20"/>
          <w:szCs w:val="20"/>
          <w:b w:val="1"/>
          <w:bCs w:val="1"/>
          <w:color w:val="auto"/>
        </w:rPr>
        <w:t xml:space="preserve"> Owner</w:t>
      </w:r>
      <w:r>
        <w:rPr>
          <w:rFonts w:ascii="Arial" w:cs="Arial" w:eastAsia="Arial" w:hAnsi="Arial"/>
          <w:sz w:val="20"/>
          <w:szCs w:val="20"/>
          <w:color w:val="auto"/>
        </w:rPr>
        <w:t>: General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Counsel, CFO </w:t>
      </w:r>
      <w:r>
        <w:rPr>
          <w:rFonts w:ascii="Arial" w:cs="Arial" w:eastAsia="Arial" w:hAnsi="Arial"/>
          <w:sz w:val="20"/>
          <w:szCs w:val="20"/>
          <w:b w:val="1"/>
          <w:bCs w:val="1"/>
          <w:color w:val="auto"/>
        </w:rPr>
        <w:t>Approvers</w:t>
      </w:r>
      <w:r>
        <w:rPr>
          <w:rFonts w:ascii="Arial" w:cs="Arial" w:eastAsia="Arial" w:hAnsi="Arial"/>
          <w:sz w:val="20"/>
          <w:szCs w:val="20"/>
          <w:color w:val="auto"/>
        </w:rPr>
        <w:t>: General Counsel,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7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20"/>
          </w:cols>
          <w:pgMar w:left="520" w:top="1440" w:right="4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gridSpan w:val="4"/>
          </w:tcPr>
          <w:p>
            <w:pPr>
              <w:ind w:left="3020"/>
              <w:spacing w:after="0"/>
              <w:rPr>
                <w:sz w:val="20"/>
                <w:szCs w:val="20"/>
                <w:color w:val="auto"/>
              </w:rPr>
            </w:pPr>
            <w:r>
              <w:rPr>
                <w:rFonts w:ascii="Arial" w:cs="Arial" w:eastAsia="Arial" w:hAnsi="Arial"/>
                <w:sz w:val="18"/>
                <w:szCs w:val="18"/>
                <w:color w:val="auto"/>
              </w:rPr>
              <w:t>TEXAS INSTRUMENTS INCORPORATED AND SUBSIDIARIES</w:t>
            </w:r>
          </w:p>
        </w:tc>
      </w:tr>
      <w:tr>
        <w:trPr>
          <w:trHeight w:val="239"/>
        </w:trPr>
        <w:tc>
          <w:tcPr>
            <w:tcW w:w="20" w:type="dxa"/>
            <w:vAlign w:val="bottom"/>
          </w:tcPr>
          <w:p>
            <w:pPr>
              <w:spacing w:after="0"/>
              <w:rPr>
                <w:sz w:val="20"/>
                <w:szCs w:val="20"/>
                <w:color w:val="auto"/>
              </w:rPr>
            </w:pPr>
          </w:p>
        </w:tc>
        <w:tc>
          <w:tcPr>
            <w:tcW w:w="8780" w:type="dxa"/>
            <w:vAlign w:val="bottom"/>
            <w:gridSpan w:val="4"/>
          </w:tcPr>
          <w:p>
            <w:pPr>
              <w:ind w:left="3640"/>
              <w:spacing w:after="0"/>
              <w:rPr>
                <w:sz w:val="20"/>
                <w:szCs w:val="20"/>
                <w:color w:val="auto"/>
              </w:rPr>
            </w:pPr>
            <w:r>
              <w:rPr>
                <w:rFonts w:ascii="Arial" w:cs="Arial" w:eastAsia="Arial" w:hAnsi="Arial"/>
                <w:sz w:val="18"/>
                <w:szCs w:val="18"/>
                <w:color w:val="auto"/>
              </w:rPr>
              <w:t>LIST OF SUBSIDIARIES OF THE REGISTRANT</w:t>
            </w:r>
          </w:p>
        </w:tc>
      </w:tr>
      <w:tr>
        <w:trPr>
          <w:trHeight w:val="418"/>
        </w:trPr>
        <w:tc>
          <w:tcPr>
            <w:tcW w:w="6600" w:type="dxa"/>
            <w:vAlign w:val="bottom"/>
            <w:gridSpan w:val="3"/>
          </w:tcPr>
          <w:p>
            <w:pPr>
              <w:spacing w:after="0"/>
              <w:rPr>
                <w:sz w:val="20"/>
                <w:szCs w:val="20"/>
                <w:color w:val="auto"/>
              </w:rPr>
            </w:pPr>
            <w:r>
              <w:rPr>
                <w:rFonts w:ascii="Arial" w:cs="Arial" w:eastAsia="Arial" w:hAnsi="Arial"/>
                <w:sz w:val="18"/>
                <w:szCs w:val="18"/>
                <w:color w:val="auto"/>
              </w:rPr>
              <w:t>The following are subsidiaries of the Registrant as of December 31, 2024.</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2200" w:type="dxa"/>
            <w:vAlign w:val="bottom"/>
            <w:gridSpan w:val="2"/>
          </w:tcPr>
          <w:p>
            <w:pPr>
              <w:ind w:left="720"/>
              <w:spacing w:after="0"/>
              <w:rPr>
                <w:sz w:val="20"/>
                <w:szCs w:val="20"/>
                <w:color w:val="auto"/>
              </w:rPr>
            </w:pPr>
            <w:r>
              <w:rPr>
                <w:rFonts w:ascii="Arial" w:cs="Arial" w:eastAsia="Arial" w:hAnsi="Arial"/>
                <w:sz w:val="18"/>
                <w:szCs w:val="18"/>
                <w:b w:val="1"/>
                <w:bCs w:val="1"/>
                <w:color w:val="auto"/>
                <w:w w:val="98"/>
              </w:rPr>
              <w:t>Where Organized</w:t>
            </w:r>
          </w:p>
        </w:tc>
      </w:tr>
      <w:tr>
        <w:trPr>
          <w:trHeight w:val="281"/>
        </w:trPr>
        <w:tc>
          <w:tcPr>
            <w:tcW w:w="20" w:type="dxa"/>
            <w:vAlign w:val="bottom"/>
          </w:tcPr>
          <w:p>
            <w:pPr>
              <w:spacing w:after="0"/>
              <w:rPr>
                <w:sz w:val="24"/>
                <w:szCs w:val="24"/>
                <w:color w:val="auto"/>
              </w:rPr>
            </w:pPr>
          </w:p>
        </w:tc>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Algorex Inc.</w:t>
            </w: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Hawaii</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Maryland</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Netherlands</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Malaysia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PT Texas Instruments Indonesia</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Indonesia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India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PRC</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Australia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Canada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Hong Kong</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Hong Kong</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Czech Republic</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Mexico</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Denmark ApS</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Denmark</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Malaysia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Spain</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Federal LLC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Finland</w:t>
            </w:r>
          </w:p>
        </w:tc>
      </w:tr>
    </w:tbl>
    <w:p>
      <w:pPr>
        <w:sectPr>
          <w:pgSz w:w="11900" w:h="16838" w:orient="portrait"/>
          <w:cols w:equalWidth="0" w:num="1">
            <w:col w:w="11240"/>
          </w:cols>
          <w:pgMar w:left="320" w:top="890"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Where Organized</w:t>
            </w:r>
          </w:p>
        </w:tc>
      </w:tr>
      <w:tr>
        <w:trPr>
          <w:trHeight w:val="281"/>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 Instruments France SAS</w:t>
            </w:r>
          </w:p>
        </w:tc>
        <w:tc>
          <w:tcPr>
            <w:tcW w:w="284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France</w:t>
            </w:r>
          </w:p>
        </w:tc>
        <w:tc>
          <w:tcPr>
            <w:tcW w:w="840" w:type="dxa"/>
            <w:vAlign w:val="bottom"/>
          </w:tcPr>
          <w:p>
            <w:pPr>
              <w:spacing w:after="0"/>
              <w:rPr>
                <w:sz w:val="24"/>
                <w:szCs w:val="24"/>
                <w:color w:val="auto"/>
              </w:rPr>
            </w:pP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23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Global Investments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23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232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23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Logistics Malaysia Sdn. Bhd.</w:t>
            </w:r>
          </w:p>
        </w:tc>
        <w:tc>
          <w:tcPr>
            <w:tcW w:w="23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23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232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23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Romania S.R.L.</w:t>
            </w:r>
          </w:p>
        </w:tc>
        <w:tc>
          <w:tcPr>
            <w:tcW w:w="232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23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Semicondutores e Tecnologias Ltda.</w:t>
            </w:r>
          </w:p>
        </w:tc>
        <w:tc>
          <w:tcPr>
            <w:tcW w:w="23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Southeast Asia Pte.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Sweden AB</w:t>
            </w:r>
          </w:p>
        </w:tc>
        <w:tc>
          <w:tcPr>
            <w:tcW w:w="23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Vietnam LLC</w:t>
            </w:r>
          </w:p>
        </w:tc>
        <w:tc>
          <w:tcPr>
            <w:tcW w:w="2320" w:type="dxa"/>
            <w:vAlign w:val="bottom"/>
            <w:gridSpan w:val="2"/>
          </w:tcPr>
          <w:p>
            <w:pPr>
              <w:spacing w:after="0"/>
              <w:rPr>
                <w:sz w:val="20"/>
                <w:szCs w:val="20"/>
                <w:color w:val="auto"/>
              </w:rPr>
            </w:pPr>
            <w:r>
              <w:rPr>
                <w:rFonts w:ascii="Arial" w:cs="Arial" w:eastAsia="Arial" w:hAnsi="Arial"/>
                <w:sz w:val="18"/>
                <w:szCs w:val="18"/>
                <w:color w:val="auto"/>
                <w:w w:val="98"/>
              </w:rPr>
              <w:t>Socialist Republic of Vietnam</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TI Europe B.V.</w:t>
            </w:r>
          </w:p>
        </w:tc>
        <w:tc>
          <w:tcPr>
            <w:tcW w:w="23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Unitrode-Maine</w:t>
            </w:r>
          </w:p>
        </w:tc>
        <w:tc>
          <w:tcPr>
            <w:tcW w:w="2320" w:type="dxa"/>
            <w:vAlign w:val="bottom"/>
            <w:gridSpan w:val="2"/>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119"/>
          </w:cols>
          <w:pgMar w:left="340" w:top="932"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Texas Instruments Incorporated and in the related prospectuses of our reports dated February 14, 2025, with respect to the consolidated financial statements of Texas Instruments Incorporated, and the effectiveness of internal control over financial reporting of Texas Instruments Incorporated, included in this Annual Report on Form 10-K for the year ended December 31, 2024: Registration Statements (Forms S-8) No. 333-278949, No. 333-158933, No. 333-158934, No. 033-42172, No. 33-54615, No. 033-61154, No. 333-07127 (as amended), No. 333-41913, No. 333-41919, No. 333-31321 (as amended), No. 333-31323, No. 333-48389, No. 333-44662, No. 333-107759, No. 333-107760, No. 333-107761, No. 333-127021, No. 333-177235, No. 333-195692, No. 333-211111, and No. 333-224639; Registration Statements (Forms S-3) No. 333-165045, No. 333-186803, No. 333-209678, No. 333-229797, and No. 333-262523; and Registration Statements (Forms S-4) No. 333-89433 (as amended), No. 333-87199, No. 333-80157 (as amended), and No. 333-41030 (as amended).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40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ectPr>
          <w:pgSz w:w="11900" w:h="16838" w:orient="portrait"/>
          <w:cols w:equalWidth="0" w:num="1">
            <w:col w:w="11240"/>
          </w:cols>
          <w:pgMar w:left="320" w:top="141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25"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ind w:left="500" w:right="120" w:hanging="492"/>
        <w:spacing w:after="0" w:line="268" w:lineRule="auto"/>
        <w:tabs>
          <w:tab w:leader="none" w:pos="4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00" w:hanging="492"/>
        <w:spacing w:after="0" w:line="318" w:lineRule="auto"/>
        <w:tabs>
          <w:tab w:leader="none" w:pos="48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500" w:right="100" w:hanging="492"/>
        <w:spacing w:after="0" w:line="268" w:lineRule="auto"/>
        <w:tabs>
          <w:tab w:leader="none" w:pos="4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300" w:hanging="492"/>
        <w:spacing w:after="0" w:line="268" w:lineRule="auto"/>
        <w:tabs>
          <w:tab w:leader="none" w:pos="4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2025</w:t>
      </w:r>
    </w:p>
    <w:p>
      <w:pPr>
        <w:spacing w:after="0" w:line="5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17780</wp:posOffset>
            </wp:positionV>
            <wp:extent cx="19627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Haviv Ilan</w:t>
      </w:r>
    </w:p>
    <w:p>
      <w:pPr>
        <w:jc w:val="center"/>
        <w:ind w:left="5760"/>
        <w:spacing w:after="0" w:line="219" w:lineRule="auto"/>
        <w:rPr>
          <w:sz w:val="20"/>
          <w:szCs w:val="20"/>
          <w:color w:val="auto"/>
        </w:rPr>
      </w:pPr>
      <w:r>
        <w:rPr>
          <w:rFonts w:ascii="Arial" w:cs="Arial" w:eastAsia="Arial" w:hAnsi="Arial"/>
          <w:sz w:val="18"/>
          <w:szCs w:val="18"/>
          <w:color w:val="auto"/>
        </w:rPr>
        <w:t>President and</w:t>
      </w:r>
    </w:p>
    <w:p>
      <w:pPr>
        <w:jc w:val="center"/>
        <w:ind w:left="5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Lizardi, certify that:</w:t>
      </w:r>
    </w:p>
    <w:p>
      <w:pPr>
        <w:spacing w:after="0" w:line="225"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ind w:left="500" w:right="120" w:hanging="492"/>
        <w:spacing w:after="0" w:line="268" w:lineRule="auto"/>
        <w:tabs>
          <w:tab w:leader="none" w:pos="4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00" w:hanging="492"/>
        <w:spacing w:after="0" w:line="318" w:lineRule="auto"/>
        <w:tabs>
          <w:tab w:leader="none" w:pos="48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500" w:right="100" w:hanging="492"/>
        <w:spacing w:after="0" w:line="268" w:lineRule="auto"/>
        <w:tabs>
          <w:tab w:leader="none" w:pos="4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300" w:hanging="492"/>
        <w:spacing w:after="0" w:line="268" w:lineRule="auto"/>
        <w:tabs>
          <w:tab w:leader="none" w:pos="4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2025</w:t>
      </w:r>
    </w:p>
    <w:p>
      <w:pPr>
        <w:spacing w:after="0" w:line="50"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17780</wp:posOffset>
            </wp:positionV>
            <wp:extent cx="19627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Rafael Lizardi</w:t>
      </w:r>
    </w:p>
    <w:p>
      <w:pPr>
        <w:jc w:val="center"/>
        <w:ind w:left="5760"/>
        <w:spacing w:after="0" w:line="219" w:lineRule="auto"/>
        <w:rPr>
          <w:sz w:val="20"/>
          <w:szCs w:val="20"/>
          <w:color w:val="auto"/>
        </w:rPr>
      </w:pPr>
      <w:r>
        <w:rPr>
          <w:rFonts w:ascii="Arial" w:cs="Arial" w:eastAsia="Arial" w:hAnsi="Arial"/>
          <w:sz w:val="18"/>
          <w:szCs w:val="18"/>
          <w:color w:val="auto"/>
        </w:rPr>
        <w:t>Senior Vice President and</w:t>
      </w:r>
    </w:p>
    <w:p>
      <w:pPr>
        <w:jc w:val="center"/>
        <w:ind w:left="5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ind w:firstLine="494"/>
        <w:spacing w:after="0" w:line="268" w:lineRule="auto"/>
        <w:tabs>
          <w:tab w:leader="none" w:pos="6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2024,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2025</w:t>
      </w:r>
    </w:p>
    <w:p>
      <w:pPr>
        <w:spacing w:after="0" w:line="50"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jc w:val="center"/>
        <w:ind w:left="8120"/>
        <w:spacing w:after="0" w:line="219" w:lineRule="auto"/>
        <w:rPr>
          <w:sz w:val="20"/>
          <w:szCs w:val="20"/>
          <w:color w:val="auto"/>
        </w:rPr>
      </w:pPr>
      <w:r>
        <w:rPr>
          <w:rFonts w:ascii="Arial" w:cs="Arial" w:eastAsia="Arial" w:hAnsi="Arial"/>
          <w:sz w:val="18"/>
          <w:szCs w:val="18"/>
          <w:color w:val="auto"/>
        </w:rPr>
        <w:t>President and</w:t>
      </w:r>
    </w:p>
    <w:p>
      <w:pPr>
        <w:jc w:val="center"/>
        <w:ind w:left="8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6"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07"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Lizardi, senior vice president and chief financial officer of Texas Instruments Incorporated (the “Company”), hereby certifies that, to his knowledge:</w:t>
      </w:r>
    </w:p>
    <w:p>
      <w:pPr>
        <w:spacing w:after="0" w:line="171" w:lineRule="exact"/>
        <w:rPr>
          <w:sz w:val="20"/>
          <w:szCs w:val="20"/>
          <w:color w:val="auto"/>
        </w:rPr>
      </w:pPr>
    </w:p>
    <w:p>
      <w:pPr>
        <w:ind w:firstLine="494"/>
        <w:spacing w:after="0" w:line="268" w:lineRule="auto"/>
        <w:tabs>
          <w:tab w:leader="none" w:pos="6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2024,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2025</w:t>
      </w:r>
    </w:p>
    <w:p>
      <w:pPr>
        <w:spacing w:after="0" w:line="50"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Rafael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decimal"/>
      <w:start w:val="1"/>
    </w:lvl>
    <w:lvl w:ilvl="1">
      <w:lvlJc w:val="left"/>
      <w:lvlText w:val="(%2)"/>
      <w:numFmt w:val="lowerLetter"/>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
      <w:numFmt w:val="bullet"/>
      <w:start w:val="1"/>
    </w:lvl>
    <w:lvl w:ilvl="1">
      <w:lvlJc w:val="left"/>
      <w:lvlText w:val="◦"/>
      <w:numFmt w:val="bullet"/>
      <w:start w:val="1"/>
    </w:lvl>
  </w:abstractNum>
  <w:abstractNum w:abstractNumId="9">
    <w:nsid w:val="75A2A8D4"/>
    <w:multiLevelType w:val="hybridMultilevel"/>
    <w:lvl w:ilvl="0">
      <w:lvlJc w:val="left"/>
      <w:lvlText w:val="•"/>
      <w:numFmt w:val="bullet"/>
      <w:start w:val="1"/>
    </w:lvl>
    <w:lvl w:ilvl="1">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3"/>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decimal"/>
      <w:start w:val="5"/>
    </w:lvl>
  </w:abstractNum>
  <w:abstractNum w:abstractNumId="21">
    <w:nsid w:val="8138641"/>
    <w:multiLevelType w:val="hybridMultilevel"/>
    <w:lvl w:ilvl="0">
      <w:lvlJc w:val="left"/>
      <w:lvlText w:val="%1."/>
      <w:numFmt w:val="decimal"/>
      <w:start w:val="6"/>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decimal"/>
      <w:start w:val="8"/>
    </w:lvl>
  </w:abstractNum>
  <w:abstractNum w:abstractNumId="26">
    <w:nsid w:val="22221A70"/>
    <w:multiLevelType w:val="hybridMultilevel"/>
    <w:lvl w:ilvl="0">
      <w:lvlJc w:val="left"/>
      <w:lvlText w:val="%1."/>
      <w:numFmt w:val="decimal"/>
      <w:start w:val="9"/>
    </w:lvl>
  </w:abstractNum>
  <w:abstractNum w:abstractNumId="27">
    <w:nsid w:val="4516DDE9"/>
    <w:multiLevelType w:val="hybridMultilevel"/>
    <w:lvl w:ilvl="0">
      <w:lvlJc w:val="left"/>
      <w:lvlText w:val="%1."/>
      <w:numFmt w:val="decimal"/>
      <w:start w:val="10"/>
    </w:lvl>
  </w:abstractNum>
  <w:abstractNum w:abstractNumId="28">
    <w:nsid w:val="3006C83E"/>
    <w:multiLevelType w:val="hybridMultilevel"/>
    <w:lvl w:ilvl="0">
      <w:lvlJc w:val="left"/>
      <w:lvlText w:val="%1."/>
      <w:numFmt w:val="decimal"/>
      <w:start w:val="1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102"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jpe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77" Type="http://schemas.openxmlformats.org/officeDocument/2006/relationships/hyperlink" Target="https://www.sec.gov/Archives/edgar/data/97476/000009747615000003/txn-12312014xexhibit3a.htm" TargetMode="External"/><Relationship Id="rId78" Type="http://schemas.openxmlformats.org/officeDocument/2006/relationships/hyperlink" Target="https://www.sec.gov/Archives/edgar/data/97476/000119312522018409/d252810dex3.htm" TargetMode="External"/><Relationship Id="rId79" Type="http://schemas.openxmlformats.org/officeDocument/2006/relationships/hyperlink" Target="https://www.sec.gov/Archives/edgar/data/97476/000119312511147104/dex42.htm" TargetMode="External"/><Relationship Id="rId80" Type="http://schemas.openxmlformats.org/officeDocument/2006/relationships/hyperlink" Target="https://www.sec.gov/Archives/edgar/data/97476/000119312517332507/d482992dex41.htm" TargetMode="External"/><Relationship Id="rId81" Type="http://schemas.openxmlformats.org/officeDocument/2006/relationships/hyperlink" Target="https://www.sec.gov/Archives/edgar/data/97476/000119312518154669/d579571dex41.htm" TargetMode="External"/><Relationship Id="rId82" Type="http://schemas.openxmlformats.org/officeDocument/2006/relationships/hyperlink" Target="https://www.sec.gov/Archives/edgar/data/97476/000119312518187735/d603255dex41.htm" TargetMode="External"/><Relationship Id="rId83" Type="http://schemas.openxmlformats.org/officeDocument/2006/relationships/hyperlink" Target="https://www.sec.gov/Archives/edgar/data/97476/000119312519070297/d713107dex41.htm" TargetMode="External"/><Relationship Id="rId84" Type="http://schemas.openxmlformats.org/officeDocument/2006/relationships/hyperlink" Target="https://www.sec.gov/Archives/edgar/data/97476/000119312519237540/d783480dex41.htm" TargetMode="External"/><Relationship Id="rId85" Type="http://schemas.openxmlformats.org/officeDocument/2006/relationships/hyperlink" Target="https://www.sec.gov/Archives/edgar/data/97476/000119312520071568/d883949dex41.htm" TargetMode="External"/><Relationship Id="rId86" Type="http://schemas.openxmlformats.org/officeDocument/2006/relationships/hyperlink" Target="https://www.sec.gov/Archives/edgar/data/97476/000156459020020837/txn-ex41_7.htm" TargetMode="External"/><Relationship Id="rId87" Type="http://schemas.openxmlformats.org/officeDocument/2006/relationships/hyperlink" Target="https://www.sec.gov/Archives/edgar/data/0000097476/000119312521273955/d226154dex41.htm" TargetMode="External"/><Relationship Id="rId88" Type="http://schemas.openxmlformats.org/officeDocument/2006/relationships/hyperlink" Target="https://www.sec.gov/Archives/edgar/data/97476/000119312522222326/d393354dex41.htm" TargetMode="External"/><Relationship Id="rId89" Type="http://schemas.openxmlformats.org/officeDocument/2006/relationships/hyperlink" Target="https://www.sec.gov/Archives/edgar/data/97476/000119312522288982/d105858dex41.htm" TargetMode="External"/><Relationship Id="rId90" Type="http://schemas.openxmlformats.org/officeDocument/2006/relationships/hyperlink" Target="https://www.sec.gov/Archives/edgar/data/97476/000119312523070157/d443336dex41.htm" TargetMode="External"/><Relationship Id="rId91" Type="http://schemas.openxmlformats.org/officeDocument/2006/relationships/hyperlink" Target="https://www.sec.gov/Archives/edgar/data/97476/000119312523148183/d468248dex41.htm" TargetMode="External"/><Relationship Id="rId92" Type="http://schemas.openxmlformats.org/officeDocument/2006/relationships/hyperlink" Target="https://www.sec.gov/Archives/edgar/data/97476/000119312524028127/d770733dex41.htm" TargetMode="External"/><Relationship Id="rId93" Type="http://schemas.openxmlformats.org/officeDocument/2006/relationships/hyperlink" Target="https://www.sec.gov/Archives/edgar/data/97476/000009747620000009/q42019txnex4l.htm" TargetMode="External"/><Relationship Id="rId94" Type="http://schemas.openxmlformats.org/officeDocument/2006/relationships/hyperlink" Target="https://www.sec.gov/Archives/edgar/data/97476/000156459016013126/txn-ex10a_325.htm" TargetMode="External"/><Relationship Id="rId95" Type="http://schemas.openxmlformats.org/officeDocument/2006/relationships/hyperlink" Target="https://www.sec.gov/Archives/edgar/data/97476/000156459016013126/txn-ex10b_263.htm" TargetMode="External"/><Relationship Id="rId96" Type="http://schemas.openxmlformats.org/officeDocument/2006/relationships/hyperlink" Target="https://www.sec.gov/Archives/edgar/data/97476/000156459016013126/txn-ex10c_264.htm" TargetMode="External"/><Relationship Id="rId97" Type="http://schemas.openxmlformats.org/officeDocument/2006/relationships/hyperlink" Target="https://www.sec.gov/Archives/edgar/data/97476/000009747612000010/txn-12312011xexhibit10c.htm" TargetMode="External"/><Relationship Id="rId98" Type="http://schemas.openxmlformats.org/officeDocument/2006/relationships/hyperlink" Target="https://www.sec.gov/Archives/edgar/data/97476/000009747615000003/txn-12312014xexhibit10j.htm" TargetMode="External"/><Relationship Id="rId99" Type="http://schemas.openxmlformats.org/officeDocument/2006/relationships/hyperlink" Target="https://www.sec.gov/Archives/edgar/data/97476/000156459017002142/txn-ex10k_1019.htm" TargetMode="External"/><Relationship Id="rId100" Type="http://schemas.openxmlformats.org/officeDocument/2006/relationships/hyperlink" Target="https://www.sec.gov/Archives/edgar/data/97476/000156459017002142/txn-ex10l_1018.htm" TargetMode="External"/><Relationship Id="rId101" Type="http://schemas.openxmlformats.org/officeDocument/2006/relationships/hyperlink" Target="https://www.sec.gov/Archives/edgar/data/97476/000119312516497866/d117862ddef14a.htm" TargetMode="External"/><Relationship Id="rId103" Type="http://schemas.openxmlformats.org/officeDocument/2006/relationships/hyperlink" Target="https://www.sec.gov/Archives/edgar/data/97476/000156459017002142/txn-ex10n_1020.htm" TargetMode="External"/><Relationship Id="rId104" Type="http://schemas.openxmlformats.org/officeDocument/2006/relationships/hyperlink" Target="https://www.sec.gov/Archives/edgar/data/97476/000009747624000007/q42023txnex10k.htm" TargetMode="External"/><Relationship Id="rId105" Type="http://schemas.openxmlformats.org/officeDocument/2006/relationships/hyperlink" Target="https://www.sec.gov/Archives/edgar/data/97476/000009747624000007/q42023txnex10l.htm" TargetMode="External"/><Relationship Id="rId106" Type="http://schemas.openxmlformats.org/officeDocument/2006/relationships/hyperlink" Target="https://www.sec.gov/ix?doc=/Archives/edgar/data/0000097476/000009747624000012/txn-20240312.htm" TargetMode="External"/><Relationship Id="rId107" Type="http://schemas.openxmlformats.org/officeDocument/2006/relationships/hyperlink" Target="https://www.sec.gov/Archives/edgar/data/97476/000009747624000030/q22024txnex10a.htm" TargetMode="External"/><Relationship Id="rId108" Type="http://schemas.openxmlformats.org/officeDocument/2006/relationships/hyperlink" Target="https://www.sec.gov/Archives/edgar/data/97476/000009747624000007/q42023txn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2025-02-14T13:45:08Z</dcterms:created>
  <dcterms:modified xsi:type="dcterms:W3CDTF">2025-02-14T13:45:08Z</dcterms:modified>
</cp:coreProperties>
</file>