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December 31, 2003</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880" w:type="dxa"/>
        <w:tblCellMar>
          <w:top w:w="0" w:type="dxa"/>
          <w:left w:w="0" w:type="dxa"/>
          <w:bottom w:w="0" w:type="dxa"/>
          <w:right w:w="0" w:type="dxa"/>
        </w:tblCellMar>
      </w:tblPr>
      <w:tr>
        <w:trPr>
          <w:trHeight w:val="218"/>
        </w:trPr>
        <w:tc>
          <w:tcPr>
            <w:tcW w:w="1280" w:type="dxa"/>
            <w:vAlign w:val="bottom"/>
          </w:tcPr>
          <w:p>
            <w:pPr>
              <w:spacing w:after="0"/>
              <w:rPr>
                <w:sz w:val="18"/>
                <w:szCs w:val="18"/>
                <w:color w:val="auto"/>
              </w:rPr>
            </w:pPr>
          </w:p>
        </w:tc>
        <w:tc>
          <w:tcPr>
            <w:tcW w:w="4840" w:type="dxa"/>
            <w:vAlign w:val="bottom"/>
            <w:gridSpan w:val="2"/>
          </w:tcPr>
          <w:p>
            <w:pPr>
              <w:jc w:val="center"/>
              <w:ind w:right="3540"/>
              <w:spacing w:after="0"/>
              <w:rPr>
                <w:sz w:val="20"/>
                <w:szCs w:val="20"/>
                <w:color w:val="auto"/>
              </w:rPr>
            </w:pPr>
            <w:r>
              <w:rPr>
                <w:rFonts w:ascii="Arial" w:cs="Arial" w:eastAsia="Arial" w:hAnsi="Arial"/>
                <w:sz w:val="18"/>
                <w:szCs w:val="18"/>
                <w:b w:val="1"/>
                <w:bCs w:val="1"/>
                <w:color w:val="auto"/>
                <w:w w:val="88"/>
              </w:rPr>
              <w:t>Delaware</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6120" w:type="dxa"/>
            <w:vAlign w:val="bottom"/>
            <w:gridSpan w:val="3"/>
          </w:tcPr>
          <w:p>
            <w:pPr>
              <w:jc w:val="center"/>
              <w:ind w:right="2260"/>
              <w:spacing w:after="0"/>
              <w:rPr>
                <w:sz w:val="20"/>
                <w:szCs w:val="20"/>
                <w:color w:val="auto"/>
              </w:rPr>
            </w:pPr>
            <w:r>
              <w:rPr>
                <w:rFonts w:ascii="Arial" w:cs="Arial" w:eastAsia="Arial" w:hAnsi="Arial"/>
                <w:sz w:val="14"/>
                <w:szCs w:val="14"/>
                <w:b w:val="1"/>
                <w:bCs w:val="1"/>
                <w:color w:val="auto"/>
                <w:w w:val="89"/>
              </w:rPr>
              <w:t>(State of Incorporation)</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6120" w:type="dxa"/>
            <w:vAlign w:val="bottom"/>
            <w:gridSpan w:val="3"/>
          </w:tcPr>
          <w:p>
            <w:pPr>
              <w:jc w:val="center"/>
              <w:ind w:right="2260"/>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6120" w:type="dxa"/>
            <w:vAlign w:val="bottom"/>
            <w:gridSpan w:val="3"/>
          </w:tcPr>
          <w:p>
            <w:pPr>
              <w:jc w:val="center"/>
              <w:ind w:right="22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0"/>
        </w:trPr>
        <w:tc>
          <w:tcPr>
            <w:tcW w:w="1280" w:type="dxa"/>
            <w:vAlign w:val="bottom"/>
          </w:tcPr>
          <w:p>
            <w:pPr>
              <w:spacing w:after="0"/>
              <w:rPr>
                <w:sz w:val="24"/>
                <w:szCs w:val="24"/>
                <w:color w:val="auto"/>
              </w:rPr>
            </w:pPr>
          </w:p>
        </w:tc>
        <w:tc>
          <w:tcPr>
            <w:tcW w:w="82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8"/>
              </w:rPr>
              <w:t>Registrant’s Telephone Number, Including Area Code: 972-995-3773</w:t>
            </w:r>
          </w:p>
        </w:tc>
      </w:tr>
      <w:tr>
        <w:trPr>
          <w:trHeight w:val="365"/>
        </w:trPr>
        <w:tc>
          <w:tcPr>
            <w:tcW w:w="1280" w:type="dxa"/>
            <w:vAlign w:val="bottom"/>
          </w:tcPr>
          <w:p>
            <w:pPr>
              <w:spacing w:after="0"/>
              <w:rPr>
                <w:sz w:val="24"/>
                <w:szCs w:val="24"/>
                <w:color w:val="auto"/>
              </w:rPr>
            </w:pPr>
          </w:p>
        </w:tc>
        <w:tc>
          <w:tcPr>
            <w:tcW w:w="822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12"/>
        </w:trPr>
        <w:tc>
          <w:tcPr>
            <w:tcW w:w="1280" w:type="dxa"/>
            <w:vAlign w:val="bottom"/>
          </w:tcPr>
          <w:p>
            <w:pPr>
              <w:spacing w:after="0"/>
              <w:rPr>
                <w:sz w:val="24"/>
                <w:szCs w:val="24"/>
                <w:color w:val="auto"/>
              </w:rPr>
            </w:pPr>
          </w:p>
        </w:tc>
        <w:tc>
          <w:tcPr>
            <w:tcW w:w="4840" w:type="dxa"/>
            <w:vAlign w:val="bottom"/>
            <w:gridSpan w:val="2"/>
          </w:tcPr>
          <w:p>
            <w:pPr>
              <w:jc w:val="center"/>
              <w:ind w:right="3420"/>
              <w:spacing w:after="0"/>
              <w:rPr>
                <w:sz w:val="20"/>
                <w:szCs w:val="20"/>
                <w:color w:val="auto"/>
              </w:rPr>
            </w:pPr>
            <w:r>
              <w:rPr>
                <w:rFonts w:ascii="Arial" w:cs="Arial" w:eastAsia="Arial" w:hAnsi="Arial"/>
                <w:sz w:val="14"/>
                <w:szCs w:val="14"/>
                <w:b w:val="1"/>
                <w:bCs w:val="1"/>
                <w:color w:val="auto"/>
                <w:w w:val="84"/>
              </w:rPr>
              <w:t>Title of each class</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95"/>
        </w:trPr>
        <w:tc>
          <w:tcPr>
            <w:tcW w:w="128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r>
      <w:tr>
        <w:trPr>
          <w:trHeight w:val="309"/>
        </w:trPr>
        <w:tc>
          <w:tcPr>
            <w:tcW w:w="6120" w:type="dxa"/>
            <w:vAlign w:val="bottom"/>
            <w:gridSpan w:val="3"/>
          </w:tcPr>
          <w:p>
            <w:pPr>
              <w:jc w:val="center"/>
              <w:ind w:right="2160"/>
              <w:spacing w:after="0"/>
              <w:rPr>
                <w:sz w:val="20"/>
                <w:szCs w:val="20"/>
                <w:color w:val="auto"/>
              </w:rPr>
            </w:pPr>
            <w:r>
              <w:rPr>
                <w:rFonts w:ascii="Arial" w:cs="Arial" w:eastAsia="Arial" w:hAnsi="Arial"/>
                <w:sz w:val="18"/>
                <w:szCs w:val="18"/>
                <w:color w:val="auto"/>
                <w:w w:val="88"/>
              </w:rPr>
              <w:t>Common Stock, par value $1.00</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86"/>
              </w:rPr>
              <w:t>The Swiss Exchange</w:t>
            </w:r>
          </w:p>
        </w:tc>
      </w:tr>
      <w:tr>
        <w:trPr>
          <w:trHeight w:val="230"/>
        </w:trPr>
        <w:tc>
          <w:tcPr>
            <w:tcW w:w="6120" w:type="dxa"/>
            <w:vAlign w:val="bottom"/>
            <w:gridSpan w:val="3"/>
          </w:tcPr>
          <w:p>
            <w:pPr>
              <w:jc w:val="center"/>
              <w:ind w:right="2160"/>
              <w:spacing w:after="0"/>
              <w:rPr>
                <w:sz w:val="20"/>
                <w:szCs w:val="20"/>
                <w:color w:val="auto"/>
              </w:rPr>
            </w:pPr>
            <w:r>
              <w:rPr>
                <w:rFonts w:ascii="Arial" w:cs="Arial" w:eastAsia="Arial" w:hAnsi="Arial"/>
                <w:sz w:val="18"/>
                <w:szCs w:val="18"/>
                <w:color w:val="auto"/>
                <w:w w:val="86"/>
              </w:rPr>
              <w:t>Preferred Stock Purchase Rights</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113030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38"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aggregate market value of voting stock held by non-affiliates of the Registrant was approximately $31,000,000,000 as of June 30, 2003.</w:t>
      </w:r>
    </w:p>
    <w:p>
      <w:pPr>
        <w:spacing w:after="0" w:line="175"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1,732,381,499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(Number of shares of common stock outstanding as of January 31, 2004)</w:t>
      </w:r>
    </w:p>
    <w:p>
      <w:pPr>
        <w:spacing w:after="0" w:line="130" w:lineRule="exact"/>
        <w:rPr>
          <w:sz w:val="24"/>
          <w:szCs w:val="24"/>
          <w:color w:val="auto"/>
        </w:rPr>
      </w:pPr>
    </w:p>
    <w:p>
      <w:pPr>
        <w:ind w:right="800" w:firstLine="456"/>
        <w:spacing w:after="0" w:line="268" w:lineRule="auto"/>
        <w:rPr>
          <w:sz w:val="20"/>
          <w:szCs w:val="20"/>
          <w:color w:val="auto"/>
        </w:rPr>
      </w:pPr>
      <w:r>
        <w:rPr>
          <w:rFonts w:ascii="Arial" w:cs="Arial" w:eastAsia="Arial" w:hAnsi="Arial"/>
          <w:sz w:val="18"/>
          <w:szCs w:val="18"/>
          <w:color w:val="auto"/>
        </w:rPr>
        <w:t>Parts I, II, and III hereof incorporate information by reference to the Registrant’s 2003 annual report to stockholders. Part III hereof incorporates information by reference to the Registrant’s proxy statement for the 2004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General Information</w:t>
      </w:r>
    </w:p>
    <w:p>
      <w:pPr>
        <w:spacing w:after="0" w:line="77"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Texas Instruments Incorporated (“TI” or the “company,” including subsidiaries except where the context indicates otherwise) is headquartered in Dallas, Texas, and has manufacturing, design or sales operations in more than 25 countries. The company has three business segments: Semiconductor, Sensors &amp; Controls, and Educational &amp; Productivity Solutions. TI’s largest geographic markets are in Asia, Europe, the United States and Japan. TI has been in operation since 1930.</w:t>
      </w:r>
    </w:p>
    <w:p>
      <w:pPr>
        <w:spacing w:after="0" w:line="7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financial information with respect to TI’s business segments and operations outside the United States, which is contained in the note to the financial statements captioned “Business Segment and Geographic Area Data” on pages 35 through 38 of TI’s 2003 annual report to stockholders, is incorporated herein by reference to such annual report.</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Semiconductor</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Semiconductor business comprised 85 percent of TI’s 2003 revenue. TI’s core Semiconductor business is the design, manufacture and sale of analog integrated circuits and digital signal processors (DSPs), which are used in a broad range of electronic systems. These systems include cellular telephones, personal computers, servers, communications infrastructure equipment, motor controls, automotive equipment and digital imaging systems such as front projectors and high-definition digital televisions. More than 30,000 customers in the commercial, industrial and consumer markets purchased TI products in 2003.</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products are sold to original equipment manufacturers (OEMs), original design manufacturers (ODMs), contract manufacturers and distributors. An OEM designs and sells products under its own brand that it manufactures in-house or has contracted to other manufacturers. TI’s largest single customer is an OEM, the Nokia group of companies, which accounted for 14 percent of TI’s 2003 revenue. An ODM designs and manufactures products for other companies to sell under their brands. Distributors, which account for about 25 percent of TI’s Semiconductor revenue, sell TI products directly to a wide range of customers.</w:t>
      </w:r>
    </w:p>
    <w:p>
      <w:pPr>
        <w:spacing w:after="0" w:line="12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semiconductor market is intensely competitive and is subject to rapid technological change, pricing pressures, and the requirement of high rates of investment for research and development (R&amp;D) and for the manufacturing factories and equipment needed to produce advanced semiconductors. TI faces significant competition in each of its product lines.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Analog Products: Analog semiconductors process continuous signals such as temperature, pressure and visual images. TI’s Analog semiconductors consist of custom products and standard products. Custom products are designed for specific customers for specific applications such as wireless cell phones, printers and automotive systems.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and are generally sold in high volumes. Both custom and standard products are proprietary and difficult for competitors to imitate. Commodity standard products are sold in high volume into a broad range of applications, and generally are differentiated by price and availability. TI is one of the world’s largest suppliers of Analog semiconductors.</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analog market is highly fragmented, and TI competes globally with numerous large and small companies, both broad-based suppliers and companies focused on a narrow range of products. Primary competitive factors are the recruitment and retention of skilled analog engineers, the creation of innovative designs, the implementation of multiple advanced manufacturing process technologies and the provision of applications support.</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DSP Products: DSP is one of the fastest-growing sectors of the semiconductor industry. DSPs use complex algorithms and signal-compression techniques to provide real-time, power-efficient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processing of real-world analog signals that have been converted into digital form. TI’s DSP business includes custom-designed and standard products for a broad range of applications, including communications such as wireless and broadband, computer peripherals and digital consumer electronics.</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DSP, TI competes globally with numerous large and small companies, both broad-based suppliers and companies focused on a narrow range of products. Primary competitive factors are the ability to design and cost-effectively manufacture products, systems knowledge about targeted end markets, software expertise and applications support.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Semiconductor Products: TI also designs and manufactures other semiconductor products including:</w:t>
      </w:r>
    </w:p>
    <w:p>
      <w:pPr>
        <w:spacing w:after="0" w:line="77"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standard logic products, which are commodity components that serve a broad range of customers in diverse markets,</w:t>
      </w:r>
    </w:p>
    <w:p>
      <w:pPr>
        <w:spacing w:after="0" w:line="76" w:lineRule="exact"/>
        <w:rPr>
          <w:rFonts w:ascii="Arial" w:cs="Arial" w:eastAsia="Arial" w:hAnsi="Arial"/>
          <w:sz w:val="18"/>
          <w:szCs w:val="18"/>
          <w:color w:val="auto"/>
        </w:rPr>
      </w:pPr>
    </w:p>
    <w:p>
      <w:pPr>
        <w:ind w:left="800" w:right="640" w:hanging="346"/>
        <w:spacing w:after="0" w:line="272" w:lineRule="auto"/>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Digital Light Processing</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(DLP</w:t>
      </w:r>
      <w:r>
        <w:rPr>
          <w:rFonts w:ascii="Arial" w:cs="Arial" w:eastAsia="Arial" w:hAnsi="Arial"/>
          <w:sz w:val="20"/>
          <w:szCs w:val="20"/>
          <w:color w:val="auto"/>
          <w:vertAlign w:val="superscript"/>
        </w:rPr>
        <w:t>TM</w:t>
      </w:r>
      <w:r>
        <w:rPr>
          <w:rFonts w:ascii="Arial" w:cs="Arial" w:eastAsia="Arial" w:hAnsi="Arial"/>
          <w:sz w:val="16"/>
          <w:szCs w:val="16"/>
          <w:color w:val="auto"/>
        </w:rPr>
        <w:t>) products, which are micro-electromechanical systems that use optical semiconductors to manipulate light digitally; end applications include business and home front projectors, high-definition digital televisions and digital cinema projectors,</w:t>
      </w:r>
    </w:p>
    <w:p>
      <w:pPr>
        <w:spacing w:after="0" w:line="30" w:lineRule="exact"/>
        <w:rPr>
          <w:rFonts w:ascii="Arial" w:cs="Arial" w:eastAsia="Arial" w:hAnsi="Arial"/>
          <w:sz w:val="16"/>
          <w:szCs w:val="16"/>
          <w:color w:val="auto"/>
        </w:rPr>
      </w:pPr>
    </w:p>
    <w:p>
      <w:pPr>
        <w:ind w:left="800" w:hanging="34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application-specific integrated circuits (ASICs), which are typically custom designed for a particular customer’s end-equipment application,</w:t>
      </w:r>
    </w:p>
    <w:p>
      <w:pPr>
        <w:spacing w:after="0" w:line="99" w:lineRule="exact"/>
        <w:rPr>
          <w:rFonts w:ascii="Arial" w:cs="Arial" w:eastAsia="Arial" w:hAnsi="Arial"/>
          <w:sz w:val="16"/>
          <w:szCs w:val="16"/>
          <w:color w:val="auto"/>
        </w:rPr>
      </w:pPr>
    </w:p>
    <w:p>
      <w:pPr>
        <w:ind w:left="800" w:right="10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reduced instruction-set computing (RISC) microprocessors, which are a type of microprocessor designed to provide very fast computing, typically for a specialized application such as servers,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microcontrollers, which typically integrate multiple functions to control a particular system.</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TI’s semiconductor patent portfolio is an ongoing contributor to Semiconductor revenue.</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Semiconductor Manufacturing: TI owns and operates semiconductor manufacturing facilities that require substantial investment to construct and are largely fixed-cost assets once in operation. Because TI owns most of its manufacturing capacity, a significant portion of the company’s operating costs are fixed. In general, these costs do not decline with reductions in customer demand or the company’s utilization of its manufacturing capacity, and can adversely affect profit margins as a result. Conversely, as product demand rises and factory utilization increases, the fixed costs are spread over increased output, which should benefit profit margins. TI also outsources a portion of its product manufacturing to outside suppliers (foundries and assembly/test subcontractors). TI outsources the manufacture of some products when it would be less cost-efficient to make those products in-house (for example, when relatively high capital expenditures for equipment would be required to manufacture relatively low-volume products whose demand would be unlikely to keep the equipment adequately utilized). TI also outsources when very high demand for its products exceeds the company’s installed manufacturing capacity. The effect of these outsourcing practices is to reduce the amount of capital expenditures and subsequent depreciation required to meet customer demand, as well as fluctuations in profit margins.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TI Businesses</w:t>
      </w:r>
    </w:p>
    <w:p>
      <w:pPr>
        <w:spacing w:after="0" w:line="7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Sensors &amp; Controls comprised about 10 percent of TI’s 2003 revenue. This organization sells custom-designed sensors, controls, and radio-frequency identification (RFID) systems. TI’s sensor products include pressure sensors and transducers for automotive systems (such as fuel injection and vehicle stability systems) and heating, ventilation and air conditioning equipment. TI’s control products include motor protectors, circuit breakers, arc-fault circuit protectors and thermostats for aircraft, air conditioning, appliance, lighting and industrial applications. TI’s RFID systems consist of a transponder, receiver and other components; applications include automotive security, logistics tracking, inventory control and wireless commerce at retail outlets. Typically the top supplier in targeted product areas, Sensors &amp; Controls faces strong multinational and regional competitors. The primary competitive factors in this business are product reliability, manufacturing costs and engineering expertise. The products of the business are sold to OEMs and distributors.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jc w:val="both"/>
        <w:ind w:right="1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Educational &amp; Productivity Solutions (E&amp;PS) comprised about 5 percent of TI’s 2003 revenue and is a leading supplier of graphing handheld calculators and other calculators. An understanding of the education market, technology expertise and price are primary competitive factors in this business. TI’s principal competitors in this business are U.S.- and Japan-based companies. This business sells primarily through retailers and to schools through instructional dealers.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Acquisitions and Divestitures</w:t>
      </w:r>
    </w:p>
    <w:p>
      <w:pPr>
        <w:spacing w:after="0" w:line="77"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color w:val="auto"/>
        </w:rPr>
        <w:t>From time to time TI considers acquisitions and divestitures that may strengthen its business portfolio. In the third quarter of 2003, TI acquired Radia Communications, Inc., a semiconductor company specializing in the development of radio frequency semiconductor subsystems, signal processing and networking technologies for 802.11 wireless local area networking multiband/multimode radios.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Backlog</w:t>
      </w:r>
    </w:p>
    <w:p>
      <w:pPr>
        <w:spacing w:after="0" w:line="77"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dollar amount of backlog of orders believed by TI to be firm was $1708 million at December 31, 2003, and $1198 million at December 31, 2002. Backlog orders are, under certain circumstances, subject to cancellation. A substantial number of orders are shipped during the same quarter in which they are received. Accordingly, the company believes that its backlog at any particular date may not be indicative of revenue for any future period.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Raw Materials</w:t>
      </w:r>
    </w:p>
    <w:p>
      <w:pPr>
        <w:spacing w:after="0" w:line="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TI purchases materials, parts and supplies from a number of suppliers. The materials, parts and supplies essential to TI’s business are generally available at present and TI believes that such materials, parts and supplies will be available in the foreseeable future.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Patents and Trademarks</w:t>
      </w:r>
    </w:p>
    <w:p>
      <w:pPr>
        <w:spacing w:after="0" w:line="77"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TI owns many patents, and has many patent applications pending, in the United States and other countries in fields relating to its business. The company has developed a strong, broad-based patent portfolio and continually adds patents to that portfolio. TI also has several agreements with other companies involving license rights and anticipates that other licenses may be negotiated in the future. TI does not consider its business materially dependent upon any one patent or patent license, although taken as a whole, the rights of TI and the products made and sold under patents and patent licenses are important to TI’s business.</w:t>
      </w:r>
    </w:p>
    <w:p>
      <w:pPr>
        <w:spacing w:after="0" w:line="84" w:lineRule="exact"/>
        <w:rPr>
          <w:sz w:val="20"/>
          <w:szCs w:val="20"/>
          <w:color w:val="auto"/>
        </w:rPr>
      </w:pPr>
    </w:p>
    <w:p>
      <w:pPr>
        <w:ind w:right="20" w:firstLine="456"/>
        <w:spacing w:after="0" w:line="292" w:lineRule="auto"/>
        <w:rPr>
          <w:sz w:val="20"/>
          <w:szCs w:val="20"/>
          <w:color w:val="auto"/>
        </w:rPr>
      </w:pPr>
      <w:r>
        <w:rPr>
          <w:rFonts w:ascii="Arial" w:cs="Arial" w:eastAsia="Arial" w:hAnsi="Arial"/>
          <w:sz w:val="18"/>
          <w:szCs w:val="18"/>
          <w:color w:val="auto"/>
        </w:rPr>
        <w:t>TI owns trademarks that are used in the conduct of its business. These trademarks are valuable assets, the most important of which are “Texas Instruments” and TI’s corporate monogram. Other valuable trademarks include DLP</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and OMAP</w:t>
      </w:r>
      <w:r>
        <w:rPr>
          <w:rFonts w:ascii="Arial" w:cs="Arial" w:eastAsia="Arial" w:hAnsi="Arial"/>
          <w:sz w:val="22"/>
          <w:szCs w:val="22"/>
          <w:color w:val="auto"/>
          <w:vertAlign w:val="superscript"/>
        </w:rPr>
        <w:t>TM</w:t>
      </w:r>
      <w:r>
        <w:rPr>
          <w:rFonts w:ascii="Arial" w:cs="Arial" w:eastAsia="Arial" w:hAnsi="Arial"/>
          <w:sz w:val="18"/>
          <w:szCs w:val="18"/>
          <w:color w:val="auto"/>
        </w:rPr>
        <w: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Research and Development</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TI’s R&amp;D expense was $1748 million in 2003, compared with $1619 million in 2002 and $1598 million in 2001. Included is a charge for the value of acquisition-related in-process R&amp;D of $23 million in 2003, $1 million in 2002, and zero in 2001.</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Seasonality</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TI’s revenue and operating results are subject to some seasonal variation. In particular, E&amp;PS is subject to seasonal variation, experiencing its strongest revenue and operating results in the second and third quarters as retailers stock for the back-to-school season.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Employees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2003, the company had 34,154 employees.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Cautionary Statements Regarding Future Results of Operations</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You should read the following cautionary statements in conjunction with the factors discussed elsewhere in this and other of TI’s filings with the Securities and Exchange Commission (SEC) and in materials incorporated by reference in these filings. These cautionary statements are intended to highlight certain factors that may affect the financial condition and results of operations of TI and are not meant to be an exhaustive discussion of risks that apply to companies with broad international operations, such as TI. Like other companies, TI is susceptible to macroeconomic downturns in the United States or abroad that may affect the general economic climate and performance of TI or its customers. Similarly, the price of TI’s securities is subject to volatility due to fluctuations in general market conditions, differences in TI’s results of operations from estimates and projections generated by the investment community, and other factors beyond TI’s control.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Weakening or Delayed Recovery in the Semiconductor Market May Adversely Affect TI’s Performance.</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TI’s semiconductor business represents its largest business segment and the principal source of its revenue. The semiconductor market has historically been cyclical and subject to significant economic downturns. Weakening or delayed recovery in the semiconductor market could adversely affect TI’s results of operations and have an adverse effect on the market price of its securities. In particular, TI’s strategic focus in this business is on the development and marketing of analog integrated circuits and digital signal processors. The results of TI’s operations may be adversely affected in the future if demand for analog integrated circuits or digital signal processors decreases or if these markets or key end-equipment markets such as telecommunications and computers grow at a significantly slower pace than expected by management.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TI’s Margins May Vary over Time.</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TI’s profit margins may be adversely affected in the future by a number of factors, including decreases in its shipment volume, reductions in, or obsolescence of, its inventory and shifts in its product mix. In addition, the highly competitive market environment in which the company operates might adversely affect pricing for the company’s products. Because TI owns most of its manufacturing capacity, a significant portion of the company’s operating costs are fixed. In general, these costs do not decline with reductions in customer demand or the company’s utilization of its manufacturing capacity, and can adversely affect profit margins as a result.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The Technology Industry Is Characterized by Rapid Technological Change That Requires TI to Develop New Technologies and Products.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TI’s results of operations depend in part upon its ability to successfully develop, manufacture and market innovative products in a rapidly changing technological environment. TI requires significant capital to develop new technologies and products to meet changing customer demands that, in turn, may result in shortened product lifecycles. Moreover, expenditures for technology and product development are generally made before the commercial viability for such developments can be assured. As a result, there can be no assurance that TI will successfully develop and market these new products, that the products TI does develop and market will be well received by customers or that TI will realize a return on the capital expended to develop such products.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TI Faces Substantial Competition That Requires TI to Respond Rapidly to Product Development and Pricing Pressures.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TI faces intense technological and pricing competition in the markets in which it operates. TI expects that the level of this competition will increase in the future from large, established semiconductor and related product companies, as well as from emerging companies serving niche markets also served by TI. Certain of TI’s competitors possess sufficient financial, technical and management resources to develop and market products that may compete favorably against those products of TI that currently offer technological and/or price advantages over competitive products. Competition results in price and product development pressures, which may result in reduced profit margins and lost business opportunities in the event that TI is unable to match price declines or technological, product, applications support, software or manufacturing advances of its competitors.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 w:name="page6"/>
    <w:bookmarkEnd w:id="5"/>
    <w:p>
      <w:pPr>
        <w:ind w:left="4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Performance Depends in Part upon Its Ability to Enforce Its Intellectual Property Rights and to Develop or License New Intellectual Property.</w:t>
      </w:r>
    </w:p>
    <w:p>
      <w:pPr>
        <w:spacing w:after="0" w:line="10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TI benefits from royalties generated from various license agreements. Some agreements will come up for renegotiation in 2005. Others will come up for renegotiation in later years. Access to worldwide markets depends in part on the continued strength of TI’s intellectual property portfolio. Future royalty revenue depends on the strength of TI’s portfolio and enforcement efforts, and on the sales and financial stability of TI’s licensees. Additionally, the consolidation of TI’s licensees may negatively affect TI’s royalty revenue. TI actively enforces and protects its intellectual property rights, but there can be no assurance that TI’s efforts will be adequate to prevent the misappropriation or improper use of the protected technology. Moreover, there can be no assurance that, as TI’s business expands into new areas, TI will be able to independently develop the technology, software or know-how necessary to conduct its business or that it can do so without infringing the intellectual property rights of others. TI may have to rely increasingly on licensed technology from others. To the extent that TI relies on licenses from others, there can be no assurance that it will be able to obtain all of the licenses it desires in the future on terms it considers reasonable or at all.</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 Decline in Demand in Certain End-User Markets Could Have a Material Adverse Effect on the Demand for TI’s Products and Results of Operations.</w:t>
      </w:r>
    </w:p>
    <w:p>
      <w:pPr>
        <w:spacing w:after="0" w:line="10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TI’s customer base includes companies in a wide range of industries, but TI generates a significant amount of revenue from sales to customers in the telecommunications and computer-related industries. Within these industries, a large portion of TI revenue is generated by the sale of analog integrated circuits and digital signal processors to customers in the cellular phone, personal computer and communications infrastructure markets. Decline in one or several of these end-user markets could have a material adverse effect on the demand for TI’s products and its results of operations.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TI’s Global Manufacturing, Design and Sales Activities Subject It to Risks Associated with Legal, Political, Economic or Other Changes.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TI operates in more than 25 countries worldwide, and in 2003 more than 80 percent of its revenue came from sales to locations outside the United States. Operating internationally exposes TI to changes in export controls and other laws or policies, as well as the general political and economic conditions, security risks, health conditions and possible disruptions in transportation networks, of the various countries in which it operates, which could result in an adverse effect on TI’s business operations in such countries and its results of operations. Also, as discussed in more detail on pages 19 and 54 of TI’s 2003 annual report to stockholders, TI uses forward currency exchange contracts to minimize the adverse earnings impact from the effect of exchange rate fluctuations on the company’s non-U.S. dollar net balance sheet exposures. Nevertheless, in periods when the U.S. dollar strengthens in relation to the non-U.S. currencies in which TI transacts business, the remeasurement of non-U.S. dollar transactions can have an adverse effect on TI’s non-U.S. business.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The Loss of or Significant Curtailment of Purchases by Any of TI’s Largest Customers Could Adversely Affect TI’s Results of Operations.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While TI generates revenue from thousands of customers worldwide, the loss of or significant curtailment of purchases by one or more of its top customers including curtailments due to a change in the design or manufacturing sourcing policies or practices of these customers, or the timing of customer inventory adjustments may adversely affect TI’s results of operations.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TI’s Performance Depends on the Availability of Raw Materials, Critical Manufacturing Equipment and Third-Party Manufacturing Services.</w:t>
      </w:r>
    </w:p>
    <w:p>
      <w:pPr>
        <w:spacing w:after="0" w:line="10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Limited or delayed access to key raw materials used in the manufacturing process or critical manufacturing equipment could adversely impact TI’s results of operations. Additionally, the inability to timely implement new manufacturing technologies or install manufacturing equipment could adversely affect TI’s results of operations. TI subcontracts a portion of its wafer fabrication and assembly and testing of its integrated circuits. TI depends on a limited number of third parties to perform these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6" w:name="page7"/>
    <w:bookmarkEnd w:id="6"/>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functions. TI does not have long-term contracts with all of these third parties. Reliance on these third parties involves risks, including possible shortages of capacity in periods of high demand.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TI’s Continued Success Depends in Part on Its Ability to Retain and Recruit a Sufficient Number of Qualified Employees in a Competitive Environment.</w:t>
      </w:r>
    </w:p>
    <w:p>
      <w:pPr>
        <w:spacing w:after="0" w:line="10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TI’s continued success depends in part on the retention and recruitment of skilled personnel, including technical, marketing, management and staff personnel. Experienced personnel in the electronics industry are in high demand and competition for their skills is intense. There can be no assurance that TI will be able to successfully retain and recruit the key personnel that it requires.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Fluctuations in the Market Values of the Company’s Investments and in Interest Rates Could Adversely Affect TI’s Results of Operations.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TI has investments of various types and maturities. TI may recognize in earnings the decline in the value of its investments. For information regarding the sensitivity of and risks associated with the market value of the company’s investments and interest rates, see the section titled “Quantitative and Qualitative Disclosures About Market Risk” on pages 54 and 55 in TI’s 2003 annual report to stockholders. Furthermore, TI’s equity investments in both private companies and publicly traded companies are subject to risk of loss of investment capital. These investments are inherently risky as the market for the technologies or products they have under development are typically in the early stages and may never materialize.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Available Information</w:t>
      </w:r>
    </w:p>
    <w:p>
      <w:pPr>
        <w:spacing w:after="0" w:line="7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TI files annual, quarterly and special reports, proxy statements and other information with the SEC. You may read and copy any reports, statements and other information filed by TI at the SEC’s Public Reference Room at 450 Fifth Street, N.W., Washington, D.C. 20549. Please call (800) SEC-0330 for further information on the Public Reference Room. The SEC maintains an Internet web site that contains reports, proxy and information statements and other information regarding issuers that file electronically with the SEC. TI’s filings are also available to the public at the web site maintained by the SEC, http://www.sec.gov.</w:t>
      </w:r>
    </w:p>
    <w:p>
      <w:pPr>
        <w:spacing w:after="0" w:line="8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TI makes available, free of charge, through its investor relations web site its reports on Forms 10-K, 10-Q and 8-K, and amendments to those reports, as soon as reasonably practicable after they are filed with the SEC. Also available through the TI investor relations web site are reports filed by TI’s directors and executive officers on Forms 3, 4 and 5, and amendments to those reports. The URL for TI’s investor relations web site is www.ti.com/ir.</w:t>
      </w:r>
    </w:p>
    <w:p>
      <w:pPr>
        <w:spacing w:after="0" w:line="9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Available on TI’s web site at www.ti.com/corporategovernance are: (i) the company’s Corporate Governance Guidelines; (ii) charters (Statements of Responsibilities) for the Audit, Compensation, Governance and Nominating, and Stockholder Relations and Public Policy Committees of its board of directors;</w:t>
      </w:r>
    </w:p>
    <w:p>
      <w:pPr>
        <w:ind w:right="60" w:firstLine="8"/>
        <w:spacing w:after="0" w:line="323" w:lineRule="auto"/>
        <w:tabs>
          <w:tab w:leader="none" w:pos="307"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Code of Business Conduct; and (iv) the company’s Code of Ethics for TI Chief Executive Officer and Senior Financial Officers. Stockholders may request copies of these documents by writing to P.O. Box 660199, MS 8657, Dallas, Texas, 75266-0199, Attention: Investor Relations.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TI’s principal executive offices are located at 12500 TI Boulevard, Dallas, Texas. TI owns and leases facilities in the United States and 16 other countries for manufacturing, design and related purposes. The following table indicates the general location of TI’s principal manufacturing and design operations and the business segments that make major use of them. Except as otherwise indicated, these facilities are owned by TI.</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79"/>
              </w:rPr>
              <w:t>Sensors</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4"/>
        </w:trPr>
        <w:tc>
          <w:tcPr>
            <w:tcW w:w="79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Semiconductor</w:t>
            </w:r>
          </w:p>
        </w:tc>
        <w:tc>
          <w:tcPr>
            <w:tcW w:w="7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&amp; Controls</w:t>
            </w:r>
          </w:p>
        </w:tc>
        <w:tc>
          <w:tcPr>
            <w:tcW w:w="78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E&amp;PS</w:t>
            </w:r>
          </w:p>
        </w:tc>
      </w:tr>
      <w:tr>
        <w:trPr>
          <w:trHeight w:val="95"/>
        </w:trPr>
        <w:tc>
          <w:tcPr>
            <w:tcW w:w="79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309"/>
        </w:trPr>
        <w:tc>
          <w:tcPr>
            <w:tcW w:w="7960" w:type="dxa"/>
            <w:vAlign w:val="bottom"/>
          </w:tcPr>
          <w:p>
            <w:pPr>
              <w:spacing w:after="0"/>
              <w:rPr>
                <w:sz w:val="20"/>
                <w:szCs w:val="20"/>
                <w:color w:val="auto"/>
              </w:rPr>
            </w:pPr>
            <w:r>
              <w:rPr>
                <w:rFonts w:ascii="Arial" w:cs="Arial" w:eastAsia="Arial" w:hAnsi="Arial"/>
                <w:sz w:val="18"/>
                <w:szCs w:val="18"/>
                <w:color w:val="auto"/>
              </w:rPr>
              <w:t xml:space="preserve">Dallas, Texas </w:t>
            </w:r>
            <w:r>
              <w:rPr>
                <w:rFonts w:ascii="Arial" w:cs="Arial" w:eastAsia="Arial" w:hAnsi="Arial"/>
                <w:sz w:val="22"/>
                <w:szCs w:val="22"/>
                <w:color w:val="auto"/>
                <w:vertAlign w:val="superscript"/>
              </w:rPr>
              <w:t>(1)</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Houston, Texas</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 xml:space="preserve">Sherman, Texas </w:t>
            </w:r>
            <w:r>
              <w:rPr>
                <w:rFonts w:ascii="Arial" w:cs="Arial" w:eastAsia="Arial" w:hAnsi="Arial"/>
                <w:sz w:val="22"/>
                <w:szCs w:val="22"/>
                <w:color w:val="auto"/>
                <w:vertAlign w:val="superscript"/>
              </w:rPr>
              <w:t>(1)(2)</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Tucson, Arizona</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 xml:space="preserve">San Diego, California </w:t>
            </w:r>
            <w:r>
              <w:rPr>
                <w:rFonts w:ascii="Arial" w:cs="Arial" w:eastAsia="Arial" w:hAnsi="Arial"/>
                <w:sz w:val="22"/>
                <w:szCs w:val="22"/>
                <w:color w:val="auto"/>
                <w:vertAlign w:val="superscript"/>
              </w:rPr>
              <w:t>(2)</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Attleboro, Massachusetts</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Baoying, China</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Nice, France</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Freising, Germany</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 xml:space="preserve">Bangalore, India </w:t>
            </w:r>
            <w:r>
              <w:rPr>
                <w:rFonts w:ascii="Arial" w:cs="Arial" w:eastAsia="Arial" w:hAnsi="Arial"/>
                <w:sz w:val="22"/>
                <w:szCs w:val="22"/>
                <w:color w:val="auto"/>
                <w:vertAlign w:val="superscript"/>
              </w:rPr>
              <w:t>(2)</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Hiji, Japan</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Miho, Japan</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 xml:space="preserve">Tokyo, Japan </w:t>
            </w:r>
            <w:r>
              <w:rPr>
                <w:rFonts w:ascii="Arial" w:cs="Arial" w:eastAsia="Arial" w:hAnsi="Arial"/>
                <w:sz w:val="22"/>
                <w:szCs w:val="22"/>
                <w:color w:val="auto"/>
                <w:vertAlign w:val="superscript"/>
              </w:rPr>
              <w:t>(2)</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 xml:space="preserve">Kuala Lumpur, Malaysia </w:t>
            </w:r>
            <w:r>
              <w:rPr>
                <w:rFonts w:ascii="Arial" w:cs="Arial" w:eastAsia="Arial" w:hAnsi="Arial"/>
                <w:sz w:val="22"/>
                <w:szCs w:val="22"/>
                <w:color w:val="auto"/>
                <w:vertAlign w:val="superscript"/>
              </w:rPr>
              <w:t>(3)</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 xml:space="preserve">Aguascalientes, Mexico </w:t>
            </w:r>
            <w:r>
              <w:rPr>
                <w:rFonts w:ascii="Arial" w:cs="Arial" w:eastAsia="Arial" w:hAnsi="Arial"/>
                <w:sz w:val="22"/>
                <w:szCs w:val="22"/>
                <w:color w:val="auto"/>
                <w:vertAlign w:val="superscript"/>
              </w:rPr>
              <w:t>(5)</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 xml:space="preserve">Baguio, Philippines </w:t>
            </w:r>
            <w:r>
              <w:rPr>
                <w:rFonts w:ascii="Arial" w:cs="Arial" w:eastAsia="Arial" w:hAnsi="Arial"/>
                <w:sz w:val="22"/>
                <w:szCs w:val="22"/>
                <w:color w:val="auto"/>
                <w:vertAlign w:val="superscript"/>
              </w:rPr>
              <w:t>(4)</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Chinchon, South Korea</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2"/>
        </w:trPr>
        <w:tc>
          <w:tcPr>
            <w:tcW w:w="7960" w:type="dxa"/>
            <w:vAlign w:val="bottom"/>
          </w:tcPr>
          <w:p>
            <w:pPr>
              <w:spacing w:after="0"/>
              <w:rPr>
                <w:sz w:val="20"/>
                <w:szCs w:val="20"/>
                <w:color w:val="auto"/>
              </w:rPr>
            </w:pPr>
            <w:r>
              <w:rPr>
                <w:rFonts w:ascii="Arial" w:cs="Arial" w:eastAsia="Arial" w:hAnsi="Arial"/>
                <w:sz w:val="18"/>
                <w:szCs w:val="18"/>
                <w:color w:val="auto"/>
              </w:rPr>
              <w:t>Taipei, Taiwan</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right="34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Certain facilities or portions thereof in Dallas and Sherman are leased to Raytheon Company or Raytheon-related entities in connection with the sale in 1997 of TI’s defense systems and electronics business.</w:t>
      </w:r>
    </w:p>
    <w:p>
      <w:pPr>
        <w:sectPr>
          <w:pgSz w:w="11900" w:h="16838" w:orient="portrait"/>
          <w:cols w:equalWidth="0" w:num="1">
            <w:col w:w="11420"/>
          </w:cols>
          <w:pgMar w:left="240" w:top="274" w:right="23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Leased.</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Approximately half of this site is owned on leased land; the remainder is leased.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Owned on leased land.</w:t>
      </w:r>
    </w:p>
    <w:p>
      <w:pPr>
        <w:spacing w:after="0" w:line="46" w:lineRule="exact"/>
        <w:rPr>
          <w:sz w:val="20"/>
          <w:szCs w:val="20"/>
          <w:color w:val="auto"/>
        </w:rPr>
      </w:pPr>
    </w:p>
    <w:p>
      <w:pPr>
        <w:sectPr>
          <w:pgSz w:w="11900" w:h="16838" w:orient="portrait"/>
          <w:cols w:equalWidth="0" w:num="2">
            <w:col w:w="140" w:space="320"/>
            <w:col w:w="10960"/>
          </w:cols>
          <w:pgMar w:left="240" w:top="274" w:right="239" w:bottom="1440" w:gutter="0" w:footer="0" w:header="0"/>
          <w:type w:val="continuous"/>
        </w:sectPr>
      </w:pPr>
    </w:p>
    <w:p>
      <w:pPr>
        <w:ind w:left="460" w:hanging="452"/>
        <w:spacing w:after="0"/>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Leased and owned.</w:t>
      </w:r>
    </w:p>
    <w:p>
      <w:pPr>
        <w:spacing w:after="0" w:line="14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TI’s facilities in the United States contained approximately 15,000,000 square feet at December 31, 2003, of which approximately 1,900,000 square feet were leased. TI’s facilities outside the United States contained approximately 6,200,000 square feet at December 31, 2003, of which approximately 1,700,000 square feet were leased.</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TI believes that its existing properties are in good condition and suitable for their intended purpose. As discussed in Item 1, TI outsources a portion of its product manufacturing. At the end of 2003, the company occupied substantially all of the space in its facilities.</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Leases covering TI’s leased facilities expire at varying dates generally within the next 12 years. TI anticipates no difficulty in either retaining occupancy through lease renewals, month-to-month occupancy or purchases of leased facilities, or replacing the leased facilities with equivalent facilities.</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Italian government auditors have substantially completed a review, conducted in the ordinary course, of approximately $250 million of grants from the Italian government to TI’s former memory operations in Italy. The auditors have raised a number of issues relating to compliance with grant requirements and the eligibility of specific expenses for the grants. The Ministry of Industry is responsible for reviewing the auditor’s findings. Depending on the Ministry’s decision, the review may result in a demand from the Italian government that TI repay a portion of the grants. The company believes that the grants were obtained and used in compliance with applicable law and contractual obligations. The Ministry has published final concession decrees on approximately $105 million of the grants. TI does not expect aggregate repayments to the Italian government to have a material impact on its financial condition, results of operations or liquidity.</w:t>
      </w:r>
    </w:p>
    <w:p>
      <w:pPr>
        <w:spacing w:after="0" w:line="10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 July 25, 2003, Qualcomm Incorporated filed a civil action against TI in the Superior Court of New Castle County, Delaware. Qualcomm develops and markets digital wireless communications products based on Code Division Multiple Access (CDMA) technology. The complaint sought a declaration (a) that TI breached the Patent Portfolio Agreement dated December 2, 2000, between TI and Qualcomm by disclosing information concerning the business relationship between the parties in violation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type w:val="continuous"/>
        </w:sectPr>
      </w:pPr>
    </w:p>
    <w:bookmarkStart w:id="8" w:name="page9"/>
    <w:bookmarkEnd w:id="8"/>
    <w:p>
      <w:pPr>
        <w:jc w:val="both"/>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confidentiality provisions in the Agreement and (b) that as a result Qualcomm is entitled to terminate TI’s rights under the Agreement. The complaint also requested damages, attorneys’ fees and costs of suit. After TI filed a motion to dismiss and itself filed an action in Delaware Chancery Court against Qualcomm for breach of contract, Qualcomm dismissed the Superior Court action. Qualcomm has reasserted its claims as counterclaims in the Chancery Court case filed by TI. TI has filed a motion to dismiss Qualcomm’s counterclaims and believes it has meritorious defenses to them.</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TI is involved in various proceedings conducted by the federal Environmental Protection Agency and certain other governmental environmental agencies regarding clean-up of contaminated sites. These proceedings are being coordinated with the agencies and, in certain cases, with other potentially responsible parties (PRPs). Although the factual situations and the progress of each of these matters differ, the company believes that the amount of its liability will not have a material adverse effect upon its financial condition, results of operations or liquidity.</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contained under the caption “Common Stock Prices and Dividends” on page 63 of TI’s 2003 annual report to stockholders, and the information concerning the number of stockholders of record at December 31, 2003, on page 43 of such annual report are incorporated herein by reference to such annual report.</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“Summary of Selected Financial Data” for the years 1999 through 2003 which appears on page 43 of TI’s 2003 annual report to stockholders is incorporated herein by reference to such annual report.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on pages 44 through 62 of TI’s 2003 annual report to stockholders is incorporated herein by reference to such annual report.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information concerning market risk is contained on pages 54 and 55 of TI’s 2003 annual report to stockholders and is incorporated herein by reference to such annual report.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of the company at December 31, 2003 and 2002, and for each of the three years in the period ended December 31, 2003, and the report thereon of the independent auditors, on pages 6 through 42 of TI’s 2003 annual report to stockholders, are incorporated herein by reference to such annual report.</w:t>
      </w:r>
    </w:p>
    <w:p>
      <w:pPr>
        <w:spacing w:after="0" w:line="12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“Quarterly Financial Data” on pages 62 and 63 of TI’s 2003 annual report to stockholders is also incorporated herein by reference to such annual report.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9A.</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adequate to ensure that information required to be disclosed by TI in the reports that it files or submits under the Exchange Act is recorded, processed, summarized and reported, within the time periods specified in the Commission’s rules and forms.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83"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the company’s proxy statement for the 2004 annual meeting of stockholders, is incorporated herein by reference to such proxy statement.</w:t>
      </w:r>
    </w:p>
    <w:p>
      <w:pPr>
        <w:spacing w:after="0" w:line="7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information with respect to the company’s audit committee financial expert contained under the caption “Board Organization” on page 8 of the company’s proxy statement for the 2004 annual meeting of stockholders is incorporated herein by reference to such proxy statement.</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4680" w:type="dxa"/>
            <w:vAlign w:val="bottom"/>
            <w:gridSpan w:val="3"/>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r>
      <w:tr>
        <w:trPr>
          <w:trHeight w:val="424"/>
        </w:trPr>
        <w:tc>
          <w:tcPr>
            <w:tcW w:w="5680" w:type="dxa"/>
            <w:vAlign w:val="bottom"/>
            <w:gridSpan w:val="2"/>
          </w:tcPr>
          <w:p>
            <w:pPr>
              <w:spacing w:after="0"/>
              <w:rPr>
                <w:sz w:val="20"/>
                <w:szCs w:val="20"/>
                <w:color w:val="auto"/>
              </w:rPr>
            </w:pPr>
            <w:r>
              <w:rPr>
                <w:rFonts w:ascii="Arial" w:cs="Arial" w:eastAsia="Arial" w:hAnsi="Arial"/>
                <w:sz w:val="18"/>
                <w:szCs w:val="18"/>
                <w:color w:val="auto"/>
              </w:rPr>
              <w:t>Gilles Delfassy</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Senior Vice President</w:t>
            </w:r>
          </w:p>
        </w:tc>
      </w:tr>
      <w:tr>
        <w:trPr>
          <w:trHeight w:val="318"/>
        </w:trPr>
        <w:tc>
          <w:tcPr>
            <w:tcW w:w="5680" w:type="dxa"/>
            <w:vAlign w:val="bottom"/>
            <w:gridSpan w:val="2"/>
          </w:tcPr>
          <w:p>
            <w:pPr>
              <w:spacing w:after="0"/>
              <w:rPr>
                <w:sz w:val="20"/>
                <w:szCs w:val="20"/>
                <w:color w:val="auto"/>
              </w:rPr>
            </w:pPr>
            <w:r>
              <w:rPr>
                <w:rFonts w:ascii="Arial" w:cs="Arial" w:eastAsia="Arial" w:hAnsi="Arial"/>
                <w:sz w:val="18"/>
                <w:szCs w:val="18"/>
                <w:color w:val="auto"/>
              </w:rPr>
              <w:t>Thomas J. Engibous</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w w:val="89"/>
              </w:rPr>
              <w:t>Director; Chairman of the Board, President and Chief Executive</w:t>
            </w:r>
          </w:p>
        </w:tc>
      </w:tr>
      <w:tr>
        <w:trPr>
          <w:trHeight w:val="222"/>
        </w:trPr>
        <w:tc>
          <w:tcPr>
            <w:tcW w:w="4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20" w:type="dxa"/>
            <w:vAlign w:val="bottom"/>
            <w:gridSpan w:val="2"/>
          </w:tcPr>
          <w:p>
            <w:pPr>
              <w:ind w:left="220"/>
              <w:spacing w:after="0"/>
              <w:rPr>
                <w:sz w:val="20"/>
                <w:szCs w:val="20"/>
                <w:color w:val="auto"/>
              </w:rPr>
            </w:pPr>
            <w:r>
              <w:rPr>
                <w:rFonts w:ascii="Arial" w:cs="Arial" w:eastAsia="Arial" w:hAnsi="Arial"/>
                <w:sz w:val="18"/>
                <w:szCs w:val="18"/>
                <w:color w:val="auto"/>
              </w:rPr>
              <w:t>Officer</w:t>
            </w: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Michael J. Hames</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Senior Vice President</w:t>
            </w: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Joseph F. Hubach</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Senior Vice President, Secretary and General Counsel</w:t>
            </w: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Chung-Shing (C.S.) Lee</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Senior Vice President</w:t>
            </w: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Stephen H. Leven</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Senior Vice President</w:t>
            </w: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Gregg A. Lowe</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Senior Vice President</w:t>
            </w: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Kevin P. March</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Philip J. Ritter</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Senior Vice President</w:t>
            </w:r>
          </w:p>
        </w:tc>
      </w:tr>
      <w:tr>
        <w:trPr>
          <w:trHeight w:val="318"/>
        </w:trPr>
        <w:tc>
          <w:tcPr>
            <w:tcW w:w="5680" w:type="dxa"/>
            <w:vAlign w:val="bottom"/>
            <w:gridSpan w:val="2"/>
          </w:tcPr>
          <w:p>
            <w:pPr>
              <w:spacing w:after="0"/>
              <w:rPr>
                <w:sz w:val="20"/>
                <w:szCs w:val="20"/>
                <w:color w:val="auto"/>
              </w:rPr>
            </w:pPr>
            <w:r>
              <w:rPr>
                <w:rFonts w:ascii="Arial" w:cs="Arial" w:eastAsia="Arial" w:hAnsi="Arial"/>
                <w:sz w:val="18"/>
                <w:szCs w:val="18"/>
                <w:color w:val="auto"/>
              </w:rPr>
              <w:t>Richard J. Schaar</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w w:val="93"/>
              </w:rPr>
              <w:t>Senior Vice President (President, Educational &amp; Productivity</w:t>
            </w:r>
          </w:p>
        </w:tc>
      </w:tr>
      <w:tr>
        <w:trPr>
          <w:trHeight w:val="222"/>
        </w:trPr>
        <w:tc>
          <w:tcPr>
            <w:tcW w:w="4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20" w:type="dxa"/>
            <w:vAlign w:val="bottom"/>
            <w:gridSpan w:val="2"/>
          </w:tcPr>
          <w:p>
            <w:pPr>
              <w:ind w:left="220"/>
              <w:spacing w:after="0"/>
              <w:rPr>
                <w:sz w:val="20"/>
                <w:szCs w:val="20"/>
                <w:color w:val="auto"/>
              </w:rPr>
            </w:pPr>
            <w:r>
              <w:rPr>
                <w:rFonts w:ascii="Arial" w:cs="Arial" w:eastAsia="Arial" w:hAnsi="Arial"/>
                <w:sz w:val="18"/>
                <w:szCs w:val="18"/>
                <w:color w:val="auto"/>
              </w:rPr>
              <w:t>Solutions)</w:t>
            </w:r>
          </w:p>
        </w:tc>
      </w:tr>
      <w:tr>
        <w:trPr>
          <w:trHeight w:val="318"/>
        </w:trPr>
        <w:tc>
          <w:tcPr>
            <w:tcW w:w="5680" w:type="dxa"/>
            <w:vAlign w:val="bottom"/>
            <w:gridSpan w:val="2"/>
          </w:tcPr>
          <w:p>
            <w:pPr>
              <w:spacing w:after="0"/>
              <w:rPr>
                <w:sz w:val="20"/>
                <w:szCs w:val="20"/>
                <w:color w:val="auto"/>
              </w:rPr>
            </w:pPr>
            <w:r>
              <w:rPr>
                <w:rFonts w:ascii="Arial" w:cs="Arial" w:eastAsia="Arial" w:hAnsi="Arial"/>
                <w:sz w:val="18"/>
                <w:szCs w:val="18"/>
                <w:color w:val="auto"/>
              </w:rPr>
              <w:t>Richard K. Templeton</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w w:val="90"/>
              </w:rPr>
              <w:t>Director; Executive Vice President and Chief Operating Officer</w:t>
            </w:r>
          </w:p>
        </w:tc>
      </w:tr>
      <w:tr>
        <w:trPr>
          <w:trHeight w:val="222"/>
        </w:trPr>
        <w:tc>
          <w:tcPr>
            <w:tcW w:w="4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20" w:type="dxa"/>
            <w:vAlign w:val="bottom"/>
            <w:gridSpan w:val="2"/>
          </w:tcPr>
          <w:p>
            <w:pPr>
              <w:ind w:left="220"/>
              <w:spacing w:after="0"/>
              <w:rPr>
                <w:sz w:val="20"/>
                <w:szCs w:val="20"/>
                <w:color w:val="auto"/>
              </w:rPr>
            </w:pPr>
            <w:r>
              <w:rPr>
                <w:rFonts w:ascii="Arial" w:cs="Arial" w:eastAsia="Arial" w:hAnsi="Arial"/>
                <w:sz w:val="18"/>
                <w:szCs w:val="18"/>
                <w:color w:val="auto"/>
              </w:rPr>
              <w:t>(President, Semiconductor)</w:t>
            </w: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Teresa L. West</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Senior Vice President</w:t>
            </w: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Thomas Wroe, Jr.</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Senior Vice President (President, Sensors &amp; Controls)</w:t>
            </w:r>
          </w:p>
        </w:tc>
      </w:tr>
    </w:tbl>
    <w:p>
      <w:pPr>
        <w:spacing w:after="0" w:line="14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term of office of the above-listed officers is from the date of their election until their successor shall have been elected and qualified. Ms. West and Messrs. Engibous, Leven, Schaar, Templeton and Wroe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0" w:name="page11"/>
    <w:bookmarkEnd w:id="10"/>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served as executive officers of the company for more than five years. Messrs. Delfassy, Hames and Hubach have served as executive officers of the company since 2000 and have been employees of the company for more than five years. Messrs. Lee, Lowe and Ritter have served as executive officers of the company since 2001 and have been employees of the company for more than five years. Mr. March became an executive officer of the company in 2003 and has been an employee of the company for more than five years.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Code of Ethics</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adopted the Code of Ethics for TI Chief Executive Officer and Senior Financial Officers. A copy of the Code can be found on the company’s web site at www.ti.com/corporategovernance. The company intends to satisfy the disclosure requirements of the Securities and Exchange Commission regarding amendments to, or waivers from, the Code by posting such information on the same web site.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information contained under the captions “Director Compensation” and “Executive Compensation” in the company’s proxy statement for the 2004 annual meeting of stockholders is incorporated herein by reference to such proxy statement.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2003: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7"/>
              </w:rPr>
              <w:t>Number of Securities to</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3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be Issued Upon</w:t>
            </w:r>
          </w:p>
        </w:tc>
        <w:tc>
          <w:tcPr>
            <w:tcW w:w="22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3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22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3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2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Warrants and Rights</w:t>
            </w:r>
          </w:p>
        </w:tc>
        <w:tc>
          <w:tcPr>
            <w:tcW w:w="22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7"/>
              </w:rPr>
              <w:t>Warrants and Rights</w:t>
            </w: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3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202,928,155</w:t>
            </w:r>
            <w:r>
              <w:rPr>
                <w:rFonts w:ascii="Arial" w:cs="Arial" w:eastAsia="Arial" w:hAnsi="Arial"/>
                <w:sz w:val="11"/>
                <w:szCs w:val="11"/>
                <w:color w:val="auto"/>
              </w:rPr>
              <w:t>(1)</w:t>
            </w:r>
          </w:p>
        </w:tc>
        <w:tc>
          <w:tcPr>
            <w:tcW w:w="2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$25.79</w:t>
            </w:r>
            <w:r>
              <w:rPr>
                <w:rFonts w:ascii="Arial" w:cs="Arial" w:eastAsia="Arial" w:hAnsi="Arial"/>
                <w:sz w:val="11"/>
                <w:szCs w:val="11"/>
                <w:color w:val="auto"/>
              </w:rPr>
              <w:t>(2)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76,322,266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360" w:type="dxa"/>
            <w:vAlign w:val="bottom"/>
            <w:gridSpan w:val="2"/>
          </w:tcPr>
          <w:p>
            <w:pPr>
              <w:jc w:val="right"/>
              <w:ind w:right="840"/>
              <w:spacing w:after="0"/>
              <w:rPr>
                <w:sz w:val="20"/>
                <w:szCs w:val="20"/>
                <w:color w:val="auto"/>
              </w:rPr>
            </w:pPr>
            <w:r>
              <w:rPr>
                <w:rFonts w:ascii="Arial" w:cs="Arial" w:eastAsia="Arial" w:hAnsi="Arial"/>
                <w:sz w:val="18"/>
                <w:szCs w:val="18"/>
                <w:color w:val="auto"/>
              </w:rPr>
              <w:t>22,730,020</w:t>
            </w:r>
            <w:r>
              <w:rPr>
                <w:rFonts w:ascii="Arial" w:cs="Arial" w:eastAsia="Arial" w:hAnsi="Arial"/>
                <w:sz w:val="11"/>
                <w:szCs w:val="11"/>
                <w:color w:val="auto"/>
              </w:rPr>
              <w:t>(4)</w:t>
            </w:r>
          </w:p>
        </w:tc>
        <w:tc>
          <w:tcPr>
            <w:tcW w:w="2220" w:type="dxa"/>
            <w:vAlign w:val="bottom"/>
            <w:gridSpan w:val="2"/>
          </w:tcPr>
          <w:p>
            <w:pPr>
              <w:ind w:left="760"/>
              <w:spacing w:after="0"/>
              <w:rPr>
                <w:sz w:val="20"/>
                <w:szCs w:val="20"/>
                <w:color w:val="auto"/>
              </w:rPr>
            </w:pPr>
            <w:r>
              <w:rPr>
                <w:rFonts w:ascii="Arial" w:cs="Arial" w:eastAsia="Arial" w:hAnsi="Arial"/>
                <w:sz w:val="18"/>
                <w:szCs w:val="18"/>
                <w:color w:val="auto"/>
              </w:rPr>
              <w:t>$17.65</w:t>
            </w:r>
            <w:r>
              <w:rPr>
                <w:rFonts w:ascii="Arial" w:cs="Arial" w:eastAsia="Arial" w:hAnsi="Arial"/>
                <w:sz w:val="11"/>
                <w:szCs w:val="11"/>
                <w:color w:val="auto"/>
              </w:rPr>
              <w:t>(2)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217,923,695</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225,658,175</w:t>
            </w:r>
          </w:p>
        </w:tc>
        <w:tc>
          <w:tcPr>
            <w:tcW w:w="9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$24.97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294,245,961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28"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Includes shares of TI common stock to be issued under the Texas Instruments 2000 Long-Term Incentive Plan and predecessor plans, the Texas Instruments 2003 Director Compensation Plan and the TI Employees 2002 Stock Purchase Plan.</w:t>
      </w:r>
    </w:p>
    <w:p>
      <w:pPr>
        <w:spacing w:after="0" w:line="143"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Excludes the following:</w:t>
      </w:r>
    </w:p>
    <w:p>
      <w:pPr>
        <w:spacing w:after="0" w:line="76" w:lineRule="exact"/>
        <w:rPr>
          <w:rFonts w:ascii="Arial" w:cs="Arial" w:eastAsia="Arial" w:hAnsi="Arial"/>
          <w:sz w:val="22"/>
          <w:szCs w:val="22"/>
          <w:color w:val="auto"/>
          <w:vertAlign w:val="superscript"/>
        </w:rPr>
      </w:pPr>
    </w:p>
    <w:p>
      <w:pPr>
        <w:ind w:left="800" w:right="100" w:hanging="346"/>
        <w:spacing w:after="0" w:line="259"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4,830,657 shares of TI common stock to be issued upon exercise of outstanding options originally granted under the Burr-Brown Corporation 1993 Stock Incentive Plan, a plan approved by the stockholders of Burr-Brown Corporation. The options were assumed by the company in connection with the acquisition of Burr-Brown Corporation; and</w:t>
      </w:r>
    </w:p>
    <w:p>
      <w:pPr>
        <w:spacing w:after="0" w:line="45" w:lineRule="exact"/>
        <w:rPr>
          <w:rFonts w:ascii="Arial" w:cs="Arial" w:eastAsia="Arial" w:hAnsi="Arial"/>
          <w:sz w:val="18"/>
          <w:szCs w:val="18"/>
          <w:color w:val="auto"/>
        </w:rPr>
      </w:pPr>
    </w:p>
    <w:p>
      <w:pPr>
        <w:jc w:val="both"/>
        <w:ind w:left="800" w:right="120" w:hanging="346"/>
        <w:spacing w:after="0" w:line="259"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651,384 shares of TI common stock to be issued upon exercise of outstanding options originally granted under the Radia Communications, Inc. 2000 Stock Option/Stock Issuance Plan, a plan approved by the stockholders of Radia Communications, Inc. The options were assumed by the company in connection with the acquisition of Radia.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left="460" w:right="280" w:hanging="452"/>
        <w:spacing w:after="0" w:line="241" w:lineRule="auto"/>
        <w:tabs>
          <w:tab w:leader="none" w:pos="460" w:val="left"/>
        </w:tabs>
        <w:numPr>
          <w:ilvl w:val="0"/>
          <w:numId w:val="6"/>
        </w:numPr>
        <w:rPr>
          <w:rFonts w:ascii="Arial" w:cs="Arial" w:eastAsia="Arial" w:hAnsi="Arial"/>
          <w:sz w:val="21"/>
          <w:szCs w:val="21"/>
          <w:color w:val="auto"/>
          <w:vertAlign w:val="superscript"/>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 units, and stock units credited to directors’ deferred compensation accounts, are settled for shares of TI common stock on a one-for-one basis. Accordingly, such units have been excluded for purposes of computing the weighted-average exercise price.</w:t>
      </w:r>
    </w:p>
    <w:p>
      <w:pPr>
        <w:spacing w:after="0" w:line="60" w:lineRule="exact"/>
        <w:rPr>
          <w:rFonts w:ascii="Arial" w:cs="Arial" w:eastAsia="Arial" w:hAnsi="Arial"/>
          <w:sz w:val="21"/>
          <w:szCs w:val="21"/>
          <w:color w:val="auto"/>
          <w:vertAlign w:val="superscript"/>
        </w:rPr>
      </w:pPr>
    </w:p>
    <w:p>
      <w:pPr>
        <w:ind w:left="460" w:right="500" w:hanging="452"/>
        <w:spacing w:after="0" w:line="228"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Shares of TI common stock available for issuance under the Texas Instruments 2000 Long-Term Incentive Plan, the Texas Instruments 2003 Director Compensation Plan and the TI Employees 2002 Stock Purchase Plan.</w:t>
      </w:r>
    </w:p>
    <w:p>
      <w:pPr>
        <w:spacing w:after="0" w:line="62" w:lineRule="exact"/>
        <w:rPr>
          <w:rFonts w:ascii="Arial" w:cs="Arial" w:eastAsia="Arial" w:hAnsi="Arial"/>
          <w:sz w:val="22"/>
          <w:szCs w:val="22"/>
          <w:color w:val="auto"/>
          <w:vertAlign w:val="superscript"/>
        </w:rPr>
      </w:pPr>
    </w:p>
    <w:p>
      <w:pPr>
        <w:ind w:left="460" w:right="60" w:hanging="452"/>
        <w:spacing w:after="0" w:line="262" w:lineRule="auto"/>
        <w:tabs>
          <w:tab w:leader="none" w:pos="460" w:val="left"/>
        </w:tabs>
        <w:numPr>
          <w:ilvl w:val="0"/>
          <w:numId w:val="6"/>
        </w:numPr>
        <w:rPr>
          <w:rFonts w:ascii="Arial" w:cs="Arial" w:eastAsia="Arial" w:hAnsi="Arial"/>
          <w:sz w:val="21"/>
          <w:szCs w:val="21"/>
          <w:color w:val="auto"/>
          <w:vertAlign w:val="superscript"/>
        </w:rPr>
      </w:pPr>
      <w:r>
        <w:rPr>
          <w:rFonts w:ascii="Arial" w:cs="Arial" w:eastAsia="Arial" w:hAnsi="Arial"/>
          <w:sz w:val="17"/>
          <w:szCs w:val="17"/>
          <w:color w:val="auto"/>
        </w:rPr>
        <w:t>Includes shares to be issued under the Texas Instruments 2003 Long-Term Incentive Plan, a plan for non-management employees; executive officers and approximately 400 managers of the company are ineligible to receive awards under the plan. The plan authorizes the grant of: (1) stock options, (2) restricted stock and restricted stock units, (3) performance units and (4) other awards (including stock appreciation rights) valued in whole or in part by reference to or otherwise based on common stock of the company. The plan is administered by a board committee appointed by the board of directors consisting of not less than three independent directors (the Committee). The Committee has the sole discretion to grant to eligible participants one or more equity awards and to determine the number or amount of any award. Except in the case of awards made through assumption of, or in substitution for, outstanding awards previously granted by an acquired company, and except as a result of an adjustment event such as a stock split as determined by the Committee, the exercise price under any stock option, the grant price of any stock appreciation right, and the purchase price of any security that may be purchased under any other stock-based award under the plan will not be less than 100% of the fair market value of the stock or other security on the date of the grant of the option, right or award.</w:t>
      </w:r>
    </w:p>
    <w:p>
      <w:pPr>
        <w:spacing w:after="0" w:line="44" w:lineRule="exact"/>
        <w:rPr>
          <w:rFonts w:ascii="Arial" w:cs="Arial" w:eastAsia="Arial" w:hAnsi="Arial"/>
          <w:sz w:val="21"/>
          <w:szCs w:val="21"/>
          <w:color w:val="auto"/>
          <w:vertAlign w:val="superscript"/>
        </w:rPr>
      </w:pPr>
    </w:p>
    <w:p>
      <w:pPr>
        <w:ind w:left="460" w:right="60"/>
        <w:spacing w:after="0" w:line="259" w:lineRule="auto"/>
        <w:rPr>
          <w:rFonts w:ascii="Arial" w:cs="Arial" w:eastAsia="Arial" w:hAnsi="Arial"/>
          <w:sz w:val="21"/>
          <w:szCs w:val="21"/>
          <w:color w:val="auto"/>
          <w:vertAlign w:val="superscript"/>
        </w:rPr>
      </w:pPr>
      <w:r>
        <w:rPr>
          <w:rFonts w:ascii="Arial" w:cs="Arial" w:eastAsia="Arial" w:hAnsi="Arial"/>
          <w:sz w:val="18"/>
          <w:szCs w:val="18"/>
          <w:color w:val="auto"/>
        </w:rPr>
        <w:t>Also includes shares to be issued under the Texas Instruments Directors Deferred Compensation Plan, the Texas Instruments Restricted Stock Unit Plan for Directors and the Texas Instruments Stock Option Plan for Non-Employee Directors. These plans were replaced by the Texas Instruments 2003 Director Compensation Plan, and no further grants will be made under them.</w:t>
      </w:r>
    </w:p>
    <w:p>
      <w:pPr>
        <w:spacing w:after="0" w:line="45" w:lineRule="exact"/>
        <w:rPr>
          <w:rFonts w:ascii="Arial" w:cs="Arial" w:eastAsia="Arial" w:hAnsi="Arial"/>
          <w:sz w:val="21"/>
          <w:szCs w:val="21"/>
          <w:color w:val="auto"/>
          <w:vertAlign w:val="superscript"/>
        </w:rPr>
      </w:pPr>
    </w:p>
    <w:p>
      <w:pPr>
        <w:ind w:left="460" w:right="440" w:hanging="452"/>
        <w:spacing w:after="0" w:line="228"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Shares of TI common stock available for issuance under the Texas Instruments 2003 Long-Term Incentive Plan. Stockholders have approved all other equity compensation plans of the company.</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concerning (a) the only persons that have reported beneficial ownership of more than 5 percent of the common stock of TI, and (b) the ownership of TI’s common stock by the Chief Executive Officer and the four other most highly compensated executive officers, and all executive officers and directors as a group, that is contained under the caption “Share Ownership of Certain Persons” in the company’s proxy statement for the 2004 annual meeting of stockholders, is incorporated herein by reference to such proxy statement. The information concerning ownership of TI’s common stock by each of the directors, which is contained under the caption “Directors’ Ages, Service and Stock Ownership” in such proxy statement, is also incorporated herein by reference to such proxy statement.</w:t>
      </w:r>
    </w:p>
    <w:p>
      <w:pPr>
        <w:spacing w:after="0" w:line="1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information contained under the caption “Certain Business Relationships” in the company’s proxy statement for the 2004 annual meeting of stockholders is incorporated herein by reference to such proxy statement.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8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Auditors” of the company’s proxy statement for the 2004 annual meeting of stockholders is incorporated herein by reference to such proxy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1 and 2. Financial Statements and Financial Statement Schedules: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statements and financial statement schedule are listed in the index on page 19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Designation of</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580" w:type="dxa"/>
            <w:vAlign w:val="bottom"/>
          </w:tcPr>
          <w:p>
            <w:pPr>
              <w:spacing w:after="0"/>
              <w:rPr>
                <w:sz w:val="14"/>
                <w:szCs w:val="14"/>
                <w:color w:val="auto"/>
              </w:rPr>
            </w:pPr>
          </w:p>
        </w:tc>
      </w:tr>
      <w:tr>
        <w:trPr>
          <w:trHeight w:val="149"/>
        </w:trPr>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Exhibit in</w:t>
            </w:r>
          </w:p>
        </w:tc>
        <w:tc>
          <w:tcPr>
            <w:tcW w:w="1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580" w:type="dxa"/>
            <w:vAlign w:val="bottom"/>
          </w:tcPr>
          <w:p>
            <w:pPr>
              <w:spacing w:after="0"/>
              <w:rPr>
                <w:sz w:val="12"/>
                <w:szCs w:val="12"/>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This Report</w:t>
            </w:r>
          </w:p>
        </w:tc>
        <w:tc>
          <w:tcPr>
            <w:tcW w:w="10320" w:type="dxa"/>
            <w:vAlign w:val="bottom"/>
            <w:gridSpan w:val="3"/>
          </w:tcPr>
          <w:p>
            <w:pPr>
              <w:ind w:left="112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08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7580" w:type="dxa"/>
            <w:vAlign w:val="bottom"/>
          </w:tcPr>
          <w:p>
            <w:pPr>
              <w:spacing w:after="0"/>
              <w:rPr>
                <w:sz w:val="8"/>
                <w:szCs w:val="8"/>
                <w:color w:val="auto"/>
              </w:rPr>
            </w:pPr>
          </w:p>
        </w:tc>
      </w:tr>
      <w:tr>
        <w:trPr>
          <w:trHeight w:val="417"/>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3(a)</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89"/>
              </w:rPr>
              <w:t>Restated Certificate of Incorporation of the Registrant (incorporated by reference to Exhibit 3(a) to the Registrant’s Annual Report</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on Form 10-K for the year 1993).</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3(b)</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91"/>
              </w:rPr>
              <w:t>Certificate of Amendment to Restated Certificate of Incorporation of the Registrant (incorporated by reference to Exhibit 3(b) to</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the Registrant’s Annual Report on Form 10-K for the year 1993).</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0"/>
              </w:rPr>
              <w:t>3(c)</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91"/>
              </w:rPr>
              <w:t>Certificate of Amendment to Restated Certificate of Incorporation of the Registrant (incorporated by reference to Exhibit 3(c) to</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the Registrant’s Annual Report on Form 10-K for the year 1993).</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3(d)</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90"/>
              </w:rPr>
              <w:t>Certificate of Amendment to Restated Certificate of Incorporation of the Registrant (incorporated by reference to Exhibit 3 to the</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Registrant’s Quarterly Report on Form 10-Q for the quarter ended June 30, 1996).</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3(e)</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90"/>
              </w:rPr>
              <w:t>Certificate of Ownership merging Texas Instruments Automation Controls, Inc. into the Registrant (incorporated by reference to</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Exhibit 3(e) to the Registrant’s Annual Report on Form 10-K for the year 1993).</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rPr>
              <w:t>3(f)</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92"/>
              </w:rPr>
              <w:t>Certificate of Elimination of Designations of Preferred Stock of the Registrant (incorporated by reference to Exhibit 3(f) to the</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3(g)</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89"/>
              </w:rPr>
              <w:t>Certificate of Ownership and Merger merging Tiburon Systems, Inc. into the Registrant (incorporated by reference to Exhibit 4(g)</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to the Registrant’s Registration Statement No. 333-41919 on Form S-8).</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3(h)</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92"/>
              </w:rPr>
              <w:t>Certificate of Ownership and Merger merging Tartan, Inc. into the Registrant (incorporated by reference to Exhibit 4(h) to the</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Registrant’s Registration Statement No. 333-41919 on Form S-8).</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2"/>
              </w:rPr>
              <w:t>3(i)</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93"/>
              </w:rPr>
              <w:t>Certificate of Designation relating to the Registrant’s Participating Cumulative Preferred Stock (incorporated by reference to</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Exhibit 4(a) to the Registrant’s Quarterly Report on Form 10-Q for the quarter ended September 30, 1998).</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2"/>
              </w:rPr>
              <w:t>3(j)</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93"/>
              </w:rPr>
              <w:t>Certificate of Elimination of Designation of Preferred Stock of the Registrant (incorporated by reference to Exhibit 3(j) to the</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Registrant’s Annual Report on Form 10-K for the year 1998).</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0"/>
              </w:rPr>
              <w:t>3(k)</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89"/>
              </w:rPr>
              <w:t>Certificate of Ownership and Merger merging Intersect Technologies, Inc. into the Registrant (incorporated by reference to Exhibit</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3(k) to the Registrant’s Annual Report on Form 10-K for the year 1999).</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2"/>
              </w:rPr>
              <w:t>3(l)</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89"/>
              </w:rPr>
              <w:t>Certificate of Ownership and Merger merging Soft Warehouse, Inc. into the Registrant (incorporated by reference to Exhibit 3(l) to</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the Registrant’s Annual Report on Form 10-K for the year 1999).</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1"/>
              </w:rPr>
              <w:t>3(m)</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90"/>
              </w:rPr>
              <w:t>Certificate of Ownership and Merger merging Silicon Systems, Inc. into the Registrant (incorporated by reference to Exhibit 3(m)</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to the Registrant’s Annual Report on Form 10-K for the year 1999).</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3(n)</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91"/>
              </w:rPr>
              <w:t>Certificate of Amendment to Restated Certificate of Incorporation (incorporated by reference to Exhibit 3(n) to the Registrant’s</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Registration Statement on Form S-4 No. 333-41030 filed on July 7, 2000).</w:t>
            </w: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3(o)</w:t>
            </w: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w w:val="94"/>
              </w:rPr>
              <w:t>Certificate of Ownership and Merger merging Power Trends, Inc. with and into the Registrant (incorporated by reference to</w:t>
            </w:r>
          </w:p>
        </w:tc>
      </w:tr>
      <w:tr>
        <w:trPr>
          <w:trHeight w:val="222"/>
        </w:trPr>
        <w:tc>
          <w:tcPr>
            <w:tcW w:w="1080" w:type="dxa"/>
            <w:vAlign w:val="bottom"/>
          </w:tcPr>
          <w:p>
            <w:pPr>
              <w:spacing w:after="0"/>
              <w:rPr>
                <w:sz w:val="19"/>
                <w:szCs w:val="19"/>
                <w:color w:val="auto"/>
              </w:rPr>
            </w:pPr>
          </w:p>
        </w:tc>
        <w:tc>
          <w:tcPr>
            <w:tcW w:w="10320" w:type="dxa"/>
            <w:vAlign w:val="bottom"/>
            <w:gridSpan w:val="3"/>
          </w:tcPr>
          <w:p>
            <w:pPr>
              <w:ind w:left="1120"/>
              <w:spacing w:after="0"/>
              <w:rPr>
                <w:sz w:val="20"/>
                <w:szCs w:val="20"/>
                <w:color w:val="auto"/>
              </w:rPr>
            </w:pPr>
            <w:r>
              <w:rPr>
                <w:rFonts w:ascii="Arial" w:cs="Arial" w:eastAsia="Arial" w:hAnsi="Arial"/>
                <w:sz w:val="18"/>
                <w:szCs w:val="18"/>
                <w:color w:val="auto"/>
              </w:rPr>
              <w:t>Exhibit 3(o) to the Registrant’s Annual Report on Form 10-K for the year 2001).</w:t>
            </w:r>
          </w:p>
        </w:tc>
      </w:tr>
      <w:tr>
        <w:trPr>
          <w:trHeight w:val="365"/>
        </w:trPr>
        <w:tc>
          <w:tcPr>
            <w:tcW w:w="1080" w:type="dxa"/>
            <w:vAlign w:val="bottom"/>
          </w:tcPr>
          <w:p>
            <w:pPr>
              <w:spacing w:after="0"/>
              <w:rPr>
                <w:sz w:val="24"/>
                <w:szCs w:val="24"/>
                <w:color w:val="auto"/>
              </w:rPr>
            </w:pPr>
          </w:p>
        </w:tc>
        <w:tc>
          <w:tcPr>
            <w:tcW w:w="10320" w:type="dxa"/>
            <w:vAlign w:val="bottom"/>
            <w:gridSpan w:val="3"/>
          </w:tcPr>
          <w:p>
            <w:pPr>
              <w:ind w:left="45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00"/>
          </w:cols>
          <w:pgMar w:left="240" w:top="274" w:right="25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ind w:right="352"/>
              <w:spacing w:after="0"/>
              <w:rPr>
                <w:sz w:val="20"/>
                <w:szCs w:val="20"/>
                <w:color w:val="auto"/>
              </w:rPr>
            </w:pPr>
            <w:r>
              <w:rPr>
                <w:rFonts w:ascii="Arial" w:cs="Arial" w:eastAsia="Arial" w:hAnsi="Arial"/>
                <w:sz w:val="18"/>
                <w:szCs w:val="18"/>
                <w:color w:val="auto"/>
                <w:w w:val="87"/>
              </w:rPr>
              <w:t>3(p)</w:t>
            </w:r>
          </w:p>
        </w:tc>
        <w:tc>
          <w:tcPr>
            <w:tcW w:w="10600" w:type="dxa"/>
            <w:vAlign w:val="bottom"/>
          </w:tcPr>
          <w:p>
            <w:pPr>
              <w:ind w:left="140"/>
              <w:spacing w:after="0"/>
              <w:rPr>
                <w:sz w:val="20"/>
                <w:szCs w:val="20"/>
                <w:color w:val="auto"/>
              </w:rPr>
            </w:pPr>
            <w:r>
              <w:rPr>
                <w:rFonts w:ascii="Arial" w:cs="Arial" w:eastAsia="Arial" w:hAnsi="Arial"/>
                <w:sz w:val="18"/>
                <w:szCs w:val="18"/>
                <w:color w:val="auto"/>
                <w:w w:val="94"/>
              </w:rPr>
              <w:t>Certificate of Ownership and Merger merging Amati Communications Corporation with and into the Registrant (incorporated by reference to</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Exhibit 3(p) to the Registrant’s Annual Report on Form 10-K for the year 2001).</w:t>
            </w:r>
          </w:p>
        </w:tc>
      </w:tr>
      <w:tr>
        <w:trPr>
          <w:trHeight w:val="318"/>
        </w:trPr>
        <w:tc>
          <w:tcPr>
            <w:tcW w:w="800" w:type="dxa"/>
            <w:vAlign w:val="bottom"/>
          </w:tcPr>
          <w:p>
            <w:pPr>
              <w:jc w:val="center"/>
              <w:ind w:right="352"/>
              <w:spacing w:after="0"/>
              <w:rPr>
                <w:sz w:val="20"/>
                <w:szCs w:val="20"/>
                <w:color w:val="auto"/>
              </w:rPr>
            </w:pPr>
            <w:r>
              <w:rPr>
                <w:rFonts w:ascii="Arial" w:cs="Arial" w:eastAsia="Arial" w:hAnsi="Arial"/>
                <w:sz w:val="18"/>
                <w:szCs w:val="18"/>
                <w:color w:val="auto"/>
                <w:w w:val="87"/>
              </w:rPr>
              <w:t>3(q)</w:t>
            </w:r>
          </w:p>
        </w:tc>
        <w:tc>
          <w:tcPr>
            <w:tcW w:w="10600" w:type="dxa"/>
            <w:vAlign w:val="bottom"/>
          </w:tcPr>
          <w:p>
            <w:pPr>
              <w:ind w:left="140"/>
              <w:spacing w:after="0"/>
              <w:rPr>
                <w:sz w:val="20"/>
                <w:szCs w:val="20"/>
                <w:color w:val="auto"/>
              </w:rPr>
            </w:pPr>
            <w:r>
              <w:rPr>
                <w:rFonts w:ascii="Arial" w:cs="Arial" w:eastAsia="Arial" w:hAnsi="Arial"/>
                <w:sz w:val="18"/>
                <w:szCs w:val="18"/>
                <w:color w:val="auto"/>
                <w:w w:val="89"/>
              </w:rPr>
              <w:t>Certificate of Ownership and Merger merging Texas Instruments San Diego Incorporated with and into the Registrant (incorporated by reference to</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Exhibit 3(q) to the Registrant’s Annual Report on Form 10-K for the year 2002).</w:t>
            </w:r>
          </w:p>
        </w:tc>
      </w:tr>
      <w:tr>
        <w:trPr>
          <w:trHeight w:val="324"/>
        </w:trPr>
        <w:tc>
          <w:tcPr>
            <w:tcW w:w="800" w:type="dxa"/>
            <w:vAlign w:val="bottom"/>
          </w:tcPr>
          <w:p>
            <w:pPr>
              <w:jc w:val="center"/>
              <w:ind w:right="352"/>
              <w:spacing w:after="0"/>
              <w:rPr>
                <w:sz w:val="20"/>
                <w:szCs w:val="20"/>
                <w:color w:val="auto"/>
              </w:rPr>
            </w:pPr>
            <w:r>
              <w:rPr>
                <w:rFonts w:ascii="Arial" w:cs="Arial" w:eastAsia="Arial" w:hAnsi="Arial"/>
                <w:sz w:val="18"/>
                <w:szCs w:val="18"/>
                <w:color w:val="auto"/>
                <w:w w:val="99"/>
              </w:rPr>
              <w:t>3(r)</w:t>
            </w:r>
          </w:p>
        </w:tc>
        <w:tc>
          <w:tcPr>
            <w:tcW w:w="10600" w:type="dxa"/>
            <w:vAlign w:val="bottom"/>
          </w:tcPr>
          <w:p>
            <w:pPr>
              <w:ind w:left="140"/>
              <w:spacing w:after="0"/>
              <w:rPr>
                <w:sz w:val="20"/>
                <w:szCs w:val="20"/>
                <w:color w:val="auto"/>
              </w:rPr>
            </w:pPr>
            <w:r>
              <w:rPr>
                <w:rFonts w:ascii="Arial" w:cs="Arial" w:eastAsia="Arial" w:hAnsi="Arial"/>
                <w:sz w:val="18"/>
                <w:szCs w:val="18"/>
                <w:color w:val="auto"/>
              </w:rPr>
              <w:t>Certificate of Ownership and Merger merging Texas Instruments Burlington Incorporated with and into the Registrant.</w:t>
            </w:r>
          </w:p>
        </w:tc>
      </w:tr>
      <w:tr>
        <w:trPr>
          <w:trHeight w:val="324"/>
        </w:trPr>
        <w:tc>
          <w:tcPr>
            <w:tcW w:w="800" w:type="dxa"/>
            <w:vAlign w:val="bottom"/>
          </w:tcPr>
          <w:p>
            <w:pPr>
              <w:jc w:val="center"/>
              <w:ind w:right="352"/>
              <w:spacing w:after="0"/>
              <w:rPr>
                <w:sz w:val="20"/>
                <w:szCs w:val="20"/>
                <w:color w:val="auto"/>
              </w:rPr>
            </w:pPr>
            <w:r>
              <w:rPr>
                <w:rFonts w:ascii="Arial" w:cs="Arial" w:eastAsia="Arial" w:hAnsi="Arial"/>
                <w:sz w:val="18"/>
                <w:szCs w:val="18"/>
                <w:color w:val="auto"/>
                <w:w w:val="90"/>
              </w:rPr>
              <w:t>3(s)</w:t>
            </w:r>
          </w:p>
        </w:tc>
        <w:tc>
          <w:tcPr>
            <w:tcW w:w="10600" w:type="dxa"/>
            <w:vAlign w:val="bottom"/>
          </w:tcPr>
          <w:p>
            <w:pPr>
              <w:ind w:left="140"/>
              <w:spacing w:after="0"/>
              <w:rPr>
                <w:sz w:val="20"/>
                <w:szCs w:val="20"/>
                <w:color w:val="auto"/>
              </w:rPr>
            </w:pPr>
            <w:r>
              <w:rPr>
                <w:rFonts w:ascii="Arial" w:cs="Arial" w:eastAsia="Arial" w:hAnsi="Arial"/>
                <w:sz w:val="18"/>
                <w:szCs w:val="18"/>
                <w:color w:val="auto"/>
                <w:w w:val="97"/>
              </w:rPr>
              <w:t>By-Laws of the Registrant (incorporated by reference to Exhibit 3(n) to the Registrant’s Annual Report on Form 10-K for the year 1999).</w:t>
            </w:r>
          </w:p>
        </w:tc>
      </w:tr>
      <w:tr>
        <w:trPr>
          <w:trHeight w:val="318"/>
        </w:trPr>
        <w:tc>
          <w:tcPr>
            <w:tcW w:w="800" w:type="dxa"/>
            <w:vAlign w:val="bottom"/>
          </w:tcPr>
          <w:p>
            <w:pPr>
              <w:ind w:left="40"/>
              <w:spacing w:after="0"/>
              <w:rPr>
                <w:sz w:val="20"/>
                <w:szCs w:val="20"/>
                <w:color w:val="auto"/>
              </w:rPr>
            </w:pPr>
            <w:r>
              <w:rPr>
                <w:rFonts w:ascii="Arial" w:cs="Arial" w:eastAsia="Arial" w:hAnsi="Arial"/>
                <w:sz w:val="18"/>
                <w:szCs w:val="18"/>
                <w:color w:val="auto"/>
              </w:rPr>
              <w:t>4(a)(i)</w:t>
            </w:r>
          </w:p>
        </w:tc>
        <w:tc>
          <w:tcPr>
            <w:tcW w:w="10600" w:type="dxa"/>
            <w:vAlign w:val="bottom"/>
          </w:tcPr>
          <w:p>
            <w:pPr>
              <w:ind w:left="140"/>
              <w:spacing w:after="0"/>
              <w:rPr>
                <w:sz w:val="20"/>
                <w:szCs w:val="20"/>
                <w:color w:val="auto"/>
              </w:rPr>
            </w:pPr>
            <w:r>
              <w:rPr>
                <w:rFonts w:ascii="Arial" w:cs="Arial" w:eastAsia="Arial" w:hAnsi="Arial"/>
                <w:sz w:val="18"/>
                <w:szCs w:val="18"/>
                <w:color w:val="auto"/>
                <w:w w:val="88"/>
              </w:rPr>
              <w:t>Rights Agreement dated as of June 18, 1998, between the Registrant and Harris Trust and Savings Bank as Rights Agent, which includes as Exhibit</w:t>
            </w:r>
          </w:p>
        </w:tc>
      </w:tr>
      <w:tr>
        <w:trPr>
          <w:trHeight w:val="216"/>
        </w:trPr>
        <w:tc>
          <w:tcPr>
            <w:tcW w:w="800" w:type="dxa"/>
            <w:vAlign w:val="bottom"/>
          </w:tcPr>
          <w:p>
            <w:pPr>
              <w:spacing w:after="0"/>
              <w:rPr>
                <w:sz w:val="18"/>
                <w:szCs w:val="18"/>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w w:val="93"/>
              </w:rPr>
              <w:t>B the form of Rights Certificate (incorporated by reference to Exhibit 1 to the Registrant’s Registration Statement on Form 8-A dated June 23,</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1998).</w:t>
            </w:r>
          </w:p>
        </w:tc>
      </w:tr>
      <w:tr>
        <w:trPr>
          <w:trHeight w:val="318"/>
        </w:trPr>
        <w:tc>
          <w:tcPr>
            <w:tcW w:w="800" w:type="dxa"/>
            <w:vAlign w:val="bottom"/>
          </w:tcPr>
          <w:p>
            <w:pPr>
              <w:ind w:left="20"/>
              <w:spacing w:after="0"/>
              <w:rPr>
                <w:sz w:val="20"/>
                <w:szCs w:val="20"/>
                <w:color w:val="auto"/>
              </w:rPr>
            </w:pPr>
            <w:r>
              <w:rPr>
                <w:rFonts w:ascii="Arial" w:cs="Arial" w:eastAsia="Arial" w:hAnsi="Arial"/>
                <w:sz w:val="18"/>
                <w:szCs w:val="18"/>
                <w:color w:val="auto"/>
              </w:rPr>
              <w:t>4(a)(ii)</w:t>
            </w:r>
          </w:p>
        </w:tc>
        <w:tc>
          <w:tcPr>
            <w:tcW w:w="10600" w:type="dxa"/>
            <w:vAlign w:val="bottom"/>
          </w:tcPr>
          <w:p>
            <w:pPr>
              <w:ind w:left="140"/>
              <w:spacing w:after="0"/>
              <w:rPr>
                <w:sz w:val="20"/>
                <w:szCs w:val="20"/>
                <w:color w:val="auto"/>
              </w:rPr>
            </w:pPr>
            <w:r>
              <w:rPr>
                <w:rFonts w:ascii="Arial" w:cs="Arial" w:eastAsia="Arial" w:hAnsi="Arial"/>
                <w:sz w:val="18"/>
                <w:szCs w:val="18"/>
                <w:color w:val="auto"/>
                <w:w w:val="88"/>
              </w:rPr>
              <w:t>Amendment dated as of September 18, 1998, to the Rights Agreement (incorporated by reference to Exhibit 2 to the Registrant’s Amendment No. 1</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to Registration Statement on Form 8-A dated September 23, 1998).</w:t>
            </w:r>
          </w:p>
        </w:tc>
      </w:tr>
      <w:tr>
        <w:trPr>
          <w:trHeight w:val="318"/>
        </w:trPr>
        <w:tc>
          <w:tcPr>
            <w:tcW w:w="800" w:type="dxa"/>
            <w:vAlign w:val="bottom"/>
          </w:tcPr>
          <w:p>
            <w:pPr>
              <w:jc w:val="center"/>
              <w:ind w:right="352"/>
              <w:spacing w:after="0"/>
              <w:rPr>
                <w:sz w:val="20"/>
                <w:szCs w:val="20"/>
                <w:color w:val="auto"/>
              </w:rPr>
            </w:pPr>
            <w:r>
              <w:rPr>
                <w:rFonts w:ascii="Arial" w:cs="Arial" w:eastAsia="Arial" w:hAnsi="Arial"/>
                <w:sz w:val="18"/>
                <w:szCs w:val="18"/>
                <w:color w:val="auto"/>
                <w:w w:val="87"/>
              </w:rPr>
              <w:t>4(b)</w:t>
            </w:r>
          </w:p>
        </w:tc>
        <w:tc>
          <w:tcPr>
            <w:tcW w:w="10600" w:type="dxa"/>
            <w:vAlign w:val="bottom"/>
          </w:tcPr>
          <w:p>
            <w:pPr>
              <w:ind w:left="140"/>
              <w:spacing w:after="0"/>
              <w:rPr>
                <w:sz w:val="20"/>
                <w:szCs w:val="20"/>
                <w:color w:val="auto"/>
              </w:rPr>
            </w:pPr>
            <w:r>
              <w:rPr>
                <w:rFonts w:ascii="Arial" w:cs="Arial" w:eastAsia="Arial" w:hAnsi="Arial"/>
                <w:sz w:val="18"/>
                <w:szCs w:val="18"/>
                <w:color w:val="auto"/>
                <w:w w:val="93"/>
              </w:rPr>
              <w:t>The Registrant agrees to provide the Commission, upon request, copies of instruments defining the rights of holders of long-term debt of the</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Registrant and its subsidiaries.</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10(a)(i)</w:t>
            </w:r>
          </w:p>
        </w:tc>
        <w:tc>
          <w:tcPr>
            <w:tcW w:w="10600" w:type="dxa"/>
            <w:vAlign w:val="bottom"/>
          </w:tcPr>
          <w:p>
            <w:pPr>
              <w:ind w:left="140"/>
              <w:spacing w:after="0"/>
              <w:rPr>
                <w:sz w:val="20"/>
                <w:szCs w:val="20"/>
                <w:color w:val="auto"/>
              </w:rPr>
            </w:pPr>
            <w:r>
              <w:rPr>
                <w:rFonts w:ascii="Arial" w:cs="Arial" w:eastAsia="Arial" w:hAnsi="Arial"/>
                <w:sz w:val="18"/>
                <w:szCs w:val="18"/>
                <w:color w:val="auto"/>
                <w:w w:val="90"/>
              </w:rPr>
              <w:t>Amended and Restated TI Deferred Compensation Plan (incorporated by reference to Exhibit 10(a)(i) to the Registrant’s Annual Report on Form</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10-K for the year 1999).*</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10(a)(ii)</w:t>
            </w:r>
          </w:p>
        </w:tc>
        <w:tc>
          <w:tcPr>
            <w:tcW w:w="10600" w:type="dxa"/>
            <w:vAlign w:val="bottom"/>
          </w:tcPr>
          <w:p>
            <w:pPr>
              <w:ind w:left="140"/>
              <w:spacing w:after="0"/>
              <w:rPr>
                <w:sz w:val="20"/>
                <w:szCs w:val="20"/>
                <w:color w:val="auto"/>
              </w:rPr>
            </w:pPr>
            <w:r>
              <w:rPr>
                <w:rFonts w:ascii="Arial" w:cs="Arial" w:eastAsia="Arial" w:hAnsi="Arial"/>
                <w:sz w:val="18"/>
                <w:szCs w:val="18"/>
                <w:color w:val="auto"/>
                <w:w w:val="90"/>
              </w:rPr>
              <w:t>First Amendment to Restated TI Deferred Compensation Plan (incorporated by reference to Exhibit 10(a)(ii) to the Registrant’s Annual Report on</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Form 10-K for the year 1999).*</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10(a)(iii)</w:t>
            </w:r>
          </w:p>
        </w:tc>
        <w:tc>
          <w:tcPr>
            <w:tcW w:w="10600" w:type="dxa"/>
            <w:vAlign w:val="bottom"/>
          </w:tcPr>
          <w:p>
            <w:pPr>
              <w:ind w:left="140"/>
              <w:spacing w:after="0"/>
              <w:rPr>
                <w:sz w:val="20"/>
                <w:szCs w:val="20"/>
                <w:color w:val="auto"/>
              </w:rPr>
            </w:pPr>
            <w:r>
              <w:rPr>
                <w:rFonts w:ascii="Arial" w:cs="Arial" w:eastAsia="Arial" w:hAnsi="Arial"/>
                <w:sz w:val="18"/>
                <w:szCs w:val="18"/>
                <w:color w:val="auto"/>
                <w:w w:val="90"/>
              </w:rPr>
              <w:t>Second Amendment to Restated TI Deferred Compensation Plan (incorporated by reference to Exhibit 10(a)(iii) to the Registrant’s Annual Report</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on Form 10-K for the year 1999).*</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10(a)(iv)</w:t>
            </w:r>
          </w:p>
        </w:tc>
        <w:tc>
          <w:tcPr>
            <w:tcW w:w="10600" w:type="dxa"/>
            <w:vAlign w:val="bottom"/>
          </w:tcPr>
          <w:p>
            <w:pPr>
              <w:ind w:left="140"/>
              <w:spacing w:after="0"/>
              <w:rPr>
                <w:sz w:val="20"/>
                <w:szCs w:val="20"/>
                <w:color w:val="auto"/>
              </w:rPr>
            </w:pPr>
            <w:r>
              <w:rPr>
                <w:rFonts w:ascii="Arial" w:cs="Arial" w:eastAsia="Arial" w:hAnsi="Arial"/>
                <w:sz w:val="18"/>
                <w:szCs w:val="18"/>
                <w:color w:val="auto"/>
                <w:w w:val="89"/>
              </w:rPr>
              <w:t>Third Amendment to Restated TI Deferred Compensation Plan (incorporated by reference to Exhibit 10(a)(iv) to the Registrant’s Annual Report on</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Form 10-K for the year 2000).*</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10(a)(v)</w:t>
            </w:r>
          </w:p>
        </w:tc>
        <w:tc>
          <w:tcPr>
            <w:tcW w:w="10600" w:type="dxa"/>
            <w:vAlign w:val="bottom"/>
          </w:tcPr>
          <w:p>
            <w:pPr>
              <w:ind w:left="140"/>
              <w:spacing w:after="0"/>
              <w:rPr>
                <w:sz w:val="20"/>
                <w:szCs w:val="20"/>
                <w:color w:val="auto"/>
              </w:rPr>
            </w:pPr>
            <w:r>
              <w:rPr>
                <w:rFonts w:ascii="Arial" w:cs="Arial" w:eastAsia="Arial" w:hAnsi="Arial"/>
                <w:sz w:val="18"/>
                <w:szCs w:val="18"/>
                <w:color w:val="auto"/>
                <w:w w:val="89"/>
              </w:rPr>
              <w:t>Fourth Amendment to Restated TI Deferred Compensation Plan (incorporated by reference to Exhibit 10(a)(v) to the Registrant’s Annual Report on</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Form 10-K for the year 2001).*</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10(a)(vi)</w:t>
            </w:r>
          </w:p>
        </w:tc>
        <w:tc>
          <w:tcPr>
            <w:tcW w:w="10600" w:type="dxa"/>
            <w:vAlign w:val="bottom"/>
          </w:tcPr>
          <w:p>
            <w:pPr>
              <w:ind w:left="140"/>
              <w:spacing w:after="0"/>
              <w:rPr>
                <w:sz w:val="20"/>
                <w:szCs w:val="20"/>
                <w:color w:val="auto"/>
              </w:rPr>
            </w:pPr>
            <w:r>
              <w:rPr>
                <w:rFonts w:ascii="Arial" w:cs="Arial" w:eastAsia="Arial" w:hAnsi="Arial"/>
                <w:sz w:val="18"/>
                <w:szCs w:val="18"/>
                <w:color w:val="auto"/>
                <w:w w:val="90"/>
              </w:rPr>
              <w:t>Fifth Amendment to Restated TI Deferred Compensation Plan (incorporated by reference to Exhibit 10(a)(vi) to the Registrant’s Annual Report on</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Form 10-K for the year 2002).*</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10(b)(i)</w:t>
            </w:r>
          </w:p>
        </w:tc>
        <w:tc>
          <w:tcPr>
            <w:tcW w:w="10600" w:type="dxa"/>
            <w:vAlign w:val="bottom"/>
          </w:tcPr>
          <w:p>
            <w:pPr>
              <w:ind w:left="140"/>
              <w:spacing w:after="0"/>
              <w:rPr>
                <w:sz w:val="20"/>
                <w:szCs w:val="20"/>
                <w:color w:val="auto"/>
              </w:rPr>
            </w:pPr>
            <w:r>
              <w:rPr>
                <w:rFonts w:ascii="Arial" w:cs="Arial" w:eastAsia="Arial" w:hAnsi="Arial"/>
                <w:sz w:val="18"/>
                <w:szCs w:val="18"/>
                <w:color w:val="auto"/>
                <w:w w:val="91"/>
              </w:rPr>
              <w:t>TI Employees Supplemental Pension Plan (incorporated by reference to Exhibit 10(b)(i) to the Registrant’s Annual Report on Form 10-K for the</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year 1999).*</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10(b)(ii)</w:t>
            </w:r>
          </w:p>
        </w:tc>
        <w:tc>
          <w:tcPr>
            <w:tcW w:w="10600" w:type="dxa"/>
            <w:vAlign w:val="bottom"/>
          </w:tcPr>
          <w:p>
            <w:pPr>
              <w:ind w:left="140"/>
              <w:spacing w:after="0"/>
              <w:rPr>
                <w:sz w:val="20"/>
                <w:szCs w:val="20"/>
                <w:color w:val="auto"/>
              </w:rPr>
            </w:pPr>
            <w:r>
              <w:rPr>
                <w:rFonts w:ascii="Arial" w:cs="Arial" w:eastAsia="Arial" w:hAnsi="Arial"/>
                <w:sz w:val="18"/>
                <w:szCs w:val="18"/>
                <w:color w:val="auto"/>
                <w:w w:val="90"/>
              </w:rPr>
              <w:t>First Amendment to TI Supplemental Pension Plan (incorporated by reference to Exhibit 10(b)(ii) to the Registrant’s Annual Report on Form 10-K</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for the year 1999).*</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10(b)(iii)</w:t>
            </w:r>
          </w:p>
        </w:tc>
        <w:tc>
          <w:tcPr>
            <w:tcW w:w="10600" w:type="dxa"/>
            <w:vAlign w:val="bottom"/>
          </w:tcPr>
          <w:p>
            <w:pPr>
              <w:ind w:left="140"/>
              <w:spacing w:after="0"/>
              <w:rPr>
                <w:sz w:val="20"/>
                <w:szCs w:val="20"/>
                <w:color w:val="auto"/>
              </w:rPr>
            </w:pPr>
            <w:r>
              <w:rPr>
                <w:rFonts w:ascii="Arial" w:cs="Arial" w:eastAsia="Arial" w:hAnsi="Arial"/>
                <w:sz w:val="18"/>
                <w:szCs w:val="18"/>
                <w:color w:val="auto"/>
                <w:w w:val="89"/>
              </w:rPr>
              <w:t>Second Amendment to TI Supplemental Pension Plan (incorporated by reference to Exhibit 10(b)(iii) to the Registrant’s Annual Report on Form 10-</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K for the year 2002). *</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10(b)(iv)</w:t>
            </w:r>
          </w:p>
        </w:tc>
        <w:tc>
          <w:tcPr>
            <w:tcW w:w="10600" w:type="dxa"/>
            <w:vAlign w:val="bottom"/>
          </w:tcPr>
          <w:p>
            <w:pPr>
              <w:ind w:left="140"/>
              <w:spacing w:after="0"/>
              <w:rPr>
                <w:sz w:val="20"/>
                <w:szCs w:val="20"/>
                <w:color w:val="auto"/>
              </w:rPr>
            </w:pPr>
            <w:r>
              <w:rPr>
                <w:rFonts w:ascii="Arial" w:cs="Arial" w:eastAsia="Arial" w:hAnsi="Arial"/>
                <w:sz w:val="18"/>
                <w:szCs w:val="18"/>
                <w:color w:val="auto"/>
                <w:w w:val="89"/>
              </w:rPr>
              <w:t>Third Amendment to TI Supplemental Pension Plan (incorporated by reference to Exhibit 10(b)(iv) to the Registrant’s Annual Report on Form 10-K</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for the year 2002).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10(b)(v)</w:t>
            </w:r>
          </w:p>
        </w:tc>
        <w:tc>
          <w:tcPr>
            <w:tcW w:w="10600" w:type="dxa"/>
            <w:vAlign w:val="bottom"/>
          </w:tcPr>
          <w:p>
            <w:pPr>
              <w:ind w:left="140"/>
              <w:spacing w:after="0"/>
              <w:rPr>
                <w:sz w:val="20"/>
                <w:szCs w:val="20"/>
                <w:color w:val="auto"/>
              </w:rPr>
            </w:pPr>
            <w:r>
              <w:rPr>
                <w:rFonts w:ascii="Arial" w:cs="Arial" w:eastAsia="Arial" w:hAnsi="Arial"/>
                <w:sz w:val="18"/>
                <w:szCs w:val="18"/>
                <w:color w:val="auto"/>
              </w:rPr>
              <w:t>Fourth Amendment to TI’s Supplemental Pension Plan.*</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10(c)</w:t>
            </w:r>
          </w:p>
        </w:tc>
        <w:tc>
          <w:tcPr>
            <w:tcW w:w="10600" w:type="dxa"/>
            <w:vAlign w:val="bottom"/>
          </w:tcPr>
          <w:p>
            <w:pPr>
              <w:ind w:left="140"/>
              <w:spacing w:after="0"/>
              <w:rPr>
                <w:sz w:val="20"/>
                <w:szCs w:val="20"/>
                <w:color w:val="auto"/>
              </w:rPr>
            </w:pPr>
            <w:r>
              <w:rPr>
                <w:rFonts w:ascii="Arial" w:cs="Arial" w:eastAsia="Arial" w:hAnsi="Arial"/>
                <w:sz w:val="18"/>
                <w:szCs w:val="18"/>
                <w:color w:val="auto"/>
                <w:w w:val="89"/>
              </w:rPr>
              <w:t>Texas Instruments Long-Term Incentive Plan (incorporated by reference to Exhibit 10(a)(ii) to the Registrant’s Annual Report on Form 10-K for the</w:t>
            </w:r>
          </w:p>
        </w:tc>
      </w:tr>
      <w:tr>
        <w:trPr>
          <w:trHeight w:val="222"/>
        </w:trPr>
        <w:tc>
          <w:tcPr>
            <w:tcW w:w="80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year 1993).*</w:t>
            </w:r>
          </w:p>
        </w:tc>
      </w:tr>
      <w:tr>
        <w:trPr>
          <w:trHeight w:val="365"/>
        </w:trPr>
        <w:tc>
          <w:tcPr>
            <w:tcW w:w="80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00"/>
          </w:cols>
          <w:pgMar w:left="260" w:top="388" w:right="2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6"/>
        </w:trPr>
        <w:tc>
          <w:tcPr>
            <w:tcW w:w="700" w:type="dxa"/>
            <w:vAlign w:val="bottom"/>
          </w:tcPr>
          <w:p>
            <w:pPr>
              <w:jc w:val="center"/>
              <w:ind w:right="192"/>
              <w:spacing w:after="0"/>
              <w:rPr>
                <w:sz w:val="20"/>
                <w:szCs w:val="20"/>
                <w:color w:val="auto"/>
              </w:rPr>
            </w:pPr>
            <w:r>
              <w:rPr>
                <w:rFonts w:ascii="Arial" w:cs="Arial" w:eastAsia="Arial" w:hAnsi="Arial"/>
                <w:sz w:val="18"/>
                <w:szCs w:val="18"/>
                <w:color w:val="auto"/>
                <w:w w:val="90"/>
              </w:rPr>
              <w:t>10(d)</w:t>
            </w:r>
          </w:p>
        </w:tc>
        <w:tc>
          <w:tcPr>
            <w:tcW w:w="10700" w:type="dxa"/>
            <w:vAlign w:val="bottom"/>
          </w:tcPr>
          <w:p>
            <w:pPr>
              <w:ind w:left="280"/>
              <w:spacing w:after="0"/>
              <w:rPr>
                <w:sz w:val="20"/>
                <w:szCs w:val="20"/>
                <w:color w:val="auto"/>
              </w:rPr>
            </w:pPr>
            <w:r>
              <w:rPr>
                <w:rFonts w:ascii="Arial" w:cs="Arial" w:eastAsia="Arial" w:hAnsi="Arial"/>
                <w:sz w:val="18"/>
                <w:szCs w:val="18"/>
                <w:color w:val="auto"/>
                <w:w w:val="90"/>
              </w:rPr>
              <w:t>Texas Instruments 1996 Long-Term Incentive Plan (incorporated by reference to Exhibit 10 to the Registrant’s Quarterly Report on Form 10-Q for</w:t>
            </w:r>
          </w:p>
        </w:tc>
      </w:tr>
      <w:tr>
        <w:trPr>
          <w:trHeight w:val="222"/>
        </w:trPr>
        <w:tc>
          <w:tcPr>
            <w:tcW w:w="70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the quarter ended June 30, 1996).*</w:t>
            </w:r>
          </w:p>
        </w:tc>
      </w:tr>
      <w:tr>
        <w:trPr>
          <w:trHeight w:val="318"/>
        </w:trPr>
        <w:tc>
          <w:tcPr>
            <w:tcW w:w="700" w:type="dxa"/>
            <w:vAlign w:val="bottom"/>
          </w:tcPr>
          <w:p>
            <w:pPr>
              <w:jc w:val="center"/>
              <w:ind w:right="192"/>
              <w:spacing w:after="0"/>
              <w:rPr>
                <w:sz w:val="20"/>
                <w:szCs w:val="20"/>
                <w:color w:val="auto"/>
              </w:rPr>
            </w:pPr>
            <w:r>
              <w:rPr>
                <w:rFonts w:ascii="Arial" w:cs="Arial" w:eastAsia="Arial" w:hAnsi="Arial"/>
                <w:sz w:val="18"/>
                <w:szCs w:val="18"/>
                <w:color w:val="auto"/>
                <w:w w:val="90"/>
              </w:rPr>
              <w:t>10(e)</w:t>
            </w:r>
          </w:p>
        </w:tc>
        <w:tc>
          <w:tcPr>
            <w:tcW w:w="10700" w:type="dxa"/>
            <w:vAlign w:val="bottom"/>
          </w:tcPr>
          <w:p>
            <w:pPr>
              <w:ind w:left="280"/>
              <w:spacing w:after="0"/>
              <w:rPr>
                <w:sz w:val="20"/>
                <w:szCs w:val="20"/>
                <w:color w:val="auto"/>
              </w:rPr>
            </w:pPr>
            <w:r>
              <w:rPr>
                <w:rFonts w:ascii="Arial" w:cs="Arial" w:eastAsia="Arial" w:hAnsi="Arial"/>
                <w:sz w:val="18"/>
                <w:szCs w:val="18"/>
                <w:color w:val="auto"/>
                <w:w w:val="89"/>
              </w:rPr>
              <w:t>Texas Instruments 2000 Long-Term Incentive Plan (incorporated by reference to Exhibit 10(e) to the Registrant’s Registration Statement on Form</w:t>
            </w:r>
          </w:p>
        </w:tc>
      </w:tr>
      <w:tr>
        <w:trPr>
          <w:trHeight w:val="222"/>
        </w:trPr>
        <w:tc>
          <w:tcPr>
            <w:tcW w:w="70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S-4 No. 333-41030 filed on July 7, 2000).*</w:t>
            </w:r>
          </w:p>
        </w:tc>
      </w:tr>
      <w:tr>
        <w:trPr>
          <w:trHeight w:val="318"/>
        </w:trPr>
        <w:tc>
          <w:tcPr>
            <w:tcW w:w="700" w:type="dxa"/>
            <w:vAlign w:val="bottom"/>
          </w:tcPr>
          <w:p>
            <w:pPr>
              <w:jc w:val="center"/>
              <w:ind w:right="192"/>
              <w:spacing w:after="0"/>
              <w:rPr>
                <w:sz w:val="20"/>
                <w:szCs w:val="20"/>
                <w:color w:val="auto"/>
              </w:rPr>
            </w:pPr>
            <w:r>
              <w:rPr>
                <w:rFonts w:ascii="Arial" w:cs="Arial" w:eastAsia="Arial" w:hAnsi="Arial"/>
                <w:sz w:val="18"/>
                <w:szCs w:val="18"/>
                <w:color w:val="auto"/>
                <w:w w:val="91"/>
              </w:rPr>
              <w:t>10(f)</w:t>
            </w:r>
          </w:p>
        </w:tc>
        <w:tc>
          <w:tcPr>
            <w:tcW w:w="10700" w:type="dxa"/>
            <w:vAlign w:val="bottom"/>
          </w:tcPr>
          <w:p>
            <w:pPr>
              <w:ind w:left="280"/>
              <w:spacing w:after="0"/>
              <w:rPr>
                <w:sz w:val="20"/>
                <w:szCs w:val="20"/>
                <w:color w:val="auto"/>
              </w:rPr>
            </w:pPr>
            <w:r>
              <w:rPr>
                <w:rFonts w:ascii="Arial" w:cs="Arial" w:eastAsia="Arial" w:hAnsi="Arial"/>
                <w:sz w:val="18"/>
                <w:szCs w:val="18"/>
                <w:color w:val="auto"/>
                <w:w w:val="90"/>
              </w:rPr>
              <w:t>Texas Instruments 2003 Long-Term Incentive Plan (incorporated by reference to Exhibit 10(f) to the Registrant’s Annual Report on Form 10-K for</w:t>
            </w:r>
          </w:p>
        </w:tc>
      </w:tr>
      <w:tr>
        <w:trPr>
          <w:trHeight w:val="222"/>
        </w:trPr>
        <w:tc>
          <w:tcPr>
            <w:tcW w:w="70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the year 2002).</w:t>
            </w:r>
          </w:p>
        </w:tc>
      </w:tr>
      <w:tr>
        <w:trPr>
          <w:trHeight w:val="318"/>
        </w:trPr>
        <w:tc>
          <w:tcPr>
            <w:tcW w:w="700" w:type="dxa"/>
            <w:vAlign w:val="bottom"/>
          </w:tcPr>
          <w:p>
            <w:pPr>
              <w:jc w:val="center"/>
              <w:ind w:right="192"/>
              <w:spacing w:after="0"/>
              <w:rPr>
                <w:sz w:val="20"/>
                <w:szCs w:val="20"/>
                <w:color w:val="auto"/>
              </w:rPr>
            </w:pPr>
            <w:r>
              <w:rPr>
                <w:rFonts w:ascii="Arial" w:cs="Arial" w:eastAsia="Arial" w:hAnsi="Arial"/>
                <w:sz w:val="18"/>
                <w:szCs w:val="18"/>
                <w:color w:val="auto"/>
                <w:w w:val="90"/>
              </w:rPr>
              <w:t>10(g)</w:t>
            </w:r>
          </w:p>
        </w:tc>
        <w:tc>
          <w:tcPr>
            <w:tcW w:w="10700" w:type="dxa"/>
            <w:vAlign w:val="bottom"/>
          </w:tcPr>
          <w:p>
            <w:pPr>
              <w:ind w:left="280"/>
              <w:spacing w:after="0"/>
              <w:rPr>
                <w:sz w:val="20"/>
                <w:szCs w:val="20"/>
                <w:color w:val="auto"/>
              </w:rPr>
            </w:pPr>
            <w:r>
              <w:rPr>
                <w:rFonts w:ascii="Arial" w:cs="Arial" w:eastAsia="Arial" w:hAnsi="Arial"/>
                <w:sz w:val="18"/>
                <w:szCs w:val="18"/>
                <w:color w:val="auto"/>
                <w:w w:val="88"/>
              </w:rPr>
              <w:t>Texas Instruments Executive Officer Performance Plan (incorporated by reference to Exhibit 10(a) to the Registrant’s Quarterly Report on Form 10-</w:t>
            </w:r>
          </w:p>
        </w:tc>
      </w:tr>
      <w:tr>
        <w:trPr>
          <w:trHeight w:val="222"/>
        </w:trPr>
        <w:tc>
          <w:tcPr>
            <w:tcW w:w="70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Q for the quarter ended March 31, 2002).*</w:t>
            </w:r>
          </w:p>
        </w:tc>
      </w:tr>
      <w:tr>
        <w:trPr>
          <w:trHeight w:val="318"/>
        </w:trPr>
        <w:tc>
          <w:tcPr>
            <w:tcW w:w="700" w:type="dxa"/>
            <w:vAlign w:val="bottom"/>
          </w:tcPr>
          <w:p>
            <w:pPr>
              <w:jc w:val="center"/>
              <w:ind w:right="192"/>
              <w:spacing w:after="0"/>
              <w:rPr>
                <w:sz w:val="20"/>
                <w:szCs w:val="20"/>
                <w:color w:val="auto"/>
              </w:rPr>
            </w:pPr>
            <w:r>
              <w:rPr>
                <w:rFonts w:ascii="Arial" w:cs="Arial" w:eastAsia="Arial" w:hAnsi="Arial"/>
                <w:sz w:val="18"/>
                <w:szCs w:val="18"/>
                <w:color w:val="auto"/>
                <w:w w:val="90"/>
              </w:rPr>
              <w:t>10(h)</w:t>
            </w:r>
          </w:p>
        </w:tc>
        <w:tc>
          <w:tcPr>
            <w:tcW w:w="10700" w:type="dxa"/>
            <w:vAlign w:val="bottom"/>
          </w:tcPr>
          <w:p>
            <w:pPr>
              <w:ind w:left="280"/>
              <w:spacing w:after="0"/>
              <w:rPr>
                <w:sz w:val="20"/>
                <w:szCs w:val="20"/>
                <w:color w:val="auto"/>
              </w:rPr>
            </w:pPr>
            <w:r>
              <w:rPr>
                <w:rFonts w:ascii="Arial" w:cs="Arial" w:eastAsia="Arial" w:hAnsi="Arial"/>
                <w:sz w:val="18"/>
                <w:szCs w:val="18"/>
                <w:color w:val="auto"/>
                <w:w w:val="89"/>
              </w:rPr>
              <w:t>Texas Instruments Restricted Stock Unit Plan for Directors (incorporated by reference to Exhibit 10(e) to the Registrant’s Quarterly Report on Form</w:t>
            </w:r>
          </w:p>
        </w:tc>
      </w:tr>
      <w:tr>
        <w:trPr>
          <w:trHeight w:val="222"/>
        </w:trPr>
        <w:tc>
          <w:tcPr>
            <w:tcW w:w="70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10-Q for the quarter ended March 31, 1998).</w:t>
            </w:r>
          </w:p>
        </w:tc>
      </w:tr>
      <w:tr>
        <w:trPr>
          <w:trHeight w:val="318"/>
        </w:trPr>
        <w:tc>
          <w:tcPr>
            <w:tcW w:w="700" w:type="dxa"/>
            <w:vAlign w:val="bottom"/>
          </w:tcPr>
          <w:p>
            <w:pPr>
              <w:jc w:val="center"/>
              <w:ind w:right="232"/>
              <w:spacing w:after="0"/>
              <w:rPr>
                <w:sz w:val="20"/>
                <w:szCs w:val="20"/>
                <w:color w:val="auto"/>
              </w:rPr>
            </w:pPr>
            <w:r>
              <w:rPr>
                <w:rFonts w:ascii="Arial" w:cs="Arial" w:eastAsia="Arial" w:hAnsi="Arial"/>
                <w:sz w:val="18"/>
                <w:szCs w:val="18"/>
                <w:color w:val="auto"/>
                <w:w w:val="94"/>
              </w:rPr>
              <w:t>10(i)</w:t>
            </w:r>
          </w:p>
        </w:tc>
        <w:tc>
          <w:tcPr>
            <w:tcW w:w="10700" w:type="dxa"/>
            <w:vAlign w:val="bottom"/>
          </w:tcPr>
          <w:p>
            <w:pPr>
              <w:ind w:left="280"/>
              <w:spacing w:after="0"/>
              <w:rPr>
                <w:sz w:val="20"/>
                <w:szCs w:val="20"/>
                <w:color w:val="auto"/>
              </w:rPr>
            </w:pPr>
            <w:r>
              <w:rPr>
                <w:rFonts w:ascii="Arial" w:cs="Arial" w:eastAsia="Arial" w:hAnsi="Arial"/>
                <w:sz w:val="18"/>
                <w:szCs w:val="18"/>
                <w:color w:val="auto"/>
                <w:w w:val="89"/>
              </w:rPr>
              <w:t>Texas Instruments Directors Deferred Compensation Plan (incorporated by reference to Exhibit 10(f) to the Registrant’s Quarterly Report on Form</w:t>
            </w:r>
          </w:p>
        </w:tc>
      </w:tr>
      <w:tr>
        <w:trPr>
          <w:trHeight w:val="222"/>
        </w:trPr>
        <w:tc>
          <w:tcPr>
            <w:tcW w:w="70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10-Q for the quarter ended March 31, 1998).</w:t>
            </w:r>
          </w:p>
        </w:tc>
      </w:tr>
      <w:tr>
        <w:trPr>
          <w:trHeight w:val="318"/>
        </w:trPr>
        <w:tc>
          <w:tcPr>
            <w:tcW w:w="700" w:type="dxa"/>
            <w:vAlign w:val="bottom"/>
          </w:tcPr>
          <w:p>
            <w:pPr>
              <w:jc w:val="center"/>
              <w:ind w:right="232"/>
              <w:spacing w:after="0"/>
              <w:rPr>
                <w:sz w:val="20"/>
                <w:szCs w:val="20"/>
                <w:color w:val="auto"/>
              </w:rPr>
            </w:pPr>
            <w:r>
              <w:rPr>
                <w:rFonts w:ascii="Arial" w:cs="Arial" w:eastAsia="Arial" w:hAnsi="Arial"/>
                <w:sz w:val="18"/>
                <w:szCs w:val="18"/>
                <w:color w:val="auto"/>
                <w:w w:val="94"/>
              </w:rPr>
              <w:t>10(j)</w:t>
            </w:r>
          </w:p>
        </w:tc>
        <w:tc>
          <w:tcPr>
            <w:tcW w:w="10700" w:type="dxa"/>
            <w:vAlign w:val="bottom"/>
          </w:tcPr>
          <w:p>
            <w:pPr>
              <w:ind w:left="280"/>
              <w:spacing w:after="0"/>
              <w:rPr>
                <w:sz w:val="20"/>
                <w:szCs w:val="20"/>
                <w:color w:val="auto"/>
              </w:rPr>
            </w:pPr>
            <w:r>
              <w:rPr>
                <w:rFonts w:ascii="Arial" w:cs="Arial" w:eastAsia="Arial" w:hAnsi="Arial"/>
                <w:sz w:val="18"/>
                <w:szCs w:val="18"/>
                <w:color w:val="auto"/>
                <w:w w:val="90"/>
              </w:rPr>
              <w:t>Texas Instruments Stock Option Plan for Non-Employee Directors (incorporated by reference to Exhibit 10(i) to the Registrant’s Annual Report on</w:t>
            </w:r>
          </w:p>
        </w:tc>
      </w:tr>
      <w:tr>
        <w:trPr>
          <w:trHeight w:val="222"/>
        </w:trPr>
        <w:tc>
          <w:tcPr>
            <w:tcW w:w="70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Form 10-K for the year 2000).</w:t>
            </w:r>
          </w:p>
        </w:tc>
      </w:tr>
      <w:tr>
        <w:trPr>
          <w:trHeight w:val="318"/>
        </w:trPr>
        <w:tc>
          <w:tcPr>
            <w:tcW w:w="700" w:type="dxa"/>
            <w:vAlign w:val="bottom"/>
          </w:tcPr>
          <w:p>
            <w:pPr>
              <w:jc w:val="center"/>
              <w:ind w:right="232"/>
              <w:spacing w:after="0"/>
              <w:rPr>
                <w:sz w:val="20"/>
                <w:szCs w:val="20"/>
                <w:color w:val="auto"/>
              </w:rPr>
            </w:pPr>
            <w:r>
              <w:rPr>
                <w:rFonts w:ascii="Arial" w:cs="Arial" w:eastAsia="Arial" w:hAnsi="Arial"/>
                <w:sz w:val="18"/>
                <w:szCs w:val="18"/>
                <w:color w:val="auto"/>
                <w:w w:val="92"/>
              </w:rPr>
              <w:t>10(k)</w:t>
            </w:r>
          </w:p>
        </w:tc>
        <w:tc>
          <w:tcPr>
            <w:tcW w:w="10700" w:type="dxa"/>
            <w:vAlign w:val="bottom"/>
          </w:tcPr>
          <w:p>
            <w:pPr>
              <w:ind w:left="280"/>
              <w:spacing w:after="0"/>
              <w:rPr>
                <w:sz w:val="20"/>
                <w:szCs w:val="20"/>
                <w:color w:val="auto"/>
              </w:rPr>
            </w:pPr>
            <w:r>
              <w:rPr>
                <w:rFonts w:ascii="Arial" w:cs="Arial" w:eastAsia="Arial" w:hAnsi="Arial"/>
                <w:sz w:val="18"/>
                <w:szCs w:val="18"/>
                <w:color w:val="auto"/>
                <w:w w:val="88"/>
              </w:rPr>
              <w:t>Texas Instruments 2003 Director Compensation Plan (incorporated by reference to Exhibit 10(n) to the Registrant’s Quarterly Report on Form 10-Q</w:t>
            </w:r>
          </w:p>
        </w:tc>
      </w:tr>
      <w:tr>
        <w:trPr>
          <w:trHeight w:val="222"/>
        </w:trPr>
        <w:tc>
          <w:tcPr>
            <w:tcW w:w="70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for the quarter ended June 30, 2003).</w:t>
            </w:r>
          </w:p>
        </w:tc>
      </w:tr>
      <w:tr>
        <w:trPr>
          <w:trHeight w:val="318"/>
        </w:trPr>
        <w:tc>
          <w:tcPr>
            <w:tcW w:w="700" w:type="dxa"/>
            <w:vAlign w:val="bottom"/>
          </w:tcPr>
          <w:p>
            <w:pPr>
              <w:jc w:val="center"/>
              <w:ind w:right="232"/>
              <w:spacing w:after="0"/>
              <w:rPr>
                <w:sz w:val="20"/>
                <w:szCs w:val="20"/>
                <w:color w:val="auto"/>
              </w:rPr>
            </w:pPr>
            <w:r>
              <w:rPr>
                <w:rFonts w:ascii="Arial" w:cs="Arial" w:eastAsia="Arial" w:hAnsi="Arial"/>
                <w:sz w:val="18"/>
                <w:szCs w:val="18"/>
                <w:color w:val="auto"/>
                <w:w w:val="94"/>
              </w:rPr>
              <w:t>10(l)</w:t>
            </w:r>
          </w:p>
        </w:tc>
        <w:tc>
          <w:tcPr>
            <w:tcW w:w="10700" w:type="dxa"/>
            <w:vAlign w:val="bottom"/>
          </w:tcPr>
          <w:p>
            <w:pPr>
              <w:ind w:left="280"/>
              <w:spacing w:after="0"/>
              <w:rPr>
                <w:sz w:val="20"/>
                <w:szCs w:val="20"/>
                <w:color w:val="auto"/>
              </w:rPr>
            </w:pPr>
            <w:r>
              <w:rPr>
                <w:rFonts w:ascii="Arial" w:cs="Arial" w:eastAsia="Arial" w:hAnsi="Arial"/>
                <w:sz w:val="18"/>
                <w:szCs w:val="18"/>
                <w:color w:val="auto"/>
                <w:w w:val="93"/>
              </w:rPr>
              <w:t>Acquisition Agreement dated as of June 18, 1998, between Texas Instruments Incorporated and Micron Technology, Inc. (exhibit C omitted)</w:t>
            </w:r>
          </w:p>
        </w:tc>
      </w:tr>
      <w:tr>
        <w:trPr>
          <w:trHeight w:val="222"/>
        </w:trPr>
        <w:tc>
          <w:tcPr>
            <w:tcW w:w="70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(incorporated by reference to Exhibit 2.1 to the Registrant’s Current Report on Form 8-K dated June 18, 1998).</w:t>
            </w:r>
          </w:p>
        </w:tc>
      </w:tr>
      <w:tr>
        <w:trPr>
          <w:trHeight w:val="318"/>
        </w:trPr>
        <w:tc>
          <w:tcPr>
            <w:tcW w:w="700" w:type="dxa"/>
            <w:vAlign w:val="bottom"/>
          </w:tcPr>
          <w:p>
            <w:pPr>
              <w:jc w:val="center"/>
              <w:ind w:right="192"/>
              <w:spacing w:after="0"/>
              <w:rPr>
                <w:sz w:val="20"/>
                <w:szCs w:val="20"/>
                <w:color w:val="auto"/>
              </w:rPr>
            </w:pPr>
            <w:r>
              <w:rPr>
                <w:rFonts w:ascii="Arial" w:cs="Arial" w:eastAsia="Arial" w:hAnsi="Arial"/>
                <w:sz w:val="18"/>
                <w:szCs w:val="18"/>
                <w:color w:val="auto"/>
                <w:w w:val="89"/>
              </w:rPr>
              <w:t>10(m)</w:t>
            </w:r>
          </w:p>
        </w:tc>
        <w:tc>
          <w:tcPr>
            <w:tcW w:w="10700" w:type="dxa"/>
            <w:vAlign w:val="bottom"/>
          </w:tcPr>
          <w:p>
            <w:pPr>
              <w:ind w:left="280"/>
              <w:spacing w:after="0"/>
              <w:rPr>
                <w:sz w:val="20"/>
                <w:szCs w:val="20"/>
                <w:color w:val="auto"/>
              </w:rPr>
            </w:pPr>
            <w:r>
              <w:rPr>
                <w:rFonts w:ascii="Arial" w:cs="Arial" w:eastAsia="Arial" w:hAnsi="Arial"/>
                <w:sz w:val="18"/>
                <w:szCs w:val="18"/>
                <w:color w:val="auto"/>
                <w:w w:val="89"/>
              </w:rPr>
              <w:t>Second Amendment to Acquisition Agreement dated as of September 30, 1998, between Texas Instruments Incorporated and Micron Technology,</w:t>
            </w:r>
          </w:p>
        </w:tc>
      </w:tr>
      <w:tr>
        <w:trPr>
          <w:trHeight w:val="222"/>
        </w:trPr>
        <w:tc>
          <w:tcPr>
            <w:tcW w:w="700" w:type="dxa"/>
            <w:vAlign w:val="bottom"/>
          </w:tcPr>
          <w:p>
            <w:pPr>
              <w:spacing w:after="0"/>
              <w:rPr>
                <w:sz w:val="19"/>
                <w:szCs w:val="19"/>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Inc. (incorporated by reference to Exhibit 2.2 to the Registrant’s Current Report on Form 8-K dated October 15, 1998).</w:t>
            </w:r>
          </w:p>
        </w:tc>
      </w:tr>
    </w:tbl>
    <w:p>
      <w:pPr>
        <w:spacing w:after="0" w:line="102" w:lineRule="exact"/>
        <w:rPr>
          <w:sz w:val="20"/>
          <w:szCs w:val="20"/>
          <w:color w:val="auto"/>
        </w:rPr>
      </w:pPr>
    </w:p>
    <w:p>
      <w:pPr>
        <w:ind w:left="1000" w:hanging="985"/>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Computation of Earnings (Loss) Per Common and Dilutive Potential Common Share.</w:t>
      </w:r>
    </w:p>
    <w:p>
      <w:pPr>
        <w:spacing w:after="0" w:line="117" w:lineRule="exact"/>
        <w:rPr>
          <w:rFonts w:ascii="Arial" w:cs="Arial" w:eastAsia="Arial" w:hAnsi="Arial"/>
          <w:sz w:val="18"/>
          <w:szCs w:val="18"/>
          <w:color w:val="auto"/>
        </w:rPr>
      </w:pPr>
    </w:p>
    <w:p>
      <w:pPr>
        <w:ind w:left="1000" w:hanging="989"/>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Computation of Ratio of Earnings to Fixed Charges.</w:t>
      </w:r>
    </w:p>
    <w:p>
      <w:pPr>
        <w:spacing w:after="0" w:line="117" w:lineRule="exact"/>
        <w:rPr>
          <w:rFonts w:ascii="Arial" w:cs="Arial" w:eastAsia="Arial" w:hAnsi="Arial"/>
          <w:sz w:val="18"/>
          <w:szCs w:val="18"/>
          <w:color w:val="auto"/>
        </w:rPr>
      </w:pPr>
    </w:p>
    <w:p>
      <w:pPr>
        <w:ind w:left="1000" w:hanging="989"/>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Registrant’s 2003 Annual Report to Stockholders Incorporated by Reference 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5100" w:type="dxa"/>
            <w:vAlign w:val="bottom"/>
            <w:gridSpan w:val="2"/>
          </w:tcPr>
          <w:p>
            <w:pPr>
              <w:ind w:left="300"/>
              <w:spacing w:after="0"/>
              <w:rPr>
                <w:sz w:val="20"/>
                <w:szCs w:val="20"/>
                <w:color w:val="auto"/>
              </w:rPr>
            </w:pPr>
            <w:r>
              <w:rPr>
                <w:rFonts w:ascii="Arial" w:cs="Arial" w:eastAsia="Arial" w:hAnsi="Arial"/>
                <w:sz w:val="18"/>
                <w:szCs w:val="18"/>
                <w:color w:val="auto"/>
              </w:rPr>
              <w:t>List of Subsidiaries of the Registrant.</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w:t>
            </w:r>
          </w:p>
        </w:tc>
        <w:tc>
          <w:tcPr>
            <w:tcW w:w="5100" w:type="dxa"/>
            <w:vAlign w:val="bottom"/>
            <w:gridSpan w:val="2"/>
          </w:tcPr>
          <w:p>
            <w:pPr>
              <w:ind w:left="30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31(a)</w:t>
            </w:r>
          </w:p>
        </w:tc>
        <w:tc>
          <w:tcPr>
            <w:tcW w:w="5100" w:type="dxa"/>
            <w:vAlign w:val="bottom"/>
            <w:gridSpan w:val="2"/>
          </w:tcPr>
          <w:p>
            <w:pPr>
              <w:ind w:left="300"/>
              <w:spacing w:after="0"/>
              <w:rPr>
                <w:sz w:val="20"/>
                <w:szCs w:val="20"/>
                <w:color w:val="auto"/>
              </w:rPr>
            </w:pPr>
            <w:r>
              <w:rPr>
                <w:rFonts w:ascii="Arial" w:cs="Arial" w:eastAsia="Arial" w:hAnsi="Arial"/>
                <w:sz w:val="18"/>
                <w:szCs w:val="18"/>
                <w:color w:val="auto"/>
                <w:w w:val="90"/>
              </w:rPr>
              <w:t>Rule 13a-14(a)/15(d)-14(a) Certification of Chief Executive Officer.</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31(b)</w:t>
            </w:r>
          </w:p>
        </w:tc>
        <w:tc>
          <w:tcPr>
            <w:tcW w:w="5100" w:type="dxa"/>
            <w:vAlign w:val="bottom"/>
            <w:gridSpan w:val="2"/>
          </w:tcPr>
          <w:p>
            <w:pPr>
              <w:ind w:left="300"/>
              <w:spacing w:after="0"/>
              <w:rPr>
                <w:sz w:val="20"/>
                <w:szCs w:val="20"/>
                <w:color w:val="auto"/>
              </w:rPr>
            </w:pPr>
            <w:r>
              <w:rPr>
                <w:rFonts w:ascii="Arial" w:cs="Arial" w:eastAsia="Arial" w:hAnsi="Arial"/>
                <w:sz w:val="18"/>
                <w:szCs w:val="18"/>
                <w:color w:val="auto"/>
                <w:w w:val="91"/>
              </w:rPr>
              <w:t>Rule 13a-14(a)/15(d)-14(a) Certification of Chief Financial Officer.</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32(a)</w:t>
            </w:r>
          </w:p>
        </w:tc>
        <w:tc>
          <w:tcPr>
            <w:tcW w:w="1260" w:type="dxa"/>
            <w:vAlign w:val="bottom"/>
          </w:tcPr>
          <w:p>
            <w:pPr>
              <w:ind w:left="300"/>
              <w:spacing w:after="0"/>
              <w:rPr>
                <w:sz w:val="20"/>
                <w:szCs w:val="20"/>
                <w:color w:val="auto"/>
              </w:rPr>
            </w:pPr>
            <w:r>
              <w:rPr>
                <w:rFonts w:ascii="Arial" w:cs="Arial" w:eastAsia="Arial" w:hAnsi="Arial"/>
                <w:sz w:val="18"/>
                <w:szCs w:val="18"/>
                <w:color w:val="auto"/>
                <w:w w:val="89"/>
              </w:rPr>
              <w:t>Section 1350</w:t>
            </w:r>
          </w:p>
        </w:tc>
        <w:tc>
          <w:tcPr>
            <w:tcW w:w="38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32(b)</w:t>
            </w:r>
          </w:p>
        </w:tc>
        <w:tc>
          <w:tcPr>
            <w:tcW w:w="1260" w:type="dxa"/>
            <w:vAlign w:val="bottom"/>
          </w:tcPr>
          <w:p>
            <w:pPr>
              <w:ind w:left="300"/>
              <w:spacing w:after="0"/>
              <w:rPr>
                <w:sz w:val="20"/>
                <w:szCs w:val="20"/>
                <w:color w:val="auto"/>
              </w:rPr>
            </w:pPr>
            <w:r>
              <w:rPr>
                <w:rFonts w:ascii="Arial" w:cs="Arial" w:eastAsia="Arial" w:hAnsi="Arial"/>
                <w:sz w:val="18"/>
                <w:szCs w:val="18"/>
                <w:color w:val="auto"/>
                <w:w w:val="89"/>
              </w:rPr>
              <w:t>Section 1350</w:t>
            </w:r>
          </w:p>
        </w:tc>
        <w:tc>
          <w:tcPr>
            <w:tcW w:w="38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Executive Compensation Plans and Arrangements.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88"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Reports on Form 8-K:</w:t>
      </w:r>
    </w:p>
    <w:p>
      <w:pPr>
        <w:spacing w:after="0" w:line="15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the quarter ended December 31, 2003, the Registrant filed a report on Form 8-K dated October 20, 2003, attaching as an exhibit its third quarter earnings release, and a Form 8-K dated December 8, 2003, which included a news release regarding its outlook for the fourth quarter of 2003.</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37" w:lineRule="exact"/>
        <w:rPr>
          <w:sz w:val="20"/>
          <w:szCs w:val="20"/>
          <w:color w:val="auto"/>
        </w:rPr>
      </w:pPr>
    </w:p>
    <w:p>
      <w:pPr>
        <w:ind w:left="800" w:right="60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digital signal processors and analog chips in key markets such as telecommunications and computers;</w:t>
      </w:r>
    </w:p>
    <w:p>
      <w:pPr>
        <w:spacing w:after="0" w:line="37" w:lineRule="exact"/>
        <w:rPr>
          <w:rFonts w:ascii="Arial" w:cs="Arial" w:eastAsia="Arial" w:hAnsi="Arial"/>
          <w:sz w:val="18"/>
          <w:szCs w:val="18"/>
          <w:color w:val="auto"/>
        </w:rPr>
      </w:pPr>
    </w:p>
    <w:p>
      <w:pPr>
        <w:ind w:left="800" w:right="54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800" w:right="48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a more detailed discussion of these factors see the text under the heading “Cautionary Statements Regarding Future Results of Operations” in Item 1 of this report. The forward-looking statements included in this report are made only as of the date of this report and TI undertakes no obligation to update the forward-looking statements to reflect subsequent events or circumstances.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P. M</w:t>
      </w:r>
      <w:r>
        <w:rPr>
          <w:rFonts w:ascii="Arial" w:cs="Arial" w:eastAsia="Arial" w:hAnsi="Arial"/>
          <w:sz w:val="13"/>
          <w:szCs w:val="13"/>
          <w:color w:val="auto"/>
        </w:rPr>
        <w:t>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Kevin P. March</w:t>
      </w:r>
    </w:p>
    <w:p>
      <w:pPr>
        <w:jc w:val="center"/>
        <w:ind w:left="7280"/>
        <w:spacing w:after="0" w:line="223" w:lineRule="auto"/>
        <w:rPr>
          <w:sz w:val="20"/>
          <w:szCs w:val="20"/>
          <w:color w:val="auto"/>
        </w:rPr>
      </w:pPr>
      <w:r>
        <w:rPr>
          <w:rFonts w:ascii="Arial" w:cs="Arial" w:eastAsia="Arial" w:hAnsi="Arial"/>
          <w:sz w:val="14"/>
          <w:szCs w:val="14"/>
          <w:b w:val="1"/>
          <w:bCs w:val="1"/>
          <w:color w:val="auto"/>
        </w:rPr>
        <w:t>Senior Vice President, Chief Financial Officer</w:t>
      </w:r>
    </w:p>
    <w:p>
      <w:pPr>
        <w:jc w:val="center"/>
        <w:ind w:left="7280"/>
        <w:spacing w:after="0"/>
        <w:rPr>
          <w:sz w:val="20"/>
          <w:szCs w:val="20"/>
          <w:color w:val="auto"/>
        </w:rPr>
      </w:pPr>
      <w:r>
        <w:rPr>
          <w:rFonts w:ascii="Arial" w:cs="Arial" w:eastAsia="Arial" w:hAnsi="Arial"/>
          <w:sz w:val="14"/>
          <w:szCs w:val="14"/>
          <w:b w:val="1"/>
          <w:bCs w:val="1"/>
          <w:color w:val="auto"/>
        </w:rPr>
        <w:t>and Chief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2004</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person whose signature appears below constitutes and appoints each of Thomas J. Engibous, Kevin P. March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2003,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27th day of February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86"/>
              </w:rPr>
              <w:t>Signature</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95"/>
        </w:trPr>
        <w:tc>
          <w:tcPr>
            <w:tcW w:w="2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r>
      <w:tr>
        <w:trPr>
          <w:trHeight w:val="532"/>
        </w:trPr>
        <w:tc>
          <w:tcPr>
            <w:tcW w:w="2100" w:type="dxa"/>
            <w:vAlign w:val="bottom"/>
          </w:tcPr>
          <w:p>
            <w:pPr>
              <w:ind w:left="186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R. A</w:t>
            </w:r>
            <w:r>
              <w:rPr>
                <w:rFonts w:ascii="Arial" w:cs="Arial" w:eastAsia="Arial" w:hAnsi="Arial"/>
                <w:sz w:val="14"/>
                <w:szCs w:val="14"/>
                <w:color w:val="auto"/>
              </w:rPr>
              <w:t>DAMS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gridSpan w:val="3"/>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63"/>
        </w:trPr>
        <w:tc>
          <w:tcPr>
            <w:tcW w:w="2100" w:type="dxa"/>
            <w:vAlign w:val="bottom"/>
          </w:tcPr>
          <w:p>
            <w:pPr>
              <w:spacing w:after="0"/>
              <w:rPr>
                <w:sz w:val="22"/>
                <w:szCs w:val="22"/>
                <w:color w:val="auto"/>
              </w:rPr>
            </w:pPr>
          </w:p>
        </w:tc>
        <w:tc>
          <w:tcPr>
            <w:tcW w:w="268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5"/>
              </w:rPr>
              <w:t>James R. Adams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431"/>
        </w:trPr>
        <w:tc>
          <w:tcPr>
            <w:tcW w:w="2100" w:type="dxa"/>
            <w:vAlign w:val="bottom"/>
          </w:tcPr>
          <w:p>
            <w:pPr>
              <w:ind w:left="188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L. B</w:t>
            </w:r>
            <w:r>
              <w:rPr>
                <w:rFonts w:ascii="Arial" w:cs="Arial" w:eastAsia="Arial" w:hAnsi="Arial"/>
                <w:sz w:val="14"/>
                <w:szCs w:val="14"/>
                <w:color w:val="auto"/>
              </w:rPr>
              <w:t>OREN</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gridSpan w:val="3"/>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63"/>
        </w:trPr>
        <w:tc>
          <w:tcPr>
            <w:tcW w:w="2100" w:type="dxa"/>
            <w:vAlign w:val="bottom"/>
          </w:tcPr>
          <w:p>
            <w:pPr>
              <w:spacing w:after="0"/>
              <w:rPr>
                <w:sz w:val="22"/>
                <w:szCs w:val="22"/>
                <w:color w:val="auto"/>
              </w:rPr>
            </w:pPr>
          </w:p>
        </w:tc>
        <w:tc>
          <w:tcPr>
            <w:tcW w:w="268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9"/>
              </w:rPr>
              <w:t>David L. Boren</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431"/>
        </w:trPr>
        <w:tc>
          <w:tcPr>
            <w:tcW w:w="2100" w:type="dxa"/>
            <w:vAlign w:val="bottom"/>
          </w:tcPr>
          <w:p>
            <w:pPr>
              <w:ind w:left="188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A. C</w:t>
            </w:r>
            <w:r>
              <w:rPr>
                <w:rFonts w:ascii="Arial" w:cs="Arial" w:eastAsia="Arial" w:hAnsi="Arial"/>
                <w:sz w:val="14"/>
                <w:szCs w:val="14"/>
                <w:color w:val="auto"/>
              </w:rPr>
              <w:t>ARP</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gridSpan w:val="3"/>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63"/>
        </w:trPr>
        <w:tc>
          <w:tcPr>
            <w:tcW w:w="2100" w:type="dxa"/>
            <w:vAlign w:val="bottom"/>
          </w:tcPr>
          <w:p>
            <w:pPr>
              <w:spacing w:after="0"/>
              <w:rPr>
                <w:sz w:val="22"/>
                <w:szCs w:val="22"/>
                <w:color w:val="auto"/>
              </w:rPr>
            </w:pPr>
          </w:p>
        </w:tc>
        <w:tc>
          <w:tcPr>
            <w:tcW w:w="268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1"/>
              </w:rPr>
              <w:t>Daniel A. Carp</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431"/>
        </w:trPr>
        <w:tc>
          <w:tcPr>
            <w:tcW w:w="4780" w:type="dxa"/>
            <w:vAlign w:val="bottom"/>
            <w:gridSpan w:val="4"/>
          </w:tcPr>
          <w:p>
            <w:pPr>
              <w:ind w:left="170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J. E</w:t>
            </w:r>
            <w:r>
              <w:rPr>
                <w:rFonts w:ascii="Arial" w:cs="Arial" w:eastAsia="Arial" w:hAnsi="Arial"/>
                <w:sz w:val="14"/>
                <w:szCs w:val="14"/>
                <w:color w:val="auto"/>
              </w:rPr>
              <w:t>NGIBOUS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0"/>
              </w:rPr>
              <w:t>Chairman of the Board; President; Chief Executive Officer; Director</w:t>
            </w:r>
          </w:p>
        </w:tc>
      </w:tr>
      <w:tr>
        <w:trPr>
          <w:trHeight w:val="110"/>
        </w:trPr>
        <w:tc>
          <w:tcPr>
            <w:tcW w:w="210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gridSpan w:val="3"/>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63"/>
        </w:trPr>
        <w:tc>
          <w:tcPr>
            <w:tcW w:w="2100" w:type="dxa"/>
            <w:vAlign w:val="bottom"/>
          </w:tcPr>
          <w:p>
            <w:pPr>
              <w:spacing w:after="0"/>
              <w:rPr>
                <w:sz w:val="22"/>
                <w:szCs w:val="22"/>
                <w:color w:val="auto"/>
              </w:rPr>
            </w:pPr>
          </w:p>
        </w:tc>
        <w:tc>
          <w:tcPr>
            <w:tcW w:w="268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86"/>
              </w:rPr>
              <w:t>Thomas J. Engibous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431"/>
        </w:trPr>
        <w:tc>
          <w:tcPr>
            <w:tcW w:w="4780" w:type="dxa"/>
            <w:vAlign w:val="bottom"/>
            <w:gridSpan w:val="4"/>
          </w:tcPr>
          <w:p>
            <w:pPr>
              <w:ind w:left="15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ERALD</w:t>
            </w:r>
            <w:r>
              <w:rPr>
                <w:rFonts w:ascii="Arial" w:cs="Arial" w:eastAsia="Arial" w:hAnsi="Arial"/>
                <w:sz w:val="18"/>
                <w:szCs w:val="18"/>
                <w:color w:val="auto"/>
              </w:rPr>
              <w:t xml:space="preserve"> W. F</w:t>
            </w:r>
            <w:r>
              <w:rPr>
                <w:rFonts w:ascii="Arial" w:cs="Arial" w:eastAsia="Arial" w:hAnsi="Arial"/>
                <w:sz w:val="14"/>
                <w:szCs w:val="14"/>
                <w:color w:val="auto"/>
              </w:rPr>
              <w:t>RONTERHOUSE</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gridSpan w:val="3"/>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63"/>
        </w:trPr>
        <w:tc>
          <w:tcPr>
            <w:tcW w:w="2100" w:type="dxa"/>
            <w:vAlign w:val="bottom"/>
          </w:tcPr>
          <w:p>
            <w:pPr>
              <w:spacing w:after="0"/>
              <w:rPr>
                <w:sz w:val="22"/>
                <w:szCs w:val="22"/>
                <w:color w:val="auto"/>
              </w:rPr>
            </w:pPr>
          </w:p>
        </w:tc>
        <w:tc>
          <w:tcPr>
            <w:tcW w:w="268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7"/>
              </w:rPr>
              <w:t>Gerald W. Fronterhouse</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431"/>
        </w:trPr>
        <w:tc>
          <w:tcPr>
            <w:tcW w:w="2100" w:type="dxa"/>
            <w:vAlign w:val="bottom"/>
          </w:tcPr>
          <w:p>
            <w:pPr>
              <w:ind w:left="186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R. G</w:t>
            </w:r>
            <w:r>
              <w:rPr>
                <w:rFonts w:ascii="Arial" w:cs="Arial" w:eastAsia="Arial" w:hAnsi="Arial"/>
                <w:sz w:val="14"/>
                <w:szCs w:val="14"/>
                <w:color w:val="auto"/>
              </w:rPr>
              <w:t>OODE</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210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gridSpan w:val="3"/>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63"/>
        </w:trPr>
        <w:tc>
          <w:tcPr>
            <w:tcW w:w="2100" w:type="dxa"/>
            <w:vAlign w:val="bottom"/>
          </w:tcPr>
          <w:p>
            <w:pPr>
              <w:spacing w:after="0"/>
              <w:rPr>
                <w:sz w:val="22"/>
                <w:szCs w:val="22"/>
                <w:color w:val="auto"/>
              </w:rPr>
            </w:pPr>
          </w:p>
        </w:tc>
        <w:tc>
          <w:tcPr>
            <w:tcW w:w="268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8"/>
              </w:rPr>
              <w:t>David R. Goode</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363"/>
        </w:trPr>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ectPr>
          <w:pgSz w:w="11900" w:h="16838" w:orient="portrait"/>
          <w:cols w:equalWidth="0" w:num="1">
            <w:col w:w="11340"/>
          </w:cols>
          <w:pgMar w:left="240" w:top="280" w:right="31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8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/s/</w:t>
            </w:r>
          </w:p>
        </w:tc>
        <w:tc>
          <w:tcPr>
            <w:tcW w:w="3600" w:type="dxa"/>
            <w:vAlign w:val="bottom"/>
          </w:tcPr>
          <w:p>
            <w:pPr>
              <w:jc w:val="center"/>
              <w:ind w:right="1984"/>
              <w:spacing w:after="0"/>
              <w:rPr>
                <w:sz w:val="20"/>
                <w:szCs w:val="20"/>
                <w:color w:val="auto"/>
              </w:rPr>
            </w:pPr>
            <w:r>
              <w:rPr>
                <w:rFonts w:ascii="Arial" w:cs="Arial" w:eastAsia="Arial" w:hAnsi="Arial"/>
                <w:sz w:val="18"/>
                <w:szCs w:val="18"/>
                <w:color w:val="auto"/>
                <w:w w:val="97"/>
              </w:rPr>
              <w:t>W</w:t>
            </w:r>
            <w:r>
              <w:rPr>
                <w:rFonts w:ascii="Arial" w:cs="Arial" w:eastAsia="Arial" w:hAnsi="Arial"/>
                <w:sz w:val="14"/>
                <w:szCs w:val="14"/>
                <w:color w:val="auto"/>
                <w:w w:val="97"/>
              </w:rPr>
              <w:t>AYNE</w:t>
            </w:r>
            <w:r>
              <w:rPr>
                <w:rFonts w:ascii="Arial" w:cs="Arial" w:eastAsia="Arial" w:hAnsi="Arial"/>
                <w:sz w:val="18"/>
                <w:szCs w:val="18"/>
                <w:color w:val="auto"/>
                <w:w w:val="97"/>
              </w:rPr>
              <w:t xml:space="preserve"> R. S</w:t>
            </w:r>
            <w:r>
              <w:rPr>
                <w:rFonts w:ascii="Arial" w:cs="Arial" w:eastAsia="Arial" w:hAnsi="Arial"/>
                <w:sz w:val="14"/>
                <w:szCs w:val="14"/>
                <w:color w:val="auto"/>
                <w:w w:val="97"/>
              </w:rPr>
              <w:t>ANDERS</w:t>
            </w:r>
          </w:p>
        </w:tc>
        <w:tc>
          <w:tcPr>
            <w:tcW w:w="516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110"/>
        </w:trPr>
        <w:tc>
          <w:tcPr>
            <w:tcW w:w="1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5160" w:type="dxa"/>
            <w:vAlign w:val="bottom"/>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0" w:type="dxa"/>
            <w:vAlign w:val="bottom"/>
          </w:tcPr>
          <w:p>
            <w:pPr>
              <w:jc w:val="center"/>
              <w:ind w:right="2024"/>
              <w:spacing w:after="0"/>
              <w:rPr>
                <w:sz w:val="20"/>
                <w:szCs w:val="20"/>
                <w:color w:val="auto"/>
              </w:rPr>
            </w:pPr>
            <w:r>
              <w:rPr>
                <w:rFonts w:ascii="Arial" w:cs="Arial" w:eastAsia="Arial" w:hAnsi="Arial"/>
                <w:sz w:val="14"/>
                <w:szCs w:val="14"/>
                <w:b w:val="1"/>
                <w:bCs w:val="1"/>
                <w:color w:val="auto"/>
                <w:w w:val="86"/>
              </w:rPr>
              <w:t>Wayne R. Sanders</w:t>
            </w:r>
          </w:p>
        </w:tc>
        <w:tc>
          <w:tcPr>
            <w:tcW w:w="5160" w:type="dxa"/>
            <w:vAlign w:val="bottom"/>
          </w:tcPr>
          <w:p>
            <w:pPr>
              <w:spacing w:after="0"/>
              <w:rPr>
                <w:sz w:val="22"/>
                <w:szCs w:val="22"/>
                <w:color w:val="auto"/>
              </w:rPr>
            </w:pPr>
          </w:p>
        </w:tc>
      </w:tr>
      <w:tr>
        <w:trPr>
          <w:trHeight w:val="431"/>
        </w:trPr>
        <w:tc>
          <w:tcPr>
            <w:tcW w:w="180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/s/</w:t>
            </w:r>
          </w:p>
        </w:tc>
        <w:tc>
          <w:tcPr>
            <w:tcW w:w="3600" w:type="dxa"/>
            <w:vAlign w:val="bottom"/>
          </w:tcPr>
          <w:p>
            <w:pPr>
              <w:jc w:val="center"/>
              <w:ind w:right="1984"/>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UTH</w:t>
            </w:r>
            <w:r>
              <w:rPr>
                <w:rFonts w:ascii="Arial" w:cs="Arial" w:eastAsia="Arial" w:hAnsi="Arial"/>
                <w:sz w:val="18"/>
                <w:szCs w:val="18"/>
                <w:color w:val="auto"/>
                <w:w w:val="96"/>
              </w:rPr>
              <w:t xml:space="preserve"> J. S</w:t>
            </w:r>
            <w:r>
              <w:rPr>
                <w:rFonts w:ascii="Arial" w:cs="Arial" w:eastAsia="Arial" w:hAnsi="Arial"/>
                <w:sz w:val="14"/>
                <w:szCs w:val="14"/>
                <w:color w:val="auto"/>
                <w:w w:val="96"/>
              </w:rPr>
              <w:t>IMMONS</w:t>
            </w:r>
          </w:p>
        </w:tc>
        <w:tc>
          <w:tcPr>
            <w:tcW w:w="516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110"/>
        </w:trPr>
        <w:tc>
          <w:tcPr>
            <w:tcW w:w="1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5160" w:type="dxa"/>
            <w:vAlign w:val="bottom"/>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0" w:type="dxa"/>
            <w:vAlign w:val="bottom"/>
          </w:tcPr>
          <w:p>
            <w:pPr>
              <w:jc w:val="center"/>
              <w:ind w:right="2044"/>
              <w:spacing w:after="0"/>
              <w:rPr>
                <w:sz w:val="20"/>
                <w:szCs w:val="20"/>
                <w:color w:val="auto"/>
              </w:rPr>
            </w:pPr>
            <w:r>
              <w:rPr>
                <w:rFonts w:ascii="Arial" w:cs="Arial" w:eastAsia="Arial" w:hAnsi="Arial"/>
                <w:sz w:val="14"/>
                <w:szCs w:val="14"/>
                <w:b w:val="1"/>
                <w:bCs w:val="1"/>
                <w:color w:val="auto"/>
                <w:w w:val="87"/>
              </w:rPr>
              <w:t>Ruth J. Simmons</w:t>
            </w:r>
          </w:p>
        </w:tc>
        <w:tc>
          <w:tcPr>
            <w:tcW w:w="5160" w:type="dxa"/>
            <w:vAlign w:val="bottom"/>
          </w:tcPr>
          <w:p>
            <w:pPr>
              <w:spacing w:after="0"/>
              <w:rPr>
                <w:sz w:val="22"/>
                <w:szCs w:val="22"/>
                <w:color w:val="auto"/>
              </w:rPr>
            </w:pPr>
          </w:p>
        </w:tc>
      </w:tr>
      <w:tr>
        <w:trPr>
          <w:trHeight w:val="431"/>
        </w:trPr>
        <w:tc>
          <w:tcPr>
            <w:tcW w:w="1800" w:type="dxa"/>
            <w:vAlign w:val="bottom"/>
          </w:tcPr>
          <w:p>
            <w:pPr>
              <w:ind w:left="1640"/>
              <w:spacing w:after="0"/>
              <w:rPr>
                <w:sz w:val="20"/>
                <w:szCs w:val="20"/>
                <w:color w:val="auto"/>
              </w:rPr>
            </w:pPr>
            <w:r>
              <w:rPr>
                <w:rFonts w:ascii="Arial" w:cs="Arial" w:eastAsia="Arial" w:hAnsi="Arial"/>
                <w:sz w:val="18"/>
                <w:szCs w:val="18"/>
                <w:color w:val="auto"/>
                <w:w w:val="73"/>
              </w:rPr>
              <w:t>/s/</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K. T</w:t>
            </w:r>
            <w:r>
              <w:rPr>
                <w:rFonts w:ascii="Arial" w:cs="Arial" w:eastAsia="Arial" w:hAnsi="Arial"/>
                <w:sz w:val="14"/>
                <w:szCs w:val="14"/>
                <w:color w:val="auto"/>
              </w:rPr>
              <w:t>EMPLETON</w:t>
            </w:r>
          </w:p>
        </w:tc>
        <w:tc>
          <w:tcPr>
            <w:tcW w:w="5160" w:type="dxa"/>
            <w:vAlign w:val="bottom"/>
          </w:tcPr>
          <w:p>
            <w:pPr>
              <w:ind w:left="560"/>
              <w:spacing w:after="0"/>
              <w:rPr>
                <w:sz w:val="20"/>
                <w:szCs w:val="20"/>
                <w:color w:val="auto"/>
              </w:rPr>
            </w:pPr>
            <w:r>
              <w:rPr>
                <w:rFonts w:ascii="Arial" w:cs="Arial" w:eastAsia="Arial" w:hAnsi="Arial"/>
                <w:sz w:val="18"/>
                <w:szCs w:val="18"/>
                <w:color w:val="auto"/>
                <w:w w:val="98"/>
              </w:rPr>
              <w:t>Executive Vice President; Chief Operating Officer; Director</w:t>
            </w:r>
          </w:p>
        </w:tc>
      </w:tr>
      <w:tr>
        <w:trPr>
          <w:trHeight w:val="110"/>
        </w:trPr>
        <w:tc>
          <w:tcPr>
            <w:tcW w:w="1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5160" w:type="dxa"/>
            <w:vAlign w:val="bottom"/>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0" w:type="dxa"/>
            <w:vAlign w:val="bottom"/>
          </w:tcPr>
          <w:p>
            <w:pPr>
              <w:jc w:val="center"/>
              <w:ind w:right="2044"/>
              <w:spacing w:after="0"/>
              <w:rPr>
                <w:sz w:val="20"/>
                <w:szCs w:val="20"/>
                <w:color w:val="auto"/>
              </w:rPr>
            </w:pPr>
            <w:r>
              <w:rPr>
                <w:rFonts w:ascii="Arial" w:cs="Arial" w:eastAsia="Arial" w:hAnsi="Arial"/>
                <w:sz w:val="14"/>
                <w:szCs w:val="14"/>
                <w:b w:val="1"/>
                <w:bCs w:val="1"/>
                <w:color w:val="auto"/>
                <w:w w:val="88"/>
              </w:rPr>
              <w:t>Richard K. Templeton</w:t>
            </w:r>
          </w:p>
        </w:tc>
        <w:tc>
          <w:tcPr>
            <w:tcW w:w="5160" w:type="dxa"/>
            <w:vAlign w:val="bottom"/>
          </w:tcPr>
          <w:p>
            <w:pPr>
              <w:spacing w:after="0"/>
              <w:rPr>
                <w:sz w:val="22"/>
                <w:szCs w:val="22"/>
                <w:color w:val="auto"/>
              </w:rPr>
            </w:pPr>
          </w:p>
        </w:tc>
      </w:tr>
      <w:tr>
        <w:trPr>
          <w:trHeight w:val="431"/>
        </w:trPr>
        <w:tc>
          <w:tcPr>
            <w:tcW w:w="1800" w:type="dxa"/>
            <w:vAlign w:val="bottom"/>
          </w:tcPr>
          <w:p>
            <w:pPr>
              <w:ind w:left="1520"/>
              <w:spacing w:after="0"/>
              <w:rPr>
                <w:sz w:val="20"/>
                <w:szCs w:val="20"/>
                <w:color w:val="auto"/>
              </w:rPr>
            </w:pPr>
            <w:r>
              <w:rPr>
                <w:rFonts w:ascii="Arial" w:cs="Arial" w:eastAsia="Arial" w:hAnsi="Arial"/>
                <w:sz w:val="18"/>
                <w:szCs w:val="18"/>
                <w:color w:val="auto"/>
              </w:rPr>
              <w:t>/s/</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HRISTINE</w:t>
            </w:r>
            <w:r>
              <w:rPr>
                <w:rFonts w:ascii="Arial" w:cs="Arial" w:eastAsia="Arial" w:hAnsi="Arial"/>
                <w:sz w:val="18"/>
                <w:szCs w:val="18"/>
                <w:color w:val="auto"/>
              </w:rPr>
              <w:t xml:space="preserve"> T</w:t>
            </w:r>
            <w:r>
              <w:rPr>
                <w:rFonts w:ascii="Arial" w:cs="Arial" w:eastAsia="Arial" w:hAnsi="Arial"/>
                <w:sz w:val="14"/>
                <w:szCs w:val="14"/>
                <w:color w:val="auto"/>
              </w:rPr>
              <w:t>ODD</w:t>
            </w:r>
            <w:r>
              <w:rPr>
                <w:rFonts w:ascii="Arial" w:cs="Arial" w:eastAsia="Arial" w:hAnsi="Arial"/>
                <w:sz w:val="18"/>
                <w:szCs w:val="18"/>
                <w:color w:val="auto"/>
              </w:rPr>
              <w:t xml:space="preserve"> W</w:t>
            </w:r>
            <w:r>
              <w:rPr>
                <w:rFonts w:ascii="Arial" w:cs="Arial" w:eastAsia="Arial" w:hAnsi="Arial"/>
                <w:sz w:val="14"/>
                <w:szCs w:val="14"/>
                <w:color w:val="auto"/>
              </w:rPr>
              <w:t>HITMAN</w:t>
            </w:r>
          </w:p>
        </w:tc>
        <w:tc>
          <w:tcPr>
            <w:tcW w:w="516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110"/>
        </w:trPr>
        <w:tc>
          <w:tcPr>
            <w:tcW w:w="1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5160" w:type="dxa"/>
            <w:vAlign w:val="bottom"/>
          </w:tcPr>
          <w:p>
            <w:pPr>
              <w:spacing w:after="0"/>
              <w:rPr>
                <w:sz w:val="9"/>
                <w:szCs w:val="9"/>
                <w:color w:val="auto"/>
              </w:rPr>
            </w:pPr>
          </w:p>
        </w:tc>
      </w:tr>
      <w:tr>
        <w:trPr>
          <w:trHeight w:val="263"/>
        </w:trPr>
        <w:tc>
          <w:tcPr>
            <w:tcW w:w="1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0" w:type="dxa"/>
            <w:vAlign w:val="bottom"/>
          </w:tcPr>
          <w:p>
            <w:pPr>
              <w:jc w:val="center"/>
              <w:ind w:right="2044"/>
              <w:spacing w:after="0"/>
              <w:rPr>
                <w:sz w:val="20"/>
                <w:szCs w:val="20"/>
                <w:color w:val="auto"/>
              </w:rPr>
            </w:pPr>
            <w:r>
              <w:rPr>
                <w:rFonts w:ascii="Arial" w:cs="Arial" w:eastAsia="Arial" w:hAnsi="Arial"/>
                <w:sz w:val="14"/>
                <w:szCs w:val="14"/>
                <w:b w:val="1"/>
                <w:bCs w:val="1"/>
                <w:color w:val="auto"/>
                <w:w w:val="88"/>
              </w:rPr>
              <w:t>Christine Todd Whitman</w:t>
            </w:r>
          </w:p>
        </w:tc>
        <w:tc>
          <w:tcPr>
            <w:tcW w:w="5160" w:type="dxa"/>
            <w:vAlign w:val="bottom"/>
          </w:tcPr>
          <w:p>
            <w:pPr>
              <w:spacing w:after="0"/>
              <w:rPr>
                <w:sz w:val="22"/>
                <w:szCs w:val="22"/>
                <w:color w:val="auto"/>
              </w:rPr>
            </w:pPr>
          </w:p>
        </w:tc>
      </w:tr>
      <w:tr>
        <w:trPr>
          <w:trHeight w:val="431"/>
        </w:trPr>
        <w:tc>
          <w:tcPr>
            <w:tcW w:w="180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4"/>
              </w:rPr>
              <w:t>/s/</w:t>
            </w:r>
          </w:p>
        </w:tc>
        <w:tc>
          <w:tcPr>
            <w:tcW w:w="3600" w:type="dxa"/>
            <w:vAlign w:val="bottom"/>
          </w:tcPr>
          <w:p>
            <w:pPr>
              <w:jc w:val="center"/>
              <w:ind w:right="1984"/>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EVIN</w:t>
            </w:r>
            <w:r>
              <w:rPr>
                <w:rFonts w:ascii="Arial" w:cs="Arial" w:eastAsia="Arial" w:hAnsi="Arial"/>
                <w:sz w:val="18"/>
                <w:szCs w:val="18"/>
                <w:color w:val="auto"/>
                <w:w w:val="99"/>
              </w:rPr>
              <w:t xml:space="preserve"> P. M</w:t>
            </w:r>
            <w:r>
              <w:rPr>
                <w:rFonts w:ascii="Arial" w:cs="Arial" w:eastAsia="Arial" w:hAnsi="Arial"/>
                <w:sz w:val="14"/>
                <w:szCs w:val="14"/>
                <w:color w:val="auto"/>
                <w:w w:val="99"/>
              </w:rPr>
              <w:t>ARCH</w:t>
            </w:r>
          </w:p>
        </w:tc>
        <w:tc>
          <w:tcPr>
            <w:tcW w:w="5160" w:type="dxa"/>
            <w:vAlign w:val="bottom"/>
          </w:tcPr>
          <w:p>
            <w:pPr>
              <w:ind w:left="560"/>
              <w:spacing w:after="0"/>
              <w:rPr>
                <w:sz w:val="20"/>
                <w:szCs w:val="20"/>
                <w:color w:val="auto"/>
              </w:rPr>
            </w:pPr>
            <w:r>
              <w:rPr>
                <w:rFonts w:ascii="Arial" w:cs="Arial" w:eastAsia="Arial" w:hAnsi="Arial"/>
                <w:sz w:val="18"/>
                <w:szCs w:val="18"/>
                <w:color w:val="auto"/>
                <w:w w:val="90"/>
              </w:rPr>
              <w:t>Senior Vice President; Chief Financial Officer; Chief Accounting</w:t>
            </w:r>
          </w:p>
        </w:tc>
      </w:tr>
    </w:tbl>
    <w:p>
      <w:pPr>
        <w:ind w:left="650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4"/>
          <w:szCs w:val="14"/>
          <w:b w:val="1"/>
          <w:bCs w:val="1"/>
          <w:color w:val="auto"/>
        </w:rPr>
        <w:t>Kevin P. March</w:t>
      </w:r>
    </w:p>
    <w:p>
      <w:pPr>
        <w:spacing w:after="0" w:line="15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0"/>
          </w:cols>
          <w:pgMar w:left="240" w:top="496" w:right="779" w:bottom="1440" w:gutter="0" w:footer="0" w:header="0"/>
        </w:sectPr>
      </w:pPr>
    </w:p>
    <w:bookmarkStart w:id="18" w:name="page19"/>
    <w:bookmarkEnd w:id="18"/>
    <w:p>
      <w:pPr>
        <w:ind w:left="3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INDEX TO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FINANCIAL STATEMENT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3"/>
              </w:rPr>
              <w:t>Page Reference</w:t>
            </w:r>
          </w:p>
        </w:tc>
        <w:tc>
          <w:tcPr>
            <w:tcW w:w="0" w:type="dxa"/>
            <w:vAlign w:val="bottom"/>
          </w:tcPr>
          <w:p>
            <w:pPr>
              <w:spacing w:after="0"/>
              <w:rPr>
                <w:sz w:val="1"/>
                <w:szCs w:val="1"/>
                <w:color w:val="auto"/>
              </w:rPr>
            </w:pPr>
          </w:p>
        </w:tc>
      </w:tr>
      <w:tr>
        <w:trPr>
          <w:trHeight w:val="95"/>
        </w:trPr>
        <w:tc>
          <w:tcPr>
            <w:tcW w:w="982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98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2003 annual report</w:t>
            </w:r>
          </w:p>
        </w:tc>
        <w:tc>
          <w:tcPr>
            <w:tcW w:w="0" w:type="dxa"/>
            <w:vAlign w:val="bottom"/>
          </w:tcPr>
          <w:p>
            <w:pPr>
              <w:spacing w:after="0"/>
              <w:rPr>
                <w:sz w:val="1"/>
                <w:szCs w:val="1"/>
                <w:color w:val="auto"/>
              </w:rPr>
            </w:pPr>
          </w:p>
        </w:tc>
      </w:tr>
      <w:tr>
        <w:trPr>
          <w:trHeight w:val="222"/>
        </w:trPr>
        <w:tc>
          <w:tcPr>
            <w:tcW w:w="9820" w:type="dxa"/>
            <w:vAlign w:val="bottom"/>
            <w:vMerge w:val="restart"/>
          </w:tcPr>
          <w:p>
            <w:pPr>
              <w:spacing w:after="0"/>
              <w:rPr>
                <w:sz w:val="20"/>
                <w:szCs w:val="20"/>
                <w:color w:val="auto"/>
              </w:rPr>
            </w:pPr>
            <w:r>
              <w:rPr>
                <w:rFonts w:ascii="Arial" w:cs="Arial" w:eastAsia="Arial" w:hAnsi="Arial"/>
                <w:sz w:val="18"/>
                <w:szCs w:val="18"/>
                <w:color w:val="auto"/>
              </w:rPr>
              <w:t>Information incorporated by reference to the Registrant’s 2003 annual report to stockholders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to stockholders</w:t>
            </w:r>
          </w:p>
        </w:tc>
        <w:tc>
          <w:tcPr>
            <w:tcW w:w="0" w:type="dxa"/>
            <w:vAlign w:val="bottom"/>
          </w:tcPr>
          <w:p>
            <w:pPr>
              <w:spacing w:after="0"/>
              <w:rPr>
                <w:sz w:val="1"/>
                <w:szCs w:val="1"/>
                <w:color w:val="auto"/>
              </w:rPr>
            </w:pPr>
          </w:p>
        </w:tc>
      </w:tr>
      <w:tr>
        <w:trPr>
          <w:trHeight w:val="216"/>
        </w:trPr>
        <w:tc>
          <w:tcPr>
            <w:tcW w:w="982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20" w:type="dxa"/>
            <w:vAlign w:val="bottom"/>
          </w:tcPr>
          <w:p>
            <w:pPr>
              <w:ind w:left="440"/>
              <w:spacing w:after="0"/>
              <w:rPr>
                <w:sz w:val="20"/>
                <w:szCs w:val="20"/>
                <w:color w:val="auto"/>
              </w:rPr>
            </w:pPr>
            <w:r>
              <w:rPr>
                <w:rFonts w:ascii="Arial" w:cs="Arial" w:eastAsia="Arial" w:hAnsi="Arial"/>
                <w:sz w:val="18"/>
                <w:szCs w:val="18"/>
                <w:color w:val="auto"/>
              </w:rPr>
              <w:t>Operations for each of the three years in the period ended December 31, 2003</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324"/>
        </w:trPr>
        <w:tc>
          <w:tcPr>
            <w:tcW w:w="9820" w:type="dxa"/>
            <w:vAlign w:val="bottom"/>
          </w:tcPr>
          <w:p>
            <w:pPr>
              <w:ind w:left="440"/>
              <w:spacing w:after="0"/>
              <w:rPr>
                <w:sz w:val="20"/>
                <w:szCs w:val="20"/>
                <w:color w:val="auto"/>
              </w:rPr>
            </w:pPr>
            <w:r>
              <w:rPr>
                <w:rFonts w:ascii="Arial" w:cs="Arial" w:eastAsia="Arial" w:hAnsi="Arial"/>
                <w:sz w:val="18"/>
                <w:szCs w:val="18"/>
                <w:color w:val="auto"/>
              </w:rPr>
              <w:t>Balance sheet at December 31, 2003 and 2002</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324"/>
        </w:trPr>
        <w:tc>
          <w:tcPr>
            <w:tcW w:w="9820" w:type="dxa"/>
            <w:vAlign w:val="bottom"/>
          </w:tcPr>
          <w:p>
            <w:pPr>
              <w:ind w:left="440"/>
              <w:spacing w:after="0"/>
              <w:rPr>
                <w:sz w:val="20"/>
                <w:szCs w:val="20"/>
                <w:color w:val="auto"/>
              </w:rPr>
            </w:pPr>
            <w:r>
              <w:rPr>
                <w:rFonts w:ascii="Arial" w:cs="Arial" w:eastAsia="Arial" w:hAnsi="Arial"/>
                <w:sz w:val="18"/>
                <w:szCs w:val="18"/>
                <w:color w:val="auto"/>
              </w:rPr>
              <w:t>Cash flows for each of the three years in the period ended December 31, 2003</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324"/>
        </w:trPr>
        <w:tc>
          <w:tcPr>
            <w:tcW w:w="9820" w:type="dxa"/>
            <w:vAlign w:val="bottom"/>
          </w:tcPr>
          <w:p>
            <w:pPr>
              <w:ind w:left="440"/>
              <w:spacing w:after="0"/>
              <w:rPr>
                <w:sz w:val="20"/>
                <w:szCs w:val="20"/>
                <w:color w:val="auto"/>
              </w:rPr>
            </w:pPr>
            <w:r>
              <w:rPr>
                <w:rFonts w:ascii="Arial" w:cs="Arial" w:eastAsia="Arial" w:hAnsi="Arial"/>
                <w:sz w:val="18"/>
                <w:szCs w:val="18"/>
                <w:color w:val="auto"/>
              </w:rPr>
              <w:t>Stockholders’ equity for each of the three years in the period ended December 31, 2003</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324"/>
        </w:trPr>
        <w:tc>
          <w:tcPr>
            <w:tcW w:w="9820" w:type="dxa"/>
            <w:vAlign w:val="bottom"/>
          </w:tcPr>
          <w:p>
            <w:pPr>
              <w:ind w:left="440"/>
              <w:spacing w:after="0"/>
              <w:rPr>
                <w:sz w:val="20"/>
                <w:szCs w:val="20"/>
                <w:color w:val="auto"/>
              </w:rPr>
            </w:pPr>
            <w:r>
              <w:rPr>
                <w:rFonts w:ascii="Arial" w:cs="Arial" w:eastAsia="Arial" w:hAnsi="Arial"/>
                <w:sz w:val="18"/>
                <w:szCs w:val="18"/>
                <w:color w:val="auto"/>
              </w:rPr>
              <w:t>Notes to financial statements</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10-41</w:t>
            </w:r>
          </w:p>
        </w:tc>
        <w:tc>
          <w:tcPr>
            <w:tcW w:w="0" w:type="dxa"/>
            <w:vAlign w:val="bottom"/>
          </w:tcPr>
          <w:p>
            <w:pPr>
              <w:spacing w:after="0"/>
              <w:rPr>
                <w:sz w:val="1"/>
                <w:szCs w:val="1"/>
                <w:color w:val="auto"/>
              </w:rPr>
            </w:pPr>
          </w:p>
        </w:tc>
      </w:tr>
      <w:tr>
        <w:trPr>
          <w:trHeight w:val="324"/>
        </w:trPr>
        <w:tc>
          <w:tcPr>
            <w:tcW w:w="9820" w:type="dxa"/>
            <w:vAlign w:val="bottom"/>
          </w:tcPr>
          <w:p>
            <w:pPr>
              <w:ind w:left="440"/>
              <w:spacing w:after="0"/>
              <w:rPr>
                <w:sz w:val="20"/>
                <w:szCs w:val="20"/>
                <w:color w:val="auto"/>
              </w:rPr>
            </w:pPr>
            <w:r>
              <w:rPr>
                <w:rFonts w:ascii="Arial" w:cs="Arial" w:eastAsia="Arial" w:hAnsi="Arial"/>
                <w:sz w:val="18"/>
                <w:szCs w:val="18"/>
                <w:color w:val="auto"/>
              </w:rPr>
              <w:t>Report of Independent Auditors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Consolidated Schedule for each of the three years in the period ended December 31, 2003:</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20" w:type="dxa"/>
            <w:vAlign w:val="bottom"/>
          </w:tcPr>
          <w:p>
            <w:pPr>
              <w:ind w:left="440"/>
              <w:spacing w:after="0"/>
              <w:rPr>
                <w:sz w:val="20"/>
                <w:szCs w:val="20"/>
                <w:color w:val="auto"/>
              </w:rPr>
            </w:pPr>
            <w:r>
              <w:rPr>
                <w:rFonts w:ascii="Arial" w:cs="Arial" w:eastAsia="Arial" w:hAnsi="Arial"/>
                <w:sz w:val="18"/>
                <w:szCs w:val="18"/>
                <w:color w:val="auto"/>
              </w:rPr>
              <w:t>II. Allowance for Losses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All other 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ALLOWANCE FOR LOSSES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2003, 2002, 2001</w:t>
      </w:r>
    </w:p>
    <w:p>
      <w:pPr>
        <w:spacing w:after="0" w:line="134"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Additions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0" w:type="dxa"/>
            <w:vAlign w:val="bottom"/>
            <w:gridSpan w:val="3"/>
          </w:tcPr>
          <w:p>
            <w:pPr>
              <w:ind w:left="7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Charged to</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Beginning</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Operating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b w:val="1"/>
                <w:bCs w:val="1"/>
                <w:color w:val="auto"/>
                <w:w w:val="84"/>
              </w:rPr>
              <w:t>of 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7"/>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5"/>
                <w:szCs w:val="15"/>
                <w:color w:val="auto"/>
              </w:rPr>
            </w:pPr>
          </w:p>
        </w:tc>
        <w:tc>
          <w:tcPr>
            <w:tcW w:w="660" w:type="dxa"/>
            <w:vAlign w:val="bottom"/>
            <w:gridSpan w:val="3"/>
          </w:tcPr>
          <w:p>
            <w:pPr>
              <w:ind w:left="160"/>
              <w:spacing w:after="0"/>
              <w:rPr>
                <w:sz w:val="20"/>
                <w:szCs w:val="20"/>
                <w:color w:val="auto"/>
              </w:rPr>
            </w:pPr>
            <w:r>
              <w:rPr>
                <w:rFonts w:ascii="Arial" w:cs="Arial" w:eastAsia="Arial" w:hAnsi="Arial"/>
                <w:sz w:val="14"/>
                <w:szCs w:val="14"/>
                <w:b w:val="1"/>
                <w:bCs w:val="1"/>
                <w:color w:val="auto"/>
              </w:rPr>
              <w:t>Usage</w:t>
            </w:r>
          </w:p>
        </w:tc>
        <w:tc>
          <w:tcPr>
            <w:tcW w:w="8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of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4"/>
              </w:rPr>
              <w:t>2003</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(29)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4"/>
              </w:rPr>
              <w:t>2002</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(47)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4"/>
              </w:rPr>
              <w:t>2001</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(43)</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-629285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-629285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-629285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-629285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-629285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-629285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-629285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-629285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-629285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-629285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-629285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-629285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-329565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-329565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-329565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-329565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-329565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-329565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-329565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-329565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-329565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-329565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-329565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-329565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customer adjustments and doubtful accounts are deducted from accounts receivable in the balance sheet.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u w:val="single" w:color="auto"/>
          <w:color w:val="auto"/>
        </w:rPr>
        <w:t>Exhibit 3(r)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 AND MERGER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BURLINGTON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of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State of Delaware</w:t>
      </w:r>
    </w:p>
    <w:p>
      <w:pPr>
        <w:spacing w:after="0" w:line="15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Texas Instruments Incorporated, a Delaware corporation, (the “Company”) does hereby certify to the following facts relating to the merger (the “Merger”) of Texas Instruments Burlington Incorporated, a Delaware corporation, (the “Subsidiary”) with and into the Company, with the Company remaining as the surviving corporation:</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FIRST: The Company is incorporated pursuant to the General Corporation Law of the State of Delaware (the “DGCL”). The Subsidiary is incorporated pursuant to the DGCL.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The Company owns all of the outstanding shares of each class of capital stock of the Subsidiary.</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THIRD: The Board of Directors of the Company, by the following resolutions duly adopted at a meeting of the Board on December 4, 2003, determined to merge the Subsidiary with and into the Company pursuant to Section 253 of the DGCL:</w:t>
      </w:r>
    </w:p>
    <w:p>
      <w:pPr>
        <w:spacing w:after="0" w:line="37" w:lineRule="exact"/>
        <w:rPr>
          <w:sz w:val="20"/>
          <w:szCs w:val="20"/>
          <w:color w:val="auto"/>
        </w:rPr>
      </w:pPr>
    </w:p>
    <w:p>
      <w:pPr>
        <w:ind w:left="460" w:right="280"/>
        <w:spacing w:after="0" w:line="325" w:lineRule="auto"/>
        <w:rPr>
          <w:sz w:val="20"/>
          <w:szCs w:val="20"/>
          <w:color w:val="auto"/>
        </w:rPr>
      </w:pPr>
      <w:r>
        <w:rPr>
          <w:rFonts w:ascii="Arial" w:cs="Arial" w:eastAsia="Arial" w:hAnsi="Arial"/>
          <w:sz w:val="16"/>
          <w:szCs w:val="16"/>
          <w:color w:val="auto"/>
        </w:rPr>
        <w:t>RESOLVED, that the Board of Directors of the Company has deemed it advisable that Texas Instruments Burlington Incorporated (the “Subsidiary”) be merged with and into the Company pursuant to Section 253 of the General Corporation Law of the State of Delaware; and it is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RESOLVED, that the Subsidiary be merged with and into the Company (the “Merger”); and it is</w:t>
      </w:r>
    </w:p>
    <w:p>
      <w:pPr>
        <w:spacing w:after="0" w:line="77"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12"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37" w:lineRule="exact"/>
        <w:rPr>
          <w:sz w:val="20"/>
          <w:szCs w:val="20"/>
          <w:color w:val="auto"/>
        </w:rPr>
      </w:pPr>
    </w:p>
    <w:p>
      <w:pPr>
        <w:jc w:val="both"/>
        <w:ind w:left="460" w:right="160"/>
        <w:spacing w:after="0" w:line="306" w:lineRule="auto"/>
        <w:rPr>
          <w:sz w:val="20"/>
          <w:szCs w:val="20"/>
          <w:color w:val="auto"/>
        </w:rPr>
      </w:pPr>
      <w:r>
        <w:rPr>
          <w:rFonts w:ascii="Arial" w:cs="Arial" w:eastAsia="Arial" w:hAnsi="Arial"/>
          <w:sz w:val="16"/>
          <w:szCs w:val="16"/>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(the “Certificate of Ownership and Merger”) and to file the same in the office of the Secretary of State of the State of Delaware,</w:t>
      </w:r>
    </w:p>
    <w:p>
      <w:pPr>
        <w:sectPr>
          <w:pgSz w:w="11900" w:h="16838" w:orient="portrait"/>
          <w:cols w:equalWidth="0" w:num="1">
            <w:col w:w="11420"/>
          </w:cols>
          <w:pgMar w:left="240" w:top="280" w:right="239" w:bottom="1440" w:gutter="0" w:footer="0" w:header="0"/>
        </w:sectPr>
      </w:pPr>
    </w:p>
    <w:bookmarkStart w:id="21" w:name="page22"/>
    <w:bookmarkEnd w:id="21"/>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to do all other acts and things that may be necessary to carry out and effectuate the purpose and intent of the resolutions relating to the Merger; and it is</w:t>
      </w:r>
    </w:p>
    <w:p>
      <w:pPr>
        <w:spacing w:after="0" w:line="11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FURTHER RESOLVED, that the Merger shall be effective upon the date of filing of the Certificate of Ownership and Merger with the Secretary of State of the State of Delaware; and it is</w:t>
      </w:r>
    </w:p>
    <w:p>
      <w:pPr>
        <w:spacing w:after="0" w:line="37"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FOURTH: The Company shall be the surviving corporation of the Merger.</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FIFTH: The Restated Certificate of Incorporation of the Company as in effect immediately prior to the effective time of the Merger shall be the Certificate of Incorporation of the surviving corporation.</w:t>
      </w:r>
    </w:p>
    <w:p>
      <w:pPr>
        <w:spacing w:after="0" w:line="118" w:lineRule="exact"/>
        <w:rPr>
          <w:sz w:val="20"/>
          <w:szCs w:val="20"/>
          <w:color w:val="auto"/>
        </w:rPr>
      </w:pPr>
    </w:p>
    <w:p>
      <w:pPr>
        <w:ind w:right="100" w:firstLine="456"/>
        <w:spacing w:after="0" w:line="228" w:lineRule="auto"/>
        <w:rPr>
          <w:sz w:val="20"/>
          <w:szCs w:val="20"/>
          <w:color w:val="auto"/>
        </w:rPr>
      </w:pPr>
      <w:r>
        <w:rPr>
          <w:rFonts w:ascii="Arial" w:cs="Arial" w:eastAsia="Arial" w:hAnsi="Arial"/>
          <w:sz w:val="18"/>
          <w:szCs w:val="18"/>
          <w:color w:val="auto"/>
        </w:rPr>
        <w:t>IN WITNESS WHEREOF, the Company has caused this Certificate of Ownership and Merger to be executed by its duly authorized officer this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December, 2003.</w:t>
      </w:r>
    </w:p>
    <w:p>
      <w:pPr>
        <w:spacing w:after="0" w:line="1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1200" w:type="dxa"/>
            <w:vAlign w:val="bottom"/>
            <w:gridSpan w:val="2"/>
          </w:tcPr>
          <w:p>
            <w:pPr>
              <w:spacing w:after="0"/>
              <w:rPr>
                <w:sz w:val="20"/>
                <w:szCs w:val="20"/>
                <w:color w:val="auto"/>
              </w:rPr>
            </w:pPr>
            <w:r>
              <w:rPr>
                <w:rFonts w:ascii="Arial" w:cs="Arial" w:eastAsia="Arial" w:hAnsi="Arial"/>
                <w:sz w:val="18"/>
                <w:szCs w:val="18"/>
                <w:color w:val="auto"/>
              </w:rPr>
              <w:t>By:</w:t>
            </w:r>
          </w:p>
        </w:tc>
        <w:tc>
          <w:tcPr>
            <w:tcW w:w="3360" w:type="dxa"/>
            <w:vAlign w:val="bottom"/>
          </w:tcPr>
          <w:p>
            <w:pPr>
              <w:ind w:left="28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ANIEL</w:t>
            </w:r>
            <w:r>
              <w:rPr>
                <w:rFonts w:ascii="Arial" w:cs="Arial" w:eastAsia="Arial" w:hAnsi="Arial"/>
                <w:sz w:val="18"/>
                <w:szCs w:val="18"/>
                <w:color w:val="auto"/>
              </w:rPr>
              <w:t xml:space="preserve"> M. D</w:t>
            </w:r>
            <w:r>
              <w:rPr>
                <w:rFonts w:ascii="Arial" w:cs="Arial" w:eastAsia="Arial" w:hAnsi="Arial"/>
                <w:sz w:val="14"/>
                <w:szCs w:val="14"/>
                <w:color w:val="auto"/>
              </w:rPr>
              <w:t>RORY</w:t>
            </w:r>
          </w:p>
        </w:tc>
      </w:tr>
      <w:tr>
        <w:trPr>
          <w:trHeight w:val="110"/>
        </w:trPr>
        <w:tc>
          <w:tcPr>
            <w:tcW w:w="4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r>
      <w:tr>
        <w:trPr>
          <w:trHeight w:val="309"/>
        </w:trPr>
        <w:tc>
          <w:tcPr>
            <w:tcW w:w="1200" w:type="dxa"/>
            <w:vAlign w:val="bottom"/>
            <w:gridSpan w:val="2"/>
          </w:tcPr>
          <w:p>
            <w:pPr>
              <w:ind w:left="420"/>
              <w:spacing w:after="0"/>
              <w:rPr>
                <w:sz w:val="20"/>
                <w:szCs w:val="20"/>
                <w:color w:val="auto"/>
              </w:rPr>
            </w:pPr>
            <w:r>
              <w:rPr>
                <w:rFonts w:ascii="Arial" w:cs="Arial" w:eastAsia="Arial" w:hAnsi="Arial"/>
                <w:sz w:val="18"/>
                <w:szCs w:val="18"/>
                <w:color w:val="auto"/>
              </w:rPr>
              <w:t>Name:</w:t>
            </w:r>
          </w:p>
        </w:tc>
        <w:tc>
          <w:tcPr>
            <w:tcW w:w="3360" w:type="dxa"/>
            <w:vAlign w:val="bottom"/>
          </w:tcPr>
          <w:p>
            <w:pPr>
              <w:jc w:val="center"/>
              <w:ind w:right="86"/>
              <w:spacing w:after="0"/>
              <w:rPr>
                <w:sz w:val="20"/>
                <w:szCs w:val="20"/>
                <w:color w:val="auto"/>
              </w:rPr>
            </w:pPr>
            <w:r>
              <w:rPr>
                <w:rFonts w:ascii="Arial" w:cs="Arial" w:eastAsia="Arial" w:hAnsi="Arial"/>
                <w:sz w:val="14"/>
                <w:szCs w:val="14"/>
                <w:b w:val="1"/>
                <w:bCs w:val="1"/>
                <w:color w:val="auto"/>
                <w:w w:val="93"/>
              </w:rPr>
              <w:t>Daniel M. Drory</w:t>
            </w:r>
          </w:p>
        </w:tc>
      </w:tr>
      <w:tr>
        <w:trPr>
          <w:trHeight w:val="237"/>
        </w:trPr>
        <w:tc>
          <w:tcPr>
            <w:tcW w:w="120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360" w:type="dxa"/>
            <w:vAlign w:val="bottom"/>
          </w:tcPr>
          <w:p>
            <w:pPr>
              <w:jc w:val="center"/>
              <w:ind w:right="86"/>
              <w:spacing w:after="0"/>
              <w:rPr>
                <w:sz w:val="20"/>
                <w:szCs w:val="20"/>
                <w:color w:val="auto"/>
              </w:rPr>
            </w:pPr>
            <w:r>
              <w:rPr>
                <w:rFonts w:ascii="Arial" w:cs="Arial" w:eastAsia="Arial" w:hAnsi="Arial"/>
                <w:sz w:val="14"/>
                <w:szCs w:val="14"/>
                <w:b w:val="1"/>
                <w:bCs w:val="1"/>
                <w:color w:val="auto"/>
                <w:w w:val="85"/>
              </w:rPr>
              <w:t>Assistant Secretary</w:t>
            </w:r>
          </w:p>
        </w:tc>
      </w:tr>
    </w:tbl>
    <w:p>
      <w:pPr>
        <w:sectPr>
          <w:pgSz w:w="11900" w:h="16838" w:orient="portrait"/>
          <w:cols w:equalWidth="0" w:num="1">
            <w:col w:w="11420"/>
          </w:cols>
          <w:pgMar w:left="240" w:top="2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u w:val="single" w:color="auto"/>
          <w:color w:val="auto"/>
        </w:rPr>
        <w:t>Exhibit 10(b)(v)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 SUPPLEMENTAL PENSION PLAN</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TEXAS INSTRUMENTS INCORPORATED, a Delaware corporation with its principal offices in Dallas, Texas, hereby adopts this Fourth Amendment to the TI Supplemental Pension Plan (the “Plan”). This Fourth Amendment to the Plan shall be effective immediately. Except as hereby amended by this Fourth Amendment, the Plan, as previously amended, shall continue in full force and effect.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First sentence of section 5-2 is amended and restated in its entirety to read as follows: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shall be administered by an Administrator or Administrators appointed by the Compensation Committee or its delegate.”</w:t>
      </w:r>
    </w:p>
    <w:p>
      <w:pPr>
        <w:spacing w:after="0" w:line="158" w:lineRule="exact"/>
        <w:rPr>
          <w:sz w:val="20"/>
          <w:szCs w:val="20"/>
          <w:color w:val="auto"/>
        </w:rPr>
      </w:pPr>
    </w:p>
    <w:p>
      <w:pPr>
        <w:ind w:right="460" w:firstLine="456"/>
        <w:spacing w:after="0" w:line="228" w:lineRule="auto"/>
        <w:rPr>
          <w:sz w:val="20"/>
          <w:szCs w:val="20"/>
          <w:color w:val="auto"/>
        </w:rPr>
      </w:pPr>
      <w:r>
        <w:rPr>
          <w:rFonts w:ascii="Arial" w:cs="Arial" w:eastAsia="Arial" w:hAnsi="Arial"/>
          <w:sz w:val="18"/>
          <w:szCs w:val="18"/>
          <w:color w:val="auto"/>
        </w:rPr>
        <w:t>IN WITNESS WHEREOF, Texas Instruments Incorporated has caused this instrument to be executed by its duly authorized officer on this 21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November, 2003.</w:t>
      </w:r>
    </w:p>
    <w:p>
      <w:pPr>
        <w:spacing w:after="0" w:line="144"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4220" w:type="dxa"/>
            <w:vAlign w:val="bottom"/>
            <w:gridSpan w:val="2"/>
          </w:tcPr>
          <w:p>
            <w:pPr>
              <w:ind w:left="8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140" w:type="dxa"/>
            <w:vAlign w:val="bottom"/>
          </w:tcPr>
          <w:p>
            <w:pPr>
              <w:ind w:left="104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H. L</w:t>
            </w:r>
            <w:r>
              <w:rPr>
                <w:rFonts w:ascii="Arial" w:cs="Arial" w:eastAsia="Arial" w:hAnsi="Arial"/>
                <w:sz w:val="14"/>
                <w:szCs w:val="14"/>
                <w:color w:val="auto"/>
              </w:rPr>
              <w:t>EVEN</w:t>
            </w:r>
          </w:p>
        </w:tc>
      </w:tr>
      <w:tr>
        <w:trPr>
          <w:trHeight w:val="110"/>
        </w:trPr>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r>
      <w:tr>
        <w:trPr>
          <w:trHeight w:val="263"/>
        </w:trPr>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H. Leven</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Its:</w:t>
            </w:r>
          </w:p>
        </w:tc>
        <w:tc>
          <w:tcPr>
            <w:tcW w:w="8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President-Human Resources</w:t>
            </w:r>
          </w:p>
        </w:tc>
      </w:tr>
    </w:tbl>
    <w:p>
      <w:pPr>
        <w:sectPr>
          <w:pgSz w:w="11900" w:h="16838" w:orient="portrait"/>
          <w:cols w:equalWidth="0" w:num="1">
            <w:col w:w="11420"/>
          </w:cols>
          <w:pgMar w:left="240" w:top="2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u w:val="single" w:color="auto"/>
          <w:color w:val="auto"/>
        </w:rPr>
        <w:t>Exhibit 11</w:t>
      </w:r>
    </w:p>
    <w:p>
      <w:pPr>
        <w:spacing w:after="0" w:line="158"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TEXAS INSTRUMENTS INCORPORATED AND SUBSIDIARIES EARNINGS (LOSS) PER COMMON AND DILUTIVE POTENTIAL COMMON SHARE (Millions of Dollars, Except Per-share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2002</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and dilutive potential common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1,731,325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1,733,343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1,734,506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dilutive potential common shares: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Stock option and compensation plans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35,075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and dilutive potential common shares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1,766,400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1,733,343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1,734,506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1,731,325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1,733,343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1,734,506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-2336165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-2336165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-2336165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-2336165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-2336165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-2336165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-2336165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-2336165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-2336165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-1341120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-1341120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-1341120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-1341120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-1341120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-1341120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-1341120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-1341120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-1341120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-904240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-904240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-904240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-904240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-904240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-904240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-904240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-904240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-904240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-466725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-466725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-466725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-466725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-466725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-466725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-466725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-466725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-466725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4" w:name="page25"/>
    <w:bookmarkEnd w:id="24"/>
    <w:p>
      <w:pPr>
        <w:ind w:left="10680"/>
        <w:spacing w:after="0"/>
        <w:rPr>
          <w:sz w:val="20"/>
          <w:szCs w:val="20"/>
          <w:color w:val="auto"/>
        </w:rPr>
      </w:pPr>
      <w:r>
        <w:rPr>
          <w:rFonts w:ascii="Arial" w:cs="Arial" w:eastAsia="Arial" w:hAnsi="Arial"/>
          <w:sz w:val="16"/>
          <w:szCs w:val="16"/>
          <w:u w:val="single" w:color="auto"/>
          <w:color w:val="auto"/>
        </w:rPr>
        <w:t>Exhibit 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1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1999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Income (loss) from continuing operations before income taxes plus fixed charges and</w:t>
            </w:r>
          </w:p>
        </w:tc>
        <w:tc>
          <w:tcPr>
            <w:tcW w:w="11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ind w:left="640"/>
              <w:spacing w:after="0"/>
              <w:rPr>
                <w:sz w:val="20"/>
                <w:szCs w:val="20"/>
                <w:color w:val="auto"/>
              </w:rPr>
            </w:pPr>
            <w:r>
              <w:rPr>
                <w:rFonts w:ascii="Arial" w:cs="Arial" w:eastAsia="Arial" w:hAnsi="Arial"/>
                <w:sz w:val="18"/>
                <w:szCs w:val="18"/>
                <w:color w:val="auto"/>
              </w:rPr>
              <w:t>amortization of capitalized interest less interest capitalized</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10" w:type="dxa"/>
            <w:vAlign w:val="bottom"/>
          </w:tcPr>
          <w:p>
            <w:pPr>
              <w:jc w:val="right"/>
              <w:spacing w:after="0"/>
              <w:rPr>
                <w:sz w:val="20"/>
                <w:szCs w:val="20"/>
                <w:color w:val="auto"/>
              </w:rPr>
            </w:pPr>
            <w:r>
              <w:rPr>
                <w:rFonts w:ascii="Arial" w:cs="Arial" w:eastAsia="Arial" w:hAnsi="Arial"/>
                <w:sz w:val="18"/>
                <w:szCs w:val="18"/>
                <w:color w:val="auto"/>
                <w:w w:val="84"/>
              </w:rPr>
              <w:t>1,326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(316)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2,205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8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Total interest on loans (expensed and capitalized)</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1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attributable to rental and lease expense</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Ratio of earnings to fixed charges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-1186815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-1186815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-1186815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-1186815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-1186815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-1186815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-1186815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-1186815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-1186815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-1186815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-1186815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-1186815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-1186815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-1186815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-1186815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-329565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-329565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-329565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-329565</wp:posOffset>
            </wp:positionV>
            <wp:extent cx="30416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-329565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-329565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-329565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-329565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-329565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-329565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-329565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-329565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Ratio is not meaningful. Coverage deficiency was $334 million in 2002 and $423 million in year 2001.</w:t>
      </w:r>
    </w:p>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13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Financial Statements 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0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42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Operations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Balance Sheet</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Cash Flows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Stockholders’ Equity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2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45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Accounting Policies and Practices</w:t>
      </w:r>
    </w:p>
    <w:p>
      <w:pPr>
        <w:spacing w:after="0" w:line="76" w:lineRule="exact"/>
        <w:rPr>
          <w:sz w:val="20"/>
          <w:szCs w:val="20"/>
          <w:color w:val="auto"/>
        </w:rPr>
      </w:pPr>
    </w:p>
    <w:p>
      <w:pPr>
        <w:ind w:left="1080" w:right="7360" w:hanging="216"/>
        <w:spacing w:after="0" w:line="325" w:lineRule="auto"/>
        <w:rPr>
          <w:sz w:val="20"/>
          <w:szCs w:val="20"/>
          <w:color w:val="auto"/>
        </w:rPr>
      </w:pPr>
      <w:r>
        <w:rPr>
          <w:rFonts w:ascii="Arial" w:cs="Arial" w:eastAsia="Arial" w:hAnsi="Arial"/>
          <w:sz w:val="16"/>
          <w:szCs w:val="16"/>
          <w:color w:val="auto"/>
        </w:rPr>
        <w:t>– Cash Equivalents, Short-Term Investments and Long-Term Cash Investments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Inventories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Property, Plant and Equipment at Cost</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Equity and Debt Investments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Goodwill and Other Acquisition-Related Intangibles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Accounts Payable and Accrued Expenses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Debt and Lines of Credit</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Financial Instruments and Risk Concentration</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Stockholders’ Equity</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Research and Development</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Other Income (Expense) Net</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Stock Options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Retirement and Incentive Plans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Restructuring Actions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Business Segment and Geographic Area Data</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Income Taxes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Commitments and Contingencies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40" w:type="dxa"/>
            <w:vAlign w:val="bottom"/>
          </w:tcPr>
          <w:p>
            <w:pPr>
              <w:spacing w:after="0"/>
              <w:rPr>
                <w:sz w:val="20"/>
                <w:szCs w:val="20"/>
                <w:color w:val="auto"/>
              </w:rPr>
            </w:pPr>
            <w:r>
              <w:rPr>
                <w:rFonts w:ascii="Arial" w:cs="Arial" w:eastAsia="Arial" w:hAnsi="Arial"/>
                <w:sz w:val="18"/>
                <w:szCs w:val="18"/>
                <w:color w:val="auto"/>
              </w:rPr>
              <w:t>Report of Ernst &amp; Young LLP, Independent Auditors</w:t>
            </w:r>
          </w:p>
        </w:tc>
        <w:tc>
          <w:tcPr>
            <w:tcW w:w="3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9"/>
        </w:trPr>
        <w:tc>
          <w:tcPr>
            <w:tcW w:w="7540" w:type="dxa"/>
            <w:vAlign w:val="bottom"/>
          </w:tcPr>
          <w:p>
            <w:pPr>
              <w:spacing w:after="0"/>
              <w:rPr>
                <w:sz w:val="20"/>
                <w:szCs w:val="20"/>
                <w:color w:val="auto"/>
              </w:rPr>
            </w:pPr>
            <w:r>
              <w:rPr>
                <w:rFonts w:ascii="Arial" w:cs="Arial" w:eastAsia="Arial" w:hAnsi="Arial"/>
                <w:sz w:val="18"/>
                <w:szCs w:val="18"/>
                <w:color w:val="auto"/>
              </w:rPr>
              <w:t>Summary of Selected Financial Data</w:t>
            </w:r>
          </w:p>
        </w:tc>
        <w:tc>
          <w:tcPr>
            <w:tcW w:w="3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0"/>
        </w:trPr>
        <w:tc>
          <w:tcPr>
            <w:tcW w:w="7540" w:type="dxa"/>
            <w:vAlign w:val="bottom"/>
          </w:tcPr>
          <w:p>
            <w:pPr>
              <w:spacing w:after="0"/>
              <w:rPr>
                <w:sz w:val="20"/>
                <w:szCs w:val="20"/>
                <w:color w:val="auto"/>
              </w:rPr>
            </w:pPr>
            <w:r>
              <w:rPr>
                <w:rFonts w:ascii="Arial" w:cs="Arial" w:eastAsia="Arial" w:hAnsi="Arial"/>
                <w:sz w:val="18"/>
                <w:szCs w:val="18"/>
                <w:color w:val="auto"/>
              </w:rPr>
              <w:t>Management’s Discussion and Analysis of</w:t>
            </w:r>
          </w:p>
        </w:tc>
        <w:tc>
          <w:tcPr>
            <w:tcW w:w="3740" w:type="dxa"/>
            <w:vAlign w:val="bottom"/>
          </w:tcPr>
          <w:p>
            <w:pPr>
              <w:spacing w:after="0"/>
              <w:rPr>
                <w:sz w:val="24"/>
                <w:szCs w:val="24"/>
                <w:color w:val="auto"/>
              </w:rPr>
            </w:pPr>
          </w:p>
        </w:tc>
      </w:tr>
      <w:tr>
        <w:trPr>
          <w:trHeight w:val="211"/>
        </w:trPr>
        <w:tc>
          <w:tcPr>
            <w:tcW w:w="7540" w:type="dxa"/>
            <w:vAlign w:val="bottom"/>
          </w:tcPr>
          <w:p>
            <w:pPr>
              <w:spacing w:after="0"/>
              <w:rPr>
                <w:sz w:val="20"/>
                <w:szCs w:val="20"/>
                <w:color w:val="auto"/>
              </w:rPr>
            </w:pPr>
            <w:r>
              <w:rPr>
                <w:rFonts w:ascii="Arial" w:cs="Arial" w:eastAsia="Arial" w:hAnsi="Arial"/>
                <w:sz w:val="18"/>
                <w:szCs w:val="18"/>
                <w:color w:val="auto"/>
              </w:rPr>
              <w:t>Financial Condition and Results of Operations</w:t>
            </w:r>
          </w:p>
        </w:tc>
        <w:tc>
          <w:tcPr>
            <w:tcW w:w="37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2003 Results of Operations Compared with 2002</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Accounting Policies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Quantitative and Qualitative Disclosures about Market Risk</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2002 Results of Operations Compared with 2001</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Restructuring Actions and Other Items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160" w:type="dxa"/>
            <w:vAlign w:val="bottom"/>
          </w:tcPr>
          <w:p>
            <w:pPr>
              <w:spacing w:after="0"/>
              <w:rPr>
                <w:sz w:val="20"/>
                <w:szCs w:val="20"/>
                <w:color w:val="auto"/>
              </w:rPr>
            </w:pPr>
            <w:r>
              <w:rPr>
                <w:rFonts w:ascii="Arial" w:cs="Arial" w:eastAsia="Arial" w:hAnsi="Arial"/>
                <w:sz w:val="18"/>
                <w:szCs w:val="18"/>
                <w:color w:val="auto"/>
              </w:rPr>
              <w:t>Quarterly Financial Data</w:t>
            </w:r>
          </w:p>
        </w:tc>
        <w:tc>
          <w:tcPr>
            <w:tcW w:w="3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9"/>
        </w:trPr>
        <w:tc>
          <w:tcPr>
            <w:tcW w:w="8160" w:type="dxa"/>
            <w:vAlign w:val="bottom"/>
          </w:tcPr>
          <w:p>
            <w:pPr>
              <w:spacing w:after="0"/>
              <w:rPr>
                <w:sz w:val="20"/>
                <w:szCs w:val="20"/>
                <w:color w:val="auto"/>
              </w:rPr>
            </w:pPr>
            <w:r>
              <w:rPr>
                <w:rFonts w:ascii="Arial" w:cs="Arial" w:eastAsia="Arial" w:hAnsi="Arial"/>
                <w:sz w:val="18"/>
                <w:szCs w:val="18"/>
                <w:color w:val="auto"/>
              </w:rPr>
              <w:t>Common Stock Prices and Dividends</w:t>
            </w:r>
          </w:p>
        </w:tc>
        <w:tc>
          <w:tcPr>
            <w:tcW w:w="3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9"/>
        </w:trPr>
        <w:tc>
          <w:tcPr>
            <w:tcW w:w="8160" w:type="dxa"/>
            <w:vAlign w:val="bottom"/>
          </w:tcPr>
          <w:p>
            <w:pPr>
              <w:spacing w:after="0"/>
              <w:rPr>
                <w:sz w:val="20"/>
                <w:szCs w:val="20"/>
                <w:color w:val="auto"/>
              </w:rPr>
            </w:pPr>
            <w:r>
              <w:rPr>
                <w:rFonts w:ascii="Arial" w:cs="Arial" w:eastAsia="Arial" w:hAnsi="Arial"/>
                <w:sz w:val="18"/>
                <w:szCs w:val="18"/>
                <w:color w:val="auto"/>
              </w:rPr>
              <w:t>*Excerpt from 2003 Annual Report. Pages 1-5 intentionally omitted.</w:t>
            </w:r>
          </w:p>
        </w:tc>
        <w:tc>
          <w:tcPr>
            <w:tcW w:w="3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(Millions of dollars, except per-share amounts)</w:t>
      </w:r>
    </w:p>
    <w:p>
      <w:pPr>
        <w:spacing w:after="0" w:line="125"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60325</wp:posOffset>
            </wp:positionV>
            <wp:extent cx="14751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1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Net revenue</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10" w:type="dxa"/>
            <w:vAlign w:val="bottom"/>
          </w:tcPr>
          <w:p>
            <w:pPr>
              <w:jc w:val="right"/>
              <w:spacing w:after="0"/>
              <w:rPr>
                <w:sz w:val="20"/>
                <w:szCs w:val="20"/>
                <w:color w:val="auto"/>
              </w:rPr>
            </w:pPr>
            <w:r>
              <w:rPr>
                <w:rFonts w:ascii="Arial" w:cs="Arial" w:eastAsia="Arial" w:hAnsi="Arial"/>
                <w:sz w:val="18"/>
                <w:szCs w:val="18"/>
                <w:b w:val="1"/>
                <w:bCs w:val="1"/>
                <w:color w:val="auto"/>
                <w:w w:val="84"/>
              </w:rPr>
              <w:t>9,834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8,383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11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b w:val="1"/>
                <w:bCs w:val="1"/>
                <w:color w:val="auto"/>
                <w:w w:val="84"/>
              </w:rPr>
              <w:t>5,872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5,313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1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Arial" w:cs="Arial" w:eastAsia="Arial" w:hAnsi="Arial"/>
                <w:sz w:val="18"/>
                <w:szCs w:val="18"/>
                <w:b w:val="1"/>
                <w:bCs w:val="1"/>
                <w:color w:val="auto"/>
                <w:w w:val="84"/>
              </w:rPr>
              <w:t>1,249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8,869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Profit (loss) from operations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1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1,198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-629285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-629285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-629285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-629285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-629285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-629285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-629285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-629285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-629285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-329565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-329565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-329565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-329565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-329565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-329565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-329565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-329565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13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(Millions of dollars, except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65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51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Assets</w:t>
            </w:r>
          </w:p>
        </w:tc>
        <w:tc>
          <w:tcPr>
            <w:tcW w:w="90" w:type="dxa"/>
            <w:vAlign w:val="bottom"/>
          </w:tcPr>
          <w:p>
            <w:pPr>
              <w:spacing w:after="0"/>
              <w:rPr>
                <w:sz w:val="15"/>
                <w:szCs w:val="15"/>
                <w:color w:val="auto"/>
              </w:rPr>
            </w:pPr>
          </w:p>
        </w:tc>
        <w:tc>
          <w:tcPr>
            <w:tcW w:w="51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51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ind w:left="200"/>
              <w:spacing w:after="0"/>
              <w:rPr>
                <w:sz w:val="20"/>
                <w:szCs w:val="20"/>
                <w:color w:val="auto"/>
              </w:rPr>
            </w:pPr>
            <w:r>
              <w:rPr>
                <w:rFonts w:ascii="Arial" w:cs="Arial" w:eastAsia="Arial" w:hAnsi="Arial"/>
                <w:sz w:val="18"/>
                <w:szCs w:val="18"/>
                <w:color w:val="auto"/>
              </w:rPr>
              <w:t>Cash and cash equivalents</w:t>
            </w:r>
          </w:p>
        </w:tc>
        <w:tc>
          <w:tcPr>
            <w:tcW w:w="9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10" w:type="dxa"/>
            <w:vAlign w:val="bottom"/>
          </w:tcPr>
          <w:p>
            <w:pPr>
              <w:jc w:val="right"/>
              <w:spacing w:after="0"/>
              <w:rPr>
                <w:sz w:val="20"/>
                <w:szCs w:val="20"/>
                <w:color w:val="auto"/>
              </w:rPr>
            </w:pPr>
            <w:r>
              <w:rPr>
                <w:rFonts w:ascii="Arial" w:cs="Arial" w:eastAsia="Arial" w:hAnsi="Arial"/>
                <w:sz w:val="18"/>
                <w:szCs w:val="18"/>
                <w:b w:val="1"/>
                <w:bCs w:val="1"/>
                <w:color w:val="auto"/>
              </w:rPr>
              <w:t>1,818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Short-term investments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ind w:left="200"/>
              <w:spacing w:after="0"/>
              <w:rPr>
                <w:sz w:val="20"/>
                <w:szCs w:val="20"/>
                <w:color w:val="auto"/>
              </w:rPr>
            </w:pPr>
            <w:r>
              <w:rPr>
                <w:rFonts w:ascii="Arial" w:cs="Arial" w:eastAsia="Arial" w:hAnsi="Arial"/>
                <w:sz w:val="18"/>
                <w:szCs w:val="18"/>
                <w:color w:val="auto"/>
                <w:w w:val="99"/>
              </w:rPr>
              <w:t>Accounts receivable, net of allowances for customer adjustments and doubtful accounts of $47 in 2003 and $60 in 2002</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b w:val="1"/>
                <w:bCs w:val="1"/>
                <w:color w:val="auto"/>
              </w:rPr>
              <w:t>1,451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ind w:left="200"/>
              <w:spacing w:after="0"/>
              <w:rPr>
                <w:sz w:val="20"/>
                <w:szCs w:val="20"/>
                <w:color w:val="auto"/>
              </w:rPr>
            </w:pPr>
            <w:r>
              <w:rPr>
                <w:rFonts w:ascii="Arial" w:cs="Arial" w:eastAsia="Arial" w:hAnsi="Arial"/>
                <w:sz w:val="18"/>
                <w:szCs w:val="18"/>
                <w:color w:val="auto"/>
              </w:rPr>
              <w:t>Deferred income taxes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gridSpan w:val="3"/>
          </w:tcPr>
          <w:p>
            <w:pPr>
              <w:ind w:left="200"/>
              <w:spacing w:after="0"/>
              <w:rPr>
                <w:sz w:val="20"/>
                <w:szCs w:val="20"/>
                <w:color w:val="auto"/>
              </w:rPr>
            </w:pPr>
            <w:r>
              <w:rPr>
                <w:rFonts w:ascii="Arial" w:cs="Arial" w:eastAsia="Arial" w:hAnsi="Arial"/>
                <w:sz w:val="18"/>
                <w:szCs w:val="18"/>
                <w:color w:val="auto"/>
              </w:rPr>
              <w:t>Less accumulated depreciation</w:t>
            </w:r>
          </w:p>
        </w:tc>
        <w:tc>
          <w:tcPr>
            <w:tcW w:w="90" w:type="dxa"/>
            <w:vAlign w:val="bottom"/>
          </w:tcPr>
          <w:p>
            <w:pPr>
              <w:spacing w:after="0"/>
              <w:rPr>
                <w:sz w:val="19"/>
                <w:szCs w:val="19"/>
                <w:color w:val="auto"/>
              </w:rPr>
            </w:pPr>
          </w:p>
        </w:tc>
        <w:tc>
          <w:tcPr>
            <w:tcW w:w="95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(5,417)</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(4,722)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Equity investments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Acquisition-related intangibles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b w:val="1"/>
                <w:bCs w:val="1"/>
                <w:color w:val="auto"/>
              </w:rPr>
              <w:t>581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15,510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 w:type="dxa"/>
            <w:vAlign w:val="bottom"/>
          </w:tcPr>
          <w:p>
            <w:pPr>
              <w:spacing w:after="0"/>
              <w:rPr>
                <w:sz w:val="9"/>
                <w:szCs w:val="9"/>
                <w:color w:val="auto"/>
              </w:rPr>
            </w:pPr>
          </w:p>
        </w:tc>
        <w:tc>
          <w:tcPr>
            <w:tcW w:w="51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Liabilities and Stockholders’ Equity</w:t>
            </w:r>
          </w:p>
        </w:tc>
        <w:tc>
          <w:tcPr>
            <w:tcW w:w="6960" w:type="dxa"/>
            <w:vAlign w:val="bottom"/>
            <w:tcBorders>
              <w:bottom w:val="single" w:sz="8" w:color="CCEEFF"/>
            </w:tcBorders>
            <w:shd w:val="clear" w:color="auto" w:fill="CCEEFF"/>
          </w:tcPr>
          <w:p>
            <w:pPr>
              <w:spacing w:after="0"/>
              <w:rPr>
                <w:sz w:val="17"/>
                <w:szCs w:val="17"/>
                <w:color w:val="auto"/>
              </w:rPr>
            </w:pPr>
          </w:p>
        </w:tc>
        <w:tc>
          <w:tcPr>
            <w:tcW w:w="90" w:type="dxa"/>
            <w:vAlign w:val="bottom"/>
            <w:tcBorders>
              <w:bottom w:val="single" w:sz="8" w:color="CCEEFF"/>
            </w:tcBorders>
            <w:shd w:val="clear" w:color="auto" w:fill="CCEEFF"/>
          </w:tcPr>
          <w:p>
            <w:pPr>
              <w:spacing w:after="0"/>
              <w:rPr>
                <w:sz w:val="17"/>
                <w:szCs w:val="17"/>
                <w:color w:val="auto"/>
              </w:rPr>
            </w:pPr>
          </w:p>
        </w:tc>
        <w:tc>
          <w:tcPr>
            <w:tcW w:w="51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Loans payable and current portion long-term debt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ind w:left="200"/>
              <w:spacing w:after="0"/>
              <w:rPr>
                <w:sz w:val="20"/>
                <w:szCs w:val="20"/>
                <w:color w:val="auto"/>
              </w:rPr>
            </w:pPr>
            <w:r>
              <w:rPr>
                <w:rFonts w:ascii="Arial" w:cs="Arial" w:eastAsia="Arial" w:hAnsi="Arial"/>
                <w:sz w:val="18"/>
                <w:szCs w:val="18"/>
                <w:color w:val="auto"/>
              </w:rPr>
              <w:t>Accounts payable and accrued expenses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b w:val="1"/>
                <w:bCs w:val="1"/>
                <w:color w:val="auto"/>
              </w:rPr>
              <w:t>1,496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gridSpan w:val="3"/>
          </w:tcPr>
          <w:p>
            <w:pPr>
              <w:ind w:left="200"/>
              <w:spacing w:after="0"/>
              <w:rPr>
                <w:sz w:val="20"/>
                <w:szCs w:val="20"/>
                <w:color w:val="auto"/>
              </w:rPr>
            </w:pPr>
            <w:r>
              <w:rPr>
                <w:rFonts w:ascii="Arial" w:cs="Arial" w:eastAsia="Arial" w:hAnsi="Arial"/>
                <w:sz w:val="18"/>
                <w:szCs w:val="18"/>
                <w:color w:val="auto"/>
              </w:rPr>
              <w:t>Accrued retirement and profit-sharing contributions</w:t>
            </w: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Accrued retirement costs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b w:val="1"/>
                <w:bCs w:val="1"/>
                <w:color w:val="auto"/>
              </w:rPr>
              <w:t>628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Deferred credits and other liabilities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ind w:left="200"/>
              <w:spacing w:after="0"/>
              <w:rPr>
                <w:sz w:val="20"/>
                <w:szCs w:val="20"/>
                <w:color w:val="auto"/>
              </w:rPr>
            </w:pPr>
            <w:r>
              <w:rPr>
                <w:rFonts w:ascii="Arial" w:cs="Arial" w:eastAsia="Arial" w:hAnsi="Arial"/>
                <w:sz w:val="18"/>
                <w:szCs w:val="18"/>
                <w:color w:val="auto"/>
              </w:rPr>
              <w:t>Preferred stock, $25 par value. Authorized – 10,000,000 shares. Participating cumulative preferred. None issued.</w:t>
            </w:r>
          </w:p>
        </w:tc>
        <w:tc>
          <w:tcPr>
            <w:tcW w:w="90" w:type="dxa"/>
            <w:vAlign w:val="bottom"/>
          </w:tcPr>
          <w:p>
            <w:pPr>
              <w:spacing w:after="0"/>
              <w:rPr>
                <w:sz w:val="18"/>
                <w:szCs w:val="18"/>
                <w:color w:val="auto"/>
              </w:rPr>
            </w:pPr>
          </w:p>
        </w:tc>
        <w:tc>
          <w:tcPr>
            <w:tcW w:w="95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3"/>
              </w:rPr>
              <w:t>Common stock, $1 par value. Authorized – 2,400,000,000 shares. Shares issued: 2003 –1,737,739,654; 2002 – 1,740,364,197</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ind w:left="200"/>
              <w:spacing w:after="0"/>
              <w:rPr>
                <w:sz w:val="20"/>
                <w:szCs w:val="20"/>
                <w:color w:val="auto"/>
              </w:rPr>
            </w:pPr>
            <w:r>
              <w:rPr>
                <w:rFonts w:ascii="Arial" w:cs="Arial" w:eastAsia="Arial" w:hAnsi="Arial"/>
                <w:sz w:val="18"/>
                <w:szCs w:val="18"/>
                <w:color w:val="auto"/>
              </w:rPr>
              <w:t>Paid-in capital</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b w:val="1"/>
                <w:bCs w:val="1"/>
                <w:color w:val="auto"/>
              </w:rPr>
              <w:t>901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60" w:type="dxa"/>
            <w:vAlign w:val="bottom"/>
            <w:gridSpan w:val="3"/>
          </w:tcPr>
          <w:p>
            <w:pPr>
              <w:ind w:left="200"/>
              <w:spacing w:after="0"/>
              <w:rPr>
                <w:sz w:val="20"/>
                <w:szCs w:val="20"/>
                <w:color w:val="auto"/>
              </w:rPr>
            </w:pPr>
            <w:r>
              <w:rPr>
                <w:rFonts w:ascii="Arial" w:cs="Arial" w:eastAsia="Arial" w:hAnsi="Arial"/>
                <w:sz w:val="18"/>
                <w:szCs w:val="18"/>
                <w:color w:val="auto"/>
              </w:rPr>
              <w:t>Less treasury common stock at cost.</w:t>
            </w:r>
          </w:p>
        </w:tc>
        <w:tc>
          <w:tcPr>
            <w:tcW w:w="90" w:type="dxa"/>
            <w:vAlign w:val="bottom"/>
          </w:tcPr>
          <w:p>
            <w:pPr>
              <w:spacing w:after="0"/>
              <w:rPr>
                <w:sz w:val="18"/>
                <w:szCs w:val="18"/>
                <w:color w:val="auto"/>
              </w:rPr>
            </w:pPr>
          </w:p>
        </w:tc>
        <w:tc>
          <w:tcPr>
            <w:tcW w:w="95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gridSpan w:val="3"/>
          </w:tcPr>
          <w:p>
            <w:pPr>
              <w:ind w:left="420"/>
              <w:spacing w:after="0"/>
              <w:rPr>
                <w:sz w:val="20"/>
                <w:szCs w:val="20"/>
                <w:color w:val="auto"/>
              </w:rPr>
            </w:pPr>
            <w:r>
              <w:rPr>
                <w:rFonts w:ascii="Arial" w:cs="Arial" w:eastAsia="Arial" w:hAnsi="Arial"/>
                <w:sz w:val="18"/>
                <w:szCs w:val="18"/>
                <w:color w:val="auto"/>
              </w:rPr>
              <w:t>Shares: 2003 – 5,401,665; 2002 – 9,775,781</w:t>
            </w:r>
          </w:p>
        </w:tc>
        <w:tc>
          <w:tcPr>
            <w:tcW w:w="90" w:type="dxa"/>
            <w:vAlign w:val="bottom"/>
          </w:tcPr>
          <w:p>
            <w:pPr>
              <w:spacing w:after="0"/>
              <w:rPr>
                <w:sz w:val="19"/>
                <w:szCs w:val="19"/>
                <w:color w:val="auto"/>
              </w:rPr>
            </w:pPr>
          </w:p>
        </w:tc>
        <w:tc>
          <w:tcPr>
            <w:tcW w:w="95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9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gridSpan w:val="3"/>
          </w:tcPr>
          <w:p>
            <w:pPr>
              <w:ind w:left="200"/>
              <w:spacing w:after="0"/>
              <w:rPr>
                <w:sz w:val="20"/>
                <w:szCs w:val="20"/>
                <w:color w:val="auto"/>
              </w:rPr>
            </w:pPr>
            <w:r>
              <w:rPr>
                <w:rFonts w:ascii="Arial" w:cs="Arial" w:eastAsia="Arial" w:hAnsi="Arial"/>
                <w:sz w:val="18"/>
                <w:szCs w:val="18"/>
                <w:color w:val="auto"/>
              </w:rPr>
              <w:t>Unearned compensation</w:t>
            </w:r>
          </w:p>
        </w:tc>
        <w:tc>
          <w:tcPr>
            <w:tcW w:w="90" w:type="dxa"/>
            <w:vAlign w:val="bottom"/>
          </w:tcPr>
          <w:p>
            <w:pPr>
              <w:spacing w:after="0"/>
              <w:rPr>
                <w:sz w:val="19"/>
                <w:szCs w:val="19"/>
                <w:color w:val="auto"/>
              </w:rPr>
            </w:pPr>
          </w:p>
        </w:tc>
        <w:tc>
          <w:tcPr>
            <w:tcW w:w="95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11,864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15,510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-3794125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-3794125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-3794125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-3794125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-3794125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-3794125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13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4"/>
          <w:szCs w:val="14"/>
          <w:b w:val="1"/>
          <w:bCs w:val="1"/>
          <w:color w:val="auto"/>
        </w:rPr>
        <w:t>7</w:t>
      </w:r>
    </w:p>
    <w:p>
      <w:pPr>
        <w:sectPr>
          <w:pgSz w:w="11900" w:h="16838" w:orient="portrait"/>
          <w:cols w:equalWidth="0" w:num="1">
            <w:col w:w="11420"/>
          </w:cols>
          <w:pgMar w:left="240" w:top="42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(Millions of dollars)</w:t>
      </w:r>
    </w:p>
    <w:p>
      <w:pPr>
        <w:spacing w:after="0" w:line="125"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60325</wp:posOffset>
            </wp:positionV>
            <wp:extent cx="17411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2002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1,198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1,429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Purchased in-process research and development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Write-downs of equity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Gains on sale of equity investments</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w w:val="95"/>
              </w:rPr>
              <w:t>(Increase) decrease in working capital (excluding cash and cash equivalents, short-term investments, deferred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income taxes, and loans payable and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current portion long-term debt):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Accrued retirement and profit-sharing contributions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Decrease in noncurrent accrued retirement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2,151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58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(2,203)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(1,239)</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3,288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Purchases of long-term cash investments</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(2,199)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(1,907)</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of long-term cash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Purchases of equity investments</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of equity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(1,109)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(1,626)</w:t>
            </w:r>
          </w:p>
        </w:tc>
        <w:tc>
          <w:tcPr>
            <w:tcW w:w="0" w:type="dxa"/>
            <w:vAlign w:val="bottom"/>
          </w:tcPr>
          <w:p>
            <w:pPr>
              <w:spacing w:after="0"/>
              <w:rPr>
                <w:sz w:val="1"/>
                <w:szCs w:val="1"/>
                <w:color w:val="auto"/>
              </w:rPr>
            </w:pPr>
          </w:p>
        </w:tc>
      </w:tr>
      <w:tr>
        <w:trPr>
          <w:trHeight w:val="323"/>
        </w:trPr>
        <w:tc>
          <w:tcPr>
            <w:tcW w:w="858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Additions to loans payable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Payments on loans payable</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Additions to long-term debt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paid on common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repurchase program</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gridSpan w:val="2"/>
          </w:tcPr>
          <w:p>
            <w:pPr>
              <w:ind w:left="200"/>
              <w:spacing w:after="0"/>
              <w:rPr>
                <w:sz w:val="20"/>
                <w:szCs w:val="20"/>
                <w:color w:val="auto"/>
              </w:rPr>
            </w:pPr>
            <w:r>
              <w:rPr>
                <w:rFonts w:ascii="Arial" w:cs="Arial" w:eastAsia="Arial" w:hAnsi="Arial"/>
                <w:sz w:val="18"/>
                <w:szCs w:val="18"/>
                <w:color w:val="auto"/>
              </w:rPr>
              <w:t>Decrease in restricted cash</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261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322"/>
        </w:trPr>
        <w:tc>
          <w:tcPr>
            <w:tcW w:w="858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24"/>
                <w:szCs w:val="2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322"/>
        </w:trPr>
        <w:tc>
          <w:tcPr>
            <w:tcW w:w="858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949</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1,818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13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(Millions of dollars, except per-share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Paid-</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w w:val="87"/>
              </w:rPr>
              <w:t>Treasury</w:t>
            </w:r>
          </w:p>
        </w:tc>
        <w:tc>
          <w:tcPr>
            <w:tcW w:w="146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4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8"/>
              </w:rPr>
              <w:t>Common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12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w w:val="85"/>
              </w:rPr>
              <w:t>Common</w:t>
            </w:r>
          </w:p>
        </w:tc>
        <w:tc>
          <w:tcPr>
            <w:tcW w:w="120" w:type="dxa"/>
            <w:vAlign w:val="bottom"/>
          </w:tcPr>
          <w:p>
            <w:pPr>
              <w:spacing w:after="0"/>
              <w:rPr>
                <w:sz w:val="12"/>
                <w:szCs w:val="12"/>
                <w:color w:val="auto"/>
              </w:rPr>
            </w:pPr>
          </w:p>
        </w:tc>
        <w:tc>
          <w:tcPr>
            <w:tcW w:w="13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5"/>
                <w:szCs w:val="15"/>
                <w:color w:val="auto"/>
              </w:rPr>
            </w:pPr>
          </w:p>
        </w:tc>
        <w:tc>
          <w:tcPr>
            <w:tcW w:w="11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Capital</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0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13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(Loss)(a)</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Arial" w:cs="Arial" w:eastAsia="Arial" w:hAnsi="Arial"/>
                <w:sz w:val="14"/>
                <w:szCs w:val="14"/>
                <w:color w:val="auto"/>
              </w:rPr>
              <w:t>Balance, December 31, 2000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1,733</w:t>
            </w:r>
          </w:p>
        </w:tc>
        <w:tc>
          <w:tcPr>
            <w:tcW w:w="56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1,185</w:t>
            </w:r>
          </w:p>
        </w:tc>
        <w:tc>
          <w:tcPr>
            <w:tcW w:w="6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9,323</w:t>
            </w:r>
          </w:p>
        </w:tc>
        <w:tc>
          <w:tcPr>
            <w:tcW w:w="5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3"/>
          </w:tcPr>
          <w:p>
            <w:pPr>
              <w:jc w:val="right"/>
              <w:ind w:right="520"/>
              <w:spacing w:after="0"/>
              <w:rPr>
                <w:sz w:val="20"/>
                <w:szCs w:val="20"/>
                <w:color w:val="auto"/>
              </w:rPr>
            </w:pPr>
            <w:r>
              <w:rPr>
                <w:rFonts w:ascii="Arial" w:cs="Arial" w:eastAsia="Arial" w:hAnsi="Arial"/>
                <w:sz w:val="14"/>
                <w:szCs w:val="14"/>
                <w:color w:val="auto"/>
              </w:rPr>
              <w:t>(93)</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574</w:t>
            </w:r>
          </w:p>
        </w:tc>
        <w:tc>
          <w:tcPr>
            <w:tcW w:w="5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4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(201)</w:t>
            </w:r>
          </w:p>
        </w:tc>
        <w:tc>
          <w:tcPr>
            <w:tcW w:w="100" w:type="dxa"/>
            <w:vAlign w:val="bottom"/>
          </w:tcPr>
          <w:p>
            <w:pPr>
              <w:spacing w:after="0"/>
              <w:rPr>
                <w:sz w:val="12"/>
                <w:szCs w:val="12"/>
                <w:color w:val="auto"/>
              </w:rPr>
            </w:pPr>
          </w:p>
        </w:tc>
        <w:tc>
          <w:tcPr>
            <w:tcW w:w="102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declared on common stock ($.085 per share)</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00"/>
              <w:spacing w:after="0" w:line="149" w:lineRule="exact"/>
              <w:rPr>
                <w:sz w:val="20"/>
                <w:szCs w:val="20"/>
                <w:color w:val="auto"/>
              </w:rPr>
            </w:pPr>
            <w:r>
              <w:rPr>
                <w:rFonts w:ascii="Arial" w:cs="Arial" w:eastAsia="Arial" w:hAnsi="Arial"/>
                <w:sz w:val="14"/>
                <w:szCs w:val="14"/>
                <w:color w:val="auto"/>
              </w:rPr>
              <w:t>Common stock issued on exercise of stock options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(87)</w:t>
            </w:r>
          </w:p>
        </w:tc>
        <w:tc>
          <w:tcPr>
            <w:tcW w:w="16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repurchase program</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00"/>
              <w:spacing w:after="0" w:line="149" w:lineRule="exact"/>
              <w:rPr>
                <w:sz w:val="20"/>
                <w:szCs w:val="20"/>
                <w:color w:val="auto"/>
              </w:rPr>
            </w:pPr>
            <w:r>
              <w:rPr>
                <w:rFonts w:ascii="Arial" w:cs="Arial" w:eastAsia="Arial" w:hAnsi="Arial"/>
                <w:sz w:val="14"/>
                <w:szCs w:val="14"/>
                <w:color w:val="auto"/>
              </w:rPr>
              <w:t>Other stock transactions, net</w:t>
            </w: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118(b)</w:t>
            </w:r>
          </w:p>
        </w:tc>
        <w:tc>
          <w:tcPr>
            <w:tcW w:w="16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Pension liability adjustment, net of tax</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tcPr>
          <w:p>
            <w:pPr>
              <w:ind w:left="200"/>
              <w:spacing w:after="0" w:line="138" w:lineRule="exact"/>
              <w:rPr>
                <w:sz w:val="20"/>
                <w:szCs w:val="20"/>
                <w:color w:val="auto"/>
              </w:rPr>
            </w:pPr>
            <w:r>
              <w:rPr>
                <w:rFonts w:ascii="Arial" w:cs="Arial" w:eastAsia="Arial" w:hAnsi="Arial"/>
                <w:sz w:val="14"/>
                <w:szCs w:val="14"/>
                <w:color w:val="auto"/>
              </w:rPr>
              <w:t>Change in unrealized gain (loss) on available-for-sale investments,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100" w:type="dxa"/>
            <w:vAlign w:val="bottom"/>
          </w:tcPr>
          <w:p>
            <w:pPr>
              <w:spacing w:after="0"/>
              <w:rPr>
                <w:sz w:val="13"/>
                <w:szCs w:val="13"/>
                <w:color w:val="auto"/>
              </w:rPr>
            </w:pPr>
          </w:p>
        </w:tc>
        <w:tc>
          <w:tcPr>
            <w:tcW w:w="104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3"/>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(218)</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Unearned compensation amortization</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269</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00"/>
              <w:spacing w:after="0" w:line="149" w:lineRule="exact"/>
              <w:rPr>
                <w:sz w:val="20"/>
                <w:szCs w:val="20"/>
                <w:color w:val="auto"/>
              </w:rPr>
            </w:pPr>
            <w:r>
              <w:rPr>
                <w:rFonts w:ascii="Arial" w:cs="Arial" w:eastAsia="Arial" w:hAnsi="Arial"/>
                <w:sz w:val="14"/>
                <w:szCs w:val="14"/>
                <w:color w:val="auto"/>
              </w:rPr>
              <w:t>Dividends declared on common stock ($.085 per share)</w:t>
            </w: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(147)</w:t>
            </w:r>
          </w:p>
        </w:tc>
        <w:tc>
          <w:tcPr>
            <w:tcW w:w="100" w:type="dxa"/>
            <w:vAlign w:val="bottom"/>
          </w:tcPr>
          <w:p>
            <w:pPr>
              <w:spacing w:after="0"/>
              <w:rPr>
                <w:sz w:val="12"/>
                <w:szCs w:val="12"/>
                <w:color w:val="auto"/>
              </w:rPr>
            </w:pPr>
          </w:p>
        </w:tc>
        <w:tc>
          <w:tcPr>
            <w:tcW w:w="102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 issued on exercise of stock options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00"/>
              <w:spacing w:after="0" w:line="149" w:lineRule="exact"/>
              <w:rPr>
                <w:sz w:val="20"/>
                <w:szCs w:val="20"/>
                <w:color w:val="auto"/>
              </w:rPr>
            </w:pPr>
            <w:r>
              <w:rPr>
                <w:rFonts w:ascii="Arial" w:cs="Arial" w:eastAsia="Arial" w:hAnsi="Arial"/>
                <w:sz w:val="14"/>
                <w:szCs w:val="14"/>
                <w:color w:val="auto"/>
              </w:rPr>
              <w:t>Stock repurchase program</w:t>
            </w: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(354)</w:t>
            </w:r>
          </w:p>
        </w:tc>
        <w:tc>
          <w:tcPr>
            <w:tcW w:w="120" w:type="dxa"/>
            <w:vAlign w:val="bottom"/>
          </w:tcPr>
          <w:p>
            <w:pPr>
              <w:spacing w:after="0"/>
              <w:rPr>
                <w:sz w:val="12"/>
                <w:szCs w:val="12"/>
                <w:color w:val="auto"/>
              </w:rPr>
            </w:pPr>
          </w:p>
        </w:tc>
        <w:tc>
          <w:tcPr>
            <w:tcW w:w="13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stock transactions, net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49(b)</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00"/>
              <w:spacing w:after="0" w:line="149" w:lineRule="exact"/>
              <w:rPr>
                <w:sz w:val="20"/>
                <w:szCs w:val="20"/>
                <w:color w:val="auto"/>
              </w:rPr>
            </w:pPr>
            <w:r>
              <w:rPr>
                <w:rFonts w:ascii="Arial" w:cs="Arial" w:eastAsia="Arial" w:hAnsi="Arial"/>
                <w:sz w:val="14"/>
                <w:szCs w:val="14"/>
                <w:color w:val="auto"/>
              </w:rPr>
              <w:t>Pension liability adjustment, net of tax</w:t>
            </w: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(174)</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Change in unrealized gain (loss) on available-for-sale investments,</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net of tax</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Pr>
          <w:p>
            <w:pPr>
              <w:ind w:left="200"/>
              <w:spacing w:after="0"/>
              <w:rPr>
                <w:sz w:val="20"/>
                <w:szCs w:val="20"/>
                <w:color w:val="auto"/>
              </w:rPr>
            </w:pPr>
            <w:r>
              <w:rPr>
                <w:rFonts w:ascii="Arial" w:cs="Arial" w:eastAsia="Arial" w:hAnsi="Arial"/>
                <w:sz w:val="14"/>
                <w:szCs w:val="14"/>
                <w:color w:val="auto"/>
              </w:rPr>
              <w:t>Unearned compensation amortization</w:t>
            </w:r>
          </w:p>
        </w:tc>
        <w:tc>
          <w:tcPr>
            <w:tcW w:w="10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8,484</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Net income</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1,198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Dividends declared on common stock ($.085 per share)</w:t>
            </w: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2"/>
                <w:szCs w:val="12"/>
                <w:color w:val="auto"/>
              </w:rPr>
            </w:pPr>
          </w:p>
        </w:tc>
        <w:tc>
          <w:tcPr>
            <w:tcW w:w="102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34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Common stock issued on exercise of stock options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(211)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397</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Stock repurchase program</w:t>
            </w: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2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(303)</w:t>
            </w:r>
          </w:p>
        </w:tc>
        <w:tc>
          <w:tcPr>
            <w:tcW w:w="120" w:type="dxa"/>
            <w:vAlign w:val="bottom"/>
          </w:tcPr>
          <w:p>
            <w:pPr>
              <w:spacing w:after="0"/>
              <w:rPr>
                <w:sz w:val="12"/>
                <w:szCs w:val="12"/>
                <w:color w:val="auto"/>
              </w:rPr>
            </w:pPr>
          </w:p>
        </w:tc>
        <w:tc>
          <w:tcPr>
            <w:tcW w:w="134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Other stock transactions, net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70(b)</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Pension liability adjustment, net of tax</w:t>
            </w: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2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107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80" w:type="dxa"/>
            <w:vAlign w:val="bottom"/>
            <w:shd w:val="clear" w:color="auto" w:fill="CCEEFF"/>
          </w:tcPr>
          <w:p>
            <w:pPr>
              <w:ind w:left="200"/>
              <w:spacing w:after="0" w:line="136" w:lineRule="exact"/>
              <w:rPr>
                <w:sz w:val="20"/>
                <w:szCs w:val="20"/>
                <w:color w:val="auto"/>
              </w:rPr>
            </w:pPr>
            <w:r>
              <w:rPr>
                <w:rFonts w:ascii="Arial" w:cs="Arial" w:eastAsia="Arial" w:hAnsi="Arial"/>
                <w:sz w:val="14"/>
                <w:szCs w:val="14"/>
                <w:b w:val="1"/>
                <w:bCs w:val="1"/>
                <w:color w:val="auto"/>
              </w:rPr>
              <w:t>Change in unrealized gain (loss) on available-for-sale</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investments, net of tax</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ind w:left="200"/>
              <w:spacing w:after="0"/>
              <w:rPr>
                <w:sz w:val="20"/>
                <w:szCs w:val="20"/>
                <w:color w:val="auto"/>
              </w:rPr>
            </w:pPr>
            <w:r>
              <w:rPr>
                <w:rFonts w:ascii="Arial" w:cs="Arial" w:eastAsia="Arial" w:hAnsi="Arial"/>
                <w:sz w:val="14"/>
                <w:szCs w:val="14"/>
                <w:b w:val="1"/>
                <w:bCs w:val="1"/>
                <w:color w:val="auto"/>
              </w:rPr>
              <w:t>Unearned compensation amortization</w:t>
            </w:r>
          </w:p>
        </w:tc>
        <w:tc>
          <w:tcPr>
            <w:tcW w:w="10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1,738</w:t>
            </w:r>
          </w:p>
        </w:tc>
        <w:tc>
          <w:tcPr>
            <w:tcW w:w="5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901</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9,535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(135)</w:t>
            </w:r>
          </w:p>
        </w:tc>
        <w:tc>
          <w:tcPr>
            <w:tcW w:w="120" w:type="dxa"/>
            <w:vAlign w:val="bottom"/>
            <w:shd w:val="clear" w:color="auto" w:fill="CCEEFF"/>
          </w:tcPr>
          <w:p>
            <w:pPr>
              <w:jc w:val="right"/>
              <w:ind w:right="1"/>
              <w:spacing w:after="0"/>
              <w:rPr>
                <w:sz w:val="20"/>
                <w:szCs w:val="20"/>
                <w:color w:val="auto"/>
              </w:rPr>
            </w:pPr>
            <w:r>
              <w:rPr>
                <w:rFonts w:ascii="Arial" w:cs="Arial" w:eastAsia="Arial" w:hAnsi="Arial"/>
                <w:sz w:val="10"/>
                <w:szCs w:val="10"/>
                <w:b w:val="1"/>
                <w:bCs w:val="1"/>
                <w:color w:val="auto"/>
                <w:w w:val="71"/>
              </w:rPr>
              <w:t>$</w:t>
            </w:r>
          </w:p>
        </w:tc>
        <w:tc>
          <w:tcPr>
            <w:tcW w:w="13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(159)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Comprehensive income (loss), i.e., net income (loss) plus other comprehensive income (loss), totaled $1301 million in 2003, $(875) million in 2002 and $(506) million in 2001.</w:t>
      </w:r>
    </w:p>
    <w:p>
      <w:pPr>
        <w:ind w:left="340" w:right="180" w:hanging="332"/>
        <w:spacing w:after="0" w:line="230"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stock transactions, net includes, among other things, the income tax benefit realized from the exercise of nonqualified stock options. The income tax benefit was $64 million, $49 million and $106 million for 2003, 2002 and 2001.</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13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4"/>
          <w:szCs w:val="14"/>
          <w:b w:val="1"/>
          <w:bCs w:val="1"/>
          <w:color w:val="auto"/>
        </w:rPr>
        <w:t>9</w:t>
      </w:r>
    </w:p>
    <w:p>
      <w:pPr>
        <w:sectPr>
          <w:pgSz w:w="11900" w:h="16838" w:orient="portrait"/>
          <w:cols w:equalWidth="0" w:num="1">
            <w:col w:w="11420"/>
          </w:cols>
          <w:pgMar w:left="240" w:top="42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Practices</w:t>
      </w:r>
    </w:p>
    <w:p>
      <w:pPr>
        <w:spacing w:after="0" w:line="164"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The consolidated financial statements include the accounts of all subsidiaries. Intercompany balances and transactions have been eliminated. Certain amounts in the prior period’s financial statements have been reclassified to conform to the 2003 presentation. The preparation of financial statements requires the use of estimates from which final results may vary.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 end. Inventories, property, plant and equipment, and depreciation thereon are remeasured at historic exchange rates. Revenue and expense accounts other than depreciation for each month are remeasured at the appropriate daily rate of exchange. Net currency exchange gains and losses from remeasurement and forward currency exchange contracts to hedge net balance sheet exposures are charged or credited on a current basis to other income (expense) net. Gains and losses from forward currency exchange contracts to hedge specific transactions are deferred and included in the measurement of the related transactions. Gains and losses from interest rate swaps are included on the accrual basis in interest expense. Gains and losses from terminated forward currency exchange contracts and interest rate swaps are deferred and recognized consistent with the terms of the underlying transaction.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 from sales of the company’s products, including shipping fees, if any, is recognized when title to the products is transferred to the customer, which usually occurs upon shipment or delivery, depending upon the terms of the sales order. While the company generally sells its products with a limited warranty for product quality, such warranty expenses and associated accruals have not been significant in any year. Estimates of returns for product quality reasons and of price allowances, calculated based upon historical experience, analysis of product shipments and contractual arrangements with customers, are recorded when revenue is recognized. Allowances include discounts for prompt payment, as well as volume-based incentives and special pricing arrangements. In addition, allowances for doubtful accounts are recorded for estimated amounts of accounts receivable that may not be collected.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Revenue from sales to distributors of the company’s products is recognized, net of allowances, upon delivery of product to the distributors. According to the terms of individual distributor agreements, a distributor may return products that are included on an approved product listing maintained by the company. The distributor can return the product up to a maximum amount specified in the agreement with the placement of offsetting orders for an equivalent amount of product at the same time. The offsetting orders must be non-cancelable, requested for immediate delivery and not subject to change. When the company determines that a product may become obsolete, it offers distributors an opportunity to return that product within a set time period of the obsolescence notification. In addition, in response to specific competitive situations encountered by distributors, the company may grant distributors adjustments applied to their account; however, pricing to the distributor is not changed. Allowances, which are recorded as a liability, are calculated based on historical return data, current economic conditions and the underlying contractual terms.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revenue.</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Royalty revenue is recognized upon sale by the licensee of royalty-bearing products, as estimated by the company, and when realization is considered probable by management.</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accounts for income taxes in accordance with Statement of Financial Accounting Standards (SFAS) No. 109, Accounting for Income Taxes, which requires an asset and liability approach for financial accounting and reporting of income taxes. The company records the amount of taxes payable or refundable for the current year and the deferred tax assets and liabilities for the future tax consequences of events that have been recognized in the company’s financial statements or tax returns. When it is more likely than not that some portion or all of the deferred tax assets will not be realized, a valuation allowance is recorded.</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00"/>
          </w:cols>
          <w:pgMar w:left="240" w:top="422" w:right="259" w:bottom="1440" w:gutter="0" w:footer="0" w:header="0"/>
        </w:sectPr>
      </w:pPr>
    </w:p>
    <w:bookmarkStart w:id="31" w:name="page32"/>
    <w:bookmarkEnd w:id="31"/>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Inventories are stated at the lower of cost or estimated net realizable value. Cost is generally computed on a currently adjusted standard basis. Standards are based on the optimal utilization of installed factory capacity, and costs associated with underutilization of capacity are expensed as incurred. The company conducts quarterly inventory reviews for salability and obsolescence. A specific allowance is provided for inventory considered unlikely to be sold. Remaining inventory has a salability and obsolescence allowance based upon the historical disposal percentage. Inventory is written off in the period in which disposal occurs.</w:t>
      </w:r>
    </w:p>
    <w:p>
      <w:pPr>
        <w:spacing w:after="0" w:line="12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Property, plant and equipment are stated at cost and depreciated primarily on the 150 percent declining-balance method over their estimated useful lives. Fully depreciated assets are written off against accumulated depreciation. Acquisition-related costs are amortized on a straight-line basis over the estimated economic life of the assets. Capitalized software licenses are amortized on a straight-line basis over the term of the license. Reviews are regularly performed to determine whether facts or circumstances exist that indicate the carrying values of the company’s fixed assets, intangible assets or capitalized software licenses are impaired. The company assesses the recoverability of its assets by comparing the projected undiscounted net cash flows associated with those assets to their respective carrying amounts. Impairment, if any, is based on the excess of the carrying amount over the fair value of those assets.</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Marketable equity securities and convertible debt securities are stated at fair value, which is based on market quotes where available or estimates by independent investment advisors or management, as appropriate. Adjustments to fair value of these available-for-sale investments are recorded as an increase or decrease in stockholders’ equity except where losses are considered to be other-than-temporary, in which case the losses are expensed in the statement of operations. Adjustments to fair value of other investments classified as trading are recorded in operating expense. Non-marketable equity securities are stated at historical cost and are subject to a periodic impairment review. Any impairments considered other-than-temporary are expensed in the statement of operations. Cost or amortized cost, as appropriate, is determined on a specific identification basis.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adopted SFAS No. 142, Goodwill and Other Intangible Assets, effective January 1, 2002. Under SFAS No. 142, goodwill is no longer amortized but is reviewed for impairment annually, or more frequently if certain indicators arise. The company completes its annual goodwill impairment tests as of October 1 of each year for all its reporting units. Based on an analysis of economic characteristics and how the company operates its business, the company has designated its business segments as its reporting units. As required by the Statement, intangible assets that do not meet the criteria for recognition apart from goodwill must be reclassified to goodwill. With the adoption of the Statement, the company ceased amortization of goodwill as of January 1, 2002, and reclassified $14 million (net of tax) of intangibles, primarily relating to acquired workforce intangibles, to goodwill. Fully amortized acquisition-related goodwill and intangible assets are written off against accumulated amortization.</w:t>
      </w:r>
    </w:p>
    <w:p>
      <w:pPr>
        <w:spacing w:after="0" w:line="10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adopted SFAS No. 146, Accounting for Costs Associated with Exit or Disposal Activities, effective January 1, 2003. This Statement supersedes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as opposed to at the date an entity commits to an exit plan. As of the adoption date, the Statement did not affect the financial condition or results of operations of the company.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Advertising costs are expensed as incurred. Advertising expense was $79 million in 2003, $76 million in 2002 and $74 million in 2001.</w:t>
      </w:r>
    </w:p>
    <w:p>
      <w:pPr>
        <w:spacing w:after="0" w:line="14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11</w:t>
      </w:r>
    </w:p>
    <w:p>
      <w:pPr>
        <w:sectPr>
          <w:pgSz w:w="11900" w:h="16838" w:orient="portrait"/>
          <w:cols w:equalWidth="0" w:num="1">
            <w:col w:w="11420"/>
          </w:cols>
          <w:pgMar w:left="240" w:top="428" w:right="239" w:bottom="1440" w:gutter="0" w:footer="0" w:header="0"/>
        </w:sectPr>
      </w:pPr>
    </w:p>
    <w:bookmarkStart w:id="32" w:name="page33"/>
    <w:bookmarkEnd w:id="3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Computation of earnings (loss) per common share (EPS) amounts for net income (loss) is as follows (in millions of dollars, except per-share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4"/>
                <w:szCs w:val="14"/>
                <w:b w:val="1"/>
                <w:bCs w:val="1"/>
                <w:color w:val="auto"/>
                <w:w w:val="89"/>
              </w:rPr>
              <w:t>2002</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ind w:right="80"/>
              <w:spacing w:after="0"/>
              <w:rPr>
                <w:sz w:val="20"/>
                <w:szCs w:val="20"/>
                <w:color w:val="auto"/>
              </w:rPr>
            </w:pPr>
            <w:r>
              <w:rPr>
                <w:rFonts w:ascii="Arial" w:cs="Arial" w:eastAsia="Arial" w:hAnsi="Arial"/>
                <w:sz w:val="14"/>
                <w:szCs w:val="14"/>
                <w:b w:val="1"/>
                <w:bCs w:val="1"/>
                <w:color w:val="auto"/>
                <w:w w:val="83"/>
              </w:rPr>
              <w:t>2001</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3"/>
              </w:rPr>
              <w:t>Income</w:t>
            </w:r>
          </w:p>
        </w:tc>
        <w:tc>
          <w:tcPr>
            <w:tcW w:w="3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22"/>
                <w:szCs w:val="22"/>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2"/>
              </w:rPr>
              <w:t>EPS</w:t>
            </w:r>
          </w:p>
        </w:tc>
        <w:tc>
          <w:tcPr>
            <w:tcW w:w="300" w:type="dxa"/>
            <w:vAlign w:val="bottom"/>
          </w:tcPr>
          <w:p>
            <w:pPr>
              <w:spacing w:after="0"/>
              <w:rPr>
                <w:sz w:val="22"/>
                <w:szCs w:val="22"/>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Loss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22"/>
                <w:szCs w:val="22"/>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EPS</w:t>
            </w:r>
          </w:p>
        </w:tc>
        <w:tc>
          <w:tcPr>
            <w:tcW w:w="8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7"/>
              </w:rPr>
              <w:t>Loss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$ 1,198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1,731</w:t>
            </w:r>
          </w:p>
        </w:tc>
        <w:tc>
          <w:tcPr>
            <w:tcW w:w="64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b w:val="1"/>
                <w:bCs w:val="1"/>
                <w:color w:val="auto"/>
                <w:w w:val="84"/>
              </w:rPr>
              <w:t>$ .69</w:t>
            </w:r>
          </w:p>
        </w:tc>
        <w:tc>
          <w:tcPr>
            <w:tcW w:w="1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(344)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1,733</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(.20)</w:t>
            </w: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4"/>
              </w:rPr>
              <w:t>$ (201)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1,735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Dilutives: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options/compensation plans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$ 1,198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1,766</w:t>
            </w:r>
          </w:p>
        </w:tc>
        <w:tc>
          <w:tcPr>
            <w:tcW w:w="64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b w:val="1"/>
                <w:bCs w:val="1"/>
                <w:color w:val="auto"/>
                <w:w w:val="84"/>
              </w:rPr>
              <w:t>$ .68</w:t>
            </w:r>
          </w:p>
        </w:tc>
        <w:tc>
          <w:tcPr>
            <w:tcW w:w="1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(344)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1,733</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(.20)</w:t>
            </w: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4"/>
              </w:rPr>
              <w:t>$ (201)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1,735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30416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30416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EPS computations for 2003, 2002, and 2001 exclude 116 million shares, 114 million shares and 46 million shares for stock options because their effect would have been antidilutive.</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has stock-based employee compensation plans, which are described more fully in the Stock Options note. The company accounts for those plans under the recognition and measurement principles of Accounting Principles Board (APB) Opinion No. 25, Accounting for Stock Issued to Employees, and related Interpretations. No stock option compensation cost is reflected in net income (loss), as all options granted under those plans had an exercise price equal to the market value of the underlying common stock on the date of the grant (except options granted under the company’s stock purchase plans and acquisition-related stock option awards). The following table illustrates the effect on net income (loss) and earnings (loss) per common share if the company had applied the fair value recognition provisions of SFAS No. 123, Accounting for Stock-Based Compensation, to stock-based employee compensation.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1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1"/>
              </w:rPr>
              <w:t>Millions of Dollars,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93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rPr>
              <w:t>Except Per-Share Amounts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41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22"/>
                <w:szCs w:val="2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7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8880" w:type="dxa"/>
            <w:vAlign w:val="bottom"/>
            <w:gridSpan w:val="4"/>
            <w:vMerge w:val="continue"/>
          </w:tcPr>
          <w:p>
            <w:pPr>
              <w:spacing w:after="0"/>
              <w:rPr>
                <w:sz w:val="7"/>
                <w:szCs w:val="7"/>
                <w:color w:val="auto"/>
              </w:rPr>
            </w:pPr>
          </w:p>
        </w:tc>
        <w:tc>
          <w:tcPr>
            <w:tcW w:w="70" w:type="dxa"/>
            <w:vAlign w:val="bottom"/>
          </w:tcPr>
          <w:p>
            <w:pPr>
              <w:spacing w:after="0"/>
              <w:rPr>
                <w:sz w:val="7"/>
                <w:szCs w:val="7"/>
                <w:color w:val="auto"/>
              </w:rPr>
            </w:pPr>
          </w:p>
        </w:tc>
        <w:tc>
          <w:tcPr>
            <w:tcW w:w="41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41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1,198</w:t>
            </w: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(344)</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 (201)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Add: Stock-based employee compensation expense included in reported net income (loss), net of tax</w:t>
            </w:r>
          </w:p>
        </w:tc>
        <w:tc>
          <w:tcPr>
            <w:tcW w:w="70" w:type="dxa"/>
            <w:vAlign w:val="bottom"/>
          </w:tcPr>
          <w:p>
            <w:pPr>
              <w:spacing w:after="0"/>
              <w:rPr>
                <w:sz w:val="18"/>
                <w:szCs w:val="18"/>
                <w:color w:val="auto"/>
              </w:rPr>
            </w:pPr>
          </w:p>
        </w:tc>
        <w:tc>
          <w:tcPr>
            <w:tcW w:w="43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Deduct: Total stock-based employee compensation expense determined under fair value based method for all awards,</w:t>
            </w:r>
          </w:p>
        </w:tc>
        <w:tc>
          <w:tcPr>
            <w:tcW w:w="70" w:type="dxa"/>
            <w:vAlign w:val="bottom"/>
            <w:shd w:val="clear" w:color="auto" w:fill="CCEEFF"/>
          </w:tcPr>
          <w:p>
            <w:pPr>
              <w:spacing w:after="0"/>
              <w:rPr>
                <w:sz w:val="18"/>
                <w:szCs w:val="18"/>
                <w:color w:val="auto"/>
              </w:rPr>
            </w:pPr>
          </w:p>
        </w:tc>
        <w:tc>
          <w:tcPr>
            <w:tcW w:w="53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70" w:type="dxa"/>
            <w:vAlign w:val="bottom"/>
            <w:shd w:val="clear" w:color="auto" w:fill="CCEEFF"/>
          </w:tcPr>
          <w:p>
            <w:pPr>
              <w:spacing w:after="0"/>
              <w:rPr>
                <w:sz w:val="19"/>
                <w:szCs w:val="19"/>
                <w:color w:val="auto"/>
              </w:rPr>
            </w:pPr>
          </w:p>
        </w:tc>
        <w:tc>
          <w:tcPr>
            <w:tcW w:w="530" w:type="dxa"/>
            <w:vAlign w:val="bottom"/>
            <w:gridSpan w:val="3"/>
            <w:vMerge w:val="continue"/>
            <w:shd w:val="clear" w:color="auto" w:fill="CCEEFF"/>
          </w:tcPr>
          <w:p>
            <w:pPr>
              <w:spacing w:after="0"/>
              <w:rPr>
                <w:sz w:val="19"/>
                <w:szCs w:val="19"/>
                <w:color w:val="auto"/>
              </w:rPr>
            </w:pPr>
          </w:p>
        </w:tc>
        <w:tc>
          <w:tcPr>
            <w:tcW w:w="14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(415)</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775</w:t>
            </w: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(752)</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 (510)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7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60" w:type="dxa"/>
            <w:vAlign w:val="bottom"/>
            <w:gridSpan w:val="3"/>
          </w:tcPr>
          <w:p>
            <w:pPr>
              <w:ind w:left="200"/>
              <w:spacing w:after="0"/>
              <w:rPr>
                <w:sz w:val="20"/>
                <w:szCs w:val="20"/>
                <w:color w:val="auto"/>
              </w:rPr>
            </w:pPr>
            <w:r>
              <w:rPr>
                <w:rFonts w:ascii="Arial" w:cs="Arial" w:eastAsia="Arial" w:hAnsi="Arial"/>
                <w:sz w:val="18"/>
                <w:szCs w:val="18"/>
                <w:color w:val="auto"/>
              </w:rPr>
              <w:t>Diluted—as reported</w:t>
            </w:r>
          </w:p>
        </w:tc>
        <w:tc>
          <w:tcPr>
            <w:tcW w:w="7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3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9"/>
                <w:szCs w:val="19"/>
                <w:color w:val="auto"/>
              </w:rPr>
            </w:pPr>
          </w:p>
        </w:tc>
        <w:tc>
          <w:tcPr>
            <w:tcW w:w="1400" w:type="dxa"/>
            <w:vAlign w:val="bottom"/>
            <w:gridSpan w:val="4"/>
          </w:tcPr>
          <w:p>
            <w:pPr>
              <w:jc w:val="right"/>
              <w:ind w:right="480"/>
              <w:spacing w:after="0"/>
              <w:rPr>
                <w:sz w:val="20"/>
                <w:szCs w:val="20"/>
                <w:color w:val="auto"/>
              </w:rPr>
            </w:pPr>
            <w:r>
              <w:rPr>
                <w:rFonts w:ascii="Arial" w:cs="Arial" w:eastAsia="Arial" w:hAnsi="Arial"/>
                <w:sz w:val="18"/>
                <w:szCs w:val="18"/>
                <w:color w:val="auto"/>
              </w:rPr>
              <w:t>$ (.20)</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 (.12)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Diluted—as adjusted</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(.43)</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 (.29)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Basic—as reported</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(.20)</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 (.12)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Basic—as adjusted</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(.43)</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 (.29)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-1367155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-1367155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-1367155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-1367155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-1367155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-1367155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-1367155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-1367155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-1367155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-929640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-929640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-929640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-929640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-929640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-929640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-929640</wp:posOffset>
            </wp:positionV>
            <wp:extent cx="30416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-629285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-629285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-629285</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-629285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-629285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-629285</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-629285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-629285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-629285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-329565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-329565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-329565</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-329565</wp:posOffset>
            </wp:positionV>
            <wp:extent cx="30416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-329565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-329565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Equivalents, Short-Term Investments and Long-Term Cash Investments</w:t>
      </w:r>
    </w:p>
    <w:p>
      <w:pPr>
        <w:spacing w:after="0" w:line="16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Debt securities with original maturities within three months are considered cash equivalents. Debt securities with original maturities beyond three months that have remaining maturities or average lives within 13 months are considered short-term investments. Debt securities with remaining maturities or average lives beyond 13 months are considered long-term cash investments. These cash equivalent, short-term investment and long-term cash investment debt securities are available for sale and stated at fair value, which approximates their specific amortized cost. At December 31, 2003, these debt securities consisted primarily of the following types: corporate ($1309 million), asset-backed fixed-income securities ($3280 million), investment funds with constant net asset values ($532 million), and U.S. government agency securities ($288 million). At December 31, 2002, these debt securities consisted primarily of the following types: corporate ($2373 million), asset-backed fixed-income securities ($744 million), investment funds with constant net asset values ($542 million), and U.S. government agency securities ($301 million). Investments with serial maturities are allocated to their asset classification based on their individual expected average lives. Gross realized gains and losses for each of these security types were immaterial in 2003, 2002 and 2001. Net unrealized gains and losses for each of these security types were immaterial for 2003, $19 million for 2002 and were immaterial for 2001. Proceeds from sales of these cash equivalent, short-term investment and long-term cash investment debt securities in 2003, 2002, and 2001 were $3026 million, $2021 million and $3471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7"/>
          </w:tcPr>
          <w:p>
            <w:pPr>
              <w:ind w:left="80"/>
              <w:spacing w:after="0"/>
              <w:rPr>
                <w:sz w:val="20"/>
                <w:szCs w:val="20"/>
                <w:color w:val="auto"/>
              </w:rPr>
            </w:pPr>
            <w:r>
              <w:rPr>
                <w:rFonts w:ascii="Arial" w:cs="Arial" w:eastAsia="Arial" w:hAnsi="Arial"/>
                <w:sz w:val="14"/>
                <w:szCs w:val="14"/>
                <w:b w:val="1"/>
                <w:bCs w:val="1"/>
                <w:color w:val="auto"/>
              </w:rPr>
              <w:t>Millions of Dollars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parts</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Work in process</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624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4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7"/>
          </w:tcPr>
          <w:p>
            <w:pPr>
              <w:ind w:left="60"/>
              <w:spacing w:after="0"/>
              <w:rPr>
                <w:sz w:val="20"/>
                <w:szCs w:val="20"/>
                <w:color w:val="auto"/>
              </w:rPr>
            </w:pPr>
            <w:r>
              <w:rPr>
                <w:rFonts w:ascii="Arial" w:cs="Arial" w:eastAsia="Arial" w:hAnsi="Arial"/>
                <w:sz w:val="14"/>
                <w:szCs w:val="14"/>
                <w:b w:val="1"/>
                <w:bCs w:val="1"/>
                <w:color w:val="auto"/>
              </w:rPr>
              <w:t>Millions of Dollars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1480" w:type="dxa"/>
            <w:vAlign w:val="bottom"/>
            <w:gridSpan w:val="2"/>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60" w:type="dxa"/>
            <w:vAlign w:val="bottom"/>
          </w:tcPr>
          <w:p>
            <w:pPr>
              <w:spacing w:after="0"/>
              <w:rPr>
                <w:sz w:val="22"/>
                <w:szCs w:val="22"/>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Depreciable Lives</w:t>
            </w: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5-40 years</w:t>
            </w: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2,917</w:t>
            </w:r>
          </w:p>
        </w:tc>
        <w:tc>
          <w:tcPr>
            <w:tcW w:w="4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3-10 years</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6,532</w:t>
            </w: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Borders>
              <w:bottom w:val="single" w:sz="8" w:color="auto"/>
            </w:tcBorders>
            <w:gridSpan w:val="4"/>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$ 9,549</w:t>
            </w: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$ 9,516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-1641475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-1641475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-1641475</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-1641475</wp:posOffset>
            </wp:positionV>
            <wp:extent cx="2444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Authorizations for property, plant and equipment expenditures in future years were approximately $595 million at December 31, 2003, and $225 million at December 31, 2002.</w:t>
      </w:r>
    </w:p>
    <w:p>
      <w:pPr>
        <w:spacing w:after="0" w:line="110" w:lineRule="exact"/>
        <w:rPr>
          <w:sz w:val="20"/>
          <w:szCs w:val="20"/>
          <w:color w:val="auto"/>
        </w:rPr>
      </w:pPr>
    </w:p>
    <w:p>
      <w:pPr>
        <w:ind w:left="8020"/>
        <w:spacing w:after="0"/>
        <w:tabs>
          <w:tab w:leader="none" w:pos="1126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13</w:t>
      </w:r>
    </w:p>
    <w:p>
      <w:pPr>
        <w:sectPr>
          <w:pgSz w:w="11900" w:h="16838" w:orient="portrait"/>
          <w:cols w:equalWidth="0" w:num="1">
            <w:col w:w="11420"/>
          </w:cols>
          <w:pgMar w:left="240" w:top="42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and Debt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Equity investments include publicly traded and private investments.</w:t>
      </w:r>
    </w:p>
    <w:p>
      <w:pPr>
        <w:spacing w:after="0" w:line="15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TI Ventures is a venture fund that invests in private companies involved in the development of new markets. As of year-end 2003, investments were held in companies focused on next-generation applications of digital signal processors and other technologies and markets strategic to TI.</w:t>
      </w:r>
    </w:p>
    <w:p>
      <w:pPr>
        <w:spacing w:after="0" w:line="72"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Convertible debt securities and other investments consists of convertible debt securities due 2006, and mutual funds that are acquired to generate returns that offset changes in certain liabilities related to deferred compensation arrangements. The mutual funds hold a variety of debt and equity investments. Certain employees are eligible to defer a portion of their salary, bonus and profit sharing into a non-qualified deferred compensation plan. Employees who participate in the plan can select one of five distribution options offered by the plan. Payments are made after the employee terminates, based on their distribution election and plan balance.</w:t>
      </w:r>
    </w:p>
    <w:p>
      <w:pPr>
        <w:spacing w:after="0" w:line="12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Marketable equity securities and convertible debt securities are stated at fair value, which is based on market quotes where available, estimates by independent investment advisors or estimates by management, as appropriate. Adjustments to the fair value of available-for-sale equity and debt investments are recorded as an increase or decrease in stockholders’ equity except where losses are considered to be other-than-temporary, in which case the losses are expensed in the statement of operations. The other investments are classified as trading, and adjustments to their fair value are recorded in operating expense. Non-marketable equity securities are stated at historical cost and are subject to a periodic impairment review. Any impairments considered other-than-temporary are expensed in the statement of operations. Cost or amortized cost, as appropriate, is determined on a specific identification basis.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fourth quarter of 2002, TI recognized a loss of $638 million on its investment in the common stock of Micron Technology, Inc. (Micron) due to an impairment that was determined by management to be other-than-temporary.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third and fourth quarters of 2003, TI sold its remaining 57 million shares of Micron common stock, which were received in connection with TI’s sale of its memory business unit to Micron in 1998. TI recognized pretax gains of $203 million from these sales, which were recorded in other income (expense) net. TI’s previously reserved tax benefit of $223 million associated with the 2002 write-down was recognized upon the sales of the Micron common stock through the reversal of the deferred tax asset valuation allowance. The combined effect of the after-tax gains and the tax benefit was an increase of $355 million to TI’s 2003 net income.</w:t>
      </w:r>
    </w:p>
    <w:p>
      <w:pPr>
        <w:spacing w:after="0" w:line="129"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Proceeds from sales of equity and TI Ventures investments were $778 million in 2003, $47 million in 2002 and $103 million in 2001. There were $213 million, $7 million and $91 million of gross realized gains and zero gross realized losses from sales of these investments in 2003, 2002 and 2001.</w:t>
      </w:r>
    </w:p>
    <w:p>
      <w:pPr>
        <w:spacing w:after="0" w:line="63"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is information on the investments at December 31, 2003 and 2002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6"/>
          </w:tcPr>
          <w:p>
            <w:pPr>
              <w:ind w:left="38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82"/>
              </w:rPr>
              <w:t>Gains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8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8"/>
              </w:rPr>
              <w:t>Net</w:t>
            </w:r>
          </w:p>
        </w:tc>
        <w:tc>
          <w:tcPr>
            <w:tcW w:w="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95"/>
        </w:trPr>
        <w:tc>
          <w:tcPr>
            <w:tcW w:w="76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December 31, 2003</w:t>
            </w: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66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80" w:type="dxa"/>
            <w:vAlign w:val="bottom"/>
            <w:tcBorders>
              <w:top w:val="single" w:sz="8" w:color="auto"/>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tcPr>
          <w:p>
            <w:pPr>
              <w:ind w:left="200"/>
              <w:spacing w:after="0"/>
              <w:rPr>
                <w:sz w:val="20"/>
                <w:szCs w:val="20"/>
                <w:color w:val="auto"/>
              </w:rPr>
            </w:pPr>
            <w:r>
              <w:rPr>
                <w:rFonts w:ascii="Arial" w:cs="Arial" w:eastAsia="Arial" w:hAnsi="Arial"/>
                <w:sz w:val="18"/>
                <w:szCs w:val="18"/>
                <w:b w:val="1"/>
                <w:bCs w:val="1"/>
                <w:color w:val="auto"/>
              </w:rPr>
              <w:t>Marketable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w:t>
            </w:r>
          </w:p>
        </w:tc>
        <w:tc>
          <w:tcPr>
            <w:tcW w:w="500" w:type="dxa"/>
            <w:vAlign w:val="bottom"/>
            <w:gridSpan w:val="2"/>
          </w:tcPr>
          <w:p>
            <w:pPr>
              <w:ind w:left="38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14</w:t>
            </w:r>
          </w:p>
        </w:tc>
        <w:tc>
          <w:tcPr>
            <w:tcW w:w="540" w:type="dxa"/>
            <w:vAlign w:val="bottom"/>
            <w:gridSpan w:val="3"/>
          </w:tcPr>
          <w:p>
            <w:pPr>
              <w:ind w:left="42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5"/>
          </w:tcPr>
          <w:p>
            <w:pPr>
              <w:jc w:val="center"/>
              <w:ind w:left="34"/>
              <w:spacing w:after="0"/>
              <w:rPr>
                <w:sz w:val="20"/>
                <w:szCs w:val="20"/>
                <w:color w:val="auto"/>
              </w:rPr>
            </w:pPr>
            <w:r>
              <w:rPr>
                <w:rFonts w:ascii="Arial" w:cs="Arial" w:eastAsia="Arial" w:hAnsi="Arial"/>
                <w:sz w:val="18"/>
                <w:szCs w:val="18"/>
                <w:b w:val="1"/>
                <w:bCs w:val="1"/>
                <w:color w:val="auto"/>
                <w:w w:val="96"/>
              </w:rPr>
              <w:t>$ 14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$ 20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Non-marketable</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Arial" w:cs="Arial" w:eastAsia="Arial" w:hAnsi="Arial"/>
                <w:sz w:val="18"/>
                <w:szCs w:val="18"/>
                <w:b w:val="1"/>
                <w:bCs w:val="1"/>
                <w:color w:val="auto"/>
              </w:rPr>
              <w:t>TI Ventures</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Convertible debt securities and other investments</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161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255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w:t>
            </w:r>
          </w:p>
        </w:tc>
        <w:tc>
          <w:tcPr>
            <w:tcW w:w="5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center"/>
              <w:ind w:left="34"/>
              <w:spacing w:after="0"/>
              <w:rPr>
                <w:sz w:val="20"/>
                <w:szCs w:val="20"/>
                <w:color w:val="auto"/>
              </w:rPr>
            </w:pPr>
            <w:r>
              <w:rPr>
                <w:rFonts w:ascii="Arial" w:cs="Arial" w:eastAsia="Arial" w:hAnsi="Arial"/>
                <w:sz w:val="18"/>
                <w:szCs w:val="18"/>
                <w:b w:val="1"/>
                <w:bCs w:val="1"/>
                <w:color w:val="auto"/>
                <w:w w:val="96"/>
              </w:rPr>
              <w:t>$ 10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$ 265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6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December 31, 2002</w:t>
            </w: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766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80" w:type="dxa"/>
            <w:vAlign w:val="bottom"/>
            <w:tcBorders>
              <w:top w:val="single" w:sz="8" w:color="auto"/>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tcPr>
          <w:p>
            <w:pPr>
              <w:ind w:left="200"/>
              <w:spacing w:after="0"/>
              <w:rPr>
                <w:sz w:val="20"/>
                <w:szCs w:val="20"/>
                <w:color w:val="auto"/>
              </w:rPr>
            </w:pPr>
            <w:r>
              <w:rPr>
                <w:rFonts w:ascii="Arial" w:cs="Arial" w:eastAsia="Arial" w:hAnsi="Arial"/>
                <w:sz w:val="18"/>
                <w:szCs w:val="18"/>
                <w:color w:val="auto"/>
              </w:rPr>
              <w:t>Marketable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567</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gridSpan w:val="3"/>
          </w:tcPr>
          <w:p>
            <w:pPr>
              <w:ind w:left="4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6"/>
          </w:tcPr>
          <w:p>
            <w:pPr>
              <w:jc w:val="right"/>
              <w:ind w:right="520"/>
              <w:spacing w:after="0"/>
              <w:rPr>
                <w:sz w:val="20"/>
                <w:szCs w:val="20"/>
                <w:color w:val="auto"/>
              </w:rPr>
            </w:pPr>
            <w:r>
              <w:rPr>
                <w:rFonts w:ascii="Arial" w:cs="Arial" w:eastAsia="Arial" w:hAnsi="Arial"/>
                <w:sz w:val="18"/>
                <w:szCs w:val="18"/>
                <w:color w:val="auto"/>
                <w:w w:val="96"/>
              </w:rPr>
              <w:t>$ —</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$ 567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Non-marketable</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Arial" w:cs="Arial" w:eastAsia="Arial" w:hAnsi="Arial"/>
                <w:sz w:val="18"/>
                <w:szCs w:val="18"/>
                <w:color w:val="auto"/>
              </w:rPr>
              <w:t>TI Ventures</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980" w:type="dxa"/>
            <w:vAlign w:val="bottom"/>
            <w:gridSpan w:val="7"/>
          </w:tcPr>
          <w:p>
            <w:pPr>
              <w:jc w:val="right"/>
              <w:ind w:right="46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Convertible debt securities and other investments</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820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460"/>
              <w:spacing w:after="0"/>
              <w:rPr>
                <w:sz w:val="20"/>
                <w:szCs w:val="20"/>
                <w:color w:val="auto"/>
              </w:rPr>
            </w:pPr>
            <w:r>
              <w:rPr>
                <w:rFonts w:ascii="Arial" w:cs="Arial" w:eastAsia="Arial" w:hAnsi="Arial"/>
                <w:sz w:val="18"/>
                <w:szCs w:val="18"/>
                <w:color w:val="auto"/>
              </w:rPr>
              <w:t>$ (12)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$ 808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00" w:type="dxa"/>
            <w:vAlign w:val="bottom"/>
            <w:gridSpan w:val="2"/>
          </w:tcPr>
          <w:p>
            <w:pPr>
              <w:spacing w:after="0"/>
              <w:rPr>
                <w:sz w:val="11"/>
                <w:szCs w:val="11"/>
                <w:color w:val="auto"/>
              </w:rPr>
            </w:pPr>
          </w:p>
        </w:tc>
        <w:tc>
          <w:tcPr>
            <w:tcW w:w="654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rPr>
              <w:t>Goodwill and Other Acquisition-Related Intangibles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9"/>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9"/>
          </w:tcPr>
          <w:p>
            <w:pPr>
              <w:spacing w:after="0"/>
              <w:rPr>
                <w:sz w:val="8"/>
                <w:szCs w:val="8"/>
                <w:color w:val="auto"/>
              </w:rPr>
            </w:pPr>
          </w:p>
        </w:tc>
        <w:tc>
          <w:tcPr>
            <w:tcW w:w="38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89"/>
              </w:rPr>
              <w:t>Amortization Lives</w:t>
            </w: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56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8"/>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gridSpan w:val="9"/>
            <w:shd w:val="clear" w:color="auto" w:fill="CCEEFF"/>
          </w:tcPr>
          <w:p>
            <w:pPr>
              <w:jc w:val="center"/>
              <w:ind w:right="360"/>
              <w:spacing w:after="0"/>
              <w:rPr>
                <w:sz w:val="20"/>
                <w:szCs w:val="20"/>
                <w:color w:val="auto"/>
              </w:rPr>
            </w:pPr>
            <w:r>
              <w:rPr>
                <w:rFonts w:ascii="Arial" w:cs="Arial" w:eastAsia="Arial" w:hAnsi="Arial"/>
                <w:sz w:val="18"/>
                <w:szCs w:val="18"/>
                <w:color w:val="auto"/>
                <w:w w:val="88"/>
              </w:rPr>
              <w:t>No longer amortized</w:t>
            </w:r>
          </w:p>
        </w:tc>
        <w:tc>
          <w:tcPr>
            <w:tcW w:w="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$ 693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$ 638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Arial" w:cs="Arial" w:eastAsia="Arial" w:hAnsi="Arial"/>
                <w:sz w:val="18"/>
                <w:szCs w:val="18"/>
                <w:color w:val="auto"/>
              </w:rPr>
              <w:t>Developed and core technology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5"/>
          </w:tcPr>
          <w:p>
            <w:pPr>
              <w:jc w:val="center"/>
              <w:spacing w:after="0"/>
              <w:rPr>
                <w:sz w:val="20"/>
                <w:szCs w:val="20"/>
                <w:color w:val="auto"/>
              </w:rPr>
            </w:pPr>
            <w:r>
              <w:rPr>
                <w:rFonts w:ascii="Arial" w:cs="Arial" w:eastAsia="Arial" w:hAnsi="Arial"/>
                <w:sz w:val="18"/>
                <w:szCs w:val="18"/>
                <w:color w:val="auto"/>
                <w:w w:val="84"/>
              </w:rPr>
              <w:t>3-10 years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4"/>
              </w:rPr>
              <w:t>2-10 years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56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$ 862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$ 823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-3013710</wp:posOffset>
            </wp:positionV>
            <wp:extent cx="2444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-3013710</wp:posOffset>
            </wp:positionV>
            <wp:extent cx="22733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2733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-3013710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-3013710</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-3013710</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-3013710</wp:posOffset>
            </wp:positionV>
            <wp:extent cx="25273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-3013710</wp:posOffset>
            </wp:positionV>
            <wp:extent cx="2444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-1641475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-1641475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-1641475</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-1641475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-1641475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-1641475</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-1641475</wp:posOffset>
            </wp:positionV>
            <wp:extent cx="3302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-1641475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-1641475</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-1641475</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-1641475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-1641475</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-1641475</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444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pacing w:after="0" w:line="22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Other intangibles include items such as customer relationships. The balances shown are net of total accumulated amortization of $437 million and $391 million at year-end 2003 and 2002. The goodwill balances shown are net of total accumulated amortization of $230 million at year-end 2003 and 2002.</w:t>
      </w:r>
    </w:p>
    <w:p>
      <w:pPr>
        <w:spacing w:after="0" w:line="7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adopted SFAS No. 142, Goodwill and Other Intangible Assets, effective January 1, 2002. Under SFAS No. 142, goodwill is no longer amortized but reviewed for impairment annually, or more frequently if certain indicators arise.</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required by the Statement, intangible assets that do not meet the criteria for recognition apart from goodwill must be reclassified to goodwill. As a result of the company’s analysis, $14 million (net of tax) of intangibles, primarily relating to acquired workforce intangibles, was transferred to goodwill as of January 1, 2002.</w:t>
      </w:r>
    </w:p>
    <w:p>
      <w:pPr>
        <w:spacing w:after="0" w:line="118" w:lineRule="exact"/>
        <w:rPr>
          <w:sz w:val="20"/>
          <w:szCs w:val="20"/>
          <w:color w:val="auto"/>
        </w:rPr>
      </w:pPr>
    </w:p>
    <w:p>
      <w:pPr>
        <w:ind w:left="8020"/>
        <w:spacing w:after="0"/>
        <w:tabs>
          <w:tab w:leader="none" w:pos="1126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15</w:t>
      </w:r>
    </w:p>
    <w:p>
      <w:pPr>
        <w:sectPr>
          <w:pgSz w:w="11900" w:h="16838" w:orient="portrait"/>
          <w:cols w:equalWidth="0" w:num="1">
            <w:col w:w="11420"/>
          </w:cols>
          <w:pgMar w:left="240" w:top="428" w:right="239" w:bottom="1440" w:gutter="0" w:footer="0" w:header="0"/>
        </w:sectPr>
      </w:pPr>
    </w:p>
    <w:bookmarkStart w:id="36" w:name="page37"/>
    <w:bookmarkEnd w:id="36"/>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adoption of the Statement, the company ceased amortization of goodwill as of January 1, 2002. The following table presents the results of the company on a comparable basis (in millions of dollars, except per-share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Reported net income (loss)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1,198</w:t>
            </w:r>
          </w:p>
        </w:tc>
        <w:tc>
          <w:tcPr>
            <w:tcW w:w="1200" w:type="dxa"/>
            <w:vAlign w:val="bottom"/>
            <w:gridSpan w:val="5"/>
          </w:tcPr>
          <w:p>
            <w:pPr>
              <w:jc w:val="right"/>
              <w:ind w:right="380"/>
              <w:spacing w:after="0"/>
              <w:rPr>
                <w:sz w:val="20"/>
                <w:szCs w:val="20"/>
                <w:color w:val="auto"/>
              </w:rPr>
            </w:pPr>
            <w:r>
              <w:rPr>
                <w:rFonts w:ascii="Arial" w:cs="Arial" w:eastAsia="Arial" w:hAnsi="Arial"/>
                <w:sz w:val="18"/>
                <w:szCs w:val="18"/>
                <w:color w:val="auto"/>
              </w:rPr>
              <w:t>$ (344)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and workforce amortization (net of tax)</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1,198</w:t>
            </w:r>
          </w:p>
        </w:tc>
        <w:tc>
          <w:tcPr>
            <w:tcW w:w="120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 (344)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Reported net income (loss)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0" w:type="dxa"/>
            <w:vAlign w:val="bottom"/>
            <w:gridSpan w:val="5"/>
          </w:tcPr>
          <w:p>
            <w:pPr>
              <w:jc w:val="right"/>
              <w:ind w:right="380"/>
              <w:spacing w:after="0"/>
              <w:rPr>
                <w:sz w:val="20"/>
                <w:szCs w:val="20"/>
                <w:color w:val="auto"/>
              </w:rPr>
            </w:pPr>
            <w:r>
              <w:rPr>
                <w:rFonts w:ascii="Arial" w:cs="Arial" w:eastAsia="Arial" w:hAnsi="Arial"/>
                <w:sz w:val="18"/>
                <w:szCs w:val="18"/>
                <w:color w:val="auto"/>
              </w:rPr>
              <w:t>$ (.20)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and workforce amortization (net of tax)</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20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 (.20)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Reported net income (loss)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200" w:type="dxa"/>
            <w:vAlign w:val="bottom"/>
            <w:gridSpan w:val="5"/>
          </w:tcPr>
          <w:p>
            <w:pPr>
              <w:jc w:val="right"/>
              <w:ind w:right="380"/>
              <w:spacing w:after="0"/>
              <w:rPr>
                <w:sz w:val="20"/>
                <w:szCs w:val="20"/>
                <w:color w:val="auto"/>
              </w:rPr>
            </w:pPr>
            <w:r>
              <w:rPr>
                <w:rFonts w:ascii="Arial" w:cs="Arial" w:eastAsia="Arial" w:hAnsi="Arial"/>
                <w:sz w:val="18"/>
                <w:szCs w:val="18"/>
                <w:color w:val="auto"/>
              </w:rPr>
              <w:t>$ (.20)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and workforce amortization (net of tax)</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20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 (.20)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-1744345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-1744345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-1744345</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-1744345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-1744345</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-1744345</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-1744345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-1744345</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-1744345</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-887095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-887095</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-887095</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-887095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-887095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-887095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-887095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-887095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-887095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3931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93190" cy="29845"/>
                    </a:xfrm>
                    <a:prstGeom prst="rect">
                      <a:avLst/>
                    </a:prstGeom>
                    <a:noFill/>
                  </pic:spPr>
                </pic:pic>
              </a:graphicData>
            </a:graphic>
          </wp:anchor>
        </w:drawing>
      </w:r>
    </w:p>
    <w:p>
      <w:pPr>
        <w:spacing w:after="0" w:line="225"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To apply the provisions of SFAS No. 142, the company is required to identify its reporting units. Based on an analysis of economic characteristics and how the company operates its business, the company has designated its business segments as its reporting units.</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completes its annual goodwill impairment tests as of October 1 of each year for all of its reporting units. This annual test was performed by comparing the fair value for each reporting unit to its associated book value including goodwill. The fair value exceeded the carrying value including goodwill, therefore no impairment was indicated. No impairment indicators arose during the year.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at December 31, 2003, by business segment, was (in millions of dollars):</w:t>
      </w:r>
    </w:p>
    <w:p>
      <w:pPr>
        <w:spacing w:after="0" w:line="153"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Semiconductor</w:t>
            </w:r>
          </w:p>
        </w:tc>
        <w:tc>
          <w:tcPr>
            <w:tcW w:w="142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Sensors &amp; Controls</w:t>
            </w: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E&amp;PS</w:t>
            </w:r>
          </w:p>
        </w:tc>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5"/>
                <w:szCs w:val="15"/>
                <w:color w:val="auto"/>
              </w:rPr>
            </w:pPr>
          </w:p>
        </w:tc>
      </w:tr>
      <w:tr>
        <w:trPr>
          <w:trHeight w:val="95"/>
        </w:trPr>
        <w:tc>
          <w:tcPr>
            <w:tcW w:w="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316"/>
        </w:trPr>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380" w:type="dxa"/>
            <w:vAlign w:val="bottom"/>
          </w:tcPr>
          <w:p>
            <w:pPr>
              <w:spacing w:after="0"/>
              <w:rPr>
                <w:sz w:val="24"/>
                <w:szCs w:val="24"/>
                <w:color w:val="auto"/>
              </w:rPr>
            </w:pPr>
          </w:p>
        </w:tc>
        <w:tc>
          <w:tcPr>
            <w:tcW w:w="248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0"/>
              </w:rPr>
              <w:t>$ —</w:t>
            </w: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rPr>
              <w:t>$693</w:t>
            </w:r>
          </w:p>
        </w:tc>
        <w:tc>
          <w:tcPr>
            <w:tcW w:w="40" w:type="dxa"/>
            <w:vAlign w:val="bottom"/>
          </w:tcPr>
          <w:p>
            <w:pPr>
              <w:spacing w:after="0"/>
              <w:rPr>
                <w:sz w:val="24"/>
                <w:szCs w:val="24"/>
                <w:color w:val="auto"/>
              </w:rPr>
            </w:pPr>
          </w:p>
        </w:tc>
      </w:tr>
      <w:tr>
        <w:trPr>
          <w:trHeight w:val="134"/>
        </w:trPr>
        <w:tc>
          <w:tcPr>
            <w:tcW w:w="3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components of amortized intangible assets, excluding goodwill (in millions of dollars):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center"/>
              <w:ind w:left="157"/>
              <w:spacing w:after="0"/>
              <w:rPr>
                <w:sz w:val="20"/>
                <w:szCs w:val="20"/>
                <w:color w:val="auto"/>
              </w:rPr>
            </w:pPr>
            <w:r>
              <w:rPr>
                <w:rFonts w:ascii="Arial" w:cs="Arial" w:eastAsia="Arial" w:hAnsi="Arial"/>
                <w:sz w:val="14"/>
                <w:szCs w:val="14"/>
                <w:b w:val="1"/>
                <w:bCs w:val="1"/>
                <w:color w:val="auto"/>
                <w:w w:val="87"/>
              </w:rPr>
              <w:t>December 31,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85"/>
              </w:rPr>
              <w:t>December 31,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59"/>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8"/>
              </w:rPr>
              <w:t>Gross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7"/>
              <w:spacing w:after="0"/>
              <w:rPr>
                <w:sz w:val="20"/>
                <w:szCs w:val="20"/>
                <w:color w:val="auto"/>
              </w:rPr>
            </w:pPr>
            <w:r>
              <w:rPr>
                <w:rFonts w:ascii="Arial" w:cs="Arial" w:eastAsia="Arial" w:hAnsi="Arial"/>
                <w:sz w:val="14"/>
                <w:szCs w:val="14"/>
                <w:b w:val="1"/>
                <w:bCs w:val="1"/>
                <w:color w:val="auto"/>
                <w:w w:val="78"/>
              </w:rPr>
              <w:t>Gross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50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Accum.</w:t>
            </w: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520" w:type="dxa"/>
            <w:vAlign w:val="bottom"/>
          </w:tcPr>
          <w:p>
            <w:pPr>
              <w:spacing w:after="0"/>
              <w:rPr>
                <w:sz w:val="12"/>
                <w:szCs w:val="12"/>
                <w:color w:val="auto"/>
              </w:rPr>
            </w:pPr>
          </w:p>
        </w:tc>
        <w:tc>
          <w:tcPr>
            <w:tcW w:w="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Accum.</w:t>
            </w:r>
          </w:p>
        </w:tc>
        <w:tc>
          <w:tcPr>
            <w:tcW w:w="0" w:type="dxa"/>
            <w:vAlign w:val="bottom"/>
          </w:tcPr>
          <w:p>
            <w:pPr>
              <w:spacing w:after="0"/>
              <w:rPr>
                <w:sz w:val="1"/>
                <w:szCs w:val="1"/>
                <w:color w:val="auto"/>
              </w:rPr>
            </w:pPr>
          </w:p>
        </w:tc>
      </w:tr>
      <w:tr>
        <w:trPr>
          <w:trHeight w:val="174"/>
        </w:trPr>
        <w:tc>
          <w:tcPr>
            <w:tcW w:w="78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Amortized Intangible Assets</w:t>
            </w:r>
          </w:p>
        </w:tc>
        <w:tc>
          <w:tcPr>
            <w:tcW w:w="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spacing w:after="0"/>
              <w:rPr>
                <w:sz w:val="15"/>
                <w:szCs w:val="15"/>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w:t>
            </w:r>
          </w:p>
        </w:tc>
        <w:tc>
          <w:tcPr>
            <w:tcW w:w="0" w:type="dxa"/>
            <w:vAlign w:val="bottom"/>
          </w:tcPr>
          <w:p>
            <w:pPr>
              <w:spacing w:after="0"/>
              <w:rPr>
                <w:sz w:val="1"/>
                <w:szCs w:val="1"/>
                <w:color w:val="auto"/>
              </w:rPr>
            </w:pPr>
          </w:p>
        </w:tc>
      </w:tr>
      <w:tr>
        <w:trPr>
          <w:trHeight w:val="95"/>
        </w:trPr>
        <w:tc>
          <w:tcPr>
            <w:tcW w:w="7840" w:type="dxa"/>
            <w:vAlign w:val="bottom"/>
            <w:gridSpan w:val="4"/>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78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Developed and core technology</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227</w:t>
            </w: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103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Trademarks/Patents</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376</w:t>
            </w: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207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-29210</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July 2003, TI acquired 100 percent of the equity of Radia Communications, Inc. (Radia) for a purchase price of approximately $133 million. The acquisition was made to further TI’s development and product offerings in radio frequency (RF) semiconductor, subsystem, signal processing and networking technologies for 802.11 wireless local</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16</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8" w:right="239" w:bottom="1440" w:gutter="0" w:footer="0" w:header="0"/>
        </w:sectPr>
      </w:pPr>
    </w:p>
    <w:bookmarkStart w:id="37" w:name="page38"/>
    <w:bookmarkEnd w:id="37"/>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area networking multi-band/multi-mode radios. Goodwill of approximately $64 million was recognized as a result of the acquisition. The operations of Radia are included in the consolidated statements of operations from the date of acquisition. In connection with the acquisition, the company recorded a $23 million in-process research and development charge, which was recorded in research and development expense. The following table contains a summary of the intangible assets acquired (in millions of dollars):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Acquired Intangible Assets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3"/>
              </w:rPr>
              <w:t>Amount</w:t>
            </w:r>
          </w:p>
        </w:tc>
        <w:tc>
          <w:tcPr>
            <w:tcW w:w="7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Amortization Lives</w:t>
            </w:r>
          </w:p>
        </w:tc>
        <w:tc>
          <w:tcPr>
            <w:tcW w:w="0" w:type="dxa"/>
            <w:vAlign w:val="bottom"/>
          </w:tcPr>
          <w:p>
            <w:pPr>
              <w:spacing w:after="0"/>
              <w:rPr>
                <w:sz w:val="1"/>
                <w:szCs w:val="1"/>
                <w:color w:val="auto"/>
              </w:rPr>
            </w:pPr>
          </w:p>
        </w:tc>
      </w:tr>
      <w:tr>
        <w:trPr>
          <w:trHeight w:val="95"/>
        </w:trPr>
        <w:tc>
          <w:tcPr>
            <w:tcW w:w="9080" w:type="dxa"/>
            <w:vAlign w:val="bottom"/>
            <w:gridSpan w:val="3"/>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908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48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48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June 2002, TI acquired Condat AG, Berlin (Condat) for a purchase price of approximately $87 million. Goodwill of approximately $69 million was recognized as a result of the acquisition. The acquisition was made to further TI’s development and product offerings in wireless chipset solutions, including protocol stack software for cellular phones. The operations of Condat are included in the consolidated statements of operations from the date of acquisition. The following table contains a summary of the intangibles acquired (in millions of dollars):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Acquired Intangible Assets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3"/>
              </w:rPr>
              <w:t>Amount</w:t>
            </w:r>
          </w:p>
        </w:tc>
        <w:tc>
          <w:tcPr>
            <w:tcW w:w="7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Amortization Lives</w:t>
            </w:r>
          </w:p>
        </w:tc>
        <w:tc>
          <w:tcPr>
            <w:tcW w:w="0" w:type="dxa"/>
            <w:vAlign w:val="bottom"/>
          </w:tcPr>
          <w:p>
            <w:pPr>
              <w:spacing w:after="0"/>
              <w:rPr>
                <w:sz w:val="1"/>
                <w:szCs w:val="1"/>
                <w:color w:val="auto"/>
              </w:rPr>
            </w:pPr>
          </w:p>
        </w:tc>
      </w:tr>
      <w:tr>
        <w:trPr>
          <w:trHeight w:val="95"/>
        </w:trPr>
        <w:tc>
          <w:tcPr>
            <w:tcW w:w="9080" w:type="dxa"/>
            <w:vAlign w:val="bottom"/>
            <w:gridSpan w:val="3"/>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908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Amortization of goodwill and other acquisition-related costs (including unearned compensation, a contra-stockholders’ equity account) was $99 million, $115 million, and $229 million for 2003, 2002 and 2001. Of the total amortization, goodwill amortization was zero, zero and $97 million, with the remainder primarily related to developed technology.</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the estimated amortization of acquisition-related costs (including unearned compensation, a contra-stockholders’ equity account) for the years ended December 31: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7"/>
              </w:rPr>
              <w:t>Millions of Dollars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2005</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2007</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1"/>
              </w:rPr>
              <w:t>Millions of Dollars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Accrued salaries, wages and vacation pay</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 and liabilities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4"/>
              </w:rPr>
              <w:t>1,496</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gridSpan w:val="4"/>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546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6383655</wp:posOffset>
            </wp:positionH>
            <wp:positionV relativeFrom="paragraph">
              <wp:posOffset>-292735</wp:posOffset>
            </wp:positionV>
            <wp:extent cx="3302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-292735</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-292735</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Debt and Lines of Credit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ind w:left="140"/>
              <w:spacing w:after="0"/>
              <w:rPr>
                <w:sz w:val="20"/>
                <w:szCs w:val="20"/>
                <w:color w:val="auto"/>
              </w:rPr>
            </w:pPr>
            <w:r>
              <w:rPr>
                <w:rFonts w:ascii="Arial" w:cs="Arial" w:eastAsia="Arial" w:hAnsi="Arial"/>
                <w:sz w:val="14"/>
                <w:szCs w:val="14"/>
                <w:b w:val="1"/>
                <w:bCs w:val="1"/>
                <w:color w:val="auto"/>
              </w:rPr>
              <w:t>Millions of Dollars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2003</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860" w:type="dxa"/>
            <w:vAlign w:val="bottom"/>
            <w:gridSpan w:val="3"/>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98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9.25% notes due 2003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7.0% notes due 2004</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400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 notes with various rates, due in installments through 2005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6.125% notes due 2006</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8.75% notes due 2007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4.25% convertible subordinated notes due 2007</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interest rate swaps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Less current portion long-term debt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$ 395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-29210</wp:posOffset>
            </wp:positionV>
            <wp:extent cx="2444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1996, the coupon rates for the notes due 2006 were swapped for LIBOR-based variable rates through 2006, for an effective interest rate of approximately 0.52% and 1.07% at December 31, 2003 and 2002. In 2001, the coupon rates for the notes due 2007 were swapped for LIBOR-based variable rates through 2007, for an effective interest rate of approximately 4.90% and 5.12% at December 31, 2003 and 2002. Also in 2001, the coupon rates for $50 million of the notes due 2004 were swapped for LIBOR-based variable rates through 2004, for an effective interest rate of approximately 3.55% and 3.72% at December 31, 2003 and 2002.</w:t>
      </w:r>
    </w:p>
    <w:p>
      <w:pPr>
        <w:spacing w:after="0" w:line="129"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connection with its 2000 pooling-of-interests acquisition of Burr-Brown Corporation (Burr-Brown), TI guaranteed payment of the principal and interest for the $250 million principal amount of 4.25% convertible subordinated notes due 2007 that were issued February 24, 2000, by Burr-Brown. The notes became eligible for redemption and were redeemed in February 2003 resulting in a $10 million charge recorded in other income (expense) net.</w:t>
      </w:r>
    </w:p>
    <w:p>
      <w:pPr>
        <w:spacing w:after="0" w:line="93"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TI guaranteed the payment obligations of a supplier under a $210 million lease financing facility that matured in 2003. Obligations under this facility were zero and $45 million at December 31, 2003 and 2002.</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Interest incurred on loans in 2003, 2002 and 2001 was $41 million, $60 million and $74 million. Of these amounts, $2 million in 2003, $3 million in 2002 and $13 million in 2001 were capitalized as a component of capital asset construction costs. Interest paid on loans (net of amounts capitalized) was $39 million in 2003, $57 million in 2002 and $61 million in 2001.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maturities of long-term debt due during the four years subsequent to December 31, 2004,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7"/>
              </w:rPr>
              <w:t>Millions of Dollars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3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0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$ 10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2006</w:t>
            </w:r>
          </w:p>
        </w:tc>
        <w:tc>
          <w:tcPr>
            <w:tcW w:w="1080" w:type="dxa"/>
            <w:vAlign w:val="bottom"/>
          </w:tcPr>
          <w:p>
            <w:pPr>
              <w:jc w:val="right"/>
              <w:ind w:right="276"/>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2008 and thereafter</w:t>
            </w:r>
          </w:p>
        </w:tc>
        <w:tc>
          <w:tcPr>
            <w:tcW w:w="1080" w:type="dxa"/>
            <w:vAlign w:val="bottom"/>
          </w:tcPr>
          <w:p>
            <w:pPr>
              <w:jc w:val="right"/>
              <w:ind w:right="27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TI maintains lines of credit to support commercial paper borrowings and to provide additional liquidity through short-term bank loans. These lines of credit totaled $500 million at December 31, 2003, and $600 million at December 31, 2002, but were not utilized in either year.</w:t>
      </w:r>
    </w:p>
    <w:p>
      <w:pPr>
        <w:spacing w:after="0" w:line="110"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18</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Instruments and Risk Concentration</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Financial Instruments:</w:t>
      </w:r>
      <w:r>
        <w:rPr>
          <w:rFonts w:ascii="Arial" w:cs="Arial" w:eastAsia="Arial" w:hAnsi="Arial"/>
          <w:sz w:val="16"/>
          <w:szCs w:val="16"/>
          <w:color w:val="auto"/>
        </w:rPr>
        <w:t xml:space="preserve"> In addition to the interest rate swaps discussed in the preceding note, at December 31, 2003, TI had forward currency exchange contracts outstanding of $315 million to hedge net balance sheet exposures (including $223 million to buy euros, $25 million to buy Taiwan dollars and $16 million to sell pound sterling). At December 31, 2002, TI had forward currency exchange contracts outstanding of $314 million to hedge net balance sheet exposures (including $201 million to buy euros, $37 million to sell yen, and $20 million to buy Singapore dollars). At December 31, 2003 and 2002, the carrying amounts and current market settlement values of these swaps and forward contracts were not significant. TI uses forward currency exchange contracts to minimize the adverse earnings impact from the effect of exchange rate fluctuations on the company’s non-U.S. dollar net balance sheet exposures.</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With respect to long-term debt and its associated interest expense, TI seeks to maintain a mix of both fixed and floating interest rates that, over time, is expected to moderate financing costs. In order to achieve this goal, TI utilizes interest rate swaps designated as fair value hedges to change the characteristics of the interest rate stream on the debt from fixed rates to short-term variable rates. The effect of these interest rate swaps was to reduce interest expense by $20 million, $18 million and $8 million in 2003, 2002 and 2001.</w:t>
      </w:r>
    </w:p>
    <w:p>
      <w:pPr>
        <w:spacing w:after="0" w:line="13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 order to minimize its exposure to credit risk, TI limits its counterparties on the forward currency exchange contracts and interest rate swaps to investment-grade rated financial institutions.</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December 31, 2003 and 2002, the fair value of long-term debt, based on current interest rates, was approximately $871 million and $1320 million compared with the historical cost amount of $826 million and $1242 million.</w:t>
      </w:r>
    </w:p>
    <w:p>
      <w:pPr>
        <w:spacing w:after="0" w:line="11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u w:val="single" w:color="auto"/>
          <w:color w:val="auto"/>
        </w:rPr>
        <w:t>Risk Concentration:</w:t>
      </w:r>
      <w:r>
        <w:rPr>
          <w:rFonts w:ascii="Arial" w:cs="Arial" w:eastAsia="Arial" w:hAnsi="Arial"/>
          <w:sz w:val="16"/>
          <w:szCs w:val="16"/>
          <w:color w:val="auto"/>
        </w:rPr>
        <w:t xml:space="preserve"> Financial instruments that potentially subject TI to concentrations of credit risk are primarily cash investments, accounts receivable and equity investments. TI places its cash investments in investment-grade debt securities and limits the amount of credit exposure to any one commercial issuer.</w:t>
      </w:r>
    </w:p>
    <w:p>
      <w:pPr>
        <w:spacing w:after="0" w:line="72"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Concentrations of credit risk with respect to the receivables are limited due to the large number of customers in TI’s customer base and their dispersion across different industries and geographic areas. TI maintains an allowance for losses based upon the expected collectibility of accounts receivable.</w:t>
      </w:r>
    </w:p>
    <w:p>
      <w:pPr>
        <w:spacing w:after="0" w:line="49"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December 31, 2003, the auditors have issued audit reports on 12 of the projects. The Ministry of Industry is responsible for reviewing the auditor’s findings. Depending on the Ministry’s decision, the review may result in a demand from the Italian government that TI repay a portion of the grants. TI believes that the grants were obtained and used in compliance with applicable law and contractual obligations. The Ministry has published final concession decrees on eight of the projects representing approximately $105 million of grants. TI does not expect the outcome to have a material impact on the company’s financial condition, results of operations or liquidity.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to the interest rate swaps and forward currency exchange contracts discussed above, TI had the following derivatives at December 31, 2003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2002:</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TI has call options embedded in two convertible notes. These call options had a value of zero and $1 million at December 31, 2003 and 2002.</w:t>
      </w:r>
    </w:p>
    <w:p>
      <w:pPr>
        <w:spacing w:after="0" w:line="100" w:lineRule="exact"/>
        <w:rPr>
          <w:sz w:val="20"/>
          <w:szCs w:val="20"/>
          <w:color w:val="auto"/>
        </w:rPr>
      </w:pPr>
    </w:p>
    <w:p>
      <w:pPr>
        <w:jc w:val="both"/>
        <w:ind w:left="460" w:right="240"/>
        <w:spacing w:after="0" w:line="259" w:lineRule="auto"/>
        <w:rPr>
          <w:sz w:val="20"/>
          <w:szCs w:val="20"/>
          <w:color w:val="auto"/>
        </w:rPr>
      </w:pPr>
      <w:r>
        <w:rPr>
          <w:rFonts w:ascii="Arial" w:cs="Arial" w:eastAsia="Arial" w:hAnsi="Arial"/>
          <w:sz w:val="18"/>
          <w:szCs w:val="18"/>
          <w:color w:val="auto"/>
        </w:rPr>
        <w:t>TI uses a forward purchase contract for shares of the company’s common stock to minimize the adverse earnings impact from the effect of stock market value fluctuations on the portion of the company’s deferred compensation obligations denominated in TI stock. The forward purchase contract had a fair value of approximately $3 million and $(1) million at December 31, 2003 and 2002.</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TI has several stock investment warrants considered derivatives. At December 31, 2003 and 2002, their aggregate value was approximately $1 million.</w:t>
      </w:r>
    </w:p>
    <w:p>
      <w:pPr>
        <w:spacing w:after="0" w:line="17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19</w:t>
      </w:r>
    </w:p>
    <w:p>
      <w:pPr>
        <w:sectPr>
          <w:pgSz w:w="11900" w:h="16838" w:orient="portrait"/>
          <w:cols w:equalWidth="0" w:num="1">
            <w:col w:w="11420"/>
          </w:cols>
          <w:pgMar w:left="240" w:top="42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10,000,000 shares of preferred stock. None is currently outstanding.</w:t>
      </w:r>
    </w:p>
    <w:p>
      <w:pPr>
        <w:spacing w:after="0" w:line="15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Each outstanding share of the company’s common stock carries one-fourth of a stock purchase right. Under certain circumstances, each right may be exercised to purchase one one-thousandth of a share of the company’s participating cumulative preferred stock for $200. Under certain circumstances following the acquisition of 20 percent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one cent per right, expire in June 2008.</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accumulated other comprehensive income (loss) are as follows (in millions of dollars):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Changes in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4"/>
              </w:rPr>
              <w:t>Pension</w:t>
            </w:r>
          </w:p>
        </w:tc>
        <w:tc>
          <w:tcPr>
            <w:tcW w:w="360" w:type="dxa"/>
            <w:vAlign w:val="bottom"/>
          </w:tcPr>
          <w:p>
            <w:pPr>
              <w:spacing w:after="0"/>
              <w:rPr>
                <w:sz w:val="12"/>
                <w:szCs w:val="12"/>
                <w:color w:val="auto"/>
              </w:rPr>
            </w:pPr>
          </w:p>
        </w:tc>
        <w:tc>
          <w:tcPr>
            <w:tcW w:w="11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Available-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Liability</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for-Sale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360" w:type="dxa"/>
            <w:vAlign w:val="bottom"/>
          </w:tcPr>
          <w:p>
            <w:pPr>
              <w:spacing w:after="0"/>
              <w:rPr>
                <w:sz w:val="15"/>
                <w:szCs w:val="15"/>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Investments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Annual adjustments</w:t>
            </w:r>
          </w:p>
        </w:tc>
        <w:tc>
          <w:tcPr>
            <w:tcW w:w="8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effect of above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Reclassification of recognized transactions, net of tax benefit of $6 million</w:t>
            </w:r>
          </w:p>
        </w:tc>
        <w:tc>
          <w:tcPr>
            <w:tcW w:w="80" w:type="dxa"/>
            <w:vAlign w:val="bottom"/>
          </w:tcPr>
          <w:p>
            <w:pPr>
              <w:spacing w:after="0"/>
              <w:rPr>
                <w:sz w:val="19"/>
                <w:szCs w:val="19"/>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Annual adjustments</w:t>
            </w:r>
          </w:p>
        </w:tc>
        <w:tc>
          <w:tcPr>
            <w:tcW w:w="8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(278)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(1,257)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effect of above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Tax valuation allowance increase</w:t>
            </w:r>
          </w:p>
        </w:tc>
        <w:tc>
          <w:tcPr>
            <w:tcW w:w="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(223)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of recognized transactions, net of tax benefit of $26 million</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b w:val="1"/>
                <w:bCs w:val="1"/>
                <w:color w:val="auto"/>
              </w:rPr>
              <w:t>Annual adjustments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Tax effect of above</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tcPr>
          <w:p>
            <w:pPr>
              <w:ind w:left="200"/>
              <w:spacing w:after="0"/>
              <w:rPr>
                <w:sz w:val="20"/>
                <w:szCs w:val="20"/>
                <w:color w:val="auto"/>
              </w:rPr>
            </w:pPr>
            <w:r>
              <w:rPr>
                <w:rFonts w:ascii="Arial" w:cs="Arial" w:eastAsia="Arial" w:hAnsi="Arial"/>
                <w:sz w:val="18"/>
                <w:szCs w:val="18"/>
                <w:b w:val="1"/>
                <w:bCs w:val="1"/>
                <w:color w:val="auto"/>
              </w:rPr>
              <w:t>Reclassification of recognized transactions, net of tax of $74 million</w:t>
            </w:r>
          </w:p>
        </w:tc>
        <w:tc>
          <w:tcPr>
            <w:tcW w:w="80" w:type="dxa"/>
            <w:vAlign w:val="bottom"/>
          </w:tcPr>
          <w:p>
            <w:pPr>
              <w:spacing w:after="0"/>
              <w:rPr>
                <w:sz w:val="19"/>
                <w:szCs w:val="19"/>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(137)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2003</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47561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98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9890" cy="29845"/>
                    </a:xfrm>
                    <a:prstGeom prst="rect">
                      <a:avLst/>
                    </a:prstGeom>
                    <a:noFill/>
                  </pic:spPr>
                </pic:pic>
              </a:graphicData>
            </a:graphic>
          </wp:anchor>
        </w:drawing>
      </w:r>
    </w:p>
    <w:p>
      <w:pPr>
        <w:spacing w:after="0" w:line="217"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20</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Research and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(R&amp;D) expense totaled $1748 million in 2003, $1619 million in 2002 and $1598 million in 2001.</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Acquisition-related in-process R&amp;D charges were $23 million in 2003, $1 million in 2002 and zero in 2001. These charges were for R&amp;D from business purchase acquisitions. Values for acquisition-related in-process R&amp;D (purchased R&amp;D) were determined at the acquisition date based upon the appraised value of the related developmental projects. Purchased R&amp;D projects were assessed, analyzed and valued using the Exclusion Approach within the context and framework articulated by the Securities and Exchange Commission.</w:t>
      </w:r>
    </w:p>
    <w:p>
      <w:pPr>
        <w:spacing w:after="0" w:line="13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Major assumptions, detailed in the table below, used in determining the value of significant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9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relative stage of completion and projected operating cash flows of the underlying in-process projects acquired were the most significant and uncertain assumptions utilized in the valuation analysis of the purchased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Cost/Time to</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Complete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R&amp;D Projects</w:t>
            </w: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Cash</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Acqui-</w:t>
            </w: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3"/>
                <w:szCs w:val="3"/>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40" w:type="dxa"/>
            <w:vAlign w:val="bottom"/>
          </w:tcPr>
          <w:p>
            <w:pPr>
              <w:spacing w:after="0"/>
              <w:rPr>
                <w:sz w:val="3"/>
                <w:szCs w:val="3"/>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In-process</w:t>
            </w: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5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Flows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Entity</w:t>
            </w:r>
          </w:p>
        </w:tc>
        <w:tc>
          <w:tcPr>
            <w:tcW w:w="24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sition</w:t>
            </w:r>
          </w:p>
        </w:tc>
        <w:tc>
          <w:tcPr>
            <w:tcW w:w="2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Consid-</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Intan-</w:t>
            </w: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2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R&amp;D</w:t>
            </w: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R&amp;D</w:t>
            </w:r>
          </w:p>
        </w:tc>
        <w:tc>
          <w:tcPr>
            <w:tcW w:w="2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Discount</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At</w:t>
            </w:r>
          </w:p>
        </w:tc>
        <w:tc>
          <w:tcPr>
            <w:tcW w:w="260" w:type="dxa"/>
            <w:vAlign w:val="bottom"/>
          </w:tcPr>
          <w:p>
            <w:pPr>
              <w:spacing w:after="0"/>
              <w:rPr>
                <w:sz w:val="12"/>
                <w:szCs w:val="12"/>
                <w:color w:val="auto"/>
              </w:rPr>
            </w:pPr>
          </w:p>
        </w:tc>
        <w:tc>
          <w:tcPr>
            <w:tcW w:w="4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6"/>
              </w:rPr>
              <w:t>At Dec.</w:t>
            </w:r>
          </w:p>
        </w:tc>
        <w:tc>
          <w:tcPr>
            <w:tcW w:w="2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Projected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4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5"/>
              </w:rPr>
              <w:t>eration</w:t>
            </w:r>
          </w:p>
        </w:tc>
        <w:tc>
          <w:tcPr>
            <w:tcW w:w="2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Goodwill</w:t>
            </w:r>
          </w:p>
        </w:tc>
        <w:tc>
          <w:tcPr>
            <w:tcW w:w="2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gibles</w:t>
            </w:r>
          </w:p>
        </w:tc>
        <w:tc>
          <w:tcPr>
            <w:tcW w:w="2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2"/>
              </w:rPr>
              <w:t>sation</w:t>
            </w:r>
          </w:p>
        </w:tc>
        <w:tc>
          <w:tcPr>
            <w:tcW w:w="2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Charge</w:t>
            </w:r>
          </w:p>
        </w:tc>
        <w:tc>
          <w:tcPr>
            <w:tcW w:w="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2"/>
              </w:rPr>
              <w:t>Focus</w:t>
            </w:r>
          </w:p>
        </w:tc>
        <w:tc>
          <w:tcPr>
            <w:tcW w:w="2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Rate</w:t>
            </w:r>
          </w:p>
        </w:tc>
        <w:tc>
          <w:tcPr>
            <w:tcW w:w="2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Acquisition</w:t>
            </w: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to Begin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Radia</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Third</w:t>
            </w:r>
          </w:p>
        </w:tc>
        <w:tc>
          <w:tcPr>
            <w:tcW w:w="700" w:type="dxa"/>
            <w:vAlign w:val="bottom"/>
            <w:gridSpan w:val="2"/>
            <w:shd w:val="clear" w:color="auto" w:fill="CCEEFF"/>
          </w:tcPr>
          <w:p>
            <w:pPr>
              <w:jc w:val="center"/>
              <w:ind w:left="152"/>
              <w:spacing w:after="0" w:line="138" w:lineRule="exact"/>
              <w:rPr>
                <w:sz w:val="20"/>
                <w:szCs w:val="20"/>
                <w:color w:val="auto"/>
              </w:rPr>
            </w:pPr>
            <w:r>
              <w:rPr>
                <w:rFonts w:ascii="Arial" w:cs="Arial" w:eastAsia="Arial" w:hAnsi="Arial"/>
                <w:sz w:val="14"/>
                <w:szCs w:val="14"/>
                <w:color w:val="auto"/>
                <w:w w:val="89"/>
              </w:rPr>
              <w:t>$133</w:t>
            </w:r>
          </w:p>
        </w:tc>
        <w:tc>
          <w:tcPr>
            <w:tcW w:w="760" w:type="dxa"/>
            <w:vAlign w:val="bottom"/>
            <w:gridSpan w:val="2"/>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rPr>
              <w:t>$64</w:t>
            </w:r>
          </w:p>
        </w:tc>
        <w:tc>
          <w:tcPr>
            <w:tcW w:w="600" w:type="dxa"/>
            <w:vAlign w:val="bottom"/>
            <w:gridSpan w:val="2"/>
            <w:shd w:val="clear" w:color="auto" w:fill="CCEEFF"/>
          </w:tcPr>
          <w:p>
            <w:pPr>
              <w:jc w:val="center"/>
              <w:ind w:left="172"/>
              <w:spacing w:after="0" w:line="138" w:lineRule="exact"/>
              <w:rPr>
                <w:sz w:val="20"/>
                <w:szCs w:val="20"/>
                <w:color w:val="auto"/>
              </w:rPr>
            </w:pPr>
            <w:r>
              <w:rPr>
                <w:rFonts w:ascii="Arial" w:cs="Arial" w:eastAsia="Arial" w:hAnsi="Arial"/>
                <w:sz w:val="14"/>
                <w:szCs w:val="14"/>
                <w:color w:val="auto"/>
                <w:w w:val="85"/>
              </w:rPr>
              <w:t>$40</w:t>
            </w:r>
          </w:p>
        </w:tc>
        <w:tc>
          <w:tcPr>
            <w:tcW w:w="840" w:type="dxa"/>
            <w:vAlign w:val="bottom"/>
            <w:gridSpan w:val="2"/>
            <w:shd w:val="clear" w:color="auto" w:fill="CCEEFF"/>
          </w:tcPr>
          <w:p>
            <w:pPr>
              <w:jc w:val="center"/>
              <w:ind w:left="192"/>
              <w:spacing w:after="0" w:line="138" w:lineRule="exact"/>
              <w:rPr>
                <w:sz w:val="20"/>
                <w:szCs w:val="20"/>
                <w:color w:val="auto"/>
              </w:rPr>
            </w:pPr>
            <w:r>
              <w:rPr>
                <w:rFonts w:ascii="Arial" w:cs="Arial" w:eastAsia="Arial" w:hAnsi="Arial"/>
                <w:sz w:val="14"/>
                <w:szCs w:val="14"/>
                <w:color w:val="auto"/>
                <w:w w:val="89"/>
              </w:rPr>
              <w:t>$9</w:t>
            </w:r>
          </w:p>
        </w:tc>
        <w:tc>
          <w:tcPr>
            <w:tcW w:w="840" w:type="dxa"/>
            <w:vAlign w:val="bottom"/>
            <w:gridSpan w:val="2"/>
            <w:shd w:val="clear" w:color="auto" w:fill="CCEEFF"/>
          </w:tcPr>
          <w:p>
            <w:pPr>
              <w:jc w:val="center"/>
              <w:ind w:left="172"/>
              <w:spacing w:after="0" w:line="138" w:lineRule="exact"/>
              <w:rPr>
                <w:sz w:val="20"/>
                <w:szCs w:val="20"/>
                <w:color w:val="auto"/>
              </w:rPr>
            </w:pPr>
            <w:r>
              <w:rPr>
                <w:rFonts w:ascii="Arial" w:cs="Arial" w:eastAsia="Arial" w:hAnsi="Arial"/>
                <w:sz w:val="14"/>
                <w:szCs w:val="14"/>
                <w:color w:val="auto"/>
                <w:w w:val="85"/>
              </w:rPr>
              <w:t>$23</w:t>
            </w:r>
          </w:p>
        </w:tc>
        <w:tc>
          <w:tcPr>
            <w:tcW w:w="24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Development of radio</w:t>
            </w:r>
          </w:p>
        </w:tc>
        <w:tc>
          <w:tcPr>
            <w:tcW w:w="760" w:type="dxa"/>
            <w:vAlign w:val="bottom"/>
            <w:gridSpan w:val="2"/>
            <w:shd w:val="clear" w:color="auto" w:fill="CCEEFF"/>
          </w:tcPr>
          <w:p>
            <w:pPr>
              <w:jc w:val="center"/>
              <w:ind w:left="172"/>
              <w:spacing w:after="0" w:line="138" w:lineRule="exact"/>
              <w:rPr>
                <w:sz w:val="20"/>
                <w:szCs w:val="20"/>
                <w:color w:val="auto"/>
              </w:rPr>
            </w:pPr>
            <w:r>
              <w:rPr>
                <w:rFonts w:ascii="Arial" w:cs="Arial" w:eastAsia="Arial" w:hAnsi="Arial"/>
                <w:sz w:val="14"/>
                <w:szCs w:val="14"/>
                <w:color w:val="auto"/>
                <w:w w:val="85"/>
              </w:rPr>
              <w:t>24%</w:t>
            </w:r>
          </w:p>
        </w:tc>
        <w:tc>
          <w:tcPr>
            <w:tcW w:w="920" w:type="dxa"/>
            <w:vAlign w:val="bottom"/>
            <w:gridSpan w:val="2"/>
            <w:shd w:val="clear" w:color="auto" w:fill="CCEEFF"/>
          </w:tcPr>
          <w:p>
            <w:pPr>
              <w:jc w:val="center"/>
              <w:ind w:left="192"/>
              <w:spacing w:after="0" w:line="138" w:lineRule="exact"/>
              <w:rPr>
                <w:sz w:val="20"/>
                <w:szCs w:val="20"/>
                <w:color w:val="auto"/>
              </w:rPr>
            </w:pPr>
            <w:r>
              <w:rPr>
                <w:rFonts w:ascii="Arial" w:cs="Arial" w:eastAsia="Arial" w:hAnsi="Arial"/>
                <w:sz w:val="14"/>
                <w:szCs w:val="14"/>
                <w:color w:val="auto"/>
                <w:w w:val="88"/>
              </w:rPr>
              <w:t>$9/485</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$6/390</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center"/>
              <w:ind w:right="72"/>
              <w:spacing w:after="0" w:line="138" w:lineRule="exact"/>
              <w:rPr>
                <w:sz w:val="20"/>
                <w:szCs w:val="20"/>
                <w:color w:val="auto"/>
              </w:rPr>
            </w:pPr>
            <w:r>
              <w:rPr>
                <w:rFonts w:ascii="Arial" w:cs="Arial" w:eastAsia="Arial" w:hAnsi="Arial"/>
                <w:sz w:val="14"/>
                <w:szCs w:val="14"/>
                <w:color w:val="auto"/>
                <w:w w:val="89"/>
              </w:rPr>
              <w:t>2004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 Inc.</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quarter</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frequency wireless local</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engineer</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0"/>
              </w:rPr>
              <w:t>engineer</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3"/>
              </w:rPr>
              <w:t>2003</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area networking multi-</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2"/>
              </w:rPr>
              <w:t>months</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7"/>
              </w:rPr>
              <w:t>months</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band/multi-mode radios</w:t>
            </w: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gridSpan w:val="9"/>
          </w:tcPr>
          <w:p>
            <w:pPr>
              <w:ind w:left="1240"/>
              <w:spacing w:after="0"/>
              <w:rPr>
                <w:sz w:val="20"/>
                <w:szCs w:val="20"/>
                <w:color w:val="auto"/>
              </w:rPr>
            </w:pPr>
            <w:r>
              <w:rPr>
                <w:rFonts w:ascii="Arial" w:cs="Arial" w:eastAsia="Arial" w:hAnsi="Arial"/>
                <w:sz w:val="14"/>
                <w:szCs w:val="14"/>
                <w:b w:val="1"/>
                <w:bCs w:val="1"/>
                <w:color w:val="auto"/>
                <w:w w:val="95"/>
              </w:rPr>
              <w:t xml:space="preserve">TEXAS INSTRUMENTS </w:t>
            </w:r>
            <w:r>
              <w:rPr>
                <w:rFonts w:ascii="Arial" w:cs="Arial" w:eastAsia="Arial" w:hAnsi="Arial"/>
                <w:sz w:val="14"/>
                <w:szCs w:val="14"/>
                <w:color w:val="auto"/>
                <w:w w:val="95"/>
              </w:rPr>
              <w:t>2003 ANNUAL REPORT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Income (Expense) 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5"/>
          </w:tcPr>
          <w:p>
            <w:pPr>
              <w:ind w:left="60"/>
              <w:spacing w:after="0"/>
              <w:rPr>
                <w:sz w:val="20"/>
                <w:szCs w:val="20"/>
                <w:color w:val="auto"/>
              </w:rPr>
            </w:pPr>
            <w:r>
              <w:rPr>
                <w:rFonts w:ascii="Arial" w:cs="Arial" w:eastAsia="Arial" w:hAnsi="Arial"/>
                <w:sz w:val="14"/>
                <w:szCs w:val="14"/>
                <w:b w:val="1"/>
                <w:bCs w:val="1"/>
                <w:color w:val="auto"/>
                <w:w w:val="91"/>
              </w:rPr>
              <w:t>Millions of Dollars</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$ 109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Equity investment gains (losses) net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(801)</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$ 324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0"/>
              </w:rPr>
              <w:t>(577)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-29210</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investment gains (losses) net in 2003 included investment gains of $203 million from the sale of Micron common stock.</w:t>
      </w:r>
    </w:p>
    <w:p>
      <w:pPr>
        <w:spacing w:after="0" w:line="15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Equity investment gains (losses) net in 2002 included investment write-downs of $808 million (including $638 million for Micron common stock and $64 million for Hynix Semiconductor Inc. global depositary shares) for declines in value judged to be other-than-temporary. Other income (expense) net included $64 million for the reversal of interest expense due to the resolution of open tax items.</w:t>
      </w:r>
    </w:p>
    <w:p>
      <w:pPr>
        <w:spacing w:after="0" w:line="12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Equity investment gains (losses) net in 2001 included gains of $91 million from the sale of several equity investments, partially offset by investment write-downs of $80 million for declines in value judged to be other-than-temporary.</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Other income (expense) net includes lease income from the purchaser of the Defense Systems &amp; Electronics business divested in 1997. The noncancelable amount of future lease payments to be received through 2008 is $120 million. These leases contain renewal options.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has stock options outstanding to participants under the Texas Instruments 2000 Long-Term Incentive Plan and the Texas Instruments 2003 Long-Term Incentive Plan. Options are also outstanding under the 1996 Long-Term Incentive Plan and the Texas Instruments Long-Term Incentive Plan, but no further options may be granted under these plans. The company also assumed stock options granted under the Burr-Brown 1993 Stock Incentive Plan and the Radia Communications, Inc. 2000 Stock Option/Stock Issuance Plan. Unless the options are acquisition-related replacement options, the option price per share may not be less than 100 percent of the fair market value on the date of the grant. Substantially all the options have a 10-year term. Options granted subsequent to 1996 generally vest ratably over four years.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Under the 2000 Long-Term Incentive Plan, the company may grant stock options, including incentive stock options; restricted stock and restricted stock units; performance units; and other stock-based awards. The plan provides for the issuance of 120,000,000 shares of the company’s common stock; in addition, if any stock-based award under the 1996 Long-Term Incentive Plan or the Long-Term Incentive Plan terminates, then any unissued shares subject to the terminated award become available for granting awards under the 2000 Long-Term Incentive Plan. No more than 13,400,000 shares of common stock may be awarded as restricted stock, restricted stock units or other stock-based awards under the plan.</w:t>
      </w:r>
    </w:p>
    <w:p>
      <w:pPr>
        <w:spacing w:after="0" w:line="102"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color w:val="auto"/>
        </w:rPr>
        <w:t>Under the 2003 Long-Term Incentive Plan, which the TI board of directors adopted in January 2003, the company may grant stock options (other than incentive stock options), restricted stock and restricted stock units, performance units, and other stock-based awards to non-management employees. The plan provides for the issuance of 240,000,000 shares of the company’s common stock. Executive officers and approximately 400 managers are ineligible to receive awards under the plan.</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22</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43" w:name="page44"/>
    <w:bookmarkEnd w:id="43"/>
    <w:p>
      <w:pPr>
        <w:ind w:right="2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also has stock options outstanding under the TI Employees 2002 Stock Purchase Plan. The plan provides for options to be offered semiannually to all eligible employees in amounts based on a percentage of the employee’s compensation. The option price per share is 85 percent of the fair market value on the date of grant or on the exercise date, whichever is lower. If the optionee authorizes and does not cancel payroll deductions, options granted are automatically exercised seven months after the date of grant.</w:t>
      </w:r>
    </w:p>
    <w:p>
      <w:pPr>
        <w:spacing w:after="0" w:line="13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Under the Texas Instruments Stock Option Plan for Non-Employee Directors adopted in April 1998, the company granted stock options to each non-employee director once a year, in the period beginning January 1999 and extending through January 2003. Each grant under the plan was an option to purchase 5,000 shares (10,000 shares beginning January 2001) with an option price equal to fair market value on the date of grant. In April 2003, the plan, together with the Texas Instruments Restricted Stock Unit Plan for Directors and the Texas Instruments Directors Deferred Compensation Plan, was replaced by the Texas Instruments 2003 Director Compensation Plan. Under this plan approved by stockholders in April 2003, the company may grant stock options, restricted stock units and other stock-based awards to non-employee directors, as well as issue the company’s common stock upon the distribution of stock units credited to deferred-compensation accounts established for such directors. The plan provides for the grant of a stock option to each non-employee director once a year in the period from January 2004 through 2010. Each such grant is an option to purchase 15,000 shares with an option price equal to fair market value on the date of grant. Under the plan, the company also grants 2,000 restricted stock units to each new non-employee director of the company upon the individual’s initial election or appointment to the board. The plan provides for the issuance of 2,000,000 shares of the company’s common stock.</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option and restricted stock unit transactions under the long-term incentive and director plans during 2003, 2002 and 2001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6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and Restricted</w:t>
            </w:r>
          </w:p>
        </w:tc>
        <w:tc>
          <w:tcPr>
            <w:tcW w:w="6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Stock Units</w:t>
            </w:r>
          </w:p>
        </w:tc>
        <w:tc>
          <w:tcPr>
            <w:tcW w:w="120" w:type="dxa"/>
            <w:vAlign w:val="bottom"/>
          </w:tcPr>
          <w:p>
            <w:pPr>
              <w:spacing w:after="0"/>
              <w:rPr>
                <w:sz w:val="15"/>
                <w:szCs w:val="15"/>
                <w:color w:val="auto"/>
              </w:rPr>
            </w:pPr>
          </w:p>
        </w:tc>
        <w:tc>
          <w:tcPr>
            <w:tcW w:w="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144,852,819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35,259,646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(5,471,203)</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Expired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(10,210,661)</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164,430,601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37,272,250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(3,367,438)</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Expired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(7,925,503)</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190,409,910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b w:val="1"/>
                <w:bCs w:val="1"/>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54,514,310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Forfeited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(4,338,768)</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b w:val="1"/>
                <w:bCs w:val="1"/>
                <w:color w:val="auto"/>
              </w:rPr>
              <w:t>Expired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Exercised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2"/>
              </w:rPr>
              <w:t>(12,151,445)</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228,434,007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3816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2003, 2002, and 2001, 441,000 shares, 1,339,500 shares, and 307,000 shares of restricted stock units were granted, which have a minimum vesting period of three years from date of grant (weighted-average award-date value of $17.33, $21.87, and $37.69 per share). Compensation expense for restricted stock units totaled $15 million, $10 million and $12 million in 2003, 2002 and 2001.</w:t>
      </w:r>
    </w:p>
    <w:p>
      <w:pPr>
        <w:spacing w:after="0" w:line="11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23</w:t>
      </w:r>
    </w:p>
    <w:p>
      <w:pPr>
        <w:sectPr>
          <w:pgSz w:w="11900" w:h="16838" w:orient="portrait"/>
          <w:cols w:equalWidth="0" w:num="1">
            <w:col w:w="11420"/>
          </w:cols>
          <w:pgMar w:left="240" w:top="428" w:right="239" w:bottom="1440" w:gutter="0" w:footer="0" w:header="0"/>
        </w:sectPr>
      </w:pPr>
    </w:p>
    <w:bookmarkStart w:id="44" w:name="page45"/>
    <w:bookmarkEnd w:id="44"/>
    <w:p>
      <w:pPr>
        <w:ind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accordance with the terms of APB Opinion No. 25, the company records no compensation expense for its non-acquisition-related stock option awards. As required by SFAS No. 123, the company provides the following disclosure of hypothetical values for these awards. The weighted-average grant-date value of options granted during 2003, 2002 and 2001 was estimated to be $8.06, $13.48 and $23.32 under the 2003 Long-Term Incentive Plan, the 2000 Long-Term Incentive Plan and the 1996 Long-Term Incentive Plan (Long-Term Plans) and $5.03, $5.33 and $10.72 under the TI Employees 2002 Stock Purchase Plan and its predecessor plan, the TI Employees 1997 Stock Purchase Plan (Employee Plans). These values were estimated using the Black-Scholes option-pricing model with the following weighted-average assumptions for 2003, 2002 and 2001: expected dividend yields of .52%, .33% and .20% (Long-Term Plans) and .45%, .48% and .26% (Employee Plans); expected volatility of 58%, 56% and 55% (Long-Term Plans) and 63%, 75% and 55% (Employee Plans); risk-free interest rates of</w:t>
      </w:r>
    </w:p>
    <w:p>
      <w:pPr>
        <w:ind w:right="120"/>
        <w:spacing w:after="0" w:line="253" w:lineRule="auto"/>
        <w:rPr>
          <w:sz w:val="20"/>
          <w:szCs w:val="20"/>
          <w:color w:val="auto"/>
        </w:rPr>
      </w:pPr>
      <w:r>
        <w:rPr>
          <w:rFonts w:ascii="Arial" w:cs="Arial" w:eastAsia="Arial" w:hAnsi="Arial"/>
          <w:sz w:val="18"/>
          <w:szCs w:val="18"/>
          <w:color w:val="auto"/>
        </w:rPr>
        <w:t>2.72%, 5.04% and 5.20% (Long-Term Plans) and 1.08%, 1.76% and 3.30% (Employee Plans); and expected lives of 5 years, 5 years and 6 years (Long-Term Plans) and .58 years (Employee Plans). Had compensation expense been recorded based on these hypothetical values, the net income for 2003 would have been $775 million, or income per share of $0.44 and the company’s net loss for 2002 and 2001 would have been $752 million and $510 million, or loss per share of $0.43 and $0.29. Because options vest over several years and additional option grants are expected, the effects of these hypothetical calculations are not likely to be representative of similar future calculations.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Summarized information about stock options and restricted stock units (RSUs) outstanding under the long-term incentive and director plans at December 31, 2003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180" w:type="dxa"/>
            <w:vAlign w:val="bottom"/>
            <w:gridSpan w:val="3"/>
          </w:tcPr>
          <w:p>
            <w:pPr>
              <w:ind w:left="320"/>
              <w:spacing w:after="0"/>
              <w:rPr>
                <w:sz w:val="20"/>
                <w:szCs w:val="20"/>
                <w:color w:val="auto"/>
              </w:rPr>
            </w:pPr>
            <w:r>
              <w:rPr>
                <w:rFonts w:ascii="Arial" w:cs="Arial" w:eastAsia="Arial" w:hAnsi="Arial"/>
                <w:sz w:val="14"/>
                <w:szCs w:val="14"/>
                <w:b w:val="1"/>
                <w:bCs w:val="1"/>
                <w:color w:val="auto"/>
              </w:rPr>
              <w:t>Stock Options and RSUs Outstanding</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Arial" w:cs="Arial" w:eastAsia="Arial" w:hAnsi="Arial"/>
                <w:sz w:val="14"/>
                <w:szCs w:val="14"/>
                <w:b w:val="1"/>
                <w:bCs w:val="1"/>
                <w:color w:val="auto"/>
                <w:w w:val="86"/>
              </w:rPr>
              <w:t>Stock Options Exercisable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240" w:type="dxa"/>
            <w:vAlign w:val="bottom"/>
          </w:tcPr>
          <w:p>
            <w:pPr>
              <w:spacing w:after="0"/>
              <w:rPr>
                <w:sz w:val="12"/>
                <w:szCs w:val="12"/>
                <w:color w:val="auto"/>
              </w:rPr>
            </w:pPr>
          </w:p>
        </w:tc>
        <w:tc>
          <w:tcPr>
            <w:tcW w:w="194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3"/>
              </w:rPr>
              <w:t>Average</w:t>
            </w:r>
          </w:p>
        </w:tc>
        <w:tc>
          <w:tcPr>
            <w:tcW w:w="1900" w:type="dxa"/>
            <w:vAlign w:val="bottom"/>
            <w:gridSpan w:val="4"/>
          </w:tcPr>
          <w:p>
            <w:pPr>
              <w:jc w:val="center"/>
              <w:ind w:right="1220"/>
              <w:spacing w:after="0" w:line="149" w:lineRule="exact"/>
              <w:rPr>
                <w:sz w:val="20"/>
                <w:szCs w:val="20"/>
                <w:color w:val="auto"/>
              </w:rPr>
            </w:pPr>
            <w:r>
              <w:rPr>
                <w:rFonts w:ascii="Arial" w:cs="Arial" w:eastAsia="Arial" w:hAnsi="Arial"/>
                <w:sz w:val="14"/>
                <w:szCs w:val="14"/>
                <w:b w:val="1"/>
                <w:bCs w:val="1"/>
                <w:color w:val="auto"/>
                <w:w w:val="88"/>
              </w:rPr>
              <w:t>Weighted-</w:t>
            </w:r>
          </w:p>
        </w:tc>
        <w:tc>
          <w:tcPr>
            <w:tcW w:w="22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0"/>
              </w:rPr>
              <w:t>Number</w:t>
            </w:r>
          </w:p>
        </w:tc>
        <w:tc>
          <w:tcPr>
            <w:tcW w:w="20" w:type="dxa"/>
            <w:vAlign w:val="bottom"/>
          </w:tcPr>
          <w:p>
            <w:pPr>
              <w:spacing w:after="0"/>
              <w:rPr>
                <w:sz w:val="12"/>
                <w:szCs w:val="12"/>
                <w:color w:val="auto"/>
              </w:rPr>
            </w:pPr>
          </w:p>
        </w:tc>
        <w:tc>
          <w:tcPr>
            <w:tcW w:w="6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3"/>
              </w:rPr>
              <w:t>Range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240" w:type="dxa"/>
            <w:vAlign w:val="bottom"/>
          </w:tcPr>
          <w:p>
            <w:pPr>
              <w:spacing w:after="0"/>
              <w:rPr>
                <w:sz w:val="12"/>
                <w:szCs w:val="12"/>
                <w:color w:val="auto"/>
              </w:rPr>
            </w:pPr>
          </w:p>
        </w:tc>
        <w:tc>
          <w:tcPr>
            <w:tcW w:w="194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180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6"/>
              </w:rPr>
              <w:t>Average</w:t>
            </w:r>
          </w:p>
        </w:tc>
        <w:tc>
          <w:tcPr>
            <w:tcW w:w="22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at Dec. 31,</w:t>
            </w:r>
          </w:p>
        </w:tc>
        <w:tc>
          <w:tcPr>
            <w:tcW w:w="124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2"/>
                <w:szCs w:val="12"/>
                <w:color w:val="auto"/>
              </w:rPr>
            </w:pPr>
          </w:p>
        </w:tc>
        <w:tc>
          <w:tcPr>
            <w:tcW w:w="180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6"/>
              </w:rPr>
              <w:t>at Dec.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84"/>
              </w:rPr>
              <w:t>Share Prices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240" w:type="dxa"/>
            <w:vAlign w:val="bottom"/>
          </w:tcPr>
          <w:p>
            <w:pPr>
              <w:spacing w:after="0"/>
              <w:rPr>
                <w:sz w:val="15"/>
                <w:szCs w:val="15"/>
                <w:color w:val="auto"/>
              </w:rPr>
            </w:pPr>
          </w:p>
        </w:tc>
        <w:tc>
          <w:tcPr>
            <w:tcW w:w="19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8"/>
              </w:rPr>
              <w:t>Life</w:t>
            </w:r>
          </w:p>
        </w:tc>
        <w:tc>
          <w:tcPr>
            <w:tcW w:w="190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w w:val="88"/>
              </w:rPr>
              <w:t>Share 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220" w:type="dxa"/>
            <w:vAlign w:val="bottom"/>
          </w:tcPr>
          <w:p>
            <w:pPr>
              <w:spacing w:after="0"/>
              <w:rPr>
                <w:sz w:val="15"/>
                <w:szCs w:val="15"/>
                <w:color w:val="auto"/>
              </w:rPr>
            </w:pPr>
          </w:p>
        </w:tc>
        <w:tc>
          <w:tcPr>
            <w:tcW w:w="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Share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w w:val="95"/>
              </w:rPr>
              <w:t>0.00 to 16.00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59,125,468</w:t>
            </w:r>
          </w:p>
        </w:tc>
        <w:tc>
          <w:tcPr>
            <w:tcW w:w="1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 years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55,663,135</w:t>
            </w:r>
          </w:p>
        </w:tc>
        <w:tc>
          <w:tcPr>
            <w:tcW w:w="1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3"/>
          </w:tcPr>
          <w:p>
            <w:pPr>
              <w:jc w:val="right"/>
              <w:ind w:right="1260"/>
              <w:spacing w:after="0"/>
              <w:rPr>
                <w:sz w:val="20"/>
                <w:szCs w:val="20"/>
                <w:color w:val="auto"/>
              </w:rPr>
            </w:pPr>
            <w:r>
              <w:rPr>
                <w:rFonts w:ascii="Arial" w:cs="Arial" w:eastAsia="Arial" w:hAnsi="Arial"/>
                <w:sz w:val="18"/>
                <w:szCs w:val="18"/>
                <w:color w:val="auto"/>
                <w:w w:val="86"/>
              </w:rPr>
              <w:t>16.01 to 26.00</w:t>
            </w:r>
          </w:p>
        </w:tc>
        <w:tc>
          <w:tcPr>
            <w:tcW w:w="1020" w:type="dxa"/>
            <w:vAlign w:val="bottom"/>
          </w:tcPr>
          <w:p>
            <w:pPr>
              <w:jc w:val="right"/>
              <w:spacing w:after="0"/>
              <w:rPr>
                <w:sz w:val="20"/>
                <w:szCs w:val="20"/>
                <w:color w:val="auto"/>
              </w:rPr>
            </w:pPr>
            <w:r>
              <w:rPr>
                <w:rFonts w:ascii="Arial" w:cs="Arial" w:eastAsia="Arial" w:hAnsi="Arial"/>
                <w:sz w:val="18"/>
                <w:szCs w:val="18"/>
                <w:color w:val="auto"/>
              </w:rPr>
              <w:t>80,437,174</w:t>
            </w:r>
          </w:p>
        </w:tc>
        <w:tc>
          <w:tcPr>
            <w:tcW w:w="1940" w:type="dxa"/>
            <w:vAlign w:val="bottom"/>
            <w:gridSpan w:val="2"/>
          </w:tcPr>
          <w:p>
            <w:pPr>
              <w:ind w:left="1240"/>
              <w:spacing w:after="0"/>
              <w:rPr>
                <w:sz w:val="20"/>
                <w:szCs w:val="20"/>
                <w:color w:val="auto"/>
              </w:rPr>
            </w:pPr>
            <w:r>
              <w:rPr>
                <w:rFonts w:ascii="Arial" w:cs="Arial" w:eastAsia="Arial" w:hAnsi="Arial"/>
                <w:sz w:val="18"/>
                <w:szCs w:val="18"/>
                <w:color w:val="auto"/>
              </w:rPr>
              <w:t>7.8</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19.33</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24,952,841</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w w:val="86"/>
              </w:rPr>
              <w:t>26.01 to 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53,853,332</w:t>
            </w:r>
          </w:p>
        </w:tc>
        <w:tc>
          <w:tcPr>
            <w:tcW w:w="19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7.7</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24,207,584</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gridSpan w:val="3"/>
          </w:tcPr>
          <w:p>
            <w:pPr>
              <w:jc w:val="right"/>
              <w:ind w:right="1260"/>
              <w:spacing w:after="0"/>
              <w:rPr>
                <w:sz w:val="20"/>
                <w:szCs w:val="20"/>
                <w:color w:val="auto"/>
              </w:rPr>
            </w:pPr>
            <w:r>
              <w:rPr>
                <w:rFonts w:ascii="Arial" w:cs="Arial" w:eastAsia="Arial" w:hAnsi="Arial"/>
                <w:sz w:val="18"/>
                <w:szCs w:val="18"/>
                <w:color w:val="auto"/>
                <w:w w:val="86"/>
              </w:rPr>
              <w:t>50.01 to 84.32</w:t>
            </w:r>
          </w:p>
        </w:tc>
        <w:tc>
          <w:tcPr>
            <w:tcW w:w="1020" w:type="dxa"/>
            <w:vAlign w:val="bottom"/>
          </w:tcPr>
          <w:p>
            <w:pPr>
              <w:jc w:val="right"/>
              <w:spacing w:after="0"/>
              <w:rPr>
                <w:sz w:val="20"/>
                <w:szCs w:val="20"/>
                <w:color w:val="auto"/>
              </w:rPr>
            </w:pPr>
            <w:r>
              <w:rPr>
                <w:rFonts w:ascii="Arial" w:cs="Arial" w:eastAsia="Arial" w:hAnsi="Arial"/>
                <w:sz w:val="18"/>
                <w:szCs w:val="18"/>
                <w:color w:val="auto"/>
              </w:rPr>
              <w:t>35,018,033</w:t>
            </w:r>
          </w:p>
        </w:tc>
        <w:tc>
          <w:tcPr>
            <w:tcW w:w="1940" w:type="dxa"/>
            <w:vAlign w:val="bottom"/>
            <w:gridSpan w:val="2"/>
          </w:tcPr>
          <w:p>
            <w:pPr>
              <w:ind w:left="1240"/>
              <w:spacing w:after="0"/>
              <w:rPr>
                <w:sz w:val="20"/>
                <w:szCs w:val="20"/>
                <w:color w:val="auto"/>
              </w:rPr>
            </w:pPr>
            <w:r>
              <w:rPr>
                <w:rFonts w:ascii="Arial" w:cs="Arial" w:eastAsia="Arial" w:hAnsi="Arial"/>
                <w:sz w:val="18"/>
                <w:szCs w:val="18"/>
                <w:color w:val="auto"/>
              </w:rPr>
              <w:t>6.5</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54.18</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22,224,477</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w w:val="95"/>
              </w:rPr>
              <w:t>0.00 to 84.32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228,434,007</w:t>
            </w:r>
          </w:p>
        </w:tc>
        <w:tc>
          <w:tcPr>
            <w:tcW w:w="1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 years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127,048,037</w:t>
            </w:r>
          </w:p>
        </w:tc>
        <w:tc>
          <w:tcPr>
            <w:tcW w:w="1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564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645" cy="2984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42418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December 31, 2003, the stock options outstanding under the TI Employees 2002 Stock Purchase Plan have an exercise price of $20.28 per share or 85% of the fair market value of the company’s common stock on April 1, 2004 (the date of automatic exercise), whichever is lower. Of the total outstanding options, none were exercisable at year-end 2003.</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24</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8"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stock purchase plan transactions during 2003, 2002 and 2001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Employee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Stock</w:t>
            </w:r>
          </w:p>
        </w:tc>
        <w:tc>
          <w:tcPr>
            <w:tcW w:w="62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Purchase</w:t>
            </w:r>
          </w:p>
        </w:tc>
        <w:tc>
          <w:tcPr>
            <w:tcW w:w="6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Plan</w:t>
            </w:r>
          </w:p>
        </w:tc>
        <w:tc>
          <w:tcPr>
            <w:tcW w:w="6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80" w:type="dxa"/>
            <w:vAlign w:val="bottom"/>
          </w:tcPr>
          <w:p>
            <w:pPr>
              <w:spacing w:after="0"/>
              <w:rPr>
                <w:sz w:val="15"/>
                <w:szCs w:val="15"/>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5"/>
                <w:szCs w:val="15"/>
                <w:color w:val="auto"/>
              </w:rPr>
            </w:pPr>
          </w:p>
        </w:tc>
        <w:tc>
          <w:tcPr>
            <w:tcW w:w="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1,103,436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4,509,074*</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(770,142)</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(3,182,703)</w:t>
            </w: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1,659,665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5,330,427*</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(537,504)</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(3,604,121)</w:t>
            </w: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2,848,467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b w:val="1"/>
                <w:bCs w:val="1"/>
                <w:color w:val="auto"/>
              </w:rPr>
              <w:t>Granted</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6,468,277*</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Forfeited</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(449,163)</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b w:val="1"/>
                <w:bCs w:val="1"/>
                <w:color w:val="auto"/>
              </w:rPr>
              <w:t>Exercised</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(6,220,699)</w:t>
            </w: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2,646,882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3816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7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options offered but not granted.</w:t>
      </w:r>
    </w:p>
    <w:p>
      <w:pPr>
        <w:spacing w:after="0" w:line="13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Stock option and employee stock purchase plan exercises includes previously unissued shares and treasury shares of 113,939 and 18,258,205; 34,833 and 11,494,791; and 7,049,648 and 6,343,716; for 2003, 2002 and 2001.</w:t>
      </w:r>
    </w:p>
    <w:p>
      <w:pPr>
        <w:spacing w:after="0" w:line="118"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At year-end 2003, 283,113,542 shares were available for future grants under the long-term incentive plans and Director Compensation Plan, and 11,132,419 shares under the TI Employees 2002 Stock Purchase Plan. As of year-end 2003, 511,606,876 shares were reserved for issuance under the company’s long-term incentive plans and Director Compensation Plan, and 13,779,301 shares were reserved for issuance under the TI Employees 2002 Stock Purchase Plan.</w:t>
      </w:r>
    </w:p>
    <w:p>
      <w:pPr>
        <w:spacing w:after="0" w:line="7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2001, the TI board of directors approved the current stock repurchase program authorizing the purchase of up to 17 million shares of the company’s common stock. In 2002 and 2003, the board authorized an additional 14 million and 18 million shares for repurchase under this program. The repurchases are intended to neutralize the potential dilutive effect of shares expected to be issued upon the exercise of stock options under the company’s long-term incentive plans and Employee Plans. Treasury shares acquired in connection with the repurchase program and other stock transactions in 2003, 2002 and 2001 were 13,916,779 shares, 14,922,210 shares and 11,554,324 shares. Previously unissued common shares issued for restricted stock units under the 1996 Long-Term Incentive Plan and predecessor long-term incentive plans in 2003, 2002 and 2001 were 108,619 shares, 32,733 shares and 100,000 shares. Treasury shares issued upon exercise of restricted stock units issued under the Texas Instruments Restricted Stock Unit Plan for Directors in 2003, 2002 and 2001 were 22,880 shares, zero shares and 22,880 shares. Treasury shares issued upon exercise of stock options issued under the Texas Instruments Stock Option Plan for Non-employee Directors in 2003, 2002 and 2001 were zero shares, zero shares and 10,000 shares.</w:t>
      </w:r>
    </w:p>
    <w:p>
      <w:pPr>
        <w:spacing w:after="0" w:line="9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25</w:t>
      </w:r>
    </w:p>
    <w:p>
      <w:pPr>
        <w:sectPr>
          <w:pgSz w:w="11900" w:h="16838" w:orient="portrait"/>
          <w:cols w:equalWidth="0" w:num="1">
            <w:col w:w="11420"/>
          </w:cols>
          <w:pgMar w:left="240" w:top="42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and Incentive Plans</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provides various retirement plans for employees including pension, savings, deferred profit sharing and retiree health care plans. Incentive plans provide for profit sharing payments and annual performance awards.</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Certain profit-sharing plans worldwide provide that, depending on the individual plan, a portion of the profit sharing earned by employees may be contributed to a deferred plan. Several investment options are made available to employees for deferred amounts, including TI common stock. While the board of directors of the company has authorized the issuance of 36.9 million shares of previously unissued TI common shares for deferred profit sharing and savings plans worldwide, none has been issued in the three years ended December 31, 2003. Instead, the trustees of these plans worldwide have purchased outstanding TI common stock shares to fund the requirements of these plans: 12.3 million shares in 2003, 12.6 million shares in 2002 and 16.8 million shares in 2001.</w:t>
      </w:r>
    </w:p>
    <w:p>
      <w:pPr>
        <w:spacing w:after="0" w:line="8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U.S. Retirement Plans:</w:t>
      </w:r>
      <w:r>
        <w:rPr>
          <w:rFonts w:ascii="Arial" w:cs="Arial" w:eastAsia="Arial" w:hAnsi="Arial"/>
          <w:sz w:val="16"/>
          <w:szCs w:val="16"/>
          <w:color w:val="auto"/>
        </w:rPr>
        <w:t xml:space="preserve"> The company provides a defined contribution plan whereby the company contributes 2 percent of an employee’s earnings, and a matched savings program whereby an employee’s contribution, up to 4 percent of the employee’s earnings, is matched by the company in cash at a dollar-per-dollar rate. The contributions may be invested at the employee’s discretion in several investment funds, including a TI common stock fund. At December 31, 2003 and 2002, in accordance with the election of employees, TI’s U.S. defined contribution plan held shares of TI common stock totaling 66 million shares and 69 million shares valued at $1925 million and $1043 million. Dividends received on these shares for 2003 and 2002 totaled $6 million and $6 million.</w:t>
      </w:r>
    </w:p>
    <w:p>
      <w:pPr>
        <w:spacing w:after="0" w:line="102"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In lieu of the defined contribution plan described above, most U.S. employees hired prior to December 1, 1997, elected during a 1997 selection period to remain in a prior TI plan. In that plan the company provides a matched savings program whereby an employee’s contribution, up to 4 percent of the employee’s earnings (subject to statutory limitations), is matched by the company in cash at the rate of 50 cents per dollar. Available investments are the same as above. The prior TI plan also includes a defined benefit plan with benefits based on an employee’s years of service and highest five consecutive years of compensation.</w:t>
      </w:r>
    </w:p>
    <w:p>
      <w:pPr>
        <w:spacing w:after="0" w:line="8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company’s aggregate expense for U.S. employees under the defined contribution and matched savings plans was $50 million in 2003, $46 million in 2002 and $51 million in 2001.</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Effective January 1, 2001, new U.S. employees are responsible for the cost of medical benefits during retirement. Employees hired prior to January 1, 2001, are currently eligible to receive, during retirement, specified company-paid medical benefits. The plan is contributory and premiums are adjusted annually. For employees retiring on or after January 5, 1993, the company has specified a maximum annual amount per retiree, based on years of service, that it will pay toward retiree medical premiums. For employees who retired prior to that date, the company maintains a consistent level of cost sharing between the company and the retiree. Employees hired between January 1, 1998, and December 31, 2000, are eligible for retiree medical benefits when they reach 20 years of service, regardless of age. For a 15-year transition period, employees hired prior to 1998 qualify for eligibility under either the 20-year rule or the previous requirement, which was based upon retirement eligibility under the defined benefit pension plan. Coverage eligibility is only available at termination, i.e., no subsequent election to participate is allowable.</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December 2003, the Medicare Prescription Drug, Improvement and Modernization Act of 2003 was signed into law. The new federal prescription drug benefit becomes effective in 2006. In response to the act, a Financial Staff Position (FSP) was issued. FASB Staff Position FAS No. 106-1 permits a sponsor of a postretirement health care plan that provides a prescription drug benefit to either include the effects of the act in its year-end disclosures or defer the inclusion of the effect of the act in its disclosures until authoritative guidance is issued or until a significant event occurs that ordinarily would call for remeasurement of a plan’s assets and obligations. Because authoritative guidance has not been issued and the impact to the plan is unknown (e.g., actuarial equivalency and any required plan amendments have not been determined), the company has elected to defer the recognition of the impact in its year 2003 financial statements.</w:t>
      </w:r>
    </w:p>
    <w:p>
      <w:pPr>
        <w:spacing w:after="0" w:line="98"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360"/>
          </w:cols>
          <w:pgMar w:left="240" w:top="422" w:right="29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 of the U.S. defined benefit and retiree health care benefit plans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5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6"/>
          </w:tcPr>
          <w:p>
            <w:pPr>
              <w:spacing w:after="0"/>
              <w:rPr>
                <w:sz w:val="20"/>
                <w:szCs w:val="20"/>
                <w:color w:val="auto"/>
              </w:rPr>
            </w:pPr>
            <w:r>
              <w:rPr>
                <w:rFonts w:ascii="Arial" w:cs="Arial" w:eastAsia="Arial" w:hAnsi="Arial"/>
                <w:sz w:val="14"/>
                <w:szCs w:val="14"/>
                <w:b w:val="1"/>
                <w:bCs w:val="1"/>
                <w:color w:val="auto"/>
              </w:rPr>
              <w:t>Millions of Dollars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Defined Benefit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Retiree Health Care</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8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2003</w:t>
            </w:r>
          </w:p>
        </w:tc>
        <w:tc>
          <w:tcPr>
            <w:tcW w:w="4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2002</w:t>
            </w:r>
          </w:p>
        </w:tc>
        <w:tc>
          <w:tcPr>
            <w:tcW w:w="4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2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$ 28</w:t>
            </w:r>
          </w:p>
        </w:tc>
        <w:tc>
          <w:tcPr>
            <w:tcW w:w="80" w:type="dxa"/>
            <w:vAlign w:val="bottom"/>
            <w:shd w:val="clear" w:color="auto" w:fill="CCEEFF"/>
          </w:tcPr>
          <w:p>
            <w:pPr>
              <w:spacing w:after="0"/>
              <w:rPr>
                <w:sz w:val="18"/>
                <w:szCs w:val="18"/>
                <w:color w:val="auto"/>
              </w:rPr>
            </w:pPr>
          </w:p>
        </w:tc>
        <w:tc>
          <w:tcPr>
            <w:tcW w:w="4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Interest cost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5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w:t>
            </w:r>
          </w:p>
        </w:tc>
        <w:tc>
          <w:tcPr>
            <w:tcW w:w="3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7"/>
              </w:rPr>
              <w:t>(19)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(21)</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5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 obligation</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7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25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2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$ 52</w:t>
            </w:r>
          </w:p>
        </w:tc>
        <w:tc>
          <w:tcPr>
            <w:tcW w:w="80" w:type="dxa"/>
            <w:vAlign w:val="bottom"/>
            <w:shd w:val="clear" w:color="auto" w:fill="CCEEFF"/>
          </w:tcPr>
          <w:p>
            <w:pPr>
              <w:spacing w:after="0"/>
              <w:rPr>
                <w:sz w:val="18"/>
                <w:szCs w:val="18"/>
                <w:color w:val="auto"/>
              </w:rPr>
            </w:pPr>
          </w:p>
        </w:tc>
        <w:tc>
          <w:tcPr>
            <w:tcW w:w="4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25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5273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159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3873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25273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2730" cy="29845"/>
                    </a:xfrm>
                    <a:prstGeom prst="rect">
                      <a:avLst/>
                    </a:prstGeom>
                    <a:noFill/>
                  </pic:spPr>
                </pic:pic>
              </a:graphicData>
            </a:graphic>
          </wp:anchor>
        </w:drawing>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Settlement gains (losses) and curtailment gains (losses) of the U.S. defined benefit plan recognized in 2003, 2002 and 2001 were $(4) million and $(1) million; $(5) million and zero; and $2 million and $1 million. There were no settlement or curtailment gains (losses) in 2003, 2002 and 2001 for the retiree health care benefit plan. For the U.S. defined benefit plan, the cost of special termination benefits recognized in 2003, 2002 and 2001 was $3 million, zero and $33 million. For the retiree health care benefit plan, the cost of special termination benefits recognized in 2003, 2002 and 2001 was $3 million, zero, and $18 million. The special termination benefits recognized in 2003 were related to the Semiconductor and Sensors &amp; Controls restructuring actions and the special termination benefits recognized in 2001 were related to an enhanced voluntary retirement offering.</w:t>
      </w:r>
    </w:p>
    <w:p>
      <w:pPr>
        <w:spacing w:after="0" w:line="9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27</w:t>
      </w:r>
    </w:p>
    <w:p>
      <w:pPr>
        <w:sectPr>
          <w:pgSz w:w="11900" w:h="16838" w:orient="portrait"/>
          <w:cols w:equalWidth="0" w:num="1">
            <w:col w:w="11420"/>
          </w:cols>
          <w:pgMar w:left="240" w:top="428"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 and asset data for the U.S. defined benefit and retiree health care benefit plans at December 31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97"/>
              </w:rPr>
              <w:t>Millions of Dollars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22"/>
                <w:szCs w:val="22"/>
                <w:color w:val="auto"/>
              </w:rPr>
            </w:pPr>
          </w:p>
        </w:tc>
        <w:tc>
          <w:tcPr>
            <w:tcW w:w="14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2"/>
              </w:rPr>
              <w:t>Retiree Health Care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2003</w:t>
            </w:r>
          </w:p>
        </w:tc>
        <w:tc>
          <w:tcPr>
            <w:tcW w:w="6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$ 699</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613</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Participants’ contributions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9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amendments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Curtailments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termination benefit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Employer contribution</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9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(253)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0"/>
              </w:rPr>
              <w:t>(161)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Unrecognized net actuarial loss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prior service cost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Accrued U.S. retirement costs at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$ 106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the balance sheet consist of:</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Accrued retirement, noncurrent</w:t>
            </w:r>
          </w:p>
        </w:tc>
        <w:tc>
          <w:tcPr>
            <w:tcW w:w="9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w w:val="89"/>
              </w:rPr>
              <w:t>$ (19)</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(177)</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benefit cost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Intangible asset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$ 106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-1161415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-1161415</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-1161415</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-1161415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-1161415</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-1161415</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-1161415</wp:posOffset>
            </wp:positionV>
            <wp:extent cx="30416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-1161415</wp:posOffset>
            </wp:positionV>
            <wp:extent cx="30416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698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159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28</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8" w:right="239" w:bottom="1440" w:gutter="0" w:footer="0" w:header="0"/>
        </w:sectPr>
      </w:pPr>
    </w:p>
    <w:bookmarkStart w:id="49" w:name="page50"/>
    <w:bookmarkEnd w:id="49"/>
    <w:p>
      <w:pPr>
        <w:jc w:val="both"/>
        <w:ind w:right="24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December 31, 2003, the accumulated benefit obligations for all U.S. defined benefit pension plans were $642 million. All the defined benefit pension plans had projected benefit obligations in excess of plan assets. For the defined benefit pension plans with an accumulated benefit obligation in excess of plan assets, the projected benefit obligations were $26 million, the accumulated benefit obligations were $19 million and the fair value of plan assets were zero.</w:t>
      </w:r>
    </w:p>
    <w:p>
      <w:pPr>
        <w:spacing w:after="0" w:line="7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At December 31, 2002, the accumulated benefit obligations for all U.S. defined benefit pension plans were $585 million. All the defined benefit pension plans had projected benefit obligations in excess of plan assets. For the defined benefit pension plans with an accumulated benefit obligation in excess of plan assets, the projected benefit obligations were $699 million, the accumulated benefit obligations were $585 million and the fair value of plan assets were $446 million.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Retiree Health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780" w:type="dxa"/>
            <w:vAlign w:val="bottom"/>
            <w:gridSpan w:val="4"/>
          </w:tcPr>
          <w:p>
            <w:pPr>
              <w:ind w:left="16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5"/>
                <w:szCs w:val="15"/>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Care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3"/>
              </w:rPr>
              <w:t>2003</w:t>
            </w:r>
          </w:p>
        </w:tc>
        <w:tc>
          <w:tcPr>
            <w:tcW w:w="6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3"/>
              </w:rPr>
              <w:t>2002</w:t>
            </w:r>
          </w:p>
        </w:tc>
        <w:tc>
          <w:tcPr>
            <w:tcW w:w="5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6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benefit obligations at December 31:</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Assumed discount rate</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6.00%</w:t>
            </w:r>
          </w:p>
        </w:tc>
        <w:tc>
          <w:tcPr>
            <w:tcW w:w="880" w:type="dxa"/>
            <w:vAlign w:val="bottom"/>
            <w:gridSpan w:val="2"/>
          </w:tcPr>
          <w:p>
            <w:pPr>
              <w:spacing w:after="0"/>
              <w:rPr>
                <w:sz w:val="20"/>
                <w:szCs w:val="20"/>
                <w:color w:val="auto"/>
              </w:rPr>
            </w:pPr>
            <w:r>
              <w:rPr>
                <w:rFonts w:ascii="Arial" w:cs="Arial" w:eastAsia="Arial" w:hAnsi="Arial"/>
                <w:sz w:val="18"/>
                <w:szCs w:val="18"/>
                <w:color w:val="auto"/>
              </w:rPr>
              <w:t>6.75%</w:t>
            </w:r>
          </w:p>
        </w:tc>
        <w:tc>
          <w:tcPr>
            <w:tcW w:w="90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w w:val="90"/>
              </w:rPr>
              <w:t>6.00%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long-term pay progression</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4.35%</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4.35%</w:t>
            </w:r>
          </w:p>
        </w:tc>
        <w:tc>
          <w:tcPr>
            <w:tcW w:w="9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Weighted average assumptions used to determine net periodic pension cost at December 31:</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discount rate</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6.29%</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7.25%</w:t>
            </w: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90"/>
              </w:rPr>
              <w:t>6.29%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Assumed long-term rate of return on plan assets</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8.00%</w:t>
            </w:r>
          </w:p>
        </w:tc>
        <w:tc>
          <w:tcPr>
            <w:tcW w:w="880" w:type="dxa"/>
            <w:vAlign w:val="bottom"/>
            <w:gridSpan w:val="2"/>
          </w:tcPr>
          <w:p>
            <w:pPr>
              <w:spacing w:after="0"/>
              <w:rPr>
                <w:sz w:val="20"/>
                <w:szCs w:val="20"/>
                <w:color w:val="auto"/>
              </w:rPr>
            </w:pPr>
            <w:r>
              <w:rPr>
                <w:rFonts w:ascii="Arial" w:cs="Arial" w:eastAsia="Arial" w:hAnsi="Arial"/>
                <w:sz w:val="18"/>
                <w:szCs w:val="18"/>
                <w:color w:val="auto"/>
              </w:rPr>
              <w:t>8.00%</w:t>
            </w:r>
          </w:p>
        </w:tc>
        <w:tc>
          <w:tcPr>
            <w:tcW w:w="90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w w:val="90"/>
              </w:rPr>
              <w:t>7.55%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Assumed long-term pay progression</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4.35%</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4.35%</w:t>
            </w:r>
          </w:p>
        </w:tc>
        <w:tc>
          <w:tcPr>
            <w:tcW w:w="9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expected long-term rate of return on plan assets assumption is based upon actual historical returns, future expectations for returns for each asset class and the effect of periodic target asset allocation rebalancing. These expected results were adjusted for the payment of reasonable expenses of the plan from plan assets. The historical long-term return on the plan’s assets has exceeded 8.0% and management believes this assumption is appropriate based upon the mix of the investments and the long-term nature of the plan’s investments. The defined benefit pension plan target allocation ranges were revised by the plan’s investment committee in 2003 in order to better align them with the long-term nature of the pension plan liabilities. The transition to full compliance with these guidelines will be completed by the end of 2004. The target allocation ranges are:</w:t>
      </w:r>
    </w:p>
    <w:p>
      <w:pPr>
        <w:spacing w:after="0" w:line="11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Public and private U.S. equities</w:t>
            </w:r>
          </w:p>
        </w:tc>
        <w:tc>
          <w:tcPr>
            <w:tcW w:w="4140" w:type="dxa"/>
            <w:vAlign w:val="bottom"/>
            <w:shd w:val="clear" w:color="auto" w:fill="CCEEFF"/>
          </w:tcPr>
          <w:p>
            <w:pPr>
              <w:ind w:left="3320"/>
              <w:spacing w:after="0"/>
              <w:rPr>
                <w:sz w:val="20"/>
                <w:szCs w:val="20"/>
                <w:color w:val="auto"/>
              </w:rPr>
            </w:pPr>
            <w:r>
              <w:rPr>
                <w:rFonts w:ascii="Arial" w:cs="Arial" w:eastAsia="Arial" w:hAnsi="Arial"/>
                <w:sz w:val="18"/>
                <w:szCs w:val="18"/>
                <w:color w:val="auto"/>
                <w:w w:val="86"/>
              </w:rPr>
              <w:t>40% – 60%</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Fixed income and cash</w:t>
            </w:r>
          </w:p>
        </w:tc>
        <w:tc>
          <w:tcPr>
            <w:tcW w:w="4140" w:type="dxa"/>
            <w:vAlign w:val="bottom"/>
          </w:tcPr>
          <w:p>
            <w:pPr>
              <w:ind w:left="3320"/>
              <w:spacing w:after="0"/>
              <w:rPr>
                <w:sz w:val="20"/>
                <w:szCs w:val="20"/>
                <w:color w:val="auto"/>
              </w:rPr>
            </w:pPr>
            <w:r>
              <w:rPr>
                <w:rFonts w:ascii="Arial" w:cs="Arial" w:eastAsia="Arial" w:hAnsi="Arial"/>
                <w:sz w:val="18"/>
                <w:szCs w:val="18"/>
                <w:color w:val="auto"/>
                <w:w w:val="86"/>
              </w:rPr>
              <w:t>25% – 50%</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4140" w:type="dxa"/>
            <w:vAlign w:val="bottom"/>
            <w:shd w:val="clear" w:color="auto" w:fill="CCEEFF"/>
          </w:tcPr>
          <w:p>
            <w:pPr>
              <w:ind w:left="3320"/>
              <w:spacing w:after="0"/>
              <w:rPr>
                <w:sz w:val="20"/>
                <w:szCs w:val="20"/>
                <w:color w:val="auto"/>
              </w:rPr>
            </w:pPr>
            <w:r>
              <w:rPr>
                <w:rFonts w:ascii="Arial" w:cs="Arial" w:eastAsia="Arial" w:hAnsi="Arial"/>
                <w:sz w:val="18"/>
                <w:szCs w:val="18"/>
                <w:color w:val="auto"/>
                <w:w w:val="86"/>
              </w:rPr>
              <w:t>10% – 15%</w:t>
            </w:r>
          </w:p>
        </w:tc>
      </w:tr>
    </w:tbl>
    <w:p>
      <w:pPr>
        <w:spacing w:after="0" w:line="14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It is intended that the investments will be rebalanced when the allocation is not within the target range. Additional contributions are invested consistent with the target ranges and may be used to rebalance the portfolio. The investment allocation and individual investments are chosen with regard to the duration of the obligations of the plan. A small portion of the retiree medical plan assets are invested in an account within the pension trust and are invested in a like manner as the other pension assets. The majority of the assets in the retiree medical plan are invested in a series of Voluntary Employee Benefit Association (VEBA) trusts. For tax efficiency, the investments in the VEBAs are not rebalanced but additional contributions to the trusts may be used to rebalance the portfolio.</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 average asset allocations at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28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rPr>
              <w:t>Defined Benefit</w:t>
            </w:r>
          </w:p>
        </w:tc>
        <w:tc>
          <w:tcPr>
            <w:tcW w:w="14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7"/>
              </w:rPr>
              <w:t>Retiree Health Care</w:t>
            </w:r>
          </w:p>
        </w:tc>
      </w:tr>
      <w:tr>
        <w:trPr>
          <w:trHeight w:val="95"/>
        </w:trPr>
        <w:tc>
          <w:tcPr>
            <w:tcW w:w="42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263"/>
        </w:trPr>
        <w:tc>
          <w:tcPr>
            <w:tcW w:w="4240" w:type="dxa"/>
            <w:vAlign w:val="bottom"/>
          </w:tcPr>
          <w:p>
            <w:pPr>
              <w:spacing w:after="0"/>
              <w:rPr>
                <w:sz w:val="20"/>
                <w:szCs w:val="20"/>
                <w:color w:val="auto"/>
              </w:rPr>
            </w:pPr>
            <w:r>
              <w:rPr>
                <w:rFonts w:ascii="Arial" w:cs="Arial" w:eastAsia="Arial" w:hAnsi="Arial"/>
                <w:sz w:val="14"/>
                <w:szCs w:val="14"/>
                <w:b w:val="1"/>
                <w:bCs w:val="1"/>
                <w:color w:val="auto"/>
              </w:rPr>
              <w:t>Asset Category</w:t>
            </w:r>
          </w:p>
        </w:tc>
        <w:tc>
          <w:tcPr>
            <w:tcW w:w="406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5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2002</w:t>
            </w:r>
          </w:p>
        </w:tc>
        <w:tc>
          <w:tcPr>
            <w:tcW w:w="700" w:type="dxa"/>
            <w:vAlign w:val="bottom"/>
          </w:tcPr>
          <w:p>
            <w:pPr>
              <w:jc w:val="right"/>
              <w:ind w:right="372"/>
              <w:spacing w:after="0"/>
              <w:rPr>
                <w:sz w:val="20"/>
                <w:szCs w:val="20"/>
                <w:color w:val="auto"/>
              </w:rPr>
            </w:pPr>
            <w:r>
              <w:rPr>
                <w:rFonts w:ascii="Arial" w:cs="Arial" w:eastAsia="Arial" w:hAnsi="Arial"/>
                <w:sz w:val="14"/>
                <w:szCs w:val="14"/>
                <w:b w:val="1"/>
                <w:bCs w:val="1"/>
                <w:color w:val="auto"/>
                <w:w w:val="76"/>
              </w:rPr>
              <w:t>2003</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85788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60325</wp:posOffset>
            </wp:positionV>
            <wp:extent cx="17145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60325</wp:posOffset>
            </wp:positionV>
            <wp:extent cx="17145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60325</wp:posOffset>
            </wp:positionV>
            <wp:extent cx="17145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60325</wp:posOffset>
            </wp:positionV>
            <wp:extent cx="17145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Public and private U.S. equities</w:t>
            </w:r>
          </w:p>
        </w:tc>
        <w:tc>
          <w:tcPr>
            <w:tcW w:w="11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b w:val="1"/>
                <w:bCs w:val="1"/>
                <w:color w:val="auto"/>
              </w:rPr>
              <w:t>54%</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53%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Fixed income and cash</w:t>
            </w:r>
          </w:p>
        </w:tc>
        <w:tc>
          <w:tcPr>
            <w:tcW w:w="1160" w:type="dxa"/>
            <w:vAlign w:val="bottom"/>
            <w:gridSpan w:val="2"/>
          </w:tcPr>
          <w:p>
            <w:pPr>
              <w:jc w:val="right"/>
              <w:ind w:right="632"/>
              <w:spacing w:after="0"/>
              <w:rPr>
                <w:sz w:val="20"/>
                <w:szCs w:val="20"/>
                <w:color w:val="auto"/>
              </w:rPr>
            </w:pPr>
            <w:r>
              <w:rPr>
                <w:rFonts w:ascii="Arial" w:cs="Arial" w:eastAsia="Arial" w:hAnsi="Arial"/>
                <w:sz w:val="18"/>
                <w:szCs w:val="18"/>
                <w:b w:val="1"/>
                <w:bCs w:val="1"/>
                <w:color w:val="auto"/>
              </w:rPr>
              <w:t>26%</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30%</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45%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11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b w:val="1"/>
                <w:bCs w:val="1"/>
                <w:color w:val="auto"/>
              </w:rPr>
              <w:t>20%</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08"/>
        </w:trPr>
        <w:tc>
          <w:tcPr>
            <w:tcW w:w="7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7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b w:val="1"/>
                <w:bCs w:val="1"/>
                <w:color w:val="auto"/>
                <w:w w:val="95"/>
              </w:rPr>
              <w:t>100%</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2"/>
              </w:rPr>
              <w:t>100%</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w w:val="91"/>
              </w:rPr>
              <w:t>100%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w:t>
            </w:r>
          </w:p>
        </w:tc>
      </w:tr>
      <w:tr>
        <w:trPr>
          <w:trHeight w:val="310"/>
        </w:trPr>
        <w:tc>
          <w:tcPr>
            <w:tcW w:w="7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5"/>
          </w:tcPr>
          <w:p>
            <w:pPr>
              <w:jc w:val="right"/>
              <w:spacing w:after="0"/>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29</w:t>
            </w:r>
          </w:p>
        </w:tc>
      </w:tr>
    </w:tbl>
    <w:p>
      <w:pPr>
        <w:sectPr>
          <w:pgSz w:w="11900" w:h="16838" w:orient="portrait"/>
          <w:cols w:equalWidth="0" w:num="1">
            <w:col w:w="11420"/>
          </w:cols>
          <w:pgMar w:left="240" w:top="428" w:right="239" w:bottom="1440" w:gutter="0" w:footer="0" w:header="0"/>
        </w:sectPr>
      </w:pPr>
    </w:p>
    <w:bookmarkStart w:id="50" w:name="page51"/>
    <w:bookmarkEnd w:id="5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are no significant restrictions on the amount or nature of the investments that may be acquired or held by the plan. In addition, none of the plan assets related to the defined benefit pension plan and retiree medical plan are invested in TI common stock.</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made discretionary contributions to the defined benefit pension plan of $137 million and $100 million and to the retiree medical plan of $13 million and $14 million in 2003 and 2002. The company’s objective is to, at a minimum, fully fund the accumulated benefit obligation of the defined benefit pension plan subject to tax deductibility limits. Contributions to each plan meet or exceed minimum funding requirements, if applicable. Additional 2003 plan year contributions of approximately $50 million are expected to be made to the retirement plans in 2004.</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Assumed health care cost trend rates at December 31:</w:t>
      </w:r>
    </w:p>
    <w:p>
      <w:pPr>
        <w:spacing w:after="0" w:line="153" w:lineRule="exact"/>
        <w:rPr>
          <w:sz w:val="20"/>
          <w:szCs w:val="20"/>
          <w:color w:val="auto"/>
        </w:rPr>
      </w:pPr>
    </w:p>
    <w:p>
      <w:pPr>
        <w:jc w:val="center"/>
        <w:ind w:left="9600"/>
        <w:spacing w:after="0"/>
        <w:rPr>
          <w:sz w:val="20"/>
          <w:szCs w:val="20"/>
          <w:color w:val="auto"/>
        </w:rPr>
      </w:pPr>
      <w:r>
        <w:rPr>
          <w:rFonts w:ascii="Arial" w:cs="Arial" w:eastAsia="Arial" w:hAnsi="Arial"/>
          <w:sz w:val="14"/>
          <w:szCs w:val="14"/>
          <w:b w:val="1"/>
          <w:bCs w:val="1"/>
          <w:color w:val="auto"/>
        </w:rPr>
        <w:t>Retiree</w:t>
      </w:r>
    </w:p>
    <w:p>
      <w:pPr>
        <w:spacing w:after="0" w:line="1" w:lineRule="exact"/>
        <w:rPr>
          <w:sz w:val="20"/>
          <w:szCs w:val="20"/>
          <w:color w:val="auto"/>
        </w:rPr>
      </w:pPr>
    </w:p>
    <w:p>
      <w:pPr>
        <w:jc w:val="center"/>
        <w:ind w:left="9600"/>
        <w:spacing w:after="0"/>
        <w:rPr>
          <w:sz w:val="20"/>
          <w:szCs w:val="20"/>
          <w:color w:val="auto"/>
        </w:rPr>
      </w:pPr>
      <w:r>
        <w:rPr>
          <w:rFonts w:ascii="Arial" w:cs="Arial" w:eastAsia="Arial" w:hAnsi="Arial"/>
          <w:sz w:val="14"/>
          <w:szCs w:val="14"/>
          <w:b w:val="1"/>
          <w:bCs w:val="1"/>
          <w:color w:val="auto"/>
        </w:rPr>
        <w:t>Health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60325</wp:posOffset>
            </wp:positionV>
            <wp:extent cx="96901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5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trend rate for next year</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Attributed to less than age 65</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Attributed to age 65 or greater</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40" w:type="dxa"/>
            <w:vAlign w:val="bottom"/>
            <w:gridSpan w:val="2"/>
          </w:tcPr>
          <w:p>
            <w:pPr>
              <w:spacing w:after="0"/>
              <w:rPr>
                <w:sz w:val="20"/>
                <w:szCs w:val="20"/>
                <w:color w:val="auto"/>
              </w:rPr>
            </w:pPr>
            <w:r>
              <w:rPr>
                <w:rFonts w:ascii="Arial" w:cs="Arial" w:eastAsia="Arial" w:hAnsi="Arial"/>
                <w:sz w:val="18"/>
                <w:szCs w:val="18"/>
                <w:color w:val="auto"/>
              </w:rPr>
              <w:t>Ultimate trend rate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Year in which ultimate trend rate is reached</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Attributed to less than age 65</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Attributed to age 65 or greater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2012</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Increasing (decreasing) health care cost trend rates by one percentage point would have increased (decreased) the retiree health care benefit obligation at December 31, 2003 by $21 million/$(18) million and 2003 plan expense by $1 million/$(1) million.</w:t>
      </w:r>
    </w:p>
    <w:p>
      <w:pPr>
        <w:spacing w:after="0" w:line="118"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u w:val="single" w:color="auto"/>
          <w:color w:val="auto"/>
        </w:rPr>
        <w:t>Non-U.S. Retirement Plans</w:t>
      </w:r>
      <w:r>
        <w:rPr>
          <w:rFonts w:ascii="Arial" w:cs="Arial" w:eastAsia="Arial" w:hAnsi="Arial"/>
          <w:sz w:val="18"/>
          <w:szCs w:val="18"/>
          <w:color w:val="auto"/>
        </w:rPr>
        <w:t>: Retirement coverage for non-U.S. employees of the company is provided, to the extent deemed appropriate, through separate defined benefit and defined contribution plans. Defined retirement benefits are based on an employee’s years of service and compensation, generally during a fixed number of years immediately prior to retirement.</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2003 and 2002, in accordance with the election of employees, TI’s non-U.S. defined contribution plans held shares of TI common stock at the election of employees totaling 1.5 million shares valued at $45 million and $23 million. Dividends received on these shares for 2003 and 2002 totaled $132 thousand and $119 thousand.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Expense of the non-U.S. defined benefit plans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6"/>
              </w:rPr>
              <w:t>Millions of Dollars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80" w:type="dxa"/>
            <w:vAlign w:val="bottom"/>
          </w:tcPr>
          <w:p>
            <w:pPr>
              <w:spacing w:after="0"/>
              <w:rPr>
                <w:sz w:val="22"/>
                <w:szCs w:val="2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$ 50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Interest cost</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 obligation</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$ 81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-29210</wp:posOffset>
            </wp:positionV>
            <wp:extent cx="25273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25273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Settlement gains (losses) and curtailment gains (losses) of the non-U.S. defined benefit plans recognized in 2003, 2002 and 2001 were ($11) million and zero; zero and zero; and $(11) million and zero.</w:t>
      </w:r>
    </w:p>
    <w:p>
      <w:pPr>
        <w:spacing w:after="0" w:line="110"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8"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 and asset data for the non-U.S. defined benefit plans at September 30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Millions of Dollars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1,240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Amendments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Employer/employee contribution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Actuarial gain (loss)</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(793)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Unrecognized net actuarial loss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526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prior service cost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Unrecognized transition obligation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from September 30 to December 31</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Accrued non-U.S. retirement costs at end of year</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the balance sheet consist of:</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Accrued retirement, current</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retirement, noncurrent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(570)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Prepaid benefit cost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268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-1296670</wp:posOffset>
            </wp:positionV>
            <wp:extent cx="3556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-1296670</wp:posOffset>
            </wp:positionV>
            <wp:extent cx="3556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-27305</wp:posOffset>
            </wp:positionV>
            <wp:extent cx="3556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-27305</wp:posOffset>
            </wp:positionV>
            <wp:extent cx="3556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range of assumptions used for the non-U.S. defined benefit plans reflects the different economic environments within the various countries.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defined benefit obligations were determined at September 30 using a range of assumed discount rates of 2.25% to 5.5% for 2003 and 2002 and a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assumed average long-term pay progression rates of 3.0% to 4.5% for 2003 and 3.0% to 4.0% for 2002. The range of assumed long-term rates of return on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was 3.5% to 6.0% for 2003 and 5.0% to 6.0% for 2002. Accrued retirement at September 30, 2003 and 2002, includes projected benefit obligations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$1301 million and $1240 million, and accumulated benefit obligations of $1057 million and $1000 million, versus plan assets of $512 million and $592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plans whose accumulated benefit obligations exceed their assets.</w:t>
      </w:r>
    </w:p>
    <w:p>
      <w:pPr>
        <w:spacing w:after="0" w:line="14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31</w:t>
      </w:r>
    </w:p>
    <w:p>
      <w:pPr>
        <w:sectPr>
          <w:pgSz w:w="11900" w:h="16838" w:orient="portrait"/>
          <w:cols w:equalWidth="0" w:num="1">
            <w:col w:w="11420"/>
          </w:cols>
          <w:pgMar w:left="240" w:top="42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Restructuring 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2003, the company adopted SFAS No. 146, Accounting for Costs Associated with Exit or Disposal Activities.</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800 jobs through voluntary retirement and involuntary termination programs over the next two years, primarily in manufacturing operations at the Attleboro headquarters of the Sensors &amp; Controls business. The total cost of this restructuring action is expected to be about $60 million.</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fourth quarter of 2003, the company recorded net pretax charges of $6 million, primarily for severance and benefit costs. Of the $6 million, $5 million is included in cost of revenue and $1 million is included in selling, general and administrative expense. The total number of employees affected was 43, primarily at the Attleboro and Japan locations. As of December 31, 2003, a total of 316 employees have been terminated and total net pretax charges of $40 million have been recorded associated with this action. Payments are expected to be completed in 2005.</w:t>
      </w:r>
    </w:p>
    <w:p>
      <w:pPr>
        <w:spacing w:after="0" w:line="9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the third quarter of 2003, the company recorded net pretax charges of $8 million, primarily for severance and benefit costs. Of the $8 million, $7 million is included in cost of revenue and $1 million is included in selling, general and administrative expense. The total number of employees affected was 90, primarily at the Attleboro and Japan locations.</w:t>
      </w:r>
    </w:p>
    <w:p>
      <w:pPr>
        <w:spacing w:after="0" w:line="12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$26 million, primarily for severance and benefit costs. Of the $26 million, $22 million is included in cost of revenue and $4 million is included in selling, general and administrative expense. The total number of employees affected was 183, primarily at the Attleboro location.</w:t>
      </w:r>
    </w:p>
    <w:p>
      <w:pPr>
        <w:spacing w:after="0" w:line="12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Semiconductor Restructuring Action: Also, in the second quarter of 2003, the company announced a restructuring action that is expected to affect about 950 jobs in Semiconductor manufacturing operations in the U.S. and international locations, as those operations continue to become more productive with fewer people. The total cost of this restructuring action is expected to be about $90 million.</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fourth quarter of 2003, the company recorded net pretax charges of $7 million, primarily for severance and benefit costs. Of the $7 million, $6 million is included in cost of revenue and $1 million is included in selling, general and administrative expense. The total number of employees affected was 106, primarily at U.S. locations. As of December 31, 2003, a total of 768 employees have been terminated and total net pretax charges of $78 million have been recorded associated with this action. Payments are expected to be completed in 2004.</w:t>
      </w:r>
    </w:p>
    <w:p>
      <w:pPr>
        <w:spacing w:after="0" w:line="13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the third quarter of 2003, the company recorded net pretax charges of $48 million, primarily for severance and benefit costs. Of the $48 million, $41 million is included in cost of revenue, $6 million is included in selling, general and administrative expense, and $1 million is in research and development expense. The total number of employees affected was 553, primarily at U.S. and Japan locations.</w:t>
      </w:r>
    </w:p>
    <w:p>
      <w:pPr>
        <w:spacing w:after="0" w:line="12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$23 million, primarily for severance and benefit costs. Of the $23 million, $21 million is included in cost of revenue and $2 million is included in selling, general and administrative expense. The total number of employees affected was 109, primarily at U.S. and Germany locations.</w:t>
      </w:r>
    </w:p>
    <w:p>
      <w:pPr>
        <w:spacing w:after="0" w:line="12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Semiconductor Restructuring Action: In late 2002, the company announced a plan to involuntarily terminate about 500 employees, primarily in manufacturing operations, to align resources with market demand. In the third and fourth quarters of 2002, the company terminated 54 and 434 employees, respectively. Of the total 488 employees terminated, 450 were in U.S. locations while the remaining employees were in some of the company’s international</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32</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380"/>
          </w:cols>
          <w:pgMar w:left="240" w:top="422" w:right="279" w:bottom="1440" w:gutter="0" w:footer="0" w:header="0"/>
        </w:sectPr>
      </w:pPr>
    </w:p>
    <w:bookmarkStart w:id="53" w:name="page54"/>
    <w:bookmarkEnd w:id="53"/>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locations. The company recorded net pretax charges of $17 million for severance and benefit costs, of which $11 million was included in cost of revenue, $4 million in selling, general and administrative expense, and $2 million in research and development expense. As of December 31, 2003, all employees have been terminated and a balance of $1 million of severance and benefit costs remains to be paid. Payments are expected to be completed in 2004.</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in Santa Cruz, California; Merrimack, New Hampshire; and Tustin, California. Employees affected by this plan, primarily in manufacturing operations, totaled 5724.</w:t>
      </w:r>
    </w:p>
    <w:p>
      <w:pPr>
        <w:spacing w:after="0" w:line="13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Voluntary/Involuntary Programs in U.S.: In the first quarter of 2001, the company announced a voluntary retirement program and a plan to involuntarily terminate employees at some of its U.S. locations. Of the total 5724 affected employees, 329 were in the company’s location in Massachusetts and 2038 were in other U.S. locations, primarily in Texas. The company recorded net pretax charges of $153 million for severance and benefit costs, of which $107 million was included in cost of revenue, $48 million in selling, general and administrative expense, $1 million in research and development expense, and $3 million in other income. At year end 2002, this program was complete.</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Semiconductor Site Closings in U.S.: In the first and second quarters of 2001, the company announced a plan to consolidate certain manufacturing operations resulting in the closing of three Semiconductor facilities. Of the total 5724 affected employees, 1159 were in the company’s locations in California and New Hampshire. The company recorded net pretax charges of $88 million, of which $31 million was for severance and benefit costs, $46 million was for the acceleration of depreciation on the facilities’ assets over the remaining service life of the sites, and $11 million was for various other payments. Of the $31 million severance and benefit costs, $27 million was included in cost of revenue, and $4 million was included in selling, general and administrative expense. The remaining $57 million of charges was included in cost of revenue. One of the facilities was sold in 2001, one of the facilities was sold in 2003, and the other facility is being marketed for sale. As of December 31, 2003, all employees have been terminated, all payments are complete and no balance remains.</w:t>
      </w:r>
    </w:p>
    <w:p>
      <w:pPr>
        <w:spacing w:after="0" w:line="10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2002, the company continued to record acceleration of depreciation of $15 million on the Semiconductor facility in New Hampshire. This acceleration of depreciation was included in cost of revenue. In addition, $5 million of additional severance and benefit costs was recorded related to these facility closings. The $5 million was included in selling, general and administrative expense.</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 $48 million was included in selling, general and administrative expense, and $12 million was included in research and development expense. As of December 31, 2003, all employees have been terminated and a balance of $24 million of severance and benefit costs remains to be paid. Payments are expected to continue through 2008, of which $9 million is to be paid in 2004, $6 million in 2005, $4 million in 2006, $3 million in 2007 and $2 million in 2008.</w:t>
      </w:r>
    </w:p>
    <w:p>
      <w:pPr>
        <w:spacing w:after="0" w:line="10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Prior Actions: In years prior to 2001, actions were taken to terminate employees primarily in the company’s European locations. There were also restructuring reserves booked for the closing of a facility in Texas and for a warranty associated with the sale of the company’s software business unit. At the beginning of 2002, this reserve balance was $37 million. In 2002, the Texas facility was sold and the warranty period expired. As a result, the $8 million Texas facility reserve was reversed, the $20 million warranty reserve was reversed and $6 million of severance was paid. As of December 31, 2003, a balance of $3 million in severance and benefit costs remains to be paid. Payments are expected to be completed in 2004.</w:t>
      </w:r>
    </w:p>
    <w:p>
      <w:pPr>
        <w:spacing w:after="0" w:line="9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33</w:t>
      </w:r>
    </w:p>
    <w:p>
      <w:pPr>
        <w:sectPr>
          <w:pgSz w:w="11900" w:h="16838" w:orient="portrait"/>
          <w:cols w:equalWidth="0" w:num="1">
            <w:col w:w="11420"/>
          </w:cols>
          <w:pgMar w:left="240" w:top="42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27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27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27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Balance, Prior</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Voluntary/</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SC</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Actions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Involuntary</w:t>
            </w:r>
          </w:p>
        </w:tc>
        <w:tc>
          <w:tcPr>
            <w:tcW w:w="8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SC Site</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8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SC Site</w:t>
            </w:r>
          </w:p>
        </w:tc>
        <w:tc>
          <w:tcPr>
            <w:tcW w:w="80" w:type="dxa"/>
            <w:vAlign w:val="bottom"/>
          </w:tcPr>
          <w:p>
            <w:pPr>
              <w:spacing w:after="0"/>
              <w:rPr>
                <w:sz w:val="12"/>
                <w:szCs w:val="12"/>
                <w:color w:val="auto"/>
              </w:rPr>
            </w:pPr>
          </w:p>
        </w:tc>
        <w:tc>
          <w:tcPr>
            <w:tcW w:w="9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SC</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S&amp;C</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Primarily</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Program in</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Closings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Closings</w:t>
            </w: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Severance</w:t>
            </w:r>
          </w:p>
        </w:tc>
        <w:tc>
          <w:tcPr>
            <w:tcW w:w="3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Severance</w:t>
            </w:r>
          </w:p>
        </w:tc>
        <w:tc>
          <w:tcPr>
            <w:tcW w:w="0" w:type="dxa"/>
            <w:vAlign w:val="bottom"/>
          </w:tcPr>
          <w:p>
            <w:pPr>
              <w:spacing w:after="0"/>
              <w:rPr>
                <w:sz w:val="1"/>
                <w:szCs w:val="1"/>
                <w:color w:val="auto"/>
              </w:rPr>
            </w:pPr>
          </w:p>
        </w:tc>
      </w:tr>
      <w:tr>
        <w:trPr>
          <w:trHeight w:val="174"/>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5"/>
                <w:szCs w:val="15"/>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5"/>
                <w:szCs w:val="15"/>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Severance</w:t>
            </w:r>
          </w:p>
        </w:tc>
        <w:tc>
          <w:tcPr>
            <w:tcW w:w="140" w:type="dxa"/>
            <w:vAlign w:val="bottom"/>
          </w:tcPr>
          <w:p>
            <w:pPr>
              <w:spacing w:after="0"/>
              <w:rPr>
                <w:sz w:val="15"/>
                <w:szCs w:val="15"/>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U.S.</w:t>
            </w:r>
          </w:p>
        </w:tc>
        <w:tc>
          <w:tcPr>
            <w:tcW w:w="8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in U.S.</w:t>
            </w:r>
          </w:p>
        </w:tc>
        <w:tc>
          <w:tcPr>
            <w:tcW w:w="120" w:type="dxa"/>
            <w:vAlign w:val="bottom"/>
          </w:tcPr>
          <w:p>
            <w:pPr>
              <w:spacing w:after="0"/>
              <w:rPr>
                <w:sz w:val="15"/>
                <w:szCs w:val="15"/>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Actions</w:t>
            </w:r>
          </w:p>
        </w:tc>
        <w:tc>
          <w:tcPr>
            <w:tcW w:w="8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in U.S.</w:t>
            </w:r>
          </w:p>
        </w:tc>
        <w:tc>
          <w:tcPr>
            <w:tcW w:w="80" w:type="dxa"/>
            <w:vAlign w:val="bottom"/>
          </w:tcPr>
          <w:p>
            <w:pPr>
              <w:spacing w:after="0"/>
              <w:rPr>
                <w:sz w:val="15"/>
                <w:szCs w:val="15"/>
                <w:color w:val="auto"/>
              </w:rPr>
            </w:pPr>
          </w:p>
        </w:tc>
        <w:tc>
          <w:tcPr>
            <w:tcW w:w="9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Action</w:t>
            </w:r>
          </w:p>
        </w:tc>
        <w:tc>
          <w:tcPr>
            <w:tcW w:w="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Action</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27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20" w:type="dxa"/>
            <w:vAlign w:val="bottom"/>
            <w:shd w:val="clear" w:color="auto" w:fill="CCEEFF"/>
          </w:tcPr>
          <w:p>
            <w:pPr>
              <w:spacing w:after="0"/>
              <w:rPr>
                <w:sz w:val="11"/>
                <w:szCs w:val="11"/>
                <w:color w:val="auto"/>
              </w:rPr>
            </w:pPr>
          </w:p>
        </w:tc>
        <w:tc>
          <w:tcPr>
            <w:tcW w:w="70" w:type="dxa"/>
            <w:vAlign w:val="bottom"/>
            <w:shd w:val="clear" w:color="auto" w:fill="CCEEFF"/>
          </w:tcPr>
          <w:p>
            <w:pPr>
              <w:spacing w:after="0"/>
              <w:rPr>
                <w:sz w:val="11"/>
                <w:szCs w:val="11"/>
                <w:color w:val="auto"/>
              </w:rPr>
            </w:pPr>
          </w:p>
        </w:tc>
        <w:tc>
          <w:tcPr>
            <w:tcW w:w="27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2000</w:t>
            </w:r>
          </w:p>
        </w:tc>
        <w:tc>
          <w:tcPr>
            <w:tcW w:w="9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20" w:type="dxa"/>
            <w:vAlign w:val="bottom"/>
            <w:gridSpan w:val="3"/>
          </w:tcPr>
          <w:p>
            <w:pPr>
              <w:spacing w:after="0"/>
              <w:rPr>
                <w:sz w:val="20"/>
                <w:szCs w:val="20"/>
                <w:color w:val="auto"/>
              </w:rPr>
            </w:pPr>
            <w:r>
              <w:rPr>
                <w:rFonts w:ascii="Arial" w:cs="Arial" w:eastAsia="Arial" w:hAnsi="Arial"/>
                <w:sz w:val="14"/>
                <w:szCs w:val="14"/>
                <w:color w:val="auto"/>
              </w:rPr>
              <w:t>CHARGES:</w:t>
            </w:r>
          </w:p>
        </w:tc>
        <w:tc>
          <w:tcPr>
            <w:tcW w:w="2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27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charges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2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Non-cash write-down of fixed assets</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7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Various charges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2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DISPOSITIONS:</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payments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5"/>
              </w:rPr>
              <w:t>(258)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Non-cash write-down of fixed assets</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Various payments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Non-cash change in estimates</w:t>
            </w: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650" w:type="dxa"/>
            <w:vAlign w:val="bottom"/>
            <w:gridSpan w:val="2"/>
          </w:tcPr>
          <w:p>
            <w:pPr>
              <w:jc w:val="right"/>
              <w:ind w:right="34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27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27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20" w:type="dxa"/>
            <w:vAlign w:val="bottom"/>
            <w:shd w:val="clear" w:color="auto" w:fill="CCEEFF"/>
          </w:tcPr>
          <w:p>
            <w:pPr>
              <w:spacing w:after="0"/>
              <w:rPr>
                <w:sz w:val="11"/>
                <w:szCs w:val="11"/>
                <w:color w:val="auto"/>
              </w:rPr>
            </w:pPr>
          </w:p>
        </w:tc>
        <w:tc>
          <w:tcPr>
            <w:tcW w:w="70" w:type="dxa"/>
            <w:vAlign w:val="bottom"/>
            <w:shd w:val="clear" w:color="auto" w:fill="CCEEFF"/>
          </w:tcPr>
          <w:p>
            <w:pPr>
              <w:spacing w:after="0"/>
              <w:rPr>
                <w:sz w:val="11"/>
                <w:szCs w:val="11"/>
                <w:color w:val="auto"/>
              </w:rPr>
            </w:pPr>
          </w:p>
        </w:tc>
        <w:tc>
          <w:tcPr>
            <w:tcW w:w="27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2001</w:t>
            </w:r>
          </w:p>
        </w:tc>
        <w:tc>
          <w:tcPr>
            <w:tcW w:w="20" w:type="dxa"/>
            <w:vAlign w:val="bottom"/>
            <w:shd w:val="clear" w:color="auto" w:fill="CCEEFF"/>
          </w:tcPr>
          <w:p>
            <w:pPr>
              <w:spacing w:after="0"/>
              <w:rPr>
                <w:sz w:val="15"/>
                <w:szCs w:val="15"/>
                <w:color w:val="auto"/>
              </w:rPr>
            </w:pPr>
          </w:p>
        </w:tc>
        <w:tc>
          <w:tcPr>
            <w:tcW w:w="70" w:type="dxa"/>
            <w:vAlign w:val="bottom"/>
            <w:shd w:val="clear" w:color="auto" w:fill="CCEEFF"/>
          </w:tcPr>
          <w:p>
            <w:pPr>
              <w:spacing w:after="0"/>
              <w:rPr>
                <w:sz w:val="15"/>
                <w:szCs w:val="15"/>
                <w:color w:val="auto"/>
              </w:rPr>
            </w:pPr>
          </w:p>
        </w:tc>
        <w:tc>
          <w:tcPr>
            <w:tcW w:w="2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27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27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Severance charges</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7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Non-cash acceleration of depreciation</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2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DISPOSITIONS:</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payments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Sale of facility</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Non-cash transfer to accumulated depreciation</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Non-cash change in estimates</w:t>
            </w: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650" w:type="dxa"/>
            <w:vAlign w:val="bottom"/>
            <w:gridSpan w:val="2"/>
          </w:tcPr>
          <w:p>
            <w:pPr>
              <w:jc w:val="right"/>
              <w:ind w:right="34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27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27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20" w:type="dxa"/>
            <w:vAlign w:val="bottom"/>
            <w:shd w:val="clear" w:color="auto" w:fill="CCEEFF"/>
          </w:tcPr>
          <w:p>
            <w:pPr>
              <w:spacing w:after="0"/>
              <w:rPr>
                <w:sz w:val="11"/>
                <w:szCs w:val="11"/>
                <w:color w:val="auto"/>
              </w:rPr>
            </w:pPr>
          </w:p>
        </w:tc>
        <w:tc>
          <w:tcPr>
            <w:tcW w:w="70" w:type="dxa"/>
            <w:vAlign w:val="bottom"/>
            <w:shd w:val="clear" w:color="auto" w:fill="CCEEFF"/>
          </w:tcPr>
          <w:p>
            <w:pPr>
              <w:spacing w:after="0"/>
              <w:rPr>
                <w:sz w:val="11"/>
                <w:szCs w:val="11"/>
                <w:color w:val="auto"/>
              </w:rPr>
            </w:pPr>
          </w:p>
        </w:tc>
        <w:tc>
          <w:tcPr>
            <w:tcW w:w="27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2002</w:t>
            </w:r>
          </w:p>
        </w:tc>
        <w:tc>
          <w:tcPr>
            <w:tcW w:w="20" w:type="dxa"/>
            <w:vAlign w:val="bottom"/>
            <w:shd w:val="clear" w:color="auto" w:fill="CCEEFF"/>
          </w:tcPr>
          <w:p>
            <w:pPr>
              <w:spacing w:after="0"/>
              <w:rPr>
                <w:sz w:val="15"/>
                <w:szCs w:val="15"/>
                <w:color w:val="auto"/>
              </w:rPr>
            </w:pPr>
          </w:p>
        </w:tc>
        <w:tc>
          <w:tcPr>
            <w:tcW w:w="70" w:type="dxa"/>
            <w:vAlign w:val="bottom"/>
            <w:shd w:val="clear" w:color="auto" w:fill="CCEEFF"/>
          </w:tcPr>
          <w:p>
            <w:pPr>
              <w:spacing w:after="0"/>
              <w:rPr>
                <w:sz w:val="15"/>
                <w:szCs w:val="15"/>
                <w:color w:val="auto"/>
              </w:rPr>
            </w:pPr>
          </w:p>
        </w:tc>
        <w:tc>
          <w:tcPr>
            <w:tcW w:w="2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27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CHARGES: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27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Severance charges</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7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60" w:type="dxa"/>
            <w:vAlign w:val="bottom"/>
          </w:tcPr>
          <w:p>
            <w:pPr>
              <w:spacing w:after="0"/>
              <w:rPr>
                <w:sz w:val="12"/>
                <w:szCs w:val="12"/>
                <w:color w:val="auto"/>
              </w:rPr>
            </w:pPr>
          </w:p>
        </w:tc>
        <w:tc>
          <w:tcPr>
            <w:tcW w:w="4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acceleration of depreciation</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2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Non-cash write-down of fixed assets</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7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DISPOSITIONS: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27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Severance payments</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Non-cash transfer to accumulated</w:t>
            </w:r>
          </w:p>
        </w:tc>
        <w:tc>
          <w:tcPr>
            <w:tcW w:w="20" w:type="dxa"/>
            <w:vAlign w:val="bottom"/>
            <w:shd w:val="clear" w:color="auto" w:fill="CCEEFF"/>
          </w:tcPr>
          <w:p>
            <w:pPr>
              <w:spacing w:after="0"/>
              <w:rPr>
                <w:sz w:val="11"/>
                <w:szCs w:val="11"/>
                <w:color w:val="auto"/>
              </w:rPr>
            </w:pPr>
          </w:p>
        </w:tc>
        <w:tc>
          <w:tcPr>
            <w:tcW w:w="70" w:type="dxa"/>
            <w:vAlign w:val="bottom"/>
            <w:shd w:val="clear" w:color="auto" w:fill="CCEEFF"/>
          </w:tcPr>
          <w:p>
            <w:pPr>
              <w:spacing w:after="0"/>
              <w:rPr>
                <w:sz w:val="11"/>
                <w:szCs w:val="11"/>
                <w:color w:val="auto"/>
              </w:rPr>
            </w:pPr>
          </w:p>
        </w:tc>
        <w:tc>
          <w:tcPr>
            <w:tcW w:w="27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depreciation</w:t>
            </w:r>
          </w:p>
        </w:tc>
        <w:tc>
          <w:tcPr>
            <w:tcW w:w="2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65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Non-cash write-down of fixed assets</w:t>
            </w: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5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27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27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8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w:t>
            </w:r>
          </w:p>
        </w:tc>
        <w:tc>
          <w:tcPr>
            <w:tcW w:w="20" w:type="dxa"/>
            <w:vAlign w:val="bottom"/>
            <w:shd w:val="clear" w:color="auto" w:fill="CCEEFF"/>
          </w:tcPr>
          <w:p>
            <w:pPr>
              <w:spacing w:after="0"/>
              <w:rPr>
                <w:sz w:val="11"/>
                <w:szCs w:val="11"/>
                <w:color w:val="auto"/>
              </w:rPr>
            </w:pPr>
          </w:p>
        </w:tc>
        <w:tc>
          <w:tcPr>
            <w:tcW w:w="70" w:type="dxa"/>
            <w:vAlign w:val="bottom"/>
            <w:shd w:val="clear" w:color="auto" w:fill="CCEEFF"/>
          </w:tcPr>
          <w:p>
            <w:pPr>
              <w:spacing w:after="0"/>
              <w:rPr>
                <w:sz w:val="11"/>
                <w:szCs w:val="11"/>
                <w:color w:val="auto"/>
              </w:rPr>
            </w:pPr>
          </w:p>
        </w:tc>
        <w:tc>
          <w:tcPr>
            <w:tcW w:w="27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2003</w:t>
            </w:r>
          </w:p>
        </w:tc>
        <w:tc>
          <w:tcPr>
            <w:tcW w:w="9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27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27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-29210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-29210</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-29210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-29210</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3873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3873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Note: All charges/dispositions are cash items unless otherwise noted.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*Abbreviations</w:t>
      </w:r>
    </w:p>
    <w:p>
      <w:pPr>
        <w:ind w:left="800"/>
        <w:spacing w:after="0"/>
        <w:tabs>
          <w:tab w:leader="none" w:pos="1080" w:val="left"/>
        </w:tabs>
        <w:rPr>
          <w:sz w:val="20"/>
          <w:szCs w:val="20"/>
          <w:color w:val="auto"/>
        </w:rPr>
      </w:pPr>
      <w:r>
        <w:rPr>
          <w:rFonts w:ascii="Arial" w:cs="Arial" w:eastAsia="Arial" w:hAnsi="Arial"/>
          <w:sz w:val="14"/>
          <w:szCs w:val="14"/>
          <w:color w:val="auto"/>
        </w:rPr>
        <w:t>SC</w:t>
      </w:r>
      <w:r>
        <w:rPr>
          <w:sz w:val="20"/>
          <w:szCs w:val="20"/>
          <w:color w:val="auto"/>
        </w:rPr>
        <w:tab/>
      </w:r>
      <w:r>
        <w:rPr>
          <w:rFonts w:ascii="Arial" w:cs="Arial" w:eastAsia="Arial" w:hAnsi="Arial"/>
          <w:sz w:val="12"/>
          <w:szCs w:val="12"/>
          <w:color w:val="auto"/>
        </w:rPr>
        <w:t>= Semiconductor</w:t>
      </w:r>
    </w:p>
    <w:p>
      <w:pPr>
        <w:ind w:left="800"/>
        <w:spacing w:after="0"/>
        <w:rPr>
          <w:sz w:val="20"/>
          <w:szCs w:val="20"/>
          <w:color w:val="auto"/>
        </w:rPr>
      </w:pPr>
      <w:r>
        <w:rPr>
          <w:rFonts w:ascii="Arial" w:cs="Arial" w:eastAsia="Arial" w:hAnsi="Arial"/>
          <w:sz w:val="14"/>
          <w:szCs w:val="14"/>
          <w:color w:val="auto"/>
        </w:rPr>
        <w:t>S&amp;C = Sensors &amp; Controls</w:t>
      </w:r>
    </w:p>
    <w:p>
      <w:pPr>
        <w:spacing w:after="0" w:line="119"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and Geographic Area Data</w:t>
      </w:r>
    </w:p>
    <w:p>
      <w:pPr>
        <w:spacing w:after="0" w:line="16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Texas Instruments makes, markets and sells high-technology components and systems used in the commercial electronic and electrical equipment industry, primarily for industrial and consumer markets.</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u w:val="single" w:color="auto"/>
          <w:color w:val="auto"/>
        </w:rPr>
        <w:t>TI has three principal businesses</w:t>
      </w:r>
      <w:r>
        <w:rPr>
          <w:rFonts w:ascii="Arial" w:cs="Arial" w:eastAsia="Arial" w:hAnsi="Arial"/>
          <w:sz w:val="18"/>
          <w:szCs w:val="18"/>
          <w:color w:val="auto"/>
        </w:rPr>
        <w:t>: Semiconductor, Sensors &amp; Controls and Educational &amp; Productivity Solutions. Each of these is a business segment, with its respective financial performance detailed in this report.</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Semiconductor designs, manufactures and sells integrated circuits. Its core products include Analog integrated circuits and Digital Signal Processors (DSPs), which are used in a broad range of electronic systems. These systems include cellular telephones, personal computers, servers, communications infracture equipment, motor controls, automotive equipment and digital imaging systems such as front projectors and high-definition digital televisions. Semiconductor products are sold to original-equipment manufacturers (OEMs), original-design manufacturers (ODMs), contract manufacturers and distributors. An OEM designs and sells products under its own brand that it manufacturers in-house or has contracted to other manufacturers. An ODM designs and manufacturers products for other companies to sell under their brands. Distributors, which account for about 25 percent of TI’s Semiconductor revenue, sell TI products directly to a wide range of customers. The semiconductor market is intensely competitive and is subject to rapid technological change, pricing pressures, and the requirement of high rates of investment for research and development (R&amp;D) and for the manufacturing factories and equipment needed to produce advanced semiconductors. TI faces significant competition in each of its product lines.</w:t>
      </w:r>
    </w:p>
    <w:p>
      <w:pPr>
        <w:spacing w:after="0" w:line="10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Sensors &amp; Controls sells custom-designed sensors, controls, and radio frequency identification (RFID) systems. TI’s sensor products include pressure sensors and transducers for automotive systems (such as fuel injection and vehicle stability systems) and heating, ventilation and air conditioning equipment. TI’s control products include motor protectors, circuit breakers, arc-fault circuit protectors and thermostats for aircraft, air conditioning, appliance, lighting and industrial applications. TI’s RFID systems consist of a transponder, receiver and other components; applications include automotive security, logistics tracking, inventory control and wireless commerce at retail outlets. Typically the top supplier in targeted product areas, Sensors &amp; Controls faces strong multinational and regional competitors. The primary competitive factors in this business are product reliability, manufacturing costs and engineering expertise. The products of the business are sold to OEMs and distributors.</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Educational &amp; Productivity Solutions (E&amp;PS) is a leading supplier of graphing handheld calculators and other calculators. Technology expertise, price and an understanding of the education market are primary competitive factors in this business. TI’s principal competitors in the business are U.S.- and Japan-based companies. This business sells primarily through retailers and to schools through instructional dealers.</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Operating profits of the three principal businesses exclude the effects of restructuring charges and acquisition-related in-process R&amp;D and amortization, but include the effects of profit sharing. The results for Semiconductor include the effects of all royalty revenue from semiconductor-related cross-license agreements. Business assets are the owned or allocated assets used by each business.</w:t>
      </w:r>
    </w:p>
    <w:p>
      <w:pPr>
        <w:spacing w:after="0" w:line="12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Included in corporate activities are general corporate expenses, elimination of intersegment transactions (which are generally intended to approximate market prices), and royalty revenue from computer-related cross-license agreements. Assets of corporate activities include unallocated cash, short-term investments, noncurrent investments and deferred income taxes.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Divested activities include the historical operating results and assets of the materials portion of Sensors &amp; Controls (sold in 2000), the memory business unit of Semiconductor (sold in 1998) and other smaller divestitures.</w:t>
      </w:r>
    </w:p>
    <w:p>
      <w:pPr>
        <w:spacing w:after="0" w:line="11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35</w:t>
      </w:r>
    </w:p>
    <w:p>
      <w:pPr>
        <w:sectPr>
          <w:pgSz w:w="11900" w:h="16838" w:orient="portrait"/>
          <w:cols w:equalWidth="0" w:num="1">
            <w:col w:w="11420"/>
          </w:cols>
          <w:pgMar w:left="240" w:top="42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Millions of Dollars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ind w:left="200"/>
              <w:spacing w:after="0"/>
              <w:rPr>
                <w:sz w:val="20"/>
                <w:szCs w:val="20"/>
                <w:color w:val="auto"/>
              </w:rPr>
            </w:pPr>
            <w:r>
              <w:rPr>
                <w:rFonts w:ascii="Arial" w:cs="Arial" w:eastAsia="Arial" w:hAnsi="Arial"/>
                <w:sz w:val="18"/>
                <w:szCs w:val="18"/>
                <w:color w:val="auto"/>
              </w:rPr>
              <w:t>Trade</w:t>
            </w:r>
          </w:p>
        </w:tc>
        <w:tc>
          <w:tcPr>
            <w:tcW w:w="720" w:type="dxa"/>
            <w:vAlign w:val="bottom"/>
            <w:gridSpan w:val="8"/>
          </w:tcPr>
          <w:p>
            <w:pPr>
              <w:jc w:val="right"/>
              <w:ind w:right="80"/>
              <w:spacing w:after="0"/>
              <w:rPr>
                <w:sz w:val="20"/>
                <w:szCs w:val="20"/>
                <w:color w:val="auto"/>
              </w:rPr>
            </w:pPr>
            <w:r>
              <w:rPr>
                <w:rFonts w:ascii="Arial" w:cs="Arial" w:eastAsia="Arial" w:hAnsi="Arial"/>
                <w:sz w:val="18"/>
                <w:szCs w:val="18"/>
                <w:b w:val="1"/>
                <w:bCs w:val="1"/>
                <w:color w:val="auto"/>
              </w:rPr>
              <w:t>$ 8,345</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$ 6,934</w:t>
            </w:r>
          </w:p>
        </w:tc>
        <w:tc>
          <w:tcPr>
            <w:tcW w:w="4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$ 6,767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Intersegment</w:t>
            </w:r>
          </w:p>
        </w:tc>
        <w:tc>
          <w:tcPr>
            <w:tcW w:w="72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w:t>
            </w: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8,360</w:t>
            </w: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ind w:left="200"/>
              <w:spacing w:after="0"/>
              <w:rPr>
                <w:sz w:val="20"/>
                <w:szCs w:val="20"/>
                <w:color w:val="auto"/>
              </w:rPr>
            </w:pPr>
            <w:r>
              <w:rPr>
                <w:rFonts w:ascii="Arial" w:cs="Arial" w:eastAsia="Arial" w:hAnsi="Arial"/>
                <w:sz w:val="18"/>
                <w:szCs w:val="18"/>
                <w:color w:val="auto"/>
              </w:rPr>
              <w:t>Trade</w:t>
            </w:r>
          </w:p>
        </w:tc>
        <w:tc>
          <w:tcPr>
            <w:tcW w:w="720" w:type="dxa"/>
            <w:vAlign w:val="bottom"/>
            <w:gridSpan w:val="8"/>
          </w:tcPr>
          <w:p>
            <w:pPr>
              <w:jc w:val="right"/>
              <w:ind w:right="80"/>
              <w:spacing w:after="0"/>
              <w:rPr>
                <w:sz w:val="20"/>
                <w:szCs w:val="20"/>
                <w:color w:val="auto"/>
              </w:rPr>
            </w:pPr>
            <w:r>
              <w:rPr>
                <w:rFonts w:ascii="Arial" w:cs="Arial" w:eastAsia="Arial" w:hAnsi="Arial"/>
                <w:sz w:val="18"/>
                <w:szCs w:val="18"/>
                <w:b w:val="1"/>
                <w:bCs w:val="1"/>
                <w:color w:val="auto"/>
              </w:rPr>
              <w:t>1,004</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954</w:t>
            </w:r>
          </w:p>
        </w:tc>
        <w:tc>
          <w:tcPr>
            <w:tcW w:w="4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Intersegment</w:t>
            </w:r>
          </w:p>
        </w:tc>
        <w:tc>
          <w:tcPr>
            <w:tcW w:w="72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w:t>
            </w: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1,009</w:t>
            </w: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3"/>
          </w:tcPr>
          <w:p>
            <w:pPr>
              <w:ind w:left="200"/>
              <w:spacing w:after="0"/>
              <w:rPr>
                <w:sz w:val="20"/>
                <w:szCs w:val="20"/>
                <w:color w:val="auto"/>
              </w:rPr>
            </w:pPr>
            <w:r>
              <w:rPr>
                <w:rFonts w:ascii="Arial" w:cs="Arial" w:eastAsia="Arial" w:hAnsi="Arial"/>
                <w:sz w:val="18"/>
                <w:szCs w:val="18"/>
                <w:color w:val="auto"/>
              </w:rPr>
              <w:t>Trade</w:t>
            </w:r>
          </w:p>
        </w:tc>
        <w:tc>
          <w:tcPr>
            <w:tcW w:w="720" w:type="dxa"/>
            <w:vAlign w:val="bottom"/>
            <w:gridSpan w:val="8"/>
          </w:tcPr>
          <w:p>
            <w:pPr>
              <w:jc w:val="right"/>
              <w:ind w:right="80"/>
              <w:spacing w:after="0"/>
              <w:rPr>
                <w:sz w:val="20"/>
                <w:szCs w:val="20"/>
                <w:color w:val="auto"/>
              </w:rPr>
            </w:pPr>
            <w:r>
              <w:rPr>
                <w:rFonts w:ascii="Arial" w:cs="Arial" w:eastAsia="Arial" w:hAnsi="Arial"/>
                <w:sz w:val="18"/>
                <w:szCs w:val="18"/>
                <w:b w:val="1"/>
                <w:bCs w:val="1"/>
                <w:color w:val="auto"/>
              </w:rPr>
              <w:t>485</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494</w:t>
            </w:r>
          </w:p>
        </w:tc>
        <w:tc>
          <w:tcPr>
            <w:tcW w:w="4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72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w:t>
            </w:r>
          </w:p>
        </w:tc>
        <w:tc>
          <w:tcPr>
            <w:tcW w:w="1300" w:type="dxa"/>
            <w:vAlign w:val="bottom"/>
            <w:gridSpan w:val="7"/>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Divested activities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$ 9,834</w:t>
            </w: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$ 8,383</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$ 8,201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Business Segment Profit (Loss)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878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6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1"/>
              </w:rPr>
              <w:t>Millions of Dollars</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gridSpan w:val="3"/>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969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$ 254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 (155)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Sensors &amp; Controls</w:t>
            </w:r>
          </w:p>
        </w:tc>
        <w:tc>
          <w:tcPr>
            <w:tcW w:w="60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251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Corporate activities</w:t>
            </w:r>
          </w:p>
        </w:tc>
        <w:tc>
          <w:tcPr>
            <w:tcW w:w="720" w:type="dxa"/>
            <w:vAlign w:val="bottom"/>
            <w:gridSpan w:val="8"/>
          </w:tcPr>
          <w:p>
            <w:pPr>
              <w:jc w:val="right"/>
              <w:ind w:right="80"/>
              <w:spacing w:after="0"/>
              <w:rPr>
                <w:sz w:val="20"/>
                <w:szCs w:val="20"/>
                <w:color w:val="auto"/>
              </w:rPr>
            </w:pPr>
            <w:r>
              <w:rPr>
                <w:rFonts w:ascii="Arial" w:cs="Arial" w:eastAsia="Arial" w:hAnsi="Arial"/>
                <w:sz w:val="18"/>
                <w:szCs w:val="18"/>
                <w:b w:val="1"/>
                <w:bCs w:val="1"/>
                <w:color w:val="auto"/>
              </w:rPr>
              <w:t>(172)</w:t>
            </w:r>
          </w:p>
        </w:tc>
        <w:tc>
          <w:tcPr>
            <w:tcW w:w="1300" w:type="dxa"/>
            <w:vAlign w:val="bottom"/>
            <w:gridSpan w:val="7"/>
          </w:tcPr>
          <w:p>
            <w:pPr>
              <w:jc w:val="right"/>
              <w:ind w:right="400"/>
              <w:spacing w:after="0"/>
              <w:rPr>
                <w:sz w:val="20"/>
                <w:szCs w:val="20"/>
                <w:color w:val="auto"/>
              </w:rPr>
            </w:pPr>
            <w:r>
              <w:rPr>
                <w:rFonts w:ascii="Arial" w:cs="Arial" w:eastAsia="Arial" w:hAnsi="Arial"/>
                <w:sz w:val="18"/>
                <w:szCs w:val="18"/>
                <w:color w:val="auto"/>
              </w:rPr>
              <w:t>(182)</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720" w:type="dxa"/>
            <w:vAlign w:val="bottom"/>
            <w:gridSpan w:val="8"/>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(47)</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of applicable profit sharing</w:t>
            </w:r>
          </w:p>
        </w:tc>
        <w:tc>
          <w:tcPr>
            <w:tcW w:w="720" w:type="dxa"/>
            <w:vAlign w:val="bottom"/>
            <w:gridSpan w:val="8"/>
            <w:vMerge w:val="continue"/>
            <w:shd w:val="clear" w:color="auto" w:fill="CCEEFF"/>
          </w:tcPr>
          <w:p>
            <w:pPr>
              <w:spacing w:after="0"/>
              <w:rPr>
                <w:sz w:val="19"/>
                <w:szCs w:val="19"/>
                <w:color w:val="auto"/>
              </w:rPr>
            </w:pPr>
          </w:p>
        </w:tc>
        <w:tc>
          <w:tcPr>
            <w:tcW w:w="1300" w:type="dxa"/>
            <w:vAlign w:val="bottom"/>
            <w:gridSpan w:val="7"/>
            <w:shd w:val="clear" w:color="auto" w:fill="CCEEFF"/>
          </w:tcPr>
          <w:p>
            <w:pPr>
              <w:jc w:val="right"/>
              <w:ind w:right="400"/>
              <w:spacing w:after="0"/>
              <w:rPr>
                <w:sz w:val="20"/>
                <w:szCs w:val="20"/>
                <w:color w:val="auto"/>
              </w:rPr>
            </w:pPr>
            <w:r>
              <w:rPr>
                <w:rFonts w:ascii="Arial" w:cs="Arial" w:eastAsia="Arial" w:hAnsi="Arial"/>
                <w:sz w:val="18"/>
                <w:szCs w:val="18"/>
                <w:color w:val="auto"/>
              </w:rPr>
              <w:t>(772)</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Interest on loans/other income (expense) net, excluding 2003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ind w:left="200"/>
              <w:spacing w:after="0"/>
              <w:rPr>
                <w:sz w:val="20"/>
                <w:szCs w:val="20"/>
                <w:color w:val="auto"/>
              </w:rPr>
            </w:pPr>
            <w:r>
              <w:rPr>
                <w:rFonts w:ascii="Arial" w:cs="Arial" w:eastAsia="Arial" w:hAnsi="Arial"/>
                <w:sz w:val="18"/>
                <w:szCs w:val="18"/>
                <w:color w:val="auto"/>
              </w:rPr>
              <w:t>net gains of $193, 2002 net charges of $620 and 2001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ind w:left="200"/>
              <w:spacing w:after="0"/>
              <w:rPr>
                <w:sz w:val="20"/>
                <w:szCs w:val="20"/>
                <w:color w:val="auto"/>
              </w:rPr>
            </w:pPr>
            <w:r>
              <w:rPr>
                <w:rFonts w:ascii="Arial" w:cs="Arial" w:eastAsia="Arial" w:hAnsi="Arial"/>
                <w:sz w:val="18"/>
                <w:szCs w:val="18"/>
                <w:color w:val="auto"/>
              </w:rPr>
              <w:t>net gains of $11 included above in (Charges)/gains and</w:t>
            </w:r>
          </w:p>
        </w:tc>
        <w:tc>
          <w:tcPr>
            <w:tcW w:w="600" w:type="dxa"/>
            <w:vAlign w:val="bottom"/>
            <w:gridSpan w:val="6"/>
            <w:vMerge w:val="restart"/>
          </w:tcPr>
          <w:p>
            <w:pPr>
              <w:jc w:val="right"/>
              <w:ind w:right="20"/>
              <w:spacing w:after="0"/>
              <w:rPr>
                <w:sz w:val="20"/>
                <w:szCs w:val="20"/>
                <w:color w:val="auto"/>
              </w:rPr>
            </w:pPr>
            <w:r>
              <w:rPr>
                <w:rFonts w:ascii="Arial" w:cs="Arial" w:eastAsia="Arial" w:hAnsi="Arial"/>
                <w:sz w:val="18"/>
                <w:szCs w:val="18"/>
                <w:b w:val="1"/>
                <w:bCs w:val="1"/>
                <w:color w:val="auto"/>
              </w:rPr>
              <w:t>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3"/>
          </w:tcPr>
          <w:p>
            <w:pPr>
              <w:ind w:left="200"/>
              <w:spacing w:after="0"/>
              <w:rPr>
                <w:sz w:val="20"/>
                <w:szCs w:val="20"/>
                <w:color w:val="auto"/>
              </w:rPr>
            </w:pPr>
            <w:r>
              <w:rPr>
                <w:rFonts w:ascii="Arial" w:cs="Arial" w:eastAsia="Arial" w:hAnsi="Arial"/>
                <w:sz w:val="18"/>
                <w:szCs w:val="18"/>
                <w:color w:val="auto"/>
              </w:rPr>
              <w:t>acquisition-related amortization</w:t>
            </w:r>
          </w:p>
        </w:tc>
        <w:tc>
          <w:tcPr>
            <w:tcW w:w="600" w:type="dxa"/>
            <w:vAlign w:val="bottom"/>
            <w:gridSpan w:val="6"/>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7"/>
          </w:tcPr>
          <w:p>
            <w:pPr>
              <w:jc w:val="right"/>
              <w:ind w:right="400"/>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Divested activities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$ 1,250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ind w:right="400"/>
              <w:spacing w:after="0"/>
              <w:rPr>
                <w:sz w:val="20"/>
                <w:szCs w:val="20"/>
                <w:color w:val="auto"/>
              </w:rPr>
            </w:pPr>
            <w:r>
              <w:rPr>
                <w:rFonts w:ascii="Arial" w:cs="Arial" w:eastAsia="Arial" w:hAnsi="Arial"/>
                <w:sz w:val="18"/>
                <w:szCs w:val="18"/>
                <w:color w:val="auto"/>
              </w:rPr>
              <w:t>$ (346)</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 (426)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60" w:type="dxa"/>
            <w:vAlign w:val="bottom"/>
            <w:gridSpan w:val="3"/>
            <w:vMerge w:val="restart"/>
          </w:tcPr>
          <w:p>
            <w:pPr>
              <w:ind w:left="440"/>
              <w:spacing w:after="0"/>
              <w:rPr>
                <w:sz w:val="20"/>
                <w:szCs w:val="20"/>
                <w:color w:val="auto"/>
              </w:rPr>
            </w:pPr>
            <w:r>
              <w:rPr>
                <w:rFonts w:ascii="Arial" w:cs="Arial" w:eastAsia="Arial" w:hAnsi="Arial"/>
                <w:sz w:val="18"/>
                <w:szCs w:val="18"/>
                <w:color w:val="auto"/>
              </w:rPr>
              <w:t>Details of (charges) and gains are as follows:</w:t>
            </w: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7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87"/>
              </w:rPr>
              <w:t>Millions of Dollars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3"/>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6"/>
              </w:rPr>
              <w:t>2003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3"/>
          </w:tcPr>
          <w:p>
            <w:pPr>
              <w:spacing w:after="0"/>
              <w:rPr>
                <w:sz w:val="8"/>
                <w:szCs w:val="8"/>
                <w:color w:val="auto"/>
              </w:rPr>
            </w:pPr>
          </w:p>
        </w:tc>
        <w:tc>
          <w:tcPr>
            <w:tcW w:w="56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Sensors &amp; Controls restructuring action</w:t>
            </w:r>
          </w:p>
        </w:tc>
        <w:tc>
          <w:tcPr>
            <w:tcW w:w="58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4"/>
              </w:rPr>
              <w:t>$ (40)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ind w:right="56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Semiconductor restructuring actions</w:t>
            </w:r>
          </w:p>
        </w:tc>
        <w:tc>
          <w:tcPr>
            <w:tcW w:w="580" w:type="dxa"/>
            <w:vAlign w:val="bottom"/>
            <w:gridSpan w:val="5"/>
          </w:tcPr>
          <w:p>
            <w:pPr>
              <w:jc w:val="right"/>
              <w:ind w:right="72"/>
              <w:spacing w:after="0"/>
              <w:rPr>
                <w:sz w:val="20"/>
                <w:szCs w:val="20"/>
                <w:color w:val="auto"/>
              </w:rPr>
            </w:pPr>
            <w:r>
              <w:rPr>
                <w:rFonts w:ascii="Arial" w:cs="Arial" w:eastAsia="Arial" w:hAnsi="Arial"/>
                <w:sz w:val="18"/>
                <w:szCs w:val="18"/>
                <w:b w:val="1"/>
                <w:bCs w:val="1"/>
                <w:color w:val="auto"/>
              </w:rPr>
              <w:t>(78)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Micron common stock</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Redemption of convertible debt</w:t>
            </w:r>
          </w:p>
        </w:tc>
        <w:tc>
          <w:tcPr>
            <w:tcW w:w="580" w:type="dxa"/>
            <w:vAlign w:val="bottom"/>
            <w:gridSpan w:val="5"/>
          </w:tcPr>
          <w:p>
            <w:pPr>
              <w:jc w:val="right"/>
              <w:ind w:right="72"/>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Write-down of Micron common stock investment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Semiconductor site closings in U.S.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Reversal of warranty reserve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Voluntary/involuntary program in U.S.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International restructuring actions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Acquisition-related amortization</w:t>
            </w:r>
          </w:p>
        </w:tc>
        <w:tc>
          <w:tcPr>
            <w:tcW w:w="580" w:type="dxa"/>
            <w:vAlign w:val="bottom"/>
            <w:gridSpan w:val="5"/>
          </w:tcPr>
          <w:p>
            <w:pPr>
              <w:jc w:val="right"/>
              <w:ind w:right="72"/>
              <w:spacing w:after="0"/>
              <w:rPr>
                <w:sz w:val="20"/>
                <w:szCs w:val="20"/>
                <w:color w:val="auto"/>
              </w:rPr>
            </w:pPr>
            <w:r>
              <w:rPr>
                <w:rFonts w:ascii="Arial" w:cs="Arial" w:eastAsia="Arial" w:hAnsi="Arial"/>
                <w:sz w:val="18"/>
                <w:szCs w:val="18"/>
                <w:b w:val="1"/>
                <w:bCs w:val="1"/>
                <w:color w:val="auto"/>
              </w:rPr>
              <w:t>(99)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Purchased in-process R&amp;D charges</w:t>
            </w:r>
          </w:p>
        </w:tc>
        <w:tc>
          <w:tcPr>
            <w:tcW w:w="58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4"/>
              </w:rPr>
              <w:t>$ (47)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(772)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 (575)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-5637530</wp:posOffset>
            </wp:positionV>
            <wp:extent cx="3556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-5637530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-5637530</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-5637530</wp:posOffset>
            </wp:positionV>
            <wp:extent cx="3873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-5637530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-5637530</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-5637530</wp:posOffset>
            </wp:positionV>
            <wp:extent cx="3873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-2927985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-2927985</wp:posOffset>
            </wp:positionV>
            <wp:extent cx="215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-2927985</wp:posOffset>
            </wp:positionV>
            <wp:extent cx="3873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-2927985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-2927985</wp:posOffset>
            </wp:positionV>
            <wp:extent cx="2159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-2927985</wp:posOffset>
            </wp:positionV>
            <wp:extent cx="3873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-2927985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-2927985</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-2927985</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3873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159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36</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Assets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8"/>
          </w:tcPr>
          <w:p>
            <w:pPr>
              <w:ind w:left="100"/>
              <w:spacing w:after="0"/>
              <w:rPr>
                <w:sz w:val="20"/>
                <w:szCs w:val="20"/>
                <w:color w:val="auto"/>
              </w:rPr>
            </w:pPr>
            <w:r>
              <w:rPr>
                <w:rFonts w:ascii="Arial" w:cs="Arial" w:eastAsia="Arial" w:hAnsi="Arial"/>
                <w:sz w:val="14"/>
                <w:szCs w:val="14"/>
                <w:b w:val="1"/>
                <w:bCs w:val="1"/>
                <w:color w:val="auto"/>
                <w:w w:val="94"/>
              </w:rPr>
              <w:t>Millions of Dollars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820" w:type="dxa"/>
            <w:vAlign w:val="bottom"/>
            <w:gridSpan w:val="6"/>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7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Semiconductor</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$ 6,197</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$ 6,251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$ 6,934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Sensors &amp; Controls</w:t>
            </w:r>
          </w:p>
        </w:tc>
        <w:tc>
          <w:tcPr>
            <w:tcW w:w="820" w:type="dxa"/>
            <w:vAlign w:val="bottom"/>
            <w:gridSpan w:val="6"/>
          </w:tcPr>
          <w:p>
            <w:pPr>
              <w:jc w:val="right"/>
              <w:spacing w:after="0"/>
              <w:rPr>
                <w:sz w:val="20"/>
                <w:szCs w:val="20"/>
                <w:color w:val="auto"/>
              </w:rPr>
            </w:pPr>
            <w:r>
              <w:rPr>
                <w:rFonts w:ascii="Arial" w:cs="Arial" w:eastAsia="Arial" w:hAnsi="Arial"/>
                <w:sz w:val="18"/>
                <w:szCs w:val="18"/>
                <w:b w:val="1"/>
                <w:bCs w:val="1"/>
                <w:color w:val="auto"/>
              </w:rPr>
              <w:t>372</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Corporate activities</w:t>
            </w:r>
          </w:p>
        </w:tc>
        <w:tc>
          <w:tcPr>
            <w:tcW w:w="820" w:type="dxa"/>
            <w:vAlign w:val="bottom"/>
            <w:gridSpan w:val="6"/>
          </w:tcPr>
          <w:p>
            <w:pPr>
              <w:jc w:val="right"/>
              <w:spacing w:after="0"/>
              <w:rPr>
                <w:sz w:val="20"/>
                <w:szCs w:val="20"/>
                <w:color w:val="auto"/>
              </w:rPr>
            </w:pPr>
            <w:r>
              <w:rPr>
                <w:rFonts w:ascii="Arial" w:cs="Arial" w:eastAsia="Arial" w:hAnsi="Arial"/>
                <w:sz w:val="18"/>
                <w:szCs w:val="18"/>
                <w:b w:val="1"/>
                <w:bCs w:val="1"/>
                <w:color w:val="auto"/>
              </w:rPr>
              <w:t>8,844</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7,949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$ 15,510</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$ 14,679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$ 15,779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7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Business Segment Property, Plant and Equipment Additions and Depreciation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874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92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8"/>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7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Additions</w:t>
            </w: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740" w:type="dxa"/>
            <w:vAlign w:val="bottom"/>
            <w:gridSpan w:val="5"/>
            <w:vMerge w:val="continue"/>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Semiconductor</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$ 724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$ 1,699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Sensors &amp; Controls</w:t>
            </w:r>
          </w:p>
        </w:tc>
        <w:tc>
          <w:tcPr>
            <w:tcW w:w="460" w:type="dxa"/>
            <w:vAlign w:val="bottom"/>
            <w:gridSpan w:val="4"/>
          </w:tcPr>
          <w:p>
            <w:pPr>
              <w:jc w:val="right"/>
              <w:spacing w:after="0"/>
              <w:rPr>
                <w:sz w:val="20"/>
                <w:szCs w:val="20"/>
                <w:color w:val="auto"/>
              </w:rPr>
            </w:pPr>
            <w:r>
              <w:rPr>
                <w:rFonts w:ascii="Arial" w:cs="Arial" w:eastAsia="Arial" w:hAnsi="Arial"/>
                <w:sz w:val="18"/>
                <w:szCs w:val="18"/>
                <w:b w:val="1"/>
                <w:bCs w:val="1"/>
                <w:color w:val="auto"/>
              </w:rPr>
              <w:t>27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Corporate activities</w:t>
            </w:r>
          </w:p>
        </w:tc>
        <w:tc>
          <w:tcPr>
            <w:tcW w:w="460" w:type="dxa"/>
            <w:vAlign w:val="bottom"/>
            <w:gridSpan w:val="4"/>
          </w:tcPr>
          <w:p>
            <w:pPr>
              <w:jc w:val="right"/>
              <w:spacing w:after="0"/>
              <w:rPr>
                <w:sz w:val="20"/>
                <w:szCs w:val="20"/>
                <w:color w:val="auto"/>
              </w:rPr>
            </w:pPr>
            <w:r>
              <w:rPr>
                <w:rFonts w:ascii="Arial" w:cs="Arial" w:eastAsia="Arial" w:hAnsi="Arial"/>
                <w:sz w:val="18"/>
                <w:szCs w:val="18"/>
                <w:b w:val="1"/>
                <w:bCs w:val="1"/>
                <w:color w:val="auto"/>
              </w:rPr>
              <w:t>49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$ 800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$ 1,790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9"/>
          </w:tcPr>
          <w:p>
            <w:pPr>
              <w:ind w:left="280"/>
              <w:spacing w:after="0"/>
              <w:rPr>
                <w:sz w:val="20"/>
                <w:szCs w:val="20"/>
                <w:color w:val="auto"/>
              </w:rPr>
            </w:pPr>
            <w:r>
              <w:rPr>
                <w:rFonts w:ascii="Arial" w:cs="Arial" w:eastAsia="Arial" w:hAnsi="Arial"/>
                <w:sz w:val="14"/>
                <w:szCs w:val="14"/>
                <w:b w:val="1"/>
                <w:bCs w:val="1"/>
                <w:color w:val="auto"/>
              </w:rPr>
              <w:t>Millions of Dollars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7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740" w:type="dxa"/>
            <w:vAlign w:val="bottom"/>
            <w:gridSpan w:val="5"/>
            <w:vMerge w:val="continue"/>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40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gridSpan w:val="4"/>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Semiconductor</w:t>
            </w:r>
          </w:p>
        </w:tc>
        <w:tc>
          <w:tcPr>
            <w:tcW w:w="820" w:type="dxa"/>
            <w:vAlign w:val="bottom"/>
            <w:gridSpan w:val="6"/>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83"/>
              </w:rPr>
              <w:t>$ 1,332</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$ 1,470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$ 1,461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Sensors &amp; Controls</w:t>
            </w:r>
          </w:p>
        </w:tc>
        <w:tc>
          <w:tcPr>
            <w:tcW w:w="820" w:type="dxa"/>
            <w:vAlign w:val="bottom"/>
            <w:gridSpan w:val="6"/>
          </w:tcPr>
          <w:p>
            <w:pPr>
              <w:jc w:val="right"/>
              <w:ind w:right="232"/>
              <w:spacing w:after="0"/>
              <w:rPr>
                <w:sz w:val="20"/>
                <w:szCs w:val="20"/>
                <w:color w:val="auto"/>
              </w:rPr>
            </w:pPr>
            <w:r>
              <w:rPr>
                <w:rFonts w:ascii="Arial" w:cs="Arial" w:eastAsia="Arial" w:hAnsi="Arial"/>
                <w:sz w:val="18"/>
                <w:szCs w:val="18"/>
                <w:b w:val="1"/>
                <w:bCs w:val="1"/>
                <w:color w:val="auto"/>
              </w:rPr>
              <w:t>37</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820" w:type="dxa"/>
            <w:vAlign w:val="bottom"/>
            <w:gridSpan w:val="6"/>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Corporate activities</w:t>
            </w:r>
          </w:p>
        </w:tc>
        <w:tc>
          <w:tcPr>
            <w:tcW w:w="820" w:type="dxa"/>
            <w:vAlign w:val="bottom"/>
            <w:gridSpan w:val="6"/>
          </w:tcPr>
          <w:p>
            <w:pPr>
              <w:jc w:val="right"/>
              <w:ind w:right="232"/>
              <w:spacing w:after="0"/>
              <w:rPr>
                <w:sz w:val="20"/>
                <w:szCs w:val="20"/>
                <w:color w:val="auto"/>
              </w:rPr>
            </w:pPr>
            <w:r>
              <w:rPr>
                <w:rFonts w:ascii="Arial" w:cs="Arial" w:eastAsia="Arial" w:hAnsi="Arial"/>
                <w:sz w:val="18"/>
                <w:szCs w:val="18"/>
                <w:b w:val="1"/>
                <w:bCs w:val="1"/>
                <w:color w:val="auto"/>
              </w:rPr>
              <w:t>59</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3"/>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auto"/>
            </w:tcBorders>
            <w:gridSpan w:val="4"/>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gridSpan w:val="6"/>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83"/>
              </w:rPr>
              <w:t>$ 1,429</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$ 1,574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$ 1,599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-3879850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-3879850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-3879850</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-3879850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-3879850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-3879850</wp:posOffset>
            </wp:positionV>
            <wp:extent cx="2159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-3879850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-3879850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-3879850</wp:posOffset>
            </wp:positionV>
            <wp:extent cx="2159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-1838960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-1838960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-1838960</wp:posOffset>
            </wp:positionV>
            <wp:extent cx="2159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-1838960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-1838960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-1838960</wp:posOffset>
            </wp:positionV>
            <wp:extent cx="2159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-1838960</wp:posOffset>
            </wp:positionV>
            <wp:extent cx="3302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302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geographic area data include trade revenue, based on product shipment destination and royalty payor location, and property, plant and equipment based on physical location: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Geographic Area Net Trade 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gridSpan w:val="4"/>
          </w:tcPr>
          <w:p>
            <w:pPr>
              <w:ind w:left="280"/>
              <w:spacing w:after="0"/>
              <w:rPr>
                <w:sz w:val="20"/>
                <w:szCs w:val="20"/>
                <w:color w:val="auto"/>
              </w:rPr>
            </w:pPr>
            <w:r>
              <w:rPr>
                <w:rFonts w:ascii="Arial" w:cs="Arial" w:eastAsia="Arial" w:hAnsi="Arial"/>
                <w:sz w:val="14"/>
                <w:szCs w:val="14"/>
                <w:b w:val="1"/>
                <w:bCs w:val="1"/>
                <w:color w:val="auto"/>
              </w:rPr>
              <w:t>Millions of Dollars</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20" w:type="dxa"/>
            <w:vAlign w:val="bottom"/>
          </w:tcPr>
          <w:p>
            <w:pPr>
              <w:spacing w:after="0"/>
              <w:rPr>
                <w:sz w:val="22"/>
                <w:szCs w:val="22"/>
                <w:color w:val="auto"/>
              </w:rPr>
            </w:pPr>
          </w:p>
        </w:tc>
        <w:tc>
          <w:tcPr>
            <w:tcW w:w="52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22"/>
                <w:szCs w:val="22"/>
                <w:color w:val="auto"/>
              </w:rPr>
            </w:pPr>
          </w:p>
        </w:tc>
        <w:tc>
          <w:tcPr>
            <w:tcW w:w="520" w:type="dxa"/>
            <w:vAlign w:val="bottom"/>
          </w:tcPr>
          <w:p>
            <w:pPr>
              <w:jc w:val="right"/>
              <w:ind w:right="3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$ 1,839</w:t>
            </w:r>
          </w:p>
        </w:tc>
        <w:tc>
          <w:tcPr>
            <w:tcW w:w="164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$ 1,941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$ 2,284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Asia-Pacific</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3,885</w:t>
            </w:r>
          </w:p>
        </w:tc>
        <w:tc>
          <w:tcPr>
            <w:tcW w:w="1640" w:type="dxa"/>
            <w:vAlign w:val="bottom"/>
            <w:gridSpan w:val="4"/>
          </w:tcPr>
          <w:p>
            <w:pPr>
              <w:jc w:val="right"/>
              <w:ind w:right="560"/>
              <w:spacing w:after="0"/>
              <w:rPr>
                <w:sz w:val="20"/>
                <w:szCs w:val="20"/>
                <w:color w:val="auto"/>
              </w:rPr>
            </w:pPr>
            <w:r>
              <w:rPr>
                <w:rFonts w:ascii="Arial" w:cs="Arial" w:eastAsia="Arial" w:hAnsi="Arial"/>
                <w:sz w:val="18"/>
                <w:szCs w:val="18"/>
                <w:color w:val="auto"/>
              </w:rPr>
              <w:t>2,935</w:t>
            </w:r>
          </w:p>
        </w:tc>
        <w:tc>
          <w:tcPr>
            <w:tcW w:w="520" w:type="dxa"/>
            <w:vAlign w:val="bottom"/>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1,962</w:t>
            </w:r>
          </w:p>
        </w:tc>
        <w:tc>
          <w:tcPr>
            <w:tcW w:w="164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1,649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Japan</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1,658</w:t>
            </w:r>
          </w:p>
        </w:tc>
        <w:tc>
          <w:tcPr>
            <w:tcW w:w="1640" w:type="dxa"/>
            <w:vAlign w:val="bottom"/>
            <w:gridSpan w:val="4"/>
          </w:tcPr>
          <w:p>
            <w:pPr>
              <w:jc w:val="right"/>
              <w:ind w:right="560"/>
              <w:spacing w:after="0"/>
              <w:rPr>
                <w:sz w:val="20"/>
                <w:szCs w:val="20"/>
                <w:color w:val="auto"/>
              </w:rPr>
            </w:pPr>
            <w:r>
              <w:rPr>
                <w:rFonts w:ascii="Arial" w:cs="Arial" w:eastAsia="Arial" w:hAnsi="Arial"/>
                <w:sz w:val="18"/>
                <w:szCs w:val="18"/>
                <w:color w:val="auto"/>
              </w:rPr>
              <w:t>1,429</w:t>
            </w:r>
          </w:p>
        </w:tc>
        <w:tc>
          <w:tcPr>
            <w:tcW w:w="520" w:type="dxa"/>
            <w:vAlign w:val="bottom"/>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164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429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$ 9,834</w:t>
            </w:r>
          </w:p>
        </w:tc>
        <w:tc>
          <w:tcPr>
            <w:tcW w:w="164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$ 8,383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$ 8,201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302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ind w:left="8020"/>
        <w:spacing w:after="0"/>
        <w:tabs>
          <w:tab w:leader="none" w:pos="1126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37</w:t>
      </w:r>
    </w:p>
    <w:p>
      <w:pPr>
        <w:sectPr>
          <w:pgSz w:w="11900" w:h="16838" w:orient="portrait"/>
          <w:cols w:equalWidth="0" w:num="1">
            <w:col w:w="11420"/>
          </w:cols>
          <w:pgMar w:left="240" w:top="42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Geographic Area Property, Plant and Equipment (Net)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Millions of Dollars</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8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520" w:type="dxa"/>
            <w:vAlign w:val="bottom"/>
          </w:tcPr>
          <w:p>
            <w:pPr>
              <w:jc w:val="right"/>
              <w:ind w:right="3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$ 2,884</w:t>
            </w: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$ 3,442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$ 3,940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Asia-Pacific</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501</w:t>
            </w: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406</w:t>
            </w:r>
          </w:p>
        </w:tc>
        <w:tc>
          <w:tcPr>
            <w:tcW w:w="520" w:type="dxa"/>
            <w:vAlign w:val="bottom"/>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450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Japan</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350</w:t>
            </w: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446</w:t>
            </w:r>
          </w:p>
        </w:tc>
        <w:tc>
          <w:tcPr>
            <w:tcW w:w="520" w:type="dxa"/>
            <w:vAlign w:val="bottom"/>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$ 4,132</w:t>
            </w: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$ 4,794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$ 5,589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-29210</wp:posOffset>
            </wp:positionV>
            <wp:extent cx="141033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4103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Major Customer</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2003 and 2002, sales to the Nokia group of companies accounted for 14% and 12% of the company’s consolidated revenue. During 2001, no customer accounted for more than 10% of the company’s revenue.</w:t>
      </w:r>
    </w:p>
    <w:p>
      <w:pPr>
        <w:spacing w:after="0" w:line="110"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38</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(Loss) before Provision (Benefit) for Income Taxes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89"/>
              </w:rPr>
              <w:t>Millions of Dollars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7"/>
              </w:rPr>
              <w:t>Non-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6"/>
          </w:tcPr>
          <w:p>
            <w:pPr>
              <w:jc w:val="right"/>
              <w:ind w:right="232"/>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7"/>
              </w:rPr>
              <w:t>U.S.</w:t>
            </w:r>
          </w:p>
        </w:tc>
        <w:tc>
          <w:tcPr>
            <w:tcW w:w="80" w:type="dxa"/>
            <w:vAlign w:val="bottom"/>
          </w:tcPr>
          <w:p>
            <w:pPr>
              <w:spacing w:after="0"/>
              <w:rPr>
                <w:sz w:val="15"/>
                <w:szCs w:val="15"/>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$ 585</w:t>
            </w:r>
          </w:p>
        </w:tc>
        <w:tc>
          <w:tcPr>
            <w:tcW w:w="8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$ 665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2002</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272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365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(426)</w:t>
            </w:r>
          </w:p>
        </w:tc>
        <w:tc>
          <w:tcPr>
            <w:tcW w:w="0" w:type="dxa"/>
            <w:vAlign w:val="bottom"/>
          </w:tcPr>
          <w:p>
            <w:pPr>
              <w:spacing w:after="0"/>
              <w:rPr>
                <w:sz w:val="1"/>
                <w:szCs w:val="1"/>
                <w:color w:val="auto"/>
              </w:rPr>
            </w:pPr>
          </w:p>
        </w:tc>
      </w:tr>
      <w:tr>
        <w:trPr>
          <w:trHeight w:val="324"/>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gridSpan w:val="12"/>
          </w:tcPr>
          <w:p>
            <w:pPr>
              <w:jc w:val="right"/>
              <w:ind w:right="540"/>
              <w:spacing w:after="0"/>
              <w:rPr>
                <w:sz w:val="20"/>
                <w:szCs w:val="20"/>
                <w:color w:val="auto"/>
              </w:rPr>
            </w:pPr>
            <w:r>
              <w:rPr>
                <w:rFonts w:ascii="Arial" w:cs="Arial" w:eastAsia="Arial" w:hAnsi="Arial"/>
                <w:sz w:val="14"/>
                <w:szCs w:val="14"/>
                <w:b w:val="1"/>
                <w:bCs w:val="1"/>
                <w:color w:val="auto"/>
                <w:w w:val="89"/>
              </w:rPr>
              <w:t>Millions of Dollars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U.S.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7"/>
              </w:rPr>
              <w:t>U.S.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Federal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1"/>
              </w:rPr>
              <w:t>State</w:t>
            </w:r>
          </w:p>
        </w:tc>
        <w:tc>
          <w:tcPr>
            <w:tcW w:w="80" w:type="dxa"/>
            <w:vAlign w:val="bottom"/>
          </w:tcPr>
          <w:p>
            <w:pPr>
              <w:spacing w:after="0"/>
              <w:rPr>
                <w:sz w:val="15"/>
                <w:szCs w:val="15"/>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(260)</w:t>
            </w:r>
          </w:p>
        </w:tc>
        <w:tc>
          <w:tcPr>
            <w:tcW w:w="700" w:type="dxa"/>
            <w:vAlign w:val="bottom"/>
            <w:gridSpan w:val="6"/>
          </w:tcPr>
          <w:p>
            <w:pPr>
              <w:jc w:val="right"/>
              <w:spacing w:after="0"/>
              <w:rPr>
                <w:sz w:val="20"/>
                <w:szCs w:val="20"/>
                <w:color w:val="auto"/>
              </w:rPr>
            </w:pPr>
            <w:r>
              <w:rPr>
                <w:rFonts w:ascii="Arial" w:cs="Arial" w:eastAsia="Arial" w:hAnsi="Arial"/>
                <w:sz w:val="18"/>
                <w:szCs w:val="18"/>
                <w:b w:val="1"/>
                <w:bCs w:val="1"/>
                <w:color w:val="auto"/>
              </w:rPr>
              <w:t>$ 233</w:t>
            </w:r>
          </w:p>
        </w:tc>
        <w:tc>
          <w:tcPr>
            <w:tcW w:w="8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2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(14)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(178)</w:t>
            </w: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$ 240</w:t>
            </w:r>
          </w:p>
        </w:tc>
        <w:tc>
          <w:tcPr>
            <w:tcW w:w="8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$ 156</w:t>
            </w:r>
          </w:p>
        </w:tc>
        <w:tc>
          <w:tcPr>
            <w:tcW w:w="8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$ 194</w:t>
            </w:r>
          </w:p>
        </w:tc>
        <w:tc>
          <w:tcPr>
            <w:tcW w:w="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2001</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$ 173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6"/>
          </w:tcPr>
          <w:p>
            <w:pPr>
              <w:jc w:val="right"/>
              <w:ind w:right="440"/>
              <w:spacing w:after="0"/>
              <w:rPr>
                <w:sz w:val="20"/>
                <w:szCs w:val="20"/>
                <w:color w:val="auto"/>
              </w:rPr>
            </w:pPr>
            <w:r>
              <w:rPr>
                <w:rFonts w:ascii="Arial" w:cs="Arial" w:eastAsia="Arial" w:hAnsi="Arial"/>
                <w:sz w:val="18"/>
                <w:szCs w:val="18"/>
                <w:color w:val="auto"/>
              </w:rPr>
              <w:t>$ —</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 (244)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$ 244</w:t>
            </w:r>
          </w:p>
        </w:tc>
        <w:tc>
          <w:tcPr>
            <w:tcW w:w="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 (225)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120" w:type="dxa"/>
            <w:vAlign w:val="bottom"/>
            <w:gridSpan w:val="2"/>
          </w:tcPr>
          <w:p>
            <w:pPr>
              <w:ind w:left="440"/>
              <w:spacing w:after="0"/>
              <w:rPr>
                <w:sz w:val="20"/>
                <w:szCs w:val="20"/>
                <w:color w:val="auto"/>
              </w:rPr>
            </w:pPr>
            <w:r>
              <w:rPr>
                <w:rFonts w:ascii="Arial" w:cs="Arial" w:eastAsia="Arial" w:hAnsi="Arial"/>
                <w:sz w:val="18"/>
                <w:szCs w:val="18"/>
                <w:color w:val="auto"/>
              </w:rPr>
              <w:t>Principal reconciling items from income tax computed at the corporate statutory rate follow:</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w w:val="89"/>
              </w:rPr>
              <w:t>Millions of Dollars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78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 at statutory rate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$ 438</w:t>
            </w:r>
          </w:p>
        </w:tc>
        <w:tc>
          <w:tcPr>
            <w:tcW w:w="8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jc w:val="right"/>
              <w:ind w:right="300"/>
              <w:spacing w:after="0"/>
              <w:rPr>
                <w:sz w:val="20"/>
                <w:szCs w:val="20"/>
                <w:color w:val="auto"/>
              </w:rPr>
            </w:pPr>
            <w:r>
              <w:rPr>
                <w:rFonts w:ascii="Arial" w:cs="Arial" w:eastAsia="Arial" w:hAnsi="Arial"/>
                <w:sz w:val="18"/>
                <w:szCs w:val="18"/>
                <w:color w:val="auto"/>
              </w:rPr>
              <w:t>$ (121)</w:t>
            </w: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 (149)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Non-deductible acquisition-related costs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6"/>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non-U.S. rates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Research and experimental tax credits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7"/>
          </w:tcPr>
          <w:p>
            <w:pPr>
              <w:jc w:val="right"/>
              <w:spacing w:after="0"/>
              <w:rPr>
                <w:sz w:val="20"/>
                <w:szCs w:val="20"/>
                <w:color w:val="auto"/>
              </w:rPr>
            </w:pPr>
            <w:r>
              <w:rPr>
                <w:rFonts w:ascii="Arial" w:cs="Arial" w:eastAsia="Arial" w:hAnsi="Arial"/>
                <w:sz w:val="18"/>
                <w:szCs w:val="18"/>
                <w:b w:val="1"/>
                <w:bCs w:val="1"/>
                <w:color w:val="auto"/>
              </w:rPr>
              <w:t>(55)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30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U.S. state income taxes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Valuation allowance for Micron investment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7"/>
          </w:tcPr>
          <w:p>
            <w:pPr>
              <w:jc w:val="right"/>
              <w:spacing w:after="0"/>
              <w:rPr>
                <w:sz w:val="20"/>
                <w:szCs w:val="20"/>
                <w:color w:val="auto"/>
              </w:rPr>
            </w:pPr>
            <w:r>
              <w:rPr>
                <w:rFonts w:ascii="Arial" w:cs="Arial" w:eastAsia="Arial" w:hAnsi="Arial"/>
                <w:sz w:val="18"/>
                <w:szCs w:val="18"/>
                <w:b w:val="1"/>
                <w:bCs w:val="1"/>
                <w:color w:val="auto"/>
              </w:rPr>
              <w:t>(223)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tax benefits on foreign sales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7"/>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4"/>
          </w:tcPr>
          <w:p>
            <w:pPr>
              <w:jc w:val="right"/>
              <w:ind w:right="3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  52</w:t>
            </w:r>
          </w:p>
        </w:tc>
        <w:tc>
          <w:tcPr>
            <w:tcW w:w="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 (225)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-4093845</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-4093845</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-4093845</wp:posOffset>
            </wp:positionV>
            <wp:extent cx="3873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-4093845</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-4093845</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-4093845</wp:posOffset>
            </wp:positionV>
            <wp:extent cx="2159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-4093845</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-4093845</wp:posOffset>
            </wp:positionV>
            <wp:extent cx="2159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-4093845</wp:posOffset>
            </wp:positionV>
            <wp:extent cx="3873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-4093845</wp:posOffset>
            </wp:positionV>
            <wp:extent cx="30416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-3236595</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-3236595</wp:posOffset>
            </wp:positionV>
            <wp:extent cx="2159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-3236595</wp:posOffset>
            </wp:positionV>
            <wp:extent cx="3873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-3236595</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-3236595</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-3236595</wp:posOffset>
            </wp:positionV>
            <wp:extent cx="2159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-3236595</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-3236595</wp:posOffset>
            </wp:positionV>
            <wp:extent cx="2159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-3236595</wp:posOffset>
            </wp:positionV>
            <wp:extent cx="3873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-3236595</wp:posOffset>
            </wp:positionV>
            <wp:extent cx="30416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-2378710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-2378710</wp:posOffset>
            </wp:positionV>
            <wp:extent cx="2159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-2378710</wp:posOffset>
            </wp:positionV>
            <wp:extent cx="3873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-2378710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-2378710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-2378710</wp:posOffset>
            </wp:positionV>
            <wp:extent cx="2159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-2378710</wp:posOffset>
            </wp:positionV>
            <wp:extent cx="25273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-2378710</wp:posOffset>
            </wp:positionV>
            <wp:extent cx="30416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3873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3873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liability. The remaining undistributed earnings (approximately $1604 million at December 31, 2003) have been indefinitely reinvested; therefore, no provision has been made for taxes due upon remittance of these earnings. Determination of the amount of unrecognized deferred tax liability on these unremitted earnings is not practicable.</w:t>
      </w:r>
    </w:p>
    <w:p>
      <w:pPr>
        <w:spacing w:after="0" w:line="12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39</w:t>
      </w:r>
    </w:p>
    <w:p>
      <w:pPr>
        <w:sectPr>
          <w:pgSz w:w="11900" w:h="16838" w:orient="portrait"/>
          <w:cols w:equalWidth="0" w:num="1">
            <w:col w:w="11420"/>
          </w:cols>
          <w:pgMar w:left="240" w:top="422" w:right="23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primary components of deferred income tax assets and liabilities at December 31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Millions of Dollars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200"/>
              <w:spacing w:after="0"/>
              <w:rPr>
                <w:sz w:val="20"/>
                <w:szCs w:val="20"/>
                <w:color w:val="auto"/>
              </w:rPr>
            </w:pPr>
            <w:r>
              <w:rPr>
                <w:rFonts w:ascii="Arial" w:cs="Arial" w:eastAsia="Arial" w:hAnsi="Arial"/>
                <w:sz w:val="18"/>
                <w:szCs w:val="18"/>
                <w:color w:val="auto"/>
              </w:rPr>
              <w:t>Accrued retirement costs (pension and retiree health care)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and related reserves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loss and tax credits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(298)</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200"/>
              <w:spacing w:after="0"/>
              <w:rPr>
                <w:sz w:val="20"/>
                <w:szCs w:val="20"/>
                <w:color w:val="auto"/>
              </w:rPr>
            </w:pPr>
            <w:r>
              <w:rPr>
                <w:rFonts w:ascii="Arial" w:cs="Arial" w:eastAsia="Arial" w:hAnsi="Arial"/>
                <w:sz w:val="18"/>
                <w:szCs w:val="18"/>
                <w:color w:val="auto"/>
              </w:rPr>
              <w:t>International earnings</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(375)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3556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of December 31, 2003 and 2002, the net deferred income tax asset of $1016 million and $1034 million was presented in the balance sheet, based on tax jurisdiction, as deferred income tax assets of $1075 million and $1163 million and deferred income tax liabilities of $59 million and $129 million. The valuation allowance shown above for 2002 primarily related to the write-down of the Micron common stock in the fourth quarter of 2002 and was recorded due to the unlikelihood of realization of the tax benefits associated with this capital loss. The company makes an ongoing assessment regarding the realization of U.S. and non-U.S. deferred tax assets. While these assets are not assured of realization, the company’s assessment is that a valuation allowance is not required for the remaining balance of the deferred tax assets. This assessment is based on the company’s evaluation of relevant criteria including the existence of (i) deferred tax liabilities that can be used to absorb deferred tax assets, (ii) taxable income in prior carryback years, and (iii) future taxable income. As a result of the sale of Micron common stock in the third and fourth quarters of 2003, $223 million of the valuation allowance was reversed in 2003.</w:t>
      </w:r>
    </w:p>
    <w:p>
      <w:pPr>
        <w:spacing w:after="0" w:line="10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aggregate U.S. and non-U.S. tax loss carryforwards of approximately $85 million. Of this amount, $83 million expires through the year 2015, and $2 million of the loss carryforwards has no expiration.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taxes paid net of (refunds) were $243 million, $(42) million and $81 million for 2003, 2002 and 2001.</w:t>
      </w:r>
    </w:p>
    <w:p>
      <w:pPr>
        <w:spacing w:after="0" w:line="149"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40</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Commitments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Leases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conducts certain operations in leased facilities and also leases a portion of its data processing and other equipment. The lease agreements frequently include purchase and renewal provisions and require the company to pay taxes, insurance and maintenance costs. Rental and lease expense was $136 million in 2003, $135 million in 2002 and $162 million in 2001.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Software Licenses</w:t>
      </w:r>
    </w:p>
    <w:p>
      <w:pPr>
        <w:spacing w:after="0" w:line="83"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The company has licenses for certain electronic design automation (EDA) software which are accounted for in accordance with Statement of Position 98-1. Capitalized EDA software licenses of $208 million and zero were included in other assets on the balance sheet at December 31, 2003 and 2002. The related liabilities are apportioned between current liabilities (accounts payable) and long-term liabilities (other liabilities) on the balance sheet.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for the EDA software licenses was $108 million in 2003, $104 million in 2002 and $96 million in 2001.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Commitments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certain purchase commitments that are for normal usage, some of which contain provisions for minimum payments.</w:t>
      </w:r>
    </w:p>
    <w:p>
      <w:pPr>
        <w:spacing w:after="0" w:line="15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At December 31, 2003, the company was committed under noncancelable leases, EDA software licenses and purchase commitments with minimum payments in succeeding years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EDA</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Operating</w:t>
            </w:r>
          </w:p>
        </w:tc>
        <w:tc>
          <w:tcPr>
            <w:tcW w:w="7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Software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w w:val="79"/>
              </w:rPr>
              <w:t>Leases</w:t>
            </w:r>
          </w:p>
        </w:tc>
        <w:tc>
          <w:tcPr>
            <w:tcW w:w="7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Licenses</w:t>
            </w:r>
          </w:p>
        </w:tc>
        <w:tc>
          <w:tcPr>
            <w:tcW w:w="780" w:type="dxa"/>
            <w:vAlign w:val="bottom"/>
          </w:tcPr>
          <w:p>
            <w:pPr>
              <w:spacing w:after="0"/>
              <w:rPr>
                <w:sz w:val="15"/>
                <w:szCs w:val="15"/>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Commitments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 is subject to various legal and administrative proceedings. Although it is not possible to predict the outcome of these matters, the company believes that the results of these proceedings will not have a material adverse effect upon its financial condition, results of operations or liquidity.</w:t>
      </w:r>
    </w:p>
    <w:p>
      <w:pPr>
        <w:spacing w:after="0" w:line="6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41</w:t>
      </w:r>
    </w:p>
    <w:p>
      <w:pPr>
        <w:sectPr>
          <w:pgSz w:w="11900" w:h="16838" w:orient="portrait"/>
          <w:cols w:equalWidth="0" w:num="1">
            <w:col w:w="11420"/>
          </w:cols>
          <w:pgMar w:left="240" w:top="422" w:right="2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Ernst &amp; Young LLP, Independent Auditors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at December 31, 2003 and 2002, and the related consolidated statements of operations, stockholders’ equity, and cash flows for each of the three years in the period ended December 31, 2003. These financial statements are the responsibility of the Company’s management. Our responsibility is to express an opinion on these financial statements based on our audits.</w:t>
      </w:r>
    </w:p>
    <w:p>
      <w:pPr>
        <w:spacing w:after="0" w:line="13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Texas Instruments Incorporated and subsidiaries at December 31, 2003 and 2002, and the results of their operations and their cash flows for each of the three years in the period ended December 31, 2003, in conformity with accounting principles generally accepted in the United States.</w:t>
      </w:r>
    </w:p>
    <w:p>
      <w:pPr>
        <w:spacing w:after="0" w:line="9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discussed in the Accounting Policies and Practices footnote to the financial statements, in 2002 the Company changed its method of accounting for goodwill and other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101600</wp:posOffset>
            </wp:positionV>
            <wp:extent cx="3001645" cy="79756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00164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42</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00"/>
          </w:cols>
          <w:pgMar w:left="240" w:top="422"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Selected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80" w:type="dxa"/>
            <w:vAlign w:val="bottom"/>
            <w:gridSpan w:val="10"/>
          </w:tcPr>
          <w:p>
            <w:pPr>
              <w:ind w:left="400"/>
              <w:spacing w:after="0"/>
              <w:rPr>
                <w:sz w:val="20"/>
                <w:szCs w:val="20"/>
                <w:color w:val="auto"/>
              </w:rPr>
            </w:pPr>
            <w:r>
              <w:rPr>
                <w:rFonts w:ascii="Arial" w:cs="Arial" w:eastAsia="Arial" w:hAnsi="Arial"/>
                <w:sz w:val="14"/>
                <w:szCs w:val="14"/>
                <w:b w:val="1"/>
                <w:bCs w:val="1"/>
                <w:color w:val="auto"/>
              </w:rPr>
              <w:t>Millions of Dollars, Except Per-share Amounts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80" w:type="dxa"/>
            <w:vAlign w:val="bottom"/>
            <w:gridSpan w:val="2"/>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22"/>
                <w:szCs w:val="2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2001</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2000</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9,834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8,869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8,783</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9,536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(loss) from operations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324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1,491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Average common and dilutive potential common shares</w:t>
            </w:r>
          </w:p>
        </w:tc>
        <w:tc>
          <w:tcPr>
            <w:tcW w:w="100" w:type="dxa"/>
            <w:vAlign w:val="bottom"/>
          </w:tcPr>
          <w:p>
            <w:pPr>
              <w:spacing w:after="0"/>
              <w:rPr>
                <w:sz w:val="18"/>
                <w:szCs w:val="18"/>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7"/>
              </w:rPr>
              <w:t>1,766,400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outstanding during year, in thousands*</w:t>
            </w:r>
          </w:p>
        </w:tc>
        <w:tc>
          <w:tcPr>
            <w:tcW w:w="1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1,733,343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1,734,506</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1,791,630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1,749,659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-1106170</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-1106170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-1106170</wp:posOffset>
            </wp:positionV>
            <wp:extent cx="2159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-1106170</wp:posOffset>
            </wp:positionV>
            <wp:extent cx="54419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-1106170</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-1106170</wp:posOffset>
            </wp:positionV>
            <wp:extent cx="2159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-1106170</wp:posOffset>
            </wp:positionV>
            <wp:extent cx="3873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-1106170</wp:posOffset>
            </wp:positionV>
            <wp:extent cx="51879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-1106170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-1106170</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-1106170</wp:posOffset>
            </wp:positionV>
            <wp:extent cx="2159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-806450</wp:posOffset>
            </wp:positionV>
            <wp:extent cx="40259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0259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-506095</wp:posOffset>
            </wp:positionV>
            <wp:extent cx="51879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-506095</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-506095</wp:posOffset>
            </wp:positionV>
            <wp:extent cx="2159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-506095</wp:posOffset>
            </wp:positionV>
            <wp:extent cx="3873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-506095</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-506095</wp:posOffset>
            </wp:positionV>
            <wp:extent cx="2159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-506095</wp:posOffset>
            </wp:positionV>
            <wp:extent cx="3873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-506095</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-506095</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-506095</wp:posOffset>
            </wp:positionV>
            <wp:extent cx="2159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-506095</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-506095</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-506095</wp:posOffset>
            </wp:positionV>
            <wp:extent cx="2159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3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the years ended December 31, 2002 and 2001, dilutive potential common shares outstanding have been excluded due to the net loss for the period.</w:t>
      </w:r>
    </w:p>
    <w:p>
      <w:pPr>
        <w:spacing w:after="0" w:line="134" w:lineRule="exact"/>
        <w:rPr>
          <w:rFonts w:ascii="Arial" w:cs="Arial" w:eastAsia="Arial" w:hAnsi="Arial"/>
          <w:sz w:val="14"/>
          <w:szCs w:val="14"/>
          <w:color w:val="auto"/>
        </w:rPr>
      </w:pPr>
    </w:p>
    <w:p>
      <w:pPr>
        <w:ind w:left="7920"/>
        <w:spacing w:after="0"/>
        <w:rPr>
          <w:rFonts w:ascii="Arial" w:cs="Arial" w:eastAsia="Arial" w:hAnsi="Arial"/>
          <w:sz w:val="14"/>
          <w:szCs w:val="14"/>
          <w:color w:val="auto"/>
        </w:rPr>
      </w:pPr>
      <w:r>
        <w:rPr>
          <w:rFonts w:ascii="Arial" w:cs="Arial" w:eastAsia="Arial" w:hAnsi="Arial"/>
          <w:sz w:val="14"/>
          <w:szCs w:val="14"/>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68580</wp:posOffset>
            </wp:positionV>
            <wp:extent cx="376491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74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2000</w:t>
            </w:r>
          </w:p>
        </w:tc>
        <w:tc>
          <w:tcPr>
            <w:tcW w:w="740" w:type="dxa"/>
            <w:vAlign w:val="bottom"/>
          </w:tcPr>
          <w:p>
            <w:pPr>
              <w:spacing w:after="0"/>
              <w:rPr>
                <w:sz w:val="15"/>
                <w:szCs w:val="15"/>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3"/>
              </w:rPr>
              <w:t>$ 5,509</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$ 4,192</w:t>
            </w:r>
          </w:p>
        </w:tc>
        <w:tc>
          <w:tcPr>
            <w:tcW w:w="16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$ 4,195</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6"/>
              </w:rPr>
              <w:t>$ 5,302</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4,132</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4,794</w:t>
            </w:r>
          </w:p>
        </w:tc>
        <w:tc>
          <w:tcPr>
            <w:tcW w:w="1600" w:type="dxa"/>
            <w:vAlign w:val="bottom"/>
            <w:gridSpan w:val="3"/>
          </w:tcPr>
          <w:p>
            <w:pPr>
              <w:jc w:val="right"/>
              <w:ind w:right="740"/>
              <w:spacing w:after="0"/>
              <w:rPr>
                <w:sz w:val="20"/>
                <w:szCs w:val="20"/>
                <w:color w:val="auto"/>
              </w:rPr>
            </w:pPr>
            <w:r>
              <w:rPr>
                <w:rFonts w:ascii="Arial" w:cs="Arial" w:eastAsia="Arial" w:hAnsi="Arial"/>
                <w:sz w:val="18"/>
                <w:szCs w:val="18"/>
                <w:color w:val="auto"/>
              </w:rPr>
              <w:t>5,589</w:t>
            </w: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5,447</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15,510</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14,679</w:t>
            </w:r>
          </w:p>
        </w:tc>
        <w:tc>
          <w:tcPr>
            <w:tcW w:w="16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15,779</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17,720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395</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833</w:t>
            </w:r>
          </w:p>
        </w:tc>
        <w:tc>
          <w:tcPr>
            <w:tcW w:w="1600" w:type="dxa"/>
            <w:vAlign w:val="bottom"/>
            <w:gridSpan w:val="3"/>
          </w:tcPr>
          <w:p>
            <w:pPr>
              <w:jc w:val="right"/>
              <w:ind w:right="740"/>
              <w:spacing w:after="0"/>
              <w:rPr>
                <w:sz w:val="20"/>
                <w:szCs w:val="20"/>
                <w:color w:val="auto"/>
              </w:rPr>
            </w:pPr>
            <w:r>
              <w:rPr>
                <w:rFonts w:ascii="Arial" w:cs="Arial" w:eastAsia="Arial" w:hAnsi="Arial"/>
                <w:sz w:val="18"/>
                <w:szCs w:val="18"/>
                <w:color w:val="auto"/>
              </w:rPr>
              <w:t>1,211</w:t>
            </w: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1,216</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11,864</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10,734</w:t>
            </w:r>
          </w:p>
        </w:tc>
        <w:tc>
          <w:tcPr>
            <w:tcW w:w="16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11,879</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12,588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34,154</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34,589</w:t>
            </w:r>
          </w:p>
        </w:tc>
        <w:tc>
          <w:tcPr>
            <w:tcW w:w="16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34,724</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42,481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Stockholders of record</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28,058</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26,884</w:t>
            </w:r>
          </w:p>
        </w:tc>
        <w:tc>
          <w:tcPr>
            <w:tcW w:w="1600" w:type="dxa"/>
            <w:vAlign w:val="bottom"/>
            <w:gridSpan w:val="3"/>
          </w:tcPr>
          <w:p>
            <w:pPr>
              <w:jc w:val="right"/>
              <w:ind w:right="740"/>
              <w:spacing w:after="0"/>
              <w:rPr>
                <w:sz w:val="20"/>
                <w:szCs w:val="20"/>
                <w:color w:val="auto"/>
              </w:rPr>
            </w:pPr>
            <w:r>
              <w:rPr>
                <w:rFonts w:ascii="Arial" w:cs="Arial" w:eastAsia="Arial" w:hAnsi="Arial"/>
                <w:sz w:val="18"/>
                <w:szCs w:val="18"/>
                <w:color w:val="auto"/>
              </w:rPr>
              <w:t>29,985</w:t>
            </w: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30,043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7880" w:type="dxa"/>
            <w:vAlign w:val="bottom"/>
            <w:gridSpan w:val="8"/>
          </w:tcPr>
          <w:p>
            <w:pPr>
              <w:spacing w:after="0"/>
              <w:rPr>
                <w:sz w:val="20"/>
                <w:szCs w:val="20"/>
                <w:color w:val="auto"/>
              </w:rPr>
            </w:pPr>
            <w:r>
              <w:rPr>
                <w:rFonts w:ascii="Arial" w:cs="Arial" w:eastAsia="Arial" w:hAnsi="Arial"/>
                <w:sz w:val="14"/>
                <w:szCs w:val="14"/>
                <w:color w:val="auto"/>
                <w:w w:val="88"/>
              </w:rPr>
              <w:t>See Notes to Consolidated Financial Statements and Management’s Discussion and Analysis of Financial Condition and Results of Operations.</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6"/>
          </w:tcPr>
          <w:p>
            <w:pPr>
              <w:jc w:val="right"/>
              <w:spacing w:after="0"/>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Texas Instruments makes, markets and sells high-technology components and systems; more than 30,000 customers all over the world buy TI products. The company has three separate business segments: 1) Semiconductor; 2) Sensors &amp; Controls; and 3) Educational &amp; Productivity Solutions. Semiconductor is by far the largest of these business segments. It accounted for 85 percent of TI’s revenue in 2003, and over time it averages a higher growth rate than the other two business segments, although the semiconductor market is characterized by wide swings in growth rates from year to year. TI is among the five largest semiconductor companies in the world.</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its Semiconductor segment, TI focuses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the company’s Semiconductor revenue. Almost all of today’s digital electronic equipment requires some form of analog and digital signal processing.</w:t>
      </w:r>
    </w:p>
    <w:p>
      <w:pPr>
        <w:spacing w:after="0" w:line="13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Analog semiconductors process continuous signals such as temperature, pressure and visual images. TI’s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and are generally sold in high volumes. Both custom and standard products are proprietary and difficult for competitors to imitate. Commodity standard products are sold in high volume and into a broad range of applications, and generally are differentiated by price and availability. TI is one of the world’s largest suppliers of Analog semiconductors.</w:t>
      </w:r>
    </w:p>
    <w:p>
      <w:pPr>
        <w:spacing w:after="0" w:line="105"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DSPs use complex algorithms and compression techniques to provide real-time, power-efficient processing of real-world signals that have been converted into digital form. TI’s DSPs include both custom and standard products. Custom products are designed for specific applications (such as wireless cell phones, very fast modems that connect users to the Internet via cable or phone lines, or consumer electronics such as digital music players and digital cameras). Standard products are sold into a broad range of applications, and like custom products, are difficult for competitors to imitate. TI is the world’s largest supplier of DSPs.</w:t>
      </w:r>
    </w:p>
    <w:p>
      <w:pPr>
        <w:spacing w:after="0" w:line="84"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TI owns and operates 11 semiconductor manufacturing sites in North America, Europe and Asia. These facilities require substantial investment to construct and are largely fixed-cost assets once in operation. Because TI owns most of its manufacturing capacity, a significant portion of the company’s operating costs are fixed. In general, these costs do not decline with reductions in customer demand or the company’s utilization of its manufacturing capacity, and can adversely affect profit margins as a result. Conversely, as product demand rises and factory utilization increases, the fixed costs are spread over increased output, which should benefit profit margins. TI also outsources a portion of its product manufacturing to outside suppliers (foundries and assembly/test subcontractors), which reduces the amount of capital expenditures and subsequent depreciation required to meet customer demands, as well as fluctuations in profit margins.</w:t>
      </w:r>
    </w:p>
    <w:p>
      <w:pPr>
        <w:spacing w:after="0" w:line="9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semiconductor market is characterized by constant and typically incremental innovation in product design and manufacturing technologies. In general, new products are shipped in limited quantities initially, and will then ramp into high volumes over time. Prices and manufacturing costs tend to decline over time as products and technologies mature.</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65" w:name="page66"/>
    <w:bookmarkEnd w:id="6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TI’s Sensors &amp; Controls segment, products include sensors, electrical and electronic controls, and radio frequency identification (RFID) systems for automotive and industrial markets. Other targeted markets include heating, ventilation, air conditioning, refrigeration and industrial control systems. This business segment represented 10 percent of TI’s revenue in 2003.</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Educational &amp; Productivity Solutions (E&amp;PS) segment sells graphing and other educational calculators, which are marketed primarily through retailers and to schools through instructional dealers. This business segment represented 5 percent of TI’s revenue in 2003.</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year 2003, TI revenue was $9834 million, up 17 percent from 2002 due to growth in Semiconductor. This Semiconductor growth was led by demand for DSPs across the wireless, digital consumer and broadband markets. TI revenue increased throughout the year, accelerating in the second half particularly in Semiconductor. The company set a new revenue record for its sales into the wireless market in the third quarter, and again in the fourth quarter. The company also had excellent growth in both DSP and high-performance Analog products for the year due to both a recovery in the semiconductor market and, to a lesser extent, gains in TI’s market share.</w:t>
      </w:r>
    </w:p>
    <w:p>
      <w:pPr>
        <w:spacing w:after="0" w:line="1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For the year, TI’s operating activities generated more than $2 billion in cash flow. TI started the year with a very healthy balance sheet, and it grew significantly stronger as TI and the market gained momentum through the course of the year. This strong financial position has allowed the company to remain focused on its strategic objectives.</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Because the company has maintained high levels of research and development (R&amp;D) investment, it is well-positioned to advance in existing markets and enter new markets early. This is particularly important as the strength of the overall market for semiconductors improves. Manufacturing capacity and demand are more in balance today than at any time in the last three years, resulting in an encouraging outlook for the company’s revenue and profits in the year ahead.</w:t>
      </w:r>
    </w:p>
    <w:p>
      <w:pPr>
        <w:spacing w:after="0" w:line="93" w:lineRule="exact"/>
        <w:rPr>
          <w:sz w:val="20"/>
          <w:szCs w:val="20"/>
          <w:color w:val="auto"/>
        </w:rPr>
      </w:pPr>
    </w:p>
    <w:p>
      <w:pPr>
        <w:ind w:right="60" w:firstLine="456"/>
        <w:spacing w:after="0" w:line="279" w:lineRule="auto"/>
        <w:rPr>
          <w:sz w:val="20"/>
          <w:szCs w:val="20"/>
          <w:color w:val="auto"/>
        </w:rPr>
      </w:pPr>
      <w:r>
        <w:rPr>
          <w:rFonts w:ascii="Arial" w:cs="Arial" w:eastAsia="Arial" w:hAnsi="Arial"/>
          <w:sz w:val="16"/>
          <w:szCs w:val="16"/>
          <w:color w:val="auto"/>
        </w:rPr>
        <w:t>The company has become more competitive with its high-performance Analog products, as it has strengthened its position both technologically and with customers. The fundamentals of TI’s focus on the wireless market continue to be attractive, as expanding wireless phone functionality based on TI technology increases the company’s semiconductor content in each phone. TI’s R&amp;D investments in OMAP</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application processors (high-performance processors that deliver real-time processing coupled with low-power consumption), in complete chipset solutions, and in new CDMA (Code Division Multiple Access) standard products should provide new opportunities for TI’s wireless technologies. TI sells semiconductors for all wireless standards and is the leading supplier of the digital content of wireless phones based on GSM/GPRS (Global System for Mobile Communications/General Packet Radio Service) technology, the most widely used wireless phone technology today. CDMA is a separate digital wireless technology. Through 2003, TI has had custom engagements for CDMA products and is now moving beyond custom products to address the broader market opportunity with standard chipsets. Offering CDMA chipsets will provide TI additional growth opportunities in the wireless terminal market.</w:t>
      </w:r>
    </w:p>
    <w:p>
      <w:pPr>
        <w:spacing w:after="0" w:line="115"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wireless and other targeted markets such as broadband communications and digital consumer, TI has combined its systems skills with its DSP and Analog technologies and leading manufacturing capabilities to deliver product solutions that generate unprecedented levels of TI content in its customers’ equipment. The company will continue to offer its customers more complete solutions, and as it does, the company believes its financial results will reflect the increased value the company brings to its customers’ systems.</w:t>
      </w:r>
    </w:p>
    <w:p>
      <w:pPr>
        <w:spacing w:after="0" w:line="13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TI expects that 2004 earnings will reflect revenue growth and higher operating margins. This performance is expected to exceed the company’s minimum threshold for the TI employee profit-sharing program. As a result, the company expects to make an accrual for profit sharing in the first quarter of 2004 and in each subsequent quarter. Profit-sharing expenses are accrued quarterly based on the company’s estimate of its full-year financial performance. Currently, profit-sharing accruals are estimated to be approximately $60 million per quarter, about evenly distributed across cost of revenue, R&amp;D and selling, general and administrative (SG&amp;A) expense. No accrual for profit sharing was made under this program in any quarter during 2003 and 2002.</w:t>
      </w:r>
    </w:p>
    <w:p>
      <w:pPr>
        <w:spacing w:after="0" w:line="9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45</w:t>
      </w:r>
    </w:p>
    <w:p>
      <w:pPr>
        <w:sectPr>
          <w:pgSz w:w="11900" w:h="16838" w:orient="portrait"/>
          <w:cols w:equalWidth="0" w:num="1">
            <w:col w:w="11420"/>
          </w:cols>
          <w:pgMar w:left="240" w:top="42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2003 Results of Operations Compared with 2002</w:t>
      </w:r>
    </w:p>
    <w:p>
      <w:pPr>
        <w:spacing w:after="0" w:line="16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For the year, TI revenue was $9834 million, up 17 percent from 2002 due to growth in Semiconductor that was led by demand for DSPs across the wireless, digital consumer and broadband markets. Revenue increased throughout the year, accelerating in the second half particularly in Semiconductor as demand increased for a broad range of DSP and Analog products.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year, Semiconductor revenue increased 20 percent from 2002, primarily due to strong demand for DSP products and TI market-share gains in both DSP and Analog. From an end-equipment perspective, higher shipments into the wireless market provided the most significant source of growth as wireless revenue increased 32 percent for the year. In Sensors &amp; Controls, revenue for 2003 increased 5 percent from 2002 due to higher demand for sensor products in the automotive market. In E&amp;PS, revenue for 2003 decreased 2 percent from 2002 as customers reduced their inventories.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 Selected Items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(Millions of dollars, except per-share amounts)</w:t>
      </w:r>
    </w:p>
    <w:p>
      <w:pPr>
        <w:spacing w:after="0" w:line="125"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For Years Ended</w:t>
      </w:r>
    </w:p>
    <w:p>
      <w:pPr>
        <w:spacing w:after="0" w:line="1"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60325</wp:posOffset>
            </wp:positionV>
            <wp:extent cx="123507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2003</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9,834</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8,383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5,872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5,313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3,962</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Gross profit % of revenue</w:t>
            </w:r>
          </w:p>
        </w:tc>
        <w:tc>
          <w:tcPr>
            <w:tcW w:w="12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40.3%</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1,748</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R&amp;D % of revenue</w:t>
            </w:r>
          </w:p>
        </w:tc>
        <w:tc>
          <w:tcPr>
            <w:tcW w:w="12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1,249</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SG&amp;A % of revenue</w:t>
            </w:r>
          </w:p>
        </w:tc>
        <w:tc>
          <w:tcPr>
            <w:tcW w:w="12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965</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Operating profit % of revenue</w:t>
            </w:r>
          </w:p>
        </w:tc>
        <w:tc>
          <w:tcPr>
            <w:tcW w:w="12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Interest on loans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1,250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1,198</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 (EPS)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-329565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-329565</wp:posOffset>
            </wp:positionV>
            <wp:extent cx="2159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-329565</wp:posOffset>
            </wp:positionV>
            <wp:extent cx="3873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-329565</wp:posOffset>
            </wp:positionV>
            <wp:extent cx="3556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3556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Details of Financial Results</w:t>
      </w:r>
    </w:p>
    <w:p>
      <w:pPr>
        <w:spacing w:after="0" w:line="8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Cost of revenue for 2003 was $5872 million or 59.7 percent of revenue, compared with $5313 million or 63.4 percent of revenue in 2002. Cost of revenue as a percent of revenue decreased due to greater utilization of the company’s fixed-cost manufacturing assets in its Semiconductor operations.</w:t>
      </w:r>
    </w:p>
    <w:p>
      <w:pPr>
        <w:spacing w:after="0" w:line="7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Gross profit was $3962 million, or 40.3 percent of revenue, an increase of 29 percent from 2002 due to the impact of higher revenue and, to a lesser extent, greater utilization of the company’s fixed-cost manufacturing assets in its Semiconductor operations, partially offset by increased restructuring charges of $77 million relating to manufacturing efficiencies in the Semiconductor business and moving certain production lines in the Sensors &amp; Controls business from Attleboro, Massachusetts, to other TI sites located closer to TI’s customers. The restructuring charges were primarily for severance and benefit costs.</w:t>
      </w:r>
    </w:p>
    <w:p>
      <w:pPr>
        <w:spacing w:after="0" w:line="91"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46</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67" w:name="page68"/>
    <w:bookmarkEnd w:id="67"/>
    <w:p>
      <w:pPr>
        <w:ind w:right="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R&amp;D expense of $1748 million increased 8 percent from 2002 due to increased product development in Semiconductor, primarily for wireless. R&amp;D expense was 17.8 percent of revenue for 2003, down from 19.3 percent in 2002 as revenue increased at a significantly faster rate than did R&amp;D expense. Products resulting from these investments did not contribute materially to revenue in 2003, but should benefit the company in future years.</w:t>
      </w:r>
    </w:p>
    <w:p>
      <w:pPr>
        <w:spacing w:after="0" w:line="9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SG&amp;A expense of $1249 million increased 7 percent from 2002 primarily due to higher Semiconductor marketing expense. SG&amp;A expense was 12.7 percent of revenue for 2003, down from 13.9 percent in 2002 as revenue increased at a significantly faster rate than did SG&amp;A expense.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operating profit of $965 million, or 9.8 percent of revenue, increased 235 percent from 2002 due to higher gross profit.</w:t>
      </w:r>
    </w:p>
    <w:p>
      <w:pPr>
        <w:spacing w:after="0" w:line="15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Other Income (Expense) Net (OI&amp;E) of $324 million increased by $901 million from 2002. OI&amp;E includes interest income, investment gains (losses) and other items. Of the increase, $841 million was related to the company’s investment in Micron Technology, Inc. (Micron) common stock, which TI received in connection with the sale of its memory business unit to Micron in 1998. In the fourth quarter of 2002, the company recorded a $638 million impairment write-down of its holdings of Micron common stock. As previously announced, TI sold a portion of its Micron stock in the third quarter of 2003 for a pre-tax gain of $106 million, and TI sold its remaining shares in the fourth quarter of 2003 for a pre-tax gain of $97 million.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interest expense was $39 million, down from $57 million in 2002 due to the company’s lower debt level.</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company’s effective tax rate in 2003 of 4 percent differs from the 35 percent corporate statutory rate due to (in decreasing order) the reversal of the $223 million valuation allowance associated with the deferred tax asset generated by the write-down of the Micron stock in the fourth quarter of 2002, the effect of non-U.S. tax rates, and various tax benefits such as those for research activities and export sales. Exclusive of the impact of the Micron valuation allowance, the tax rate is 22 percent. The company had an income tax benefit of $2 million in 2002. This benefit was driven by (in decreasing order) the net operating loss of the company in 2002, plus various tax benefits such as for research activities and export sales generated in that year, offset by the recording of the valuation allowance of $223 million associated with the write-down of the Micron stock. Income tax rates are not meaningful in years in which the company has a tax benefit.</w:t>
      </w:r>
    </w:p>
    <w:p>
      <w:pPr>
        <w:spacing w:after="0" w:line="13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2003, net income was $1198 million, or $0.68 cents per share, an increase of $1542 million from 2002. Within the increase, $993 million was due to the impact of the Micron stock-related actions including the associated tax impact, and $440 million was due to higher operating profit.</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TI orders of $10344 million increased 23 percent from 2002, and Semiconductor orders of $8854 million increased 27 percent, reflecting broad-based demand for DSP and Analog products.</w:t>
      </w:r>
    </w:p>
    <w:p>
      <w:pPr>
        <w:spacing w:after="0" w:line="118" w:lineRule="exact"/>
        <w:rPr>
          <w:sz w:val="20"/>
          <w:szCs w:val="20"/>
          <w:color w:val="auto"/>
        </w:rPr>
      </w:pPr>
    </w:p>
    <w:p>
      <w:pPr>
        <w:ind w:right="2240" w:firstLine="456"/>
        <w:spacing w:after="0" w:line="375" w:lineRule="auto"/>
        <w:rPr>
          <w:sz w:val="20"/>
          <w:szCs w:val="20"/>
          <w:color w:val="auto"/>
        </w:rPr>
      </w:pPr>
      <w:r>
        <w:rPr>
          <w:rFonts w:ascii="Arial" w:cs="Arial" w:eastAsia="Arial" w:hAnsi="Arial"/>
          <w:sz w:val="18"/>
          <w:szCs w:val="18"/>
          <w:color w:val="auto"/>
        </w:rPr>
        <w:t xml:space="preserve">Earnings per share for the year were $0.68, including a $0.20 per share contribution from the sale of Micron common stock. </w:t>
      </w:r>
      <w:r>
        <w:rPr>
          <w:rFonts w:ascii="Arial" w:cs="Arial" w:eastAsia="Arial" w:hAnsi="Arial"/>
          <w:sz w:val="18"/>
          <w:szCs w:val="18"/>
          <w:b w:val="1"/>
          <w:bCs w:val="1"/>
          <w:u w:val="single" w:color="auto"/>
          <w:color w:val="auto"/>
        </w:rPr>
        <w:t>Semiconductor</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year, Semiconductor revenue was $8360 million, up 20 percent from 2002 primarily due to increased shipments. The increased shipments were the result of stronger demand for a broad range of the company’s DSP products and, to a lesser extent, market share gains in both DSP and Analog markets. The semiconductor market was particularly robust in the second half of the year. The results of TI’s Semiconductor business in the second half of the year reflected this stronger market environment.</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Semiconductor gross profit of $3472 million, or 41.5 percent of revenue, increased by $913 million from 2002 primarily due to higher revenue and, to a lesser extent, greater manufacturing utilization.</w:t>
      </w:r>
    </w:p>
    <w:p>
      <w:pPr>
        <w:spacing w:after="0" w:line="11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47</w:t>
      </w:r>
    </w:p>
    <w:p>
      <w:pPr>
        <w:sectPr>
          <w:pgSz w:w="11900" w:h="16838" w:orient="portrait"/>
          <w:cols w:equalWidth="0" w:num="1">
            <w:col w:w="11420"/>
          </w:cols>
          <w:pgMar w:left="240" w:top="428" w:right="23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profit was $969 million, or 11.6 percent of revenue, up $715 million from 2002 due to higher gross profit.</w:t>
      </w:r>
    </w:p>
    <w:p>
      <w:pPr>
        <w:spacing w:after="0" w:line="15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Analog revenue increased 13 percent from 2002 due to increased shipments resulting from higher demand for a broad range of the company’s high-performance Analog products. In 2003, about 40 percent of total Semiconductor revenue came from Analog.</w:t>
      </w:r>
    </w:p>
    <w:p>
      <w:pPr>
        <w:spacing w:after="0" w:line="11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DSP revenue increased 36 percent for the year primarily due to higher demand in the wireless market, and to a lesser extent, higher shipments resulting from increased demand in the digital consumer and broadband communications markets. In 2003, about 35 percent of total Semiconductor revenue came from DSP.</w:t>
      </w:r>
    </w:p>
    <w:p>
      <w:pPr>
        <w:spacing w:after="0" w:line="127" w:lineRule="exact"/>
        <w:rPr>
          <w:sz w:val="20"/>
          <w:szCs w:val="20"/>
          <w:color w:val="auto"/>
        </w:rPr>
      </w:pPr>
    </w:p>
    <w:p>
      <w:pPr>
        <w:ind w:right="180" w:firstLine="456"/>
        <w:spacing w:after="0" w:line="243" w:lineRule="auto"/>
        <w:rPr>
          <w:sz w:val="20"/>
          <w:szCs w:val="20"/>
          <w:color w:val="auto"/>
        </w:rPr>
      </w:pPr>
      <w:r>
        <w:rPr>
          <w:rFonts w:ascii="Arial" w:cs="Arial" w:eastAsia="Arial" w:hAnsi="Arial"/>
          <w:sz w:val="18"/>
          <w:szCs w:val="18"/>
          <w:color w:val="auto"/>
        </w:rPr>
        <w:t>For the year, TI’s remaining Semiconductor revenue increased 14 percent from 2002 due to higher shipments resulting from increased demand for, in decreasing order, Digital Light Processing</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(DLP</w:t>
      </w:r>
      <w:r>
        <w:rPr>
          <w:rFonts w:ascii="Arial" w:cs="Arial" w:eastAsia="Arial" w:hAnsi="Arial"/>
          <w:sz w:val="22"/>
          <w:szCs w:val="22"/>
          <w:color w:val="auto"/>
          <w:vertAlign w:val="superscript"/>
        </w:rPr>
        <w:t>TM</w:t>
      </w:r>
      <w:r>
        <w:rPr>
          <w:rFonts w:ascii="Arial" w:cs="Arial" w:eastAsia="Arial" w:hAnsi="Arial"/>
          <w:sz w:val="18"/>
          <w:szCs w:val="18"/>
          <w:color w:val="auto"/>
        </w:rPr>
        <w:t>) products, RISC (reduced instruction-set computing) microprocessors and standard logic products, and higher royalties. These gains more than offset a decline in microcontrollers that was due to decreased shipments resulting from lower demand for TI products in this area. DLP products are micro-electromechanical systems that use optical semiconductors to manipulate light digitally. End applications include front projectors and high-definition digital television sets. RISC microprocessors are designed to provide very fast computing, typically for a specialized application such as servers.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2003 results for TI Semiconductor products sold into key end equipments were as follows:</w:t>
      </w:r>
    </w:p>
    <w:p>
      <w:pPr>
        <w:spacing w:after="0" w:line="77" w:lineRule="exact"/>
        <w:rPr>
          <w:sz w:val="20"/>
          <w:szCs w:val="20"/>
          <w:color w:val="auto"/>
        </w:rPr>
      </w:pPr>
    </w:p>
    <w:p>
      <w:pPr>
        <w:ind w:left="800" w:hanging="346"/>
        <w:spacing w:after="0" w:line="25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Wireless revenue grew 32 percent compared with 2002 primarily due to increased shipments of 2.5G modems and OMAP application processors. The biggest factor in the growth in shipments of 2.5G modems and OMAP application processors was demand for advanced-feature phones. In 2003, about 35 percent of total Semiconductor revenue came from the wireless market.</w:t>
      </w:r>
    </w:p>
    <w:p>
      <w:pPr>
        <w:spacing w:after="0" w:line="45" w:lineRule="exact"/>
        <w:rPr>
          <w:rFonts w:ascii="Arial" w:cs="Arial" w:eastAsia="Arial" w:hAnsi="Arial"/>
          <w:sz w:val="18"/>
          <w:szCs w:val="18"/>
          <w:color w:val="auto"/>
        </w:rPr>
      </w:pPr>
    </w:p>
    <w:p>
      <w:pPr>
        <w:ind w:left="800" w:right="140" w:hanging="346"/>
        <w:spacing w:after="0" w:line="331" w:lineRule="auto"/>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Revenue increased from TI’s catalog products, composed of high-performance Analog and catalog DSP, which are sold into a highly diverse range of end-equipment markets. The 24 percent increase was primarily due to increased shipments in distribution channels, resulting from demand for high-performance Analog and, to a lesser extent, DSP products. In 2003, about 15 percent of total Semiconductor revenue came from catalog products.</w:t>
      </w:r>
    </w:p>
    <w:p>
      <w:pPr>
        <w:spacing w:after="0" w:line="2" w:lineRule="exact"/>
        <w:rPr>
          <w:rFonts w:ascii="Arial" w:cs="Arial" w:eastAsia="Arial" w:hAnsi="Arial"/>
          <w:sz w:val="15"/>
          <w:szCs w:val="15"/>
          <w:color w:val="auto"/>
        </w:rPr>
      </w:pPr>
    </w:p>
    <w:p>
      <w:pPr>
        <w:ind w:left="800" w:right="80" w:hanging="346"/>
        <w:spacing w:after="0" w:line="298"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the year, broadband communications revenue increased 71 percent from 2002 due about equally to higher shipments resulting from increased demand for DSL and wireless local area networks (WLAN) products as TI’s position and market share strengthened in both of these fast-growing market areas. Broadband communications revenue includes DSL and cable modems, voice over packet (VoP) and WLAN. In 2003, about 5 percent of total Semiconductor revenue came from the broadband communications market.</w:t>
      </w:r>
    </w:p>
    <w:p>
      <w:pPr>
        <w:spacing w:after="0" w:line="99"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total, the company estimates that its Semiconductor revenue came from the following broad markets: communications (including wireless and broadband communications) was about 45 percent of Semiconductor revenue in 2003; computing (including computers and peripherals) was about 30 percent; digital consumer was about 10 percent; industrial and other was about 10 percent; and automotive was about 5 percent.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orders increased 27 percent to $8854 million due to higher broad-based demand for Analog and DSP products.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Sensors &amp; Controls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For the year, Sensors &amp; Controls revenue was $1009 million, up 5 percent from 2002 due to higher demand for sensor products in the automotive market.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was $373 million, an increase of $44 million from 2002 due to reduced manufacturing costs.</w:t>
      </w:r>
    </w:p>
    <w:p>
      <w:pPr>
        <w:spacing w:after="0" w:line="149"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48</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8" w:right="239" w:bottom="1440" w:gutter="0" w:footer="0" w:header="0"/>
        </w:sectPr>
      </w:pPr>
    </w:p>
    <w:bookmarkStart w:id="69" w:name="page70"/>
    <w:bookmarkEnd w:id="6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profit was $251 million, or 24.9 percent of revenue, an increase of $37 million from 2002. The gains in operating profit were due to higher gross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profit.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Educational &amp; Productivity Solutions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E&amp;PS revenue was $485 million, down 2 percent from 2002 as customers reduced their inventories of TI products.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of $267 million increased by $6 million from 2002 due to product cost reductions.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profit was $157 million, or 32.3 percent of revenue, an increase of $3 million from 2002 due to higher gross profit.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TI’s financial condition remains strong. At the end of 2003, total cash (cash and cash equivalents plus short-term investments and long-term cash investments) of $5664 million was up $1522 million from the end of 2002. For the year, cash flow from operations increased to $2151 million, up $159 million from 2002 primarily due to increased net income, partially offset by an increase in working capital.</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Accounts receivable of $1451 million increased by $234 million from the end of 2002 due to higher Semiconductor revenue. Days sales outstanding were 47 at the end of 2003, compared with 51 at the end of 2002.</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Inventory increased by $194 million compared with the end of 2002 to support higher Semiconductor shipment levels. Days of inventory at the end of 2003 were 56, up from 52 days at the end of 2002.</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Capital expenditures of $800 million decreased by $2 million from 2002. TI’s capital expenditures in 2003 were primarily for the deployment of advanced Semiconductor manufacturing capabilities.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Depreciation was $1429 million, down $145 million from 2002. The company expects depreciation to drop by about $30 million in the first quarter of 2004 and then build through the rest of the year.</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adopted SFAS No. 142, Goodwill and Other Intangible Assets, effective January 1, 2002. Under SFAS No. 142, goodwill is no longer amortized but is reviewed for impairment annually, or more frequently if certain indicators arise. The company completes its annual goodwill impairment tests as of October 1 of each year for all its reporting units. Based on an analysis of economic characteristics and how the company operates its business, the company has designated its business segments as its reporting units. As required by the Statement, intangible assets that do not meet the criteria for recognition apart from goodwill must be reclassified to goodwill. With the adoption of the Statement, the company ceased amortization of goodwill as of January 1, 2002, and reclassified $14 million (net of tax) of intangibles, primarily relating to acquired workforce intangibles, to goodwill.</w:t>
      </w:r>
    </w:p>
    <w:p>
      <w:pPr>
        <w:spacing w:after="0" w:line="10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adopted SFAS No. 146, Accounting for Costs Associated with Exit or Disposal Activities, effective January 1, 2003. This Statement supersedes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as opposed to at the date an entity commits to an exit plan. As of the adoption date, the Statement did not affect the financial condition or results of operations of the company.</w:t>
      </w:r>
    </w:p>
    <w:p>
      <w:pPr>
        <w:spacing w:after="0" w:line="12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49</w:t>
      </w:r>
    </w:p>
    <w:p>
      <w:pPr>
        <w:sectPr>
          <w:pgSz w:w="11900" w:h="16838" w:orient="portrait"/>
          <w:cols w:equalWidth="0" w:num="1">
            <w:col w:w="11420"/>
          </w:cols>
          <w:pgMar w:left="240" w:top="42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Contractual Obligations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6"/>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540" w:type="dxa"/>
            <w:vAlign w:val="bottom"/>
            <w:gridSpan w:val="2"/>
          </w:tcPr>
          <w:p>
            <w:pPr>
              <w:spacing w:after="0"/>
              <w:rPr>
                <w:sz w:val="8"/>
                <w:szCs w:val="8"/>
                <w:color w:val="auto"/>
              </w:rPr>
            </w:pPr>
          </w:p>
        </w:tc>
        <w:tc>
          <w:tcPr>
            <w:tcW w:w="530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(Millions of Dollars)</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22"/>
                <w:szCs w:val="22"/>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2005/2006</w:t>
            </w: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2007/2008</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3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$ 431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Operating lease obligations (2)</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270</w:t>
            </w:r>
          </w:p>
        </w:tc>
        <w:tc>
          <w:tcPr>
            <w:tcW w:w="1360" w:type="dxa"/>
            <w:vAlign w:val="bottom"/>
            <w:gridSpan w:val="4"/>
          </w:tcPr>
          <w:p>
            <w:pPr>
              <w:jc w:val="right"/>
              <w:ind w:right="50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license obligations (3)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3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Purchase commitments (4)</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141</w:t>
            </w:r>
          </w:p>
        </w:tc>
        <w:tc>
          <w:tcPr>
            <w:tcW w:w="1360" w:type="dxa"/>
            <w:vAlign w:val="bottom"/>
            <w:gridSpan w:val="4"/>
          </w:tcPr>
          <w:p>
            <w:pPr>
              <w:jc w:val="right"/>
              <w:ind w:right="50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Pension/retiree medical funding (5)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Deferred compensation plan (6)</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156</w:t>
            </w:r>
          </w:p>
        </w:tc>
        <w:tc>
          <w:tcPr>
            <w:tcW w:w="1360" w:type="dxa"/>
            <w:vAlign w:val="bottom"/>
            <w:gridSpan w:val="4"/>
          </w:tcPr>
          <w:p>
            <w:pPr>
              <w:jc w:val="right"/>
              <w:ind w:right="50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1647</w:t>
            </w:r>
          </w:p>
        </w:tc>
        <w:tc>
          <w:tcPr>
            <w:tcW w:w="13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$ 693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2159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24447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159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Long-term debt obligations includes amounts classified as the current portion of long-term debt, i.e., obligations that will be retired within 12 months.</w:t>
      </w:r>
    </w:p>
    <w:p>
      <w:pPr>
        <w:ind w:left="340" w:hanging="332"/>
        <w:spacing w:after="0" w:line="22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Operating lease obligations includes amounts primarily for leased facilities and, to a lesser extent, leased equipment including some data processing equipment.</w:t>
      </w:r>
    </w:p>
    <w:p>
      <w:pPr>
        <w:ind w:left="340" w:hanging="332"/>
        <w:spacing w:after="0"/>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Software license obligations includes agreements to license electronic design automation software; these are classified as operating leases or capital leases in accordance with Statement of Position 98-1.</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Purchase commitments includes contractual arrangements with suppliers where there is a fixed non-cancelable payment schedule or minimum payments due with a reduced delivery schedule.</w:t>
      </w:r>
    </w:p>
    <w:p>
      <w:pPr>
        <w:spacing w:after="0" w:line="10" w:lineRule="exact"/>
        <w:rPr>
          <w:rFonts w:ascii="Arial" w:cs="Arial" w:eastAsia="Arial" w:hAnsi="Arial"/>
          <w:sz w:val="12"/>
          <w:szCs w:val="12"/>
          <w:color w:val="auto"/>
        </w:rPr>
      </w:pPr>
    </w:p>
    <w:p>
      <w:pPr>
        <w:ind w:left="340" w:right="140" w:hanging="332"/>
        <w:spacing w:after="0" w:line="22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Pension/retiree medical funding includes the expected tax-deductible contribution planned for 2004. Funding projections beyond the current year are not practical to estimate due to the rules affecting tax deductible contributions and the impact from pension/retiree medical plan asset performance, interest rates and potential U.S. federal legislation.</w:t>
      </w:r>
    </w:p>
    <w:p>
      <w:pPr>
        <w:jc w:val="both"/>
        <w:ind w:left="340" w:right="80" w:hanging="332"/>
        <w:spacing w:after="0" w:line="227"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Deferred compensation plan includes an estimate of payments under this plan for the liability that existed at December 31, 2003. Certain employees are eligible to defer a portion of their salary, bonus and profit sharing into a non-qualified deferred compensation plan. Employees who participate in the plan can select one of five distribution options offered by the plan. Payments are made after the employee terminates, based on their distribution election and plan balance.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2003, TI’s debt-to-total capital ratio was 0.07, down from 0.10 at the end of 2002 due to reductions in debt.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cash flow from operations increased to $2151 million compared with $1992 million in 2002.</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Net cash used in investing activities was $842 million for 2003, versus $1109 million for 2002 primarily due to the proceeds from the sale of Micron common stock and, to a lesser extent, the sales and maturities of short-term investments, offset somewhat by purchases of short-term investments. In order to take advantage of higher yields, as of December 31, 2003, the company had $1335 million in long-term cash investments, i.e., fixed-income, investment-grade securities with maturities or average lives greater than thirteen months.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July 2003, TI acquired 100 percent of the equity of Radia Communications, Inc. for a purchase price of approximately $133 million. The acquisition was made to further TI’s development and product offerings in radio frequency semiconductor, subsystem, signal processing and networking technologies for 802.11 wireless local area networking multi-band/multi-mode radios.</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2003, the company sold its remaining 57 million shares of Micron common stock, which it had acquired in connection with the sale of its memory business unit in 1998. TI recognized a pre-tax gain of $203 million from this Micron common stock sale, which was recorded in OI&amp;E. TI carries its public stock holdings at current market value on its balance sheet and records an impairment write-down against earnings if a stock’s value declines below its cost basis and the decline is deemed other-than-temporary. In the fourth quarter of 2002, TI recorded an impairment write-down of its Micron common stock but fully reserved the tax benefit associated with the write-down due to uncertainty as to its ultimate realization. In 2003, $223 million of TI’s tax benefit was recognized upon sale of the Micron common stock through the reversal of the deferred tax asset valuation allowance recorded in the fourth quarter of 2002.</w:t>
      </w:r>
    </w:p>
    <w:p>
      <w:pPr>
        <w:spacing w:after="0" w:line="98"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50</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71" w:name="page72"/>
    <w:bookmarkEnd w:id="71"/>
    <w:p>
      <w:pPr>
        <w:ind w:right="1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2003 and 2002 deferred tax assets are net of a valuation allowance of $65 million and $246 million. A valuation allowance is recognized if, based on the weight of available evidence, it is more likely than not that some portion or all of the deferred tax asset will not be realized. The company established a valuation allowance in 2002 related to the write-down of the Micron common stock due to the unlikelihood of the realization of the tax benefits associated with this capital loss. The company makes an ongoing assessment regarding the realization of U.S. and non-U.S. deferred tax assets. The company’s assessment was that a valuation allowance was not required for the remaining balance of the deferred tax assets. This assessment was based on the company’s evaluation of relevant criteria, including the existence of (i) deferred tax liabilities that can be used to absorb deferred tax assets, (ii) taxable income in prior carryback years and (iii) future taxable income.</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2003, net cash used in financing activities increased to $439 million from $379 million in the year-ago period, due to payments on long-term debt, offset somewhat by a decrease in restricted cash. The company used $284 million of cash to repurchase approximately 13.9 million shares of its common stock in 2003, compared with $370 million used to repurchase approximately 14.7 million shares of its common stock in the year-ago period. These repurchases are intended to neutralize the potential dilutive effect of shares expected to be issued upon exercise of stock options under the company’s long-term incentive and employee stock purchase plans. Also, the company paid a total of $147 million of common stock dividends in both 2003 and 2002.</w:t>
      </w:r>
    </w:p>
    <w:p>
      <w:pPr>
        <w:spacing w:after="0" w:line="10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company’s primary source of liquidity is $1818 million of cash and cash equivalents, $2511 million of short-term investments, and $1335 million of long-term cash investments, totaling $5664 million. Another source of liquidity is authorized borrowings of $500 million for commercial paper, backed by a 364-day revolving credit facility, which is currently not utilized. As of December 31, 2003, the company also had equity investments of $265 million.</w:t>
      </w:r>
    </w:p>
    <w:p>
      <w:pPr>
        <w:spacing w:after="0" w:line="9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company has $400 million in notes maturing in the third quarter of 2004. The company intends to use its available cash resources to meet that obligation.</w:t>
      </w:r>
    </w:p>
    <w:p>
      <w:pPr>
        <w:spacing w:after="0" w:line="118"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TI expects that 2004 earnings will reflect revenue growth and higher operating margins. This performance is expected to exceed the company’s minimum threshold for the TI employee profit-sharing program. As a result, the company expects to make an accrual for profit sharing in the first quarter of 2004 and in each subsequent quarter. Profit-sharing expenses are accrued quarterly based on the company’s estimate of its full-year financial performance. Currently, profit-sharing accruals are estimated to be approximately $60 million per quarter, about evenly distributed across cost of revenue, R&amp;D expense and SG&amp;A expense.</w:t>
      </w:r>
    </w:p>
    <w:p>
      <w:pPr>
        <w:spacing w:after="0" w:line="84"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semiconductor market is intensely competitive and is subject to rapid technological change and the requirement of high rates of investment for R&amp;D and for the manufacturing factories and equipment needed to produce advanced semiconductors. For 2004, TI expects R&amp;D expense to be about $2.0 billion and capital expenditures to be about $1.1 billion. Given the nature of the semiconductor industry and the increasing complexity of technology, the company believes that it will need to continue to make significant R&amp;D investments and capital expenditures.</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believes it has the necessary financial resources to fund its working capital needs, capital expenditures, dividend payments and other business requirements for at least the next 12 months.</w:t>
      </w:r>
    </w:p>
    <w:p>
      <w:pPr>
        <w:spacing w:after="0" w:line="11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51</w:t>
      </w:r>
    </w:p>
    <w:p>
      <w:pPr>
        <w:sectPr>
          <w:pgSz w:w="11900" w:h="16838" w:orient="portrait"/>
          <w:cols w:equalWidth="0" w:num="1">
            <w:col w:w="11420"/>
          </w:cols>
          <w:pgMar w:left="240" w:top="428"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Policies</w:t>
      </w:r>
    </w:p>
    <w:p>
      <w:pPr>
        <w:spacing w:after="0" w:line="164"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In preparing its consolidated financial statements in conformity with accounting principles generally accepted in the United States, the company uses statistical analyses, estimates and projections that affect the reported amounts and related disclosures and may vary from actual results. The company considers the following five accounting policies to be both those most important to the portrayal of its financial condition and that require the most subjective judgment. If actual results differ significantly from management’s estimates and projections, there could be a material effect on the company’s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 Valuation Allowances</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In addition to this specific identification process, statistical allowances are calculated for remaining inventory based on historical write-offs of inventory for salability and obsolescence reasons. Inventory is written off in the period in which disposal occurs.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Valuation</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Holdings in Micron Technology, Inc. (Micron) common stock accounted for the majority of the company’s equity investments in 2003, until the company sold its remaining shares in the third and fourth quarters. The company received these shares in connection with the sale of its memory business unit to Micron in 1998. In connection with its valuation of its equity investments, TI conducts a quarterly impairment review of its individual public and private equity investments, which are made up primarily of investments in the technology sector. When the market value of a public investment remains below (or is expected to remain below) cost basis for more than six months and there is no clear evidence of a recovery in the near term, an impairment is deemed other-than-temporary and a charge is taken down to the closing market value at the end of the quarterly reporting period. In the case of non-marketable investments, the impairment review considers each investee’s financial condition, the business outlook for its products and technology, its projected results and cash flows, the likelihood of obtaining subsequent rounds of financing, the impact of any relevant contractual equity preferences and inputs from the investment advisor if the investment is in a fund. When the entity has experienced consistent declines in financial performance or difficulties in raising capital to continue operations, these investments are written down to a new cost basis when management expects a decline to be other-than-temporary. Actual results may vary from estimates due to the uncertainties regarding the projected financial performance of investments, the severity and expected duration of declines in value, and the available liquidity in the capital markets to support the continuing operations of the entities in which TI has investments, all of which affect the application of this investment valuation policy.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Distributor Allowances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TI recognizes revenue from sales of the company’s products to distributors upon delivery of product to the distributors. Distributor revenue is recognized net of allowances, which are quarterly management estimates based on analysis of historical data, market conditions and contract terms. These allowances recognize the impact of credits granted to distributors under certain programs common in the semiconductor industry whereby distributors are allowed to return a limited amount of product or receive certain price adjustments in accordance with contractual terms agreed between the distributor and the company. For example, the distributor may return products that are currently on an approved product listing maintained by the company. The distributor can return the product up to a maximum amount specified in the agreement with the placement of offsetting orders for an equivalent amount of</w:t>
      </w:r>
    </w:p>
    <w:p>
      <w:pPr>
        <w:spacing w:after="0" w:line="98"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52</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380"/>
          </w:cols>
          <w:pgMar w:left="240" w:top="422" w:right="279" w:bottom="1440" w:gutter="0" w:footer="0" w:header="0"/>
        </w:sectPr>
      </w:pPr>
    </w:p>
    <w:bookmarkStart w:id="73" w:name="page74"/>
    <w:bookmarkEnd w:id="73"/>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 at the same time. The offsetting orders must be non-cancelable, requested for immediate delivery and not subject to change. As another example, when the company determines that a product may become obsolete, it offers distributors an opportunity to return that product within a set time period of the obsolescence notification. In addition, in response to specific competitive situations encountered by distributors, the company may grant distributors adjustments applied to their account; however, pricing to the distributor is not changed. Allowances, which are recorded as a liability, are calculated based on historical return data, current economic conditions, and the underlying contractual terms. Actual results may vary from the estimate for allowances due to the uncertainty in the marketplace and changes in or additions to the specific program agreements with distributors.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determining income for financial statement purposes, the company must make certain estimates and judgments in the calculation of tax expense and the resultant tax liabilities and in the recoverability of deferred tax assets that arise from temporary differences between the tax and financial statement recognition of revenue and expense.</w:t>
      </w:r>
    </w:p>
    <w:p>
      <w:pPr>
        <w:spacing w:after="0" w:line="12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The company recognizes potential liabilities for anticipated tax audit issues in the U.S. and other tax jurisdictions based on an estimate of the ultimate resolution of whether, and the extent to which, additional taxes will be due. Although the company believes the estimates are reasonable, no assurance can be given that the final outcome of these matters will not be different than what is reflected in the historical income tax provisions and accruals. Such differences could have a material impact on the income tax provision and operating results in the period in which such determination is made.</w:t>
      </w:r>
    </w:p>
    <w:p>
      <w:pPr>
        <w:spacing w:after="0" w:line="13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As part of its financial process, the company must assess the likelihood that its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carryback years that can be used to absorb net operating losses and credit carrybacks, and taxable income in future years. The company’s judgment regarding future profitability may change due to future market conditions, changes in U.S. or international tax laws and other factors. These changes, if any, may require material adjustments to these deferred tax assets and an accompanying reduction or increase in net income in the period when such determinations are made.</w:t>
      </w:r>
    </w:p>
    <w:p>
      <w:pPr>
        <w:spacing w:after="0" w:line="13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the risks to the effective tax rate described above, the effective tax rate reflected in forward-looking statements is based on current enacted tax law. Significant changes during the year in enacted tax law could materially affect these estimates.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Long-Lived Assets</w:t>
      </w:r>
    </w:p>
    <w:p>
      <w:pPr>
        <w:spacing w:after="0" w:line="8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TI reviews long-lived assets for impairment when certain indicators are present that suggest the carrying amount may not be recoverable. This review process primarily focuses on intangible assets from business acquisitions, property, plant and equipment, and software for internal use or embedded in products sold to customers. Factors considered include the under-performance of a business compared to expectations and shortened useful lives due to planned changes in the use of the assets. Recoverability is determined by comparing the carrying amount of long-lived assets to estimated future undiscounted cash flows. If future undiscounted cash flows are less than the carrying amount of the long-lived assets, an impairment charge would be recognized for the excess of the carrying amount over fair value determined by either a quoted market price, if any, or a value determined by utilizing a discounted cashflow technique. Additionally, in the case of assets that will continue to be used by the company in future periods, a shortened depreciable life may be utilized if appropriate, resulting in accelerated appreciation based upon the expected net realizable value of the asset at the date the asset will no longer be utilized by the company. Actual results may vary from estimates due to, among other things, differences in operating results, shorter asset useful lives and lower market values for excess assets.</w:t>
      </w:r>
    </w:p>
    <w:p>
      <w:pPr>
        <w:spacing w:after="0" w:line="9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53</w:t>
      </w:r>
    </w:p>
    <w:p>
      <w:pPr>
        <w:sectPr>
          <w:pgSz w:w="11900" w:h="16838" w:orient="portrait"/>
          <w:cols w:equalWidth="0" w:num="1">
            <w:col w:w="11420"/>
          </w:cols>
          <w:pgMar w:left="240" w:top="42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Quantitative and Qualitative Disclosures about Market Risk</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U.S. dollar is the functional currency for financial reporting. In this regard, the company uses forward currency exchange contracts to minimize the adverse earnings impact from the effect of exchange rate fluctuations on the company’s non-U.S. dollar net balance sheet exposures. For example, at year-end 2003, the company had forward currency exchange contracts outstanding of $315 million (including $223 million to buy euros, $25 million to buy Taiwan dollars, and $16 million to sell pound sterling). Similar hedging activities existed at year-end 2002. Because most of the aggregate non-U.S. dollar balance sheet exposure is hedged by these exchange contracts, a hypothetical 10% plus or minus fluctuation in non-U.S. currency exchange rates would not be expected to have a material earnings impact, e.g., based on year-end 2003 balances and rates, a pretax currency exchange gain or loss of $1 million.</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company’s long-term debt has a fair value, based on current interest rates, of approximately $871 million at year-end 2003 ($1320 million at year-end 2002). Fair value will vary as interest rates change. The following table presents the aggregate maturities and historical cost amounts of the debt principal and related weighted-average interest rates by maturity dates at year-end 2003: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Millions of Dollars</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3"/>
              </w:rPr>
              <w:t>Euro</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U.S. Dollar</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Average</w:t>
            </w: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480" w:type="dxa"/>
            <w:vAlign w:val="bottom"/>
          </w:tcPr>
          <w:p>
            <w:pPr>
              <w:spacing w:after="0"/>
              <w:rPr>
                <w:sz w:val="12"/>
                <w:szCs w:val="12"/>
                <w:color w:val="auto"/>
              </w:rPr>
            </w:pPr>
          </w:p>
        </w:tc>
        <w:tc>
          <w:tcPr>
            <w:tcW w:w="11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Fair Value U.S.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4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Maturity</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Fixed-Rate</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Interest</w:t>
            </w: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Rate</w:t>
            </w:r>
          </w:p>
        </w:tc>
        <w:tc>
          <w:tcPr>
            <w:tcW w:w="480" w:type="dxa"/>
            <w:vAlign w:val="bottom"/>
          </w:tcPr>
          <w:p>
            <w:pPr>
              <w:spacing w:after="0"/>
              <w:rPr>
                <w:sz w:val="12"/>
                <w:szCs w:val="12"/>
                <w:color w:val="auto"/>
              </w:rPr>
            </w:pPr>
          </w:p>
        </w:tc>
        <w:tc>
          <w:tcPr>
            <w:tcW w:w="11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Interest</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Dollar Interest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Pay</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Receive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Debt</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Rate</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3"/>
              </w:rPr>
              <w:t>Debt</w:t>
            </w:r>
          </w:p>
        </w:tc>
        <w:tc>
          <w:tcPr>
            <w:tcW w:w="480" w:type="dxa"/>
            <w:vAlign w:val="bottom"/>
          </w:tcPr>
          <w:p>
            <w:pPr>
              <w:spacing w:after="0"/>
              <w:rPr>
                <w:sz w:val="15"/>
                <w:szCs w:val="15"/>
                <w:color w:val="auto"/>
              </w:rPr>
            </w:pPr>
          </w:p>
        </w:tc>
        <w:tc>
          <w:tcPr>
            <w:tcW w:w="11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Rate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Rate Swaps</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Rate</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$401</w:t>
            </w:r>
          </w:p>
        </w:tc>
        <w:tc>
          <w:tcPr>
            <w:tcW w:w="160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6.99%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4.69%</w:t>
            </w:r>
          </w:p>
        </w:tc>
        <w:tc>
          <w:tcPr>
            <w:tcW w:w="8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$ 1</w:t>
            </w:r>
          </w:p>
        </w:tc>
        <w:tc>
          <w:tcPr>
            <w:tcW w:w="16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3.44%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2005</w:t>
            </w:r>
          </w:p>
        </w:tc>
        <w:tc>
          <w:tcPr>
            <w:tcW w:w="332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4.01%</w:t>
            </w:r>
          </w:p>
        </w:tc>
        <w:tc>
          <w:tcPr>
            <w:tcW w:w="880" w:type="dxa"/>
            <w:vAlign w:val="bottom"/>
          </w:tcPr>
          <w:p>
            <w:pPr>
              <w:jc w:val="right"/>
              <w:ind w:right="23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300</w:t>
            </w:r>
          </w:p>
        </w:tc>
        <w:tc>
          <w:tcPr>
            <w:tcW w:w="160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6.12%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29</w:t>
            </w:r>
          </w:p>
        </w:tc>
        <w:tc>
          <w:tcPr>
            <w:tcW w:w="16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2007</w:t>
            </w:r>
          </w:p>
        </w:tc>
        <w:tc>
          <w:tcPr>
            <w:tcW w:w="332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8"/>
                <w:szCs w:val="18"/>
                <w:color w:val="auto"/>
              </w:rPr>
              <w:t>44</w:t>
            </w:r>
          </w:p>
        </w:tc>
        <w:tc>
          <w:tcPr>
            <w:tcW w:w="1600" w:type="dxa"/>
            <w:vAlign w:val="bottom"/>
            <w:gridSpan w:val="5"/>
          </w:tcPr>
          <w:p>
            <w:pPr>
              <w:jc w:val="right"/>
              <w:ind w:right="480"/>
              <w:spacing w:after="0"/>
              <w:rPr>
                <w:sz w:val="20"/>
                <w:szCs w:val="20"/>
                <w:color w:val="auto"/>
              </w:rPr>
            </w:pPr>
            <w:r>
              <w:rPr>
                <w:rFonts w:ascii="Arial" w:cs="Arial" w:eastAsia="Arial" w:hAnsi="Arial"/>
                <w:sz w:val="18"/>
                <w:szCs w:val="18"/>
                <w:color w:val="auto"/>
              </w:rPr>
              <w:t>8.75%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8"/>
              <w:spacing w:after="0"/>
              <w:rPr>
                <w:sz w:val="20"/>
                <w:szCs w:val="20"/>
                <w:color w:val="auto"/>
              </w:rPr>
            </w:pPr>
            <w:r>
              <w:rPr>
                <w:rFonts w:ascii="Arial" w:cs="Arial" w:eastAsia="Arial" w:hAnsi="Arial"/>
                <w:sz w:val="18"/>
                <w:szCs w:val="18"/>
                <w:color w:val="auto"/>
              </w:rPr>
              <w:t>2</w:t>
            </w:r>
          </w:p>
        </w:tc>
        <w:tc>
          <w:tcPr>
            <w:tcW w:w="1600" w:type="dxa"/>
            <w:vAlign w:val="bottom"/>
            <w:gridSpan w:val="4"/>
          </w:tcPr>
          <w:p>
            <w:pPr>
              <w:jc w:val="right"/>
              <w:ind w:right="480"/>
              <w:spacing w:after="0"/>
              <w:rPr>
                <w:sz w:val="20"/>
                <w:szCs w:val="20"/>
                <w:color w:val="auto"/>
              </w:rPr>
            </w:pPr>
            <w:r>
              <w:rPr>
                <w:rFonts w:ascii="Arial" w:cs="Arial" w:eastAsia="Arial" w:hAnsi="Arial"/>
                <w:sz w:val="18"/>
                <w:szCs w:val="18"/>
                <w:color w:val="auto"/>
              </w:rPr>
              <w:t>1.16%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40" w:type="dxa"/>
            <w:vAlign w:val="bottom"/>
          </w:tcPr>
          <w:p>
            <w:pPr>
              <w:jc w:val="right"/>
              <w:ind w:right="58"/>
              <w:spacing w:after="0"/>
              <w:rPr>
                <w:sz w:val="20"/>
                <w:szCs w:val="20"/>
                <w:color w:val="auto"/>
              </w:rPr>
            </w:pPr>
            <w:r>
              <w:rPr>
                <w:rFonts w:ascii="Arial" w:cs="Arial" w:eastAsia="Arial" w:hAnsi="Arial"/>
                <w:sz w:val="18"/>
                <w:szCs w:val="18"/>
                <w:color w:val="auto"/>
              </w:rPr>
              <w:t>10</w:t>
            </w:r>
          </w:p>
        </w:tc>
        <w:tc>
          <w:tcPr>
            <w:tcW w:w="1600" w:type="dxa"/>
            <w:vAlign w:val="bottom"/>
            <w:gridSpan w:val="5"/>
          </w:tcPr>
          <w:p>
            <w:pPr>
              <w:jc w:val="right"/>
              <w:ind w:right="480"/>
              <w:spacing w:after="0"/>
              <w:rPr>
                <w:sz w:val="20"/>
                <w:szCs w:val="20"/>
                <w:color w:val="auto"/>
              </w:rPr>
            </w:pPr>
            <w:r>
              <w:rPr>
                <w:rFonts w:ascii="Arial" w:cs="Arial" w:eastAsia="Arial" w:hAnsi="Arial"/>
                <w:sz w:val="18"/>
                <w:szCs w:val="18"/>
                <w:color w:val="auto"/>
              </w:rPr>
              <w:t>6.20%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$755</w:t>
            </w:r>
          </w:p>
        </w:tc>
        <w:tc>
          <w:tcPr>
            <w:tcW w:w="160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6.74%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4.53%</w:t>
            </w:r>
          </w:p>
        </w:tc>
        <w:tc>
          <w:tcPr>
            <w:tcW w:w="8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$32</w:t>
            </w:r>
          </w:p>
        </w:tc>
        <w:tc>
          <w:tcPr>
            <w:tcW w:w="16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-29210</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-29210</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38735"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3873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historical cost amount at year-end 2003 was $826 million.</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has three interest rate swaps that change the characteristics of the interest payments on the underlying notes ($50 million of 7.0% notes due 2004, $300 million of 6.125% notes due 2006 and $43 million of 8.75% notes due 2007) from fixed-rate payments to short-term LIBOR-based variable rate payments in order to achieve a mix of interest rates on the company’s long-term debt which, over time, is expected to moderate financing costs. The effect of these three interest rate swaps was to decrease interest expense by $20 million in 2003. The year-end 2003 effective interest rates for the notes, including the effect of the swaps, was approximately 3.55% for the $50 million of notes due 2004, 0.52% for the $300 million of notes due 2006 and 4.90% for the $43 million of notes due 2007. These swaps are sensitive to interest rate changes. For example, if short-term interest rates increase (decrease) by one percentage point from year-end 2003 rates, annual pretax interest expense would increase (decrease) by $4 million.</w:t>
      </w:r>
    </w:p>
    <w:p>
      <w:pPr>
        <w:spacing w:after="0" w:line="97"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54</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75" w:name="page76"/>
    <w:bookmarkEnd w:id="75"/>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cash equivalents are debt securities with original maturities equal to or less than three months. Short-term investments are debt securities with original maturities greater than three months with remaining maturities or average lives of 13 months or less. Long-term cash investments are debt securities with remaining maturities or average lives greater than 13 months. Their aggregate fair value and carrying amount was $5409 million at year-end 2003 ($3960 million at year-end 2002). Fair value will vary as interest rates change. The following table presents the aggregate maturities or average lives of cash equivalents, short-term investments and long-term cash investments, and related weighted-average interest rates by maturity dates at year-end 2003: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600" w:type="dxa"/>
            <w:vAlign w:val="bottom"/>
            <w:gridSpan w:val="2"/>
          </w:tcPr>
          <w:p>
            <w:pPr>
              <w:ind w:left="1000"/>
              <w:spacing w:after="0"/>
              <w:rPr>
                <w:sz w:val="20"/>
                <w:szCs w:val="20"/>
                <w:color w:val="auto"/>
              </w:rPr>
            </w:pPr>
            <w:r>
              <w:rPr>
                <w:rFonts w:ascii="Arial" w:cs="Arial" w:eastAsia="Arial" w:hAnsi="Arial"/>
                <w:sz w:val="14"/>
                <w:szCs w:val="14"/>
                <w:b w:val="1"/>
                <w:bCs w:val="1"/>
                <w:color w:val="auto"/>
              </w:rPr>
              <w:t>Millions of Dollars</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60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6"/>
              </w:rPr>
              <w:t>Cash Equivalents,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60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7"/>
              </w:rPr>
              <w:t>Short-</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6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7"/>
              </w:rPr>
              <w:t>Term Investments and</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8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Maturity Date or</w:t>
            </w:r>
          </w:p>
        </w:tc>
        <w:tc>
          <w:tcPr>
            <w:tcW w:w="26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7"/>
              </w:rPr>
              <w:t>Long-</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80" w:type="dxa"/>
            <w:vAlign w:val="bottom"/>
            <w:gridSpan w:val="2"/>
          </w:tcPr>
          <w:p>
            <w:pPr>
              <w:ind w:left="120"/>
              <w:spacing w:after="0"/>
              <w:rPr>
                <w:sz w:val="20"/>
                <w:szCs w:val="20"/>
                <w:color w:val="auto"/>
              </w:rPr>
            </w:pPr>
            <w:r>
              <w:rPr>
                <w:rFonts w:ascii="Arial" w:cs="Arial" w:eastAsia="Arial" w:hAnsi="Arial"/>
                <w:sz w:val="14"/>
                <w:szCs w:val="14"/>
                <w:b w:val="1"/>
                <w:bCs w:val="1"/>
                <w:color w:val="auto"/>
              </w:rPr>
              <w:t>Average Life</w:t>
            </w:r>
          </w:p>
        </w:tc>
        <w:tc>
          <w:tcPr>
            <w:tcW w:w="260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6"/>
              </w:rPr>
              <w:t>Term Cash Investments</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6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$3,900</w:t>
            </w:r>
          </w:p>
        </w:tc>
        <w:tc>
          <w:tcPr>
            <w:tcW w:w="1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2005</w:t>
            </w:r>
          </w:p>
        </w:tc>
        <w:tc>
          <w:tcPr>
            <w:tcW w:w="6740" w:type="dxa"/>
            <w:vAlign w:val="bottom"/>
          </w:tcPr>
          <w:p>
            <w:pPr>
              <w:spacing w:after="0"/>
              <w:rPr>
                <w:sz w:val="18"/>
                <w:szCs w:val="18"/>
                <w:color w:val="auto"/>
              </w:rPr>
            </w:pPr>
          </w:p>
        </w:tc>
        <w:tc>
          <w:tcPr>
            <w:tcW w:w="1380" w:type="dxa"/>
            <w:vAlign w:val="bottom"/>
          </w:tcPr>
          <w:p>
            <w:pPr>
              <w:jc w:val="right"/>
              <w:ind w:right="362"/>
              <w:spacing w:after="0"/>
              <w:rPr>
                <w:sz w:val="20"/>
                <w:szCs w:val="20"/>
                <w:color w:val="auto"/>
              </w:rPr>
            </w:pPr>
            <w:r>
              <w:rPr>
                <w:rFonts w:ascii="Arial" w:cs="Arial" w:eastAsia="Arial" w:hAnsi="Arial"/>
                <w:sz w:val="18"/>
                <w:szCs w:val="18"/>
                <w:color w:val="auto"/>
              </w:rPr>
              <w:t>1,239</w:t>
            </w:r>
          </w:p>
        </w:tc>
        <w:tc>
          <w:tcPr>
            <w:tcW w:w="12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83</w:t>
            </w:r>
          </w:p>
        </w:tc>
        <w:tc>
          <w:tcPr>
            <w:tcW w:w="1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2007</w:t>
            </w:r>
          </w:p>
        </w:tc>
        <w:tc>
          <w:tcPr>
            <w:tcW w:w="6740" w:type="dxa"/>
            <w:vAlign w:val="bottom"/>
          </w:tcPr>
          <w:p>
            <w:pPr>
              <w:spacing w:after="0"/>
              <w:rPr>
                <w:sz w:val="18"/>
                <w:szCs w:val="18"/>
                <w:color w:val="auto"/>
              </w:rPr>
            </w:pPr>
          </w:p>
        </w:tc>
        <w:tc>
          <w:tcPr>
            <w:tcW w:w="1380" w:type="dxa"/>
            <w:vAlign w:val="bottom"/>
          </w:tcPr>
          <w:p>
            <w:pPr>
              <w:jc w:val="right"/>
              <w:ind w:right="362"/>
              <w:spacing w:after="0"/>
              <w:rPr>
                <w:sz w:val="20"/>
                <w:szCs w:val="20"/>
                <w:color w:val="auto"/>
              </w:rPr>
            </w:pPr>
            <w:r>
              <w:rPr>
                <w:rFonts w:ascii="Arial" w:cs="Arial" w:eastAsia="Arial" w:hAnsi="Arial"/>
                <w:sz w:val="18"/>
                <w:szCs w:val="18"/>
                <w:color w:val="auto"/>
              </w:rPr>
              <w:t>118</w:t>
            </w:r>
          </w:p>
        </w:tc>
        <w:tc>
          <w:tcPr>
            <w:tcW w:w="12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41</w:t>
            </w:r>
          </w:p>
        </w:tc>
        <w:tc>
          <w:tcPr>
            <w:tcW w:w="1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2009</w:t>
            </w:r>
          </w:p>
        </w:tc>
        <w:tc>
          <w:tcPr>
            <w:tcW w:w="6740" w:type="dxa"/>
            <w:vAlign w:val="bottom"/>
          </w:tcPr>
          <w:p>
            <w:pPr>
              <w:spacing w:after="0"/>
              <w:rPr>
                <w:sz w:val="19"/>
                <w:szCs w:val="19"/>
                <w:color w:val="auto"/>
              </w:rPr>
            </w:pPr>
          </w:p>
        </w:tc>
        <w:tc>
          <w:tcPr>
            <w:tcW w:w="1380" w:type="dxa"/>
            <w:vAlign w:val="bottom"/>
          </w:tcPr>
          <w:p>
            <w:pPr>
              <w:jc w:val="right"/>
              <w:ind w:right="362"/>
              <w:spacing w:after="0"/>
              <w:rPr>
                <w:sz w:val="20"/>
                <w:szCs w:val="20"/>
                <w:color w:val="auto"/>
              </w:rPr>
            </w:pPr>
            <w:r>
              <w:rPr>
                <w:rFonts w:ascii="Arial" w:cs="Arial" w:eastAsia="Arial" w:hAnsi="Arial"/>
                <w:sz w:val="18"/>
                <w:szCs w:val="18"/>
                <w:color w:val="auto"/>
              </w:rPr>
              <w:t>28</w:t>
            </w:r>
          </w:p>
        </w:tc>
        <w:tc>
          <w:tcPr>
            <w:tcW w:w="1220" w:type="dxa"/>
            <w:vAlign w:val="bottom"/>
          </w:tcPr>
          <w:p>
            <w:pPr>
              <w:spacing w:after="0"/>
              <w:rPr>
                <w:sz w:val="19"/>
                <w:szCs w:val="19"/>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equity investments at year-end 2003 consisted of the following (types of investments at year-end 2002 were similar):</w:t>
      </w:r>
    </w:p>
    <w:p>
      <w:pPr>
        <w:spacing w:after="0" w:line="77" w:lineRule="exact"/>
        <w:rPr>
          <w:sz w:val="20"/>
          <w:szCs w:val="20"/>
          <w:color w:val="auto"/>
        </w:rPr>
      </w:pPr>
    </w:p>
    <w:p>
      <w:pPr>
        <w:ind w:left="800" w:right="62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investments—include publicly traded and private investments. In 2002, investments consisted primarily of 57 million shares of Micron common stock.</w:t>
      </w:r>
    </w:p>
    <w:p>
      <w:pPr>
        <w:spacing w:after="0" w:line="37" w:lineRule="exact"/>
        <w:rPr>
          <w:rFonts w:ascii="Arial" w:cs="Arial" w:eastAsia="Arial" w:hAnsi="Arial"/>
          <w:sz w:val="18"/>
          <w:szCs w:val="18"/>
          <w:color w:val="auto"/>
        </w:rPr>
      </w:pPr>
    </w:p>
    <w:p>
      <w:pPr>
        <w:ind w:left="800" w:right="260" w:hanging="346"/>
        <w:spacing w:after="0" w:line="325"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TI Ventures—a venture fund that invests in private companies involved in the development of new markets. As of year-end 2003, investments were held in companies focused on next-generation applications of digital signal processors and other technologies and markets strategic to TI.</w:t>
      </w:r>
    </w:p>
    <w:p>
      <w:pPr>
        <w:spacing w:after="0" w:line="1" w:lineRule="exact"/>
        <w:rPr>
          <w:rFonts w:ascii="Arial" w:cs="Arial" w:eastAsia="Arial" w:hAnsi="Arial"/>
          <w:sz w:val="16"/>
          <w:szCs w:val="16"/>
          <w:color w:val="auto"/>
        </w:rPr>
      </w:pPr>
    </w:p>
    <w:p>
      <w:pPr>
        <w:ind w:left="800" w:right="320" w:hanging="346"/>
        <w:spacing w:after="0" w:line="259"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Convertible debt securities and other investments—consists of convertible debt securities due 2006, and mutual funds that are acquired to generate returns that offset changes in certain liabilities related to deferred compensation arrangements. The mutual funds hold a variety of debt and equity investments.</w:t>
      </w:r>
    </w:p>
    <w:p>
      <w:pPr>
        <w:spacing w:after="0" w:line="12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Marketable equity and debt investments are stated at fair value and marked-to-market through stockholders’ equity, net of tax. Impairments deemed to be other-than-temporary are expensed in the statement of operations. Changes in prices of the other investments are expected to offset related changes in deferred compensation liabilities such that a 10% increase or decrease in investment prices would not affect operating results.</w:t>
      </w:r>
    </w:p>
    <w:p>
      <w:pPr>
        <w:spacing w:after="0" w:line="8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55</w:t>
      </w:r>
    </w:p>
    <w:p>
      <w:pPr>
        <w:sectPr>
          <w:pgSz w:w="11900" w:h="16838" w:orient="portrait"/>
          <w:cols w:equalWidth="0" w:num="1">
            <w:col w:w="11420"/>
          </w:cols>
          <w:pgMar w:left="240" w:top="428"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2002 Results of Operations Compared with 2001</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TI’s net revenue was $8383 million, up 2 percent from $8201 million in 2001 due to growth in DSP. For 2002, gross profit increased over 2001 primarily due to higher Semiconductor factory utilization levels that followed significant inventory reductions in 2001.</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Semiconductor revenue was $6944 million, up 2 percent from $6784 million in 2001 due to increased shipments. Sensors &amp; Controls revenue was $958 million, about even with 2001, and E&amp;PS revenue was $494 million, up from $465 million in 2001 due to increased shipments.</w:t>
      </w:r>
    </w:p>
    <w:p>
      <w:pPr>
        <w:spacing w:after="0" w:line="7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decrease in restructuring charges was a significant factor contributing to lower operating costs and expenses in 2002 compared with 2001. The breakdown by cost category is shown below (millions of dollars):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Restructuring Charges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5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Pr>
          <w:p>
            <w:pPr>
              <w:spacing w:after="0"/>
              <w:rPr>
                <w:sz w:val="8"/>
                <w:szCs w:val="8"/>
                <w:color w:val="auto"/>
              </w:rPr>
            </w:pPr>
          </w:p>
        </w:tc>
        <w:tc>
          <w:tcPr>
            <w:tcW w:w="41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$ 25</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$ 247</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Research &amp; development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13</w:t>
            </w:r>
          </w:p>
        </w:tc>
        <w:tc>
          <w:tcPr>
            <w:tcW w:w="13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3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(3)</w:t>
            </w:r>
          </w:p>
        </w:tc>
        <w:tc>
          <w:tcPr>
            <w:tcW w:w="130" w:type="dxa"/>
            <w:vAlign w:val="bottom"/>
          </w:tcPr>
          <w:p>
            <w:pPr>
              <w:spacing w:after="0"/>
              <w:rPr>
                <w:sz w:val="19"/>
                <w:szCs w:val="19"/>
                <w:color w:val="auto"/>
              </w:rPr>
            </w:pPr>
          </w:p>
        </w:tc>
        <w:tc>
          <w:tcPr>
            <w:tcW w:w="51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Pr>
          <w:p>
            <w:pPr>
              <w:spacing w:after="0"/>
              <w:rPr>
                <w:sz w:val="8"/>
                <w:szCs w:val="8"/>
                <w:color w:val="auto"/>
              </w:rPr>
            </w:pPr>
          </w:p>
        </w:tc>
        <w:tc>
          <w:tcPr>
            <w:tcW w:w="41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$ 37</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$ 357</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69875"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2159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Cost of revenue was $5313 million or 63.4 percent of revenue, compared to $5824 million or 71.0 percent of revenue in 2001. Cost of revenue decreased primarily due to higher factory utilization levels that followed significant inventory reductions in 2001 and, to a lesser extent, lower restructuring costs.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increased over 2001 due to lower cost of revenue.</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R&amp;D expense increased to $1619 million, from $1598 million in 2001, due to process and product development in Semiconductor. R&amp;D expense as a percent of revenue was about even with 2001.</w:t>
      </w:r>
    </w:p>
    <w:p>
      <w:pPr>
        <w:spacing w:after="0" w:line="118"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SG&amp;A expense was $1163 million, down from $1361 million in 2001, due about equally to lower restructuring charges and the cessation of amortization of goodwill. SG&amp;A expense as a percent of revenue declined 2.7 percentage points due to lower SG&amp;A expense. In 2001, amortization of goodwill was $97 million.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profit increased $870 million from 2001 due to higher gross profit.</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OI&amp;E decreased $794 million primarily due to non-cash write-downs of certain stock holdings in the company’s investment portfolio. TI carries its public stock holdings at current market value on its balance sheet and records an impairment write-down against current earnings if a stock’s value declines below its cost basis and the decline is deemed to be other-than-temporary. In the fourth quarter of 2002, the company recorded a $638 million write-down of its Micron common stock. TI received this stock in connection with the sale of its memory business unit to Micron in 1998. The company established a valuation allowance against the deferred tax asset associated with the write-down of its Micron common stock due to the unlikelihood of the realization of the tax benefits associated with this capital loss. Consequently, the write-down reduced net income by $638 million and reduced earnings by $0.37 per share.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income declined 34 percent or $63 million from 2001 as the impact of lower interest rates more than offset the effect of TI’s higher cash balances.</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56</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77" w:name="page78"/>
    <w:bookmarkEnd w:id="77"/>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had an income tax benefit of $2 million and $225 million in 2002 and 2001. These benefits were driven by (in decreasing order) the net operating loss of the company in both years, various tax benefits such as for research activities and export sales, and the effect of non-U.S. rates in those years. The tax benefit in 2002 was offset by the recording of the $223 million valuation allowance associated with the write-down of the Micron common stock. Income tax rates are not meaningful in years in which the company has a tax benefit.</w:t>
      </w:r>
    </w:p>
    <w:p>
      <w:pPr>
        <w:spacing w:after="0" w:line="130" w:lineRule="exact"/>
        <w:rPr>
          <w:sz w:val="20"/>
          <w:szCs w:val="20"/>
          <w:color w:val="auto"/>
        </w:rPr>
      </w:pPr>
    </w:p>
    <w:p>
      <w:pPr>
        <w:jc w:val="right"/>
        <w:ind w:left="460" w:right="4160"/>
        <w:spacing w:after="0" w:line="340" w:lineRule="auto"/>
        <w:rPr>
          <w:sz w:val="20"/>
          <w:szCs w:val="20"/>
          <w:color w:val="auto"/>
        </w:rPr>
      </w:pPr>
      <w:r>
        <w:rPr>
          <w:rFonts w:ascii="Arial" w:cs="Arial" w:eastAsia="Arial" w:hAnsi="Arial"/>
          <w:sz w:val="18"/>
          <w:szCs w:val="18"/>
          <w:color w:val="auto"/>
        </w:rPr>
        <w:t xml:space="preserve">Additional information appears below under the heading Restructuring Actions and Other Items. </w:t>
      </w:r>
      <w:r>
        <w:rPr>
          <w:rFonts w:ascii="Arial" w:cs="Arial" w:eastAsia="Arial" w:hAnsi="Arial"/>
          <w:sz w:val="18"/>
          <w:szCs w:val="18"/>
          <w:b w:val="1"/>
          <w:bCs w:val="1"/>
          <w:color w:val="auto"/>
        </w:rPr>
        <w:t>Statement of Operations Selected Items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(Millions of dollars, except per-share amounts)</w:t>
      </w:r>
    </w:p>
    <w:p>
      <w:pPr>
        <w:spacing w:after="0" w:line="12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For Years Ended</w:t>
      </w:r>
    </w:p>
    <w:p>
      <w:pPr>
        <w:spacing w:after="0" w:line="1"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60325</wp:posOffset>
            </wp:positionV>
            <wp:extent cx="108077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2002</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1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8,383</w:t>
            </w:r>
          </w:p>
        </w:tc>
        <w:tc>
          <w:tcPr>
            <w:tcW w:w="660" w:type="dxa"/>
            <w:vAlign w:val="bottom"/>
            <w:shd w:val="clear" w:color="auto" w:fill="CCEEFF"/>
          </w:tcPr>
          <w:p>
            <w:pPr>
              <w:spacing w:after="0"/>
              <w:rPr>
                <w:sz w:val="18"/>
                <w:szCs w:val="18"/>
                <w:color w:val="auto"/>
              </w:rPr>
            </w:pP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5,313</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w w:val="84"/>
              </w:rPr>
              <w:t>5,824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3,070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Gross profit % of revenue</w:t>
            </w:r>
          </w:p>
        </w:tc>
        <w:tc>
          <w:tcPr>
            <w:tcW w:w="1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3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1,619</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R&amp;D % of revenue</w:t>
            </w:r>
          </w:p>
        </w:tc>
        <w:tc>
          <w:tcPr>
            <w:tcW w:w="1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3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1,163</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SG&amp;A % of revenue</w:t>
            </w:r>
          </w:p>
        </w:tc>
        <w:tc>
          <w:tcPr>
            <w:tcW w:w="12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3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Profit (loss) from operations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3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Operating profit (loss) % of revenue</w:t>
            </w:r>
          </w:p>
        </w:tc>
        <w:tc>
          <w:tcPr>
            <w:tcW w:w="1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3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(577)</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Interest on loans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(346)</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3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3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(344)</w:t>
            </w: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3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41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 (EPS)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3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-329565</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-329565</wp:posOffset>
            </wp:positionV>
            <wp:extent cx="2159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-329565</wp:posOffset>
            </wp:positionV>
            <wp:extent cx="3873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-329565</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-329565</wp:posOffset>
            </wp:positionV>
            <wp:extent cx="2159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38735"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3556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38735"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the year 2002 compared to 2001:</w:t>
      </w:r>
    </w:p>
    <w:p>
      <w:pPr>
        <w:spacing w:after="0" w:line="77"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Semiconductor revenue was $6944 million, up 2 percent from 2001.</w:t>
      </w:r>
    </w:p>
    <w:p>
      <w:pPr>
        <w:spacing w:after="0" w:line="76" w:lineRule="exact"/>
        <w:rPr>
          <w:rFonts w:ascii="Arial" w:cs="Arial" w:eastAsia="Arial" w:hAnsi="Arial"/>
          <w:sz w:val="18"/>
          <w:szCs w:val="18"/>
          <w:color w:val="auto"/>
        </w:rPr>
      </w:pPr>
    </w:p>
    <w:p>
      <w:pPr>
        <w:ind w:left="800" w:right="840" w:hanging="346"/>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Analog revenue grew 3 percent compared with 2001 due to increased demand across a range of products. In 2002, about 40 percent of total Semiconductor revenue came from Analog.</w:t>
      </w:r>
    </w:p>
    <w:p>
      <w:pPr>
        <w:spacing w:after="0" w:line="37"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DSP revenue grew 30 percent compared with 2001 due to increased demand for wireless products. In 2002, about 30 percent of total Semiconductor revenue came from DSP.</w:t>
      </w:r>
    </w:p>
    <w:p>
      <w:pPr>
        <w:spacing w:after="0" w:line="37" w:lineRule="exact"/>
        <w:rPr>
          <w:rFonts w:ascii="Arial" w:cs="Arial" w:eastAsia="Arial" w:hAnsi="Arial"/>
          <w:sz w:val="18"/>
          <w:szCs w:val="18"/>
          <w:color w:val="auto"/>
        </w:rPr>
      </w:pPr>
    </w:p>
    <w:p>
      <w:pPr>
        <w:ind w:left="800" w:right="340" w:hanging="346"/>
        <w:spacing w:after="0" w:line="278"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TI’s remaining Semiconductor revenue fell 17 percent compared with 2001 due to a decline in shipments resulting from lower demand for, in decreasing order, application-specific integrated circuits (ASICs), RISC microprocessors, and microcontrollers, and, to a lesser extent, a decline in prices for standard logic products. These declines more than offset increased demand for DLP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RISC microprocessors, ASICs, microcontrollers, standard logic, DLP and royalties were each about 5 percent of TI’s Semiconductor revenue for the year.</w:t>
      </w:r>
    </w:p>
    <w:p>
      <w:pPr>
        <w:spacing w:after="0" w:line="26" w:lineRule="exact"/>
        <w:rPr>
          <w:rFonts w:ascii="Arial" w:cs="Arial" w:eastAsia="Arial" w:hAnsi="Arial"/>
          <w:sz w:val="16"/>
          <w:szCs w:val="16"/>
          <w:color w:val="auto"/>
        </w:rPr>
      </w:pPr>
    </w:p>
    <w:p>
      <w:pPr>
        <w:ind w:left="800" w:right="440" w:hanging="346"/>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Semiconductor gross profit was $2559 million, or 36.8 percent of revenue. Gross profit increased 20 percent from 2001, reflecting higher factory utilization levels that followed significant inventory reductions in 2001.</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profit was $254 million, an increase of $409 million compared with 2001 due to higher gross profit.</w:t>
      </w:r>
    </w:p>
    <w:p>
      <w:pPr>
        <w:spacing w:after="0" w:line="14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57</w:t>
      </w:r>
    </w:p>
    <w:p>
      <w:pPr>
        <w:sectPr>
          <w:pgSz w:w="11900" w:h="16838" w:orient="portrait"/>
          <w:cols w:equalWidth="0" w:num="1">
            <w:col w:w="11420"/>
          </w:cols>
          <w:pgMar w:left="240" w:top="428" w:right="239"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2002, TI’s Semiconductor products sold into key end equipments were as follows:</w:t>
      </w:r>
    </w:p>
    <w:p>
      <w:pPr>
        <w:spacing w:after="0" w:line="77" w:lineRule="exact"/>
        <w:rPr>
          <w:sz w:val="20"/>
          <w:szCs w:val="20"/>
          <w:color w:val="auto"/>
        </w:rPr>
      </w:pPr>
    </w:p>
    <w:p>
      <w:pPr>
        <w:jc w:val="both"/>
        <w:ind w:left="800" w:right="300" w:hanging="346"/>
        <w:spacing w:after="0" w:line="25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Wireless revenue grew 45 percent due to a significant increase in shipments of new 2.5G products, which have higher prices than prior-generation products as a result of increased performance and system-integration levels. In 2002, about 30 percent of total Semiconductor revenue came from wireless.</w:t>
      </w:r>
    </w:p>
    <w:p>
      <w:pPr>
        <w:spacing w:after="0" w:line="45"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from TI’s catalog products, composed of high-performance Analog and catalog DSP, declined 7 percent due to lower shipments of mature products. In 2002, about 15 percent of total Semiconductor revenue came from catalog products.</w:t>
      </w:r>
    </w:p>
    <w:p>
      <w:pPr>
        <w:spacing w:after="0" w:line="37" w:lineRule="exact"/>
        <w:rPr>
          <w:rFonts w:ascii="Arial" w:cs="Arial" w:eastAsia="Arial" w:hAnsi="Arial"/>
          <w:sz w:val="18"/>
          <w:szCs w:val="18"/>
          <w:color w:val="auto"/>
        </w:rPr>
      </w:pPr>
    </w:p>
    <w:p>
      <w:pPr>
        <w:ind w:left="800" w:right="180" w:hanging="346"/>
        <w:spacing w:after="0" w:line="25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voice over packet (VoP), and wireless local area networks (WLANs), declined 40 percent due to decreased shipments as demand declined in the telecommunications market. In 2002, less than 5 percent of total Semiconductor revenue came from broadband communications.</w:t>
      </w:r>
    </w:p>
    <w:p>
      <w:pPr>
        <w:spacing w:after="0" w:line="12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total, the company estimates that its Semiconductor revenue came from the following broad markets: communications (including wireless and broadband communications) was about 45 percent of Semiconductor revenue in 2002; computing (including computers and peripherals) was about 35 percent; digital consumer was about 5 percent; industrial and other was about 10 percent; and automotive was about 5 percent.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Semiconductor orders increased 28 percent to $6951 million, due to higher demand for Analog and DSP products.</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Semiconductor revenue accounted for 83 percent of the company’s revenue in 2002. For information regarding the decrease in Semiconductor cost of revenue in 2002, please refer to the discussion of the decrease in the cost of revenue for the company on page 56.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Sensors &amp; Controls</w:t>
      </w:r>
    </w:p>
    <w:p>
      <w:pPr>
        <w:spacing w:after="0" w:line="8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the year 2002, revenue was $958 million, about even with 2001. Despite generally weak market conditions, this segment benefited from new product introductions and market share gains in sensors for the automotive market.</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Gross profit was $329 million, or 34.3 percent of revenue, up $28 million from 2001 due to greater manufacturing efficiencies resulting from increased production at lower-cost manufacturing sites.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profit increased to $214 million from $192 million. The gains in operating profit were due to higher gross profit.</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Both gross profit and operating profit reached record levels for the year. Sensors &amp; Controls has increased its operating margin every year for each of the last six years, more than doubling it in the process.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Educational &amp; Productivity Solutions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year 2002, E&amp;PS revenue increased 6 percent, to $494 million, due to increased shipments of graphing calculators in the educational market reflecting increased demand.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Gross profit was $261 million, or 52.8 percent of revenue, up $25 million from 2001 due to improved product mix resulting from a focus on higher-margin products such as graphing calculators.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profit was $154 million, up 17 percent compared with 2001 due to higher gross profit.</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Both gross profit and operating profit reached record levels for the year. E&amp;PS has increased its operating margin every year for each of the last six years, more than doubling it in the process.</w:t>
      </w:r>
    </w:p>
    <w:p>
      <w:pPr>
        <w:spacing w:after="0" w:line="110"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58</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360"/>
          </w:cols>
          <w:pgMar w:left="240" w:top="428" w:right="2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Restructuring Actions and Other Items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Actions</w:t>
      </w:r>
    </w:p>
    <w:p>
      <w:pPr>
        <w:spacing w:after="0" w:line="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800 jobs through voluntary retirement and involuntary termination programs over the next two years, primarily in manufacturing operations at the Attleboro headquarters of the Sensors &amp; Controls business. The total cost of this restructuring action is expected to be about $60 million. When completed at the end of 2004, the projected savings from this restructuring action are estimated to be an annualized $40 million, predominantly comprised of payroll and benefit savings.</w:t>
      </w:r>
    </w:p>
    <w:p>
      <w:pPr>
        <w:spacing w:after="0" w:line="13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the fourth quarter of 2003, the company recorded net pretax charges of $6 million, primarily for severance and benefit costs. Of the $6 million, $5 million is included in cost of revenue and $1 million is included in selling, general and administrative expense. The total number of employees affected was 43, primarily at the Attleboro and Japan locations. As of December 31, 2003, a total of 316 employees have been terminated and total net pretax charges of $40 million have been recorded associated with this action. Payments are expected to be completed in 2005.</w:t>
      </w:r>
    </w:p>
    <w:p>
      <w:pPr>
        <w:spacing w:after="0" w:line="9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the third quarter of 2003, the company recorded net pretax charges of $8 million, primarily for severance and benefit costs. Of the $8 million, $7 million is included in cost of revenue and $1 million is included in selling, general and administrative expense. The total number of employees affected was 90, primarily at the Attleboro and Japan locations.</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$26 million, primarily for severance and benefit costs. Of the $26 million, $22 million is included in cost of revenue and $4 million is included in selling, general and administrative expense. The total number of employees affected was 183, primarily at the Attleboro location.</w:t>
      </w:r>
    </w:p>
    <w:p>
      <w:pPr>
        <w:spacing w:after="0" w:line="12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Semiconductor Restructuring Action: Also, in the second quarter of 2003, the company announced a restructuring action that is expected to affect about 950 jobs in Semiconductor manufacturing operations in the U.S. and international locations, as those operations continue to become more productive with fewer people. The total cost of this restructuring action is expected to be about $90 million. When completed at the end of 2004, the projected savings from this restructuring action were estimated to be an annualized $70 million, predominantly comprised of payroll and benefit savings.</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fourth quarter of 2003, the company recorded net pretax charges of $7 million, primarily for severance and benefit costs. Of the $7 million, $6 million is included in cost of revenue and $1 million is included in selling, general and administrative expense. The total number of employees affected was 106, primarily at U.S. locations. As of December 31, 2003, a total of 768 employees have been terminated and total net pretax charges of $78 million have been recorded associated with this action. Payments are expected to be completed in 2004.</w:t>
      </w:r>
    </w:p>
    <w:p>
      <w:pPr>
        <w:spacing w:after="0" w:line="13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the third quarter of 2003, the company recorded net pretax charges of $48 million, primarily for severance and benefit costs. Of the $48 million, $41 million is included in cost of revenue, $6 million is included in selling, general and administrative expense, and $1 million is in research and development expense. The total number of employees affected was 553, primarily at U.S. and Japan locations.</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$23 million, primarily for severance and benefit costs. Of the $23 million, $21 million is included in cost of revenue and $2 million is included in selling, general and administrative expense. The total number of employees affected was 109, primarily at U.S. and Germany locations.</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Semiconductor Restructuring Action: In late 2002, the company announced a plan to involuntarily terminate about 500 employees, primarily in manufacturing operations, to align resources with market demand. In the third and</w:t>
      </w:r>
    </w:p>
    <w:p>
      <w:pPr>
        <w:spacing w:after="0" w:line="11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59</w:t>
      </w:r>
    </w:p>
    <w:p>
      <w:pPr>
        <w:sectPr>
          <w:pgSz w:w="11900" w:h="16838" w:orient="portrait"/>
          <w:cols w:equalWidth="0" w:num="1">
            <w:col w:w="11420"/>
          </w:cols>
          <w:pgMar w:left="240" w:top="422" w:right="239" w:bottom="1440" w:gutter="0" w:footer="0" w:header="0"/>
        </w:sectPr>
      </w:pPr>
    </w:p>
    <w:bookmarkStart w:id="80" w:name="page81"/>
    <w:bookmarkEnd w:id="8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for severance and benefit costs, of which $11 million was included in cost of revenue, $4 million in selling, general and administrative expense, and $2 million in research and development expense. The projected savings from the cost-reduction plan were estimated to be an annualized $30 million, predominantly comprised of payroll and benefits savings. As of December 31, 2003, all employees have been terminated and a balance of $1 million of severance and benefit costs remains to be paid. Payments are expected to be completed in 2004.</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in Santa Cruz, California; Merrimack, New Hampshire; and Tustin, California. The projected savings from the cost-reduction plan were estimated to be an annualized $600 million, predominantly comprised of payroll and benefits savings. Since the 5724 affected employees have terminated and the three facilities are closed, the savings from this cost-reduction plan are being realized. The 5724 affected employees were primarily in manufacturing operations.</w:t>
      </w:r>
    </w:p>
    <w:p>
      <w:pPr>
        <w:spacing w:after="0" w:line="1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Voluntary/Involuntary Programs in U.S.: In the first quarter of 2001, the company announced a voluntary retirement program and a plan to involuntarily terminate employees at some of its U.S. locations. Of the total 5724 affected employees, 329 were in the company’s location in Massachusetts and 2038 were in other U.S. locations, primarily in Texas. The company recorded net pretax charges of $153 million for severance and benefit costs, of which $107 million was included in cost of revenue, $48 million in selling, general and administrative expense, $1 million in research and development expense, and $3 million in other income. The savings from this element of the cost-reduction plan were estimated to be an annualized $290 million. As of December 31, 2002, all employees have been terminated, all payments are complete and no balance remains. At year-end 2002, this program was complete.</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Semiconductor Site Closings in U.S.: In the first and second quarters of 2001, the company announced a plan to consolidate certain manufacturing operations resulting in the closing of three Semiconductor facilities. Of the total 5724 affected employees, 1159 were in the company’s locations in California and New Hampshire. The company recorded net pretax charges of $88 million, of which $31 million was for severance and benefit costs, $46 million was for the acceleration of depreciation on the facilities’ assets over the remaining service life of the sites, and $11 million was for various other payments. Of the $31 million severance and benefit costs, $27 million was included in cost of revenue, and $4 million was included in selling, general and administrative expense. The remaining $57 million of charges was included in cost of revenue. The savings from this element of the cost-reduction plan were estimated to be an annualized $170 million. One of the facilities was sold in 2001, one of the facilities was sold in 2003, and the other facility is being marketed for sale. As of December 31, 2003, all employees have been terminated, all payments are complete and no balance remains.</w:t>
      </w:r>
    </w:p>
    <w:p>
      <w:pPr>
        <w:spacing w:after="0" w:line="10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2002, the company continued to record acceleration of depreciation of $15 million on the Semiconductor facility in New Hampshire. This acceleration of depreciation was included in cost of revenue. In addition, $5 million of additional severance and benefit costs was recorded related to these facility closings. The $5 million was included in selling, general and administrative expense.</w:t>
      </w:r>
    </w:p>
    <w:p>
      <w:pPr>
        <w:spacing w:after="0" w:line="12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 $48 million was included in selling, general and administrative expense, and $12 million was included in research and development expense. The savings</w:t>
      </w:r>
    </w:p>
    <w:p>
      <w:pPr>
        <w:spacing w:after="0" w:line="94"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60</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8" w:right="239" w:bottom="1440" w:gutter="0" w:footer="0" w:header="0"/>
        </w:sectPr>
      </w:pPr>
    </w:p>
    <w:bookmarkStart w:id="81" w:name="page82"/>
    <w:bookmarkEnd w:id="81"/>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this element of the cost-reduction plan were to be an estimated annualized $140 million. As of December 31, 2003, all employees have been terminated and a balance of $24 million of severance and benefit costs remains to be paid. Payments are expected to continue through 2008, of which $9 million is to be paid in 2004, $6 million in 2005, and $4 million in 2006, $3 million in 2007 and $2 million in 2008.</w:t>
      </w:r>
    </w:p>
    <w:p>
      <w:pPr>
        <w:spacing w:after="0" w:line="12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Prior Actions: In years prior to 2001, actions were taken to terminate employees primarily in the company’s European locations. There were also restructuring reserves booked for the closing of a facility in Texas and for a warranty associated with the sale of the company’s software business unit. At the beginning of 2002, this reserve balance was $37 million. In 2002, the Texas facility was sold and the warranty period expired. As a result, the $8 million Texas facility reserve was reversed, the $20 million warranty reserve was reversed and $6 million of severance was paid. As of December 31, 2003, a balance of $3 million in severance and benefit costs remains to be paid. Payments are expected to be completed in 2004.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Balance, Prior</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Voluntary/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SC</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Actions</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Involuntary</w:t>
            </w:r>
          </w:p>
        </w:tc>
        <w:tc>
          <w:tcPr>
            <w:tcW w:w="180" w:type="dxa"/>
            <w:vAlign w:val="bottom"/>
          </w:tcPr>
          <w:p>
            <w:pPr>
              <w:spacing w:after="0"/>
              <w:rPr>
                <w:sz w:val="12"/>
                <w:szCs w:val="12"/>
                <w:color w:val="auto"/>
              </w:rPr>
            </w:pPr>
          </w:p>
        </w:tc>
        <w:tc>
          <w:tcPr>
            <w:tcW w:w="8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SC Site</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8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SC Site</w:t>
            </w:r>
          </w:p>
        </w:tc>
        <w:tc>
          <w:tcPr>
            <w:tcW w:w="80" w:type="dxa"/>
            <w:vAlign w:val="bottom"/>
          </w:tcPr>
          <w:p>
            <w:pPr>
              <w:spacing w:after="0"/>
              <w:rPr>
                <w:sz w:val="12"/>
                <w:szCs w:val="12"/>
                <w:color w:val="auto"/>
              </w:rPr>
            </w:pPr>
          </w:p>
        </w:tc>
        <w:tc>
          <w:tcPr>
            <w:tcW w:w="9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SC</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S&amp;C</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Primarily</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Program in</w:t>
            </w:r>
          </w:p>
        </w:tc>
        <w:tc>
          <w:tcPr>
            <w:tcW w:w="1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Closings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Closings</w:t>
            </w: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Severance</w:t>
            </w:r>
          </w:p>
        </w:tc>
        <w:tc>
          <w:tcPr>
            <w:tcW w:w="320" w:type="dxa"/>
            <w:vAlign w:val="bottom"/>
          </w:tcPr>
          <w:p>
            <w:pPr>
              <w:spacing w:after="0"/>
              <w:rPr>
                <w:sz w:val="12"/>
                <w:szCs w:val="12"/>
                <w:color w:val="auto"/>
              </w:rPr>
            </w:pPr>
          </w:p>
        </w:tc>
        <w:tc>
          <w:tcPr>
            <w:tcW w:w="6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4"/>
              </w:rPr>
              <w:t>Severance</w:t>
            </w:r>
          </w:p>
        </w:tc>
        <w:tc>
          <w:tcPr>
            <w:tcW w:w="0" w:type="dxa"/>
            <w:vAlign w:val="bottom"/>
          </w:tcPr>
          <w:p>
            <w:pPr>
              <w:spacing w:after="0"/>
              <w:rPr>
                <w:sz w:val="1"/>
                <w:szCs w:val="1"/>
                <w:color w:val="auto"/>
              </w:rPr>
            </w:pPr>
          </w:p>
        </w:tc>
      </w:tr>
      <w:tr>
        <w:trPr>
          <w:trHeight w:val="174"/>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5"/>
                <w:szCs w:val="15"/>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5"/>
                <w:szCs w:val="15"/>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Severance</w:t>
            </w:r>
          </w:p>
        </w:tc>
        <w:tc>
          <w:tcPr>
            <w:tcW w:w="140" w:type="dxa"/>
            <w:vAlign w:val="bottom"/>
          </w:tcPr>
          <w:p>
            <w:pPr>
              <w:spacing w:after="0"/>
              <w:rPr>
                <w:sz w:val="15"/>
                <w:szCs w:val="15"/>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5"/>
                <w:szCs w:val="15"/>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in U.S.</w:t>
            </w:r>
          </w:p>
        </w:tc>
        <w:tc>
          <w:tcPr>
            <w:tcW w:w="120" w:type="dxa"/>
            <w:vAlign w:val="bottom"/>
          </w:tcPr>
          <w:p>
            <w:pPr>
              <w:spacing w:after="0"/>
              <w:rPr>
                <w:sz w:val="15"/>
                <w:szCs w:val="15"/>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Actions</w:t>
            </w:r>
          </w:p>
        </w:tc>
        <w:tc>
          <w:tcPr>
            <w:tcW w:w="8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in U.S.</w:t>
            </w:r>
          </w:p>
        </w:tc>
        <w:tc>
          <w:tcPr>
            <w:tcW w:w="80" w:type="dxa"/>
            <w:vAlign w:val="bottom"/>
          </w:tcPr>
          <w:p>
            <w:pPr>
              <w:spacing w:after="0"/>
              <w:rPr>
                <w:sz w:val="15"/>
                <w:szCs w:val="15"/>
                <w:color w:val="auto"/>
              </w:rPr>
            </w:pPr>
          </w:p>
        </w:tc>
        <w:tc>
          <w:tcPr>
            <w:tcW w:w="9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Action</w:t>
            </w:r>
          </w:p>
        </w:tc>
        <w:tc>
          <w:tcPr>
            <w:tcW w:w="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Action</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7"/>
              </w:rPr>
              <w:t>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20" w:type="dxa"/>
            <w:vAlign w:val="bottom"/>
            <w:gridSpan w:val="3"/>
          </w:tcPr>
          <w:p>
            <w:pPr>
              <w:spacing w:after="0"/>
              <w:rPr>
                <w:sz w:val="20"/>
                <w:szCs w:val="20"/>
                <w:color w:val="auto"/>
              </w:rPr>
            </w:pPr>
            <w:r>
              <w:rPr>
                <w:rFonts w:ascii="Arial" w:cs="Arial" w:eastAsia="Arial" w:hAnsi="Arial"/>
                <w:sz w:val="14"/>
                <w:szCs w:val="14"/>
                <w:color w:val="auto"/>
              </w:rPr>
              <w:t>CHARGES: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charges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Non-cash write-down of fixed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Various charges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DISPOSITIONS: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payments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5"/>
              </w:rPr>
              <w:t>(258)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Non-cash write-down of fixed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Various payments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Non-cash change in estimates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Severance charges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Non-cash acceleration of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DISPOSITIONS: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payments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Sale of facility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Non-cash transfer to accumulated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Non-cash change in estimates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CHARGES: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Severance charges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60" w:type="dxa"/>
            <w:vAlign w:val="bottom"/>
          </w:tcPr>
          <w:p>
            <w:pPr>
              <w:spacing w:after="0"/>
              <w:rPr>
                <w:sz w:val="12"/>
                <w:szCs w:val="12"/>
                <w:color w:val="auto"/>
              </w:rPr>
            </w:pPr>
          </w:p>
        </w:tc>
        <w:tc>
          <w:tcPr>
            <w:tcW w:w="4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acceleration of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Non-cash write-down of fixed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DISPOSITIONS: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Severance payments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Non-cash transfer to accumulated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depreciation</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Non-cash write-down of fixed assets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8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2003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-29210</wp:posOffset>
            </wp:positionV>
            <wp:extent cx="1270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-29210</wp:posOffset>
            </wp:positionV>
            <wp:extent cx="2159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-29210</wp:posOffset>
            </wp:positionV>
            <wp:extent cx="38735"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-29210</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-29210</wp:posOffset>
            </wp:positionV>
            <wp:extent cx="2159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38735"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-29210</wp:posOffset>
            </wp:positionV>
            <wp:extent cx="2159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38735"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347345"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38735"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38735"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38735"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407035"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All charges/dispositions are cash items unless otherwise noted.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*Abbreviations</w:t>
      </w:r>
    </w:p>
    <w:p>
      <w:pPr>
        <w:ind w:left="800"/>
        <w:spacing w:after="0"/>
        <w:tabs>
          <w:tab w:leader="none" w:pos="1080" w:val="left"/>
        </w:tabs>
        <w:rPr>
          <w:sz w:val="20"/>
          <w:szCs w:val="20"/>
          <w:color w:val="auto"/>
        </w:rPr>
      </w:pPr>
      <w:r>
        <w:rPr>
          <w:rFonts w:ascii="Arial" w:cs="Arial" w:eastAsia="Arial" w:hAnsi="Arial"/>
          <w:sz w:val="14"/>
          <w:szCs w:val="14"/>
          <w:color w:val="auto"/>
        </w:rPr>
        <w:t>SC</w:t>
      </w:r>
      <w:r>
        <w:rPr>
          <w:sz w:val="20"/>
          <w:szCs w:val="20"/>
          <w:color w:val="auto"/>
        </w:rPr>
        <w:tab/>
      </w:r>
      <w:r>
        <w:rPr>
          <w:rFonts w:ascii="Arial" w:cs="Arial" w:eastAsia="Arial" w:hAnsi="Arial"/>
          <w:sz w:val="12"/>
          <w:szCs w:val="12"/>
          <w:color w:val="auto"/>
        </w:rPr>
        <w:t>= Semiconductor</w:t>
      </w:r>
    </w:p>
    <w:p>
      <w:pPr>
        <w:ind w:left="800"/>
        <w:spacing w:after="0"/>
        <w:rPr>
          <w:sz w:val="20"/>
          <w:szCs w:val="20"/>
          <w:color w:val="auto"/>
        </w:rPr>
      </w:pPr>
      <w:r>
        <w:rPr>
          <w:rFonts w:ascii="Arial" w:cs="Arial" w:eastAsia="Arial" w:hAnsi="Arial"/>
          <w:sz w:val="14"/>
          <w:szCs w:val="14"/>
          <w:color w:val="auto"/>
        </w:rPr>
        <w:t>S&amp;C = Sensors &amp; Controls</w:t>
      </w:r>
    </w:p>
    <w:p>
      <w:pPr>
        <w:spacing w:after="0" w:line="11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61</w:t>
      </w:r>
    </w:p>
    <w:p>
      <w:pPr>
        <w:sectPr>
          <w:pgSz w:w="11900" w:h="16838" w:orient="portrait"/>
          <w:cols w:equalWidth="0" w:num="1">
            <w:col w:w="11420"/>
          </w:cols>
          <w:pgMar w:left="240" w:top="428"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Items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Other items include the following (charges) and gains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2003</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acquisition-related costs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 (99)</w:t>
            </w:r>
          </w:p>
        </w:tc>
        <w:tc>
          <w:tcPr>
            <w:tcW w:w="86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w w:val="94"/>
              </w:rPr>
              <w:t>$ (115)</w:t>
            </w:r>
          </w:p>
        </w:tc>
        <w:tc>
          <w:tcPr>
            <w:tcW w:w="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4"/>
              </w:rPr>
              <w:t>$ (229)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Purchased in-process research and development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adjustment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Gain on sale of Micron common stock</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of convertible notes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Write-down of Micron common stock</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(638)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Reversal of warranty reserve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8160" w:type="dxa"/>
            <w:vAlign w:val="bottom"/>
            <w:gridSpan w:val="3"/>
          </w:tcPr>
          <w:p>
            <w:pPr>
              <w:spacing w:after="0"/>
              <w:rPr>
                <w:sz w:val="20"/>
                <w:szCs w:val="20"/>
                <w:color w:val="auto"/>
              </w:rPr>
            </w:pPr>
            <w:r>
              <w:rPr>
                <w:rFonts w:ascii="Arial" w:cs="Arial" w:eastAsia="Arial" w:hAnsi="Arial"/>
                <w:sz w:val="18"/>
                <w:szCs w:val="18"/>
                <w:b w:val="1"/>
                <w:bCs w:val="1"/>
                <w:color w:val="auto"/>
              </w:rPr>
              <w:t>Quarterly Financial Data</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14"/>
          </w:tcPr>
          <w:p>
            <w:pPr>
              <w:jc w:val="center"/>
              <w:ind w:right="220"/>
              <w:spacing w:after="0"/>
              <w:rPr>
                <w:sz w:val="20"/>
                <w:szCs w:val="20"/>
                <w:color w:val="auto"/>
              </w:rPr>
            </w:pPr>
            <w:r>
              <w:rPr>
                <w:rFonts w:ascii="Arial" w:cs="Arial" w:eastAsia="Arial" w:hAnsi="Arial"/>
                <w:sz w:val="14"/>
                <w:szCs w:val="14"/>
                <w:b w:val="1"/>
                <w:bCs w:val="1"/>
                <w:color w:val="auto"/>
                <w:w w:val="88"/>
              </w:rPr>
              <w:t>Millions of Dollars, Except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12"/>
          </w:tcPr>
          <w:p>
            <w:pPr>
              <w:jc w:val="center"/>
              <w:ind w:right="460"/>
              <w:spacing w:after="0"/>
              <w:rPr>
                <w:sz w:val="20"/>
                <w:szCs w:val="20"/>
                <w:color w:val="auto"/>
              </w:rPr>
            </w:pPr>
            <w:r>
              <w:rPr>
                <w:rFonts w:ascii="Arial" w:cs="Arial" w:eastAsia="Arial" w:hAnsi="Arial"/>
                <w:sz w:val="14"/>
                <w:szCs w:val="14"/>
                <w:b w:val="1"/>
                <w:bCs w:val="1"/>
                <w:color w:val="auto"/>
                <w:w w:val="86"/>
              </w:rPr>
              <w:t>Per-share Amounts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0" w:type="dxa"/>
            <w:vAlign w:val="bottom"/>
            <w:gridSpan w:val="2"/>
          </w:tcPr>
          <w:p>
            <w:pPr>
              <w:spacing w:after="0"/>
              <w:rPr>
                <w:sz w:val="8"/>
                <w:szCs w:val="8"/>
                <w:color w:val="auto"/>
              </w:rPr>
            </w:pPr>
          </w:p>
        </w:tc>
        <w:tc>
          <w:tcPr>
            <w:tcW w:w="7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2003</w:t>
            </w:r>
          </w:p>
        </w:tc>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1st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2nd</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4"/>
          </w:tcPr>
          <w:p>
            <w:pPr>
              <w:ind w:left="40"/>
              <w:spacing w:after="0"/>
              <w:rPr>
                <w:sz w:val="20"/>
                <w:szCs w:val="20"/>
                <w:color w:val="auto"/>
              </w:rPr>
            </w:pPr>
            <w:r>
              <w:rPr>
                <w:rFonts w:ascii="Arial" w:cs="Arial" w:eastAsia="Arial" w:hAnsi="Arial"/>
                <w:sz w:val="14"/>
                <w:szCs w:val="14"/>
                <w:b w:val="1"/>
                <w:bCs w:val="1"/>
                <w:color w:val="auto"/>
              </w:rPr>
              <w:t>3rd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gridSpan w:val="3"/>
          </w:tcPr>
          <w:p>
            <w:pPr>
              <w:ind w:left="60"/>
              <w:spacing w:after="0"/>
              <w:rPr>
                <w:sz w:val="20"/>
                <w:szCs w:val="20"/>
                <w:color w:val="auto"/>
              </w:rPr>
            </w:pPr>
            <w:r>
              <w:rPr>
                <w:rFonts w:ascii="Arial" w:cs="Arial" w:eastAsia="Arial" w:hAnsi="Arial"/>
                <w:sz w:val="14"/>
                <w:szCs w:val="14"/>
                <w:b w:val="1"/>
                <w:bCs w:val="1"/>
                <w:color w:val="auto"/>
              </w:rPr>
              <w:t>4th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7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2,192</w:t>
            </w:r>
          </w:p>
        </w:tc>
        <w:tc>
          <w:tcPr>
            <w:tcW w:w="18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$ 2,339</w:t>
            </w:r>
          </w:p>
        </w:tc>
        <w:tc>
          <w:tcPr>
            <w:tcW w:w="32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$ 2,533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$ 2,770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877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1,030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1,194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121</w:t>
            </w:r>
          </w:p>
        </w:tc>
        <w:tc>
          <w:tcPr>
            <w:tcW w:w="320" w:type="dxa"/>
            <w:vAlign w:val="bottom"/>
          </w:tcPr>
          <w:p>
            <w:pPr>
              <w:spacing w:after="0"/>
              <w:rPr>
                <w:sz w:val="19"/>
                <w:szCs w:val="19"/>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447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gridSpan w:val="2"/>
          </w:tcPr>
          <w:p>
            <w:pPr>
              <w:spacing w:after="0"/>
              <w:rPr>
                <w:sz w:val="10"/>
                <w:szCs w:val="10"/>
                <w:color w:val="auto"/>
              </w:rPr>
            </w:pPr>
          </w:p>
        </w:tc>
        <w:tc>
          <w:tcPr>
            <w:tcW w:w="400" w:type="dxa"/>
            <w:vAlign w:val="bottom"/>
            <w:tcBorders>
              <w:bottom w:val="single" w:sz="8" w:color="auto"/>
            </w:tcBorders>
            <w:gridSpan w:val="2"/>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gridSpan w:val="2"/>
          </w:tcPr>
          <w:p>
            <w:pPr>
              <w:spacing w:after="0"/>
              <w:rPr>
                <w:sz w:val="10"/>
                <w:szCs w:val="10"/>
                <w:color w:val="auto"/>
              </w:rPr>
            </w:pPr>
          </w:p>
        </w:tc>
        <w:tc>
          <w:tcPr>
            <w:tcW w:w="440" w:type="dxa"/>
            <w:vAlign w:val="bottom"/>
            <w:tcBorders>
              <w:bottom w:val="single" w:sz="8" w:color="auto"/>
            </w:tcBorders>
            <w:gridSpan w:val="2"/>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32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gridSpan w:val="2"/>
          </w:tcPr>
          <w:p>
            <w:pPr>
              <w:spacing w:after="0"/>
              <w:rPr>
                <w:sz w:val="11"/>
                <w:szCs w:val="11"/>
                <w:color w:val="auto"/>
              </w:rPr>
            </w:pPr>
          </w:p>
        </w:tc>
        <w:tc>
          <w:tcPr>
            <w:tcW w:w="40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gridSpan w:val="2"/>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32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Borders>
              <w:bottom w:val="single" w:sz="8" w:color="auto"/>
            </w:tcBorders>
            <w:gridSpan w:val="2"/>
          </w:tcPr>
          <w:p>
            <w:pPr>
              <w:spacing w:after="0"/>
              <w:rPr>
                <w:sz w:val="11"/>
                <w:szCs w:val="11"/>
                <w:color w:val="auto"/>
              </w:rPr>
            </w:pPr>
          </w:p>
        </w:tc>
        <w:tc>
          <w:tcPr>
            <w:tcW w:w="760" w:type="dxa"/>
            <w:vAlign w:val="bottom"/>
            <w:gridSpan w:val="4"/>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14"/>
          </w:tcPr>
          <w:p>
            <w:pPr>
              <w:jc w:val="center"/>
              <w:ind w:right="220"/>
              <w:spacing w:after="0"/>
              <w:rPr>
                <w:sz w:val="20"/>
                <w:szCs w:val="20"/>
                <w:color w:val="auto"/>
              </w:rPr>
            </w:pPr>
            <w:r>
              <w:rPr>
                <w:rFonts w:ascii="Arial" w:cs="Arial" w:eastAsia="Arial" w:hAnsi="Arial"/>
                <w:sz w:val="14"/>
                <w:szCs w:val="14"/>
                <w:b w:val="1"/>
                <w:bCs w:val="1"/>
                <w:color w:val="auto"/>
                <w:w w:val="88"/>
              </w:rPr>
              <w:t>Millions of Dollars, Except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12"/>
          </w:tcPr>
          <w:p>
            <w:pPr>
              <w:jc w:val="center"/>
              <w:ind w:right="460"/>
              <w:spacing w:after="0"/>
              <w:rPr>
                <w:sz w:val="20"/>
                <w:szCs w:val="20"/>
                <w:color w:val="auto"/>
              </w:rPr>
            </w:pPr>
            <w:r>
              <w:rPr>
                <w:rFonts w:ascii="Arial" w:cs="Arial" w:eastAsia="Arial" w:hAnsi="Arial"/>
                <w:sz w:val="14"/>
                <w:szCs w:val="14"/>
                <w:b w:val="1"/>
                <w:bCs w:val="1"/>
                <w:color w:val="auto"/>
                <w:w w:val="86"/>
              </w:rPr>
              <w:t>Per-share Amounts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0" w:type="dxa"/>
            <w:vAlign w:val="bottom"/>
            <w:gridSpan w:val="2"/>
          </w:tcPr>
          <w:p>
            <w:pPr>
              <w:spacing w:after="0"/>
              <w:rPr>
                <w:sz w:val="8"/>
                <w:szCs w:val="8"/>
                <w:color w:val="auto"/>
              </w:rPr>
            </w:pPr>
          </w:p>
        </w:tc>
        <w:tc>
          <w:tcPr>
            <w:tcW w:w="7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4"/>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2002</w:t>
            </w:r>
          </w:p>
        </w:tc>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1st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2nd</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4"/>
          </w:tcPr>
          <w:p>
            <w:pPr>
              <w:ind w:left="40"/>
              <w:spacing w:after="0"/>
              <w:rPr>
                <w:sz w:val="20"/>
                <w:szCs w:val="20"/>
                <w:color w:val="auto"/>
              </w:rPr>
            </w:pPr>
            <w:r>
              <w:rPr>
                <w:rFonts w:ascii="Arial" w:cs="Arial" w:eastAsia="Arial" w:hAnsi="Arial"/>
                <w:sz w:val="14"/>
                <w:szCs w:val="14"/>
                <w:b w:val="1"/>
                <w:bCs w:val="1"/>
                <w:color w:val="auto"/>
              </w:rPr>
              <w:t>3rd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gridSpan w:val="3"/>
          </w:tcPr>
          <w:p>
            <w:pPr>
              <w:ind w:left="60"/>
              <w:spacing w:after="0"/>
              <w:rPr>
                <w:sz w:val="20"/>
                <w:szCs w:val="20"/>
                <w:color w:val="auto"/>
              </w:rPr>
            </w:pPr>
            <w:r>
              <w:rPr>
                <w:rFonts w:ascii="Arial" w:cs="Arial" w:eastAsia="Arial" w:hAnsi="Arial"/>
                <w:sz w:val="14"/>
                <w:szCs w:val="14"/>
                <w:b w:val="1"/>
                <w:bCs w:val="1"/>
                <w:color w:val="auto"/>
              </w:rPr>
              <w:t>4th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7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1,827</w:t>
            </w:r>
          </w:p>
        </w:tc>
        <w:tc>
          <w:tcPr>
            <w:tcW w:w="18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$ 2,162</w:t>
            </w:r>
          </w:p>
        </w:tc>
        <w:tc>
          <w:tcPr>
            <w:tcW w:w="32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3"/>
              </w:rPr>
              <w:t>$ 2,248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79"/>
              </w:rPr>
              <w:t>$ 2,146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856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(loss) from operations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9"/>
                <w:szCs w:val="19"/>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gridSpan w:val="2"/>
          </w:tcPr>
          <w:p>
            <w:pPr>
              <w:spacing w:after="0"/>
              <w:rPr>
                <w:sz w:val="10"/>
                <w:szCs w:val="10"/>
                <w:color w:val="auto"/>
              </w:rPr>
            </w:pPr>
          </w:p>
        </w:tc>
        <w:tc>
          <w:tcPr>
            <w:tcW w:w="40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gridSpan w:val="2"/>
          </w:tcPr>
          <w:p>
            <w:pPr>
              <w:spacing w:after="0"/>
              <w:rPr>
                <w:sz w:val="10"/>
                <w:szCs w:val="10"/>
                <w:color w:val="auto"/>
              </w:rPr>
            </w:pPr>
          </w:p>
        </w:tc>
        <w:tc>
          <w:tcPr>
            <w:tcW w:w="440" w:type="dxa"/>
            <w:vAlign w:val="bottom"/>
            <w:tcBorders>
              <w:bottom w:val="single" w:sz="8" w:color="auto"/>
            </w:tcBorders>
            <w:gridSpan w:val="2"/>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gridSpan w:val="2"/>
          </w:tcPr>
          <w:p>
            <w:pPr>
              <w:spacing w:after="0"/>
              <w:rPr>
                <w:sz w:val="11"/>
                <w:szCs w:val="11"/>
                <w:color w:val="auto"/>
              </w:rPr>
            </w:pPr>
          </w:p>
        </w:tc>
        <w:tc>
          <w:tcPr>
            <w:tcW w:w="40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gridSpan w:val="2"/>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-2653665</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-2653665</wp:posOffset>
            </wp:positionV>
            <wp:extent cx="2159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-2653665</wp:posOffset>
            </wp:positionV>
            <wp:extent cx="38735"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-2653665</wp:posOffset>
            </wp:positionV>
            <wp:extent cx="3302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-2653665</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-2653665</wp:posOffset>
            </wp:positionV>
            <wp:extent cx="1270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-2653665</wp:posOffset>
            </wp:positionV>
            <wp:extent cx="2159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-2653665</wp:posOffset>
            </wp:positionV>
            <wp:extent cx="1270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-2653665</wp:posOffset>
            </wp:positionV>
            <wp:extent cx="21590"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-2653665</wp:posOffset>
            </wp:positionV>
            <wp:extent cx="38735"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-2353310</wp:posOffset>
            </wp:positionV>
            <wp:extent cx="35560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-2353310</wp:posOffset>
            </wp:positionV>
            <wp:extent cx="330200"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-2353310</wp:posOffset>
            </wp:positionV>
            <wp:extent cx="1270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-2353310</wp:posOffset>
            </wp:positionV>
            <wp:extent cx="1270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-2353310</wp:posOffset>
            </wp:positionV>
            <wp:extent cx="2159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-2353310</wp:posOffset>
            </wp:positionV>
            <wp:extent cx="12700"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-2353310</wp:posOffset>
            </wp:positionV>
            <wp:extent cx="21590"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-2353310</wp:posOffset>
            </wp:positionV>
            <wp:extent cx="38735"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-2052955</wp:posOffset>
            </wp:positionV>
            <wp:extent cx="355600"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-2052955</wp:posOffset>
            </wp:positionV>
            <wp:extent cx="12700"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-2052955</wp:posOffset>
            </wp:positionV>
            <wp:extent cx="1270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-2052955</wp:posOffset>
            </wp:positionV>
            <wp:extent cx="2159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-2052955</wp:posOffset>
            </wp:positionV>
            <wp:extent cx="895985"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9598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-629285</wp:posOffset>
            </wp:positionV>
            <wp:extent cx="1270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-629285</wp:posOffset>
            </wp:positionV>
            <wp:extent cx="2159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-629285</wp:posOffset>
            </wp:positionV>
            <wp:extent cx="38735"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-629285</wp:posOffset>
            </wp:positionV>
            <wp:extent cx="142748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42748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-329565</wp:posOffset>
            </wp:positionV>
            <wp:extent cx="1270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-329565</wp:posOffset>
            </wp:positionV>
            <wp:extent cx="21590"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-329565</wp:posOffset>
            </wp:positionV>
            <wp:extent cx="38735"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-329565</wp:posOffset>
            </wp:positionV>
            <wp:extent cx="33020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-329565</wp:posOffset>
            </wp:positionV>
            <wp:extent cx="12700"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-329565</wp:posOffset>
            </wp:positionV>
            <wp:extent cx="1270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-329565</wp:posOffset>
            </wp:positionV>
            <wp:extent cx="2159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-329565</wp:posOffset>
            </wp:positionV>
            <wp:extent cx="1270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-329565</wp:posOffset>
            </wp:positionV>
            <wp:extent cx="2159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38735"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30200"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Results for the first quarter of 2003 include a charge of $10 million from the redemption of $250 million in convertible notes. Results for the second quarter of 2003 include a charge of $49 million, of which $26 million is for the initial phase of restructuring associated with moving certain production lines in the Sensors &amp; Controls business from Attleboro to other TI sites, and $23 million is for the initial phase of restructuring to achieve manufacturing efficiencies in the Semiconductor business. Results for the third quarter of 2003 include a charge of $56 million for restructuring actions initiated in the second quarter of 2003, of which $48 million is associated with achieving manufacturing efficiencies in the Semiconductor business and $8 million is associated with moving certain production lines in the Sensors &amp; Controls business from Attleboro to other TI sites. Third quarter results also include an investment gain of $106 million from the sale of 24.7 million shares of Micron common stock and a charge of $23 million for purchased in-process R&amp;D costs from the Radia acquisition. Results for the fourth quarter of 2003 include a charge of $13 million for restructuring actions initiated in the second quarter of 2003, of which $7 million is associated with achieving manufacturing efficiencies in the Semiconductor business and $6 million is associated with moving certain production lines in the Sensors &amp; Controls business from Attleboro to other TI sites. Fourth quarter results also include an investment gain of $97 million from the sale of 32.3 million shares of Micron common stock.</w:t>
      </w:r>
    </w:p>
    <w:p>
      <w:pPr>
        <w:spacing w:after="0" w:line="105"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b w:val="1"/>
          <w:bCs w:val="1"/>
          <w:color w:val="auto"/>
        </w:rPr>
        <w:t>62</w:t>
      </w:r>
      <w:r>
        <w:rPr>
          <w:sz w:val="20"/>
          <w:szCs w:val="20"/>
          <w:color w:val="auto"/>
        </w:rPr>
        <w:tab/>
      </w: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p>
    <w:p>
      <w:pPr>
        <w:sectPr>
          <w:pgSz w:w="11900" w:h="16838" w:orient="portrait"/>
          <w:cols w:equalWidth="0" w:num="1">
            <w:col w:w="11420"/>
          </w:cols>
          <w:pgMar w:left="240" w:top="422" w:right="239" w:bottom="1440" w:gutter="0" w:footer="0" w:header="0"/>
        </w:sectPr>
      </w:pPr>
    </w:p>
    <w:bookmarkStart w:id="83" w:name="page84"/>
    <w:bookmarkEnd w:id="83"/>
    <w:p>
      <w:pPr>
        <w:ind w:right="16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for the first quarter of 2002 include a charge of $17 million net of which $14 million was for restructuring charges primarily related to the closing of the Semiconductor manufacturing facility in Merrimack, New Hampshire. Second quarter results include a special gain of $16 million net, of which $20 million was for the reversal of a warranty reserve taken against the gain on the sale of the software business unit in 1997, because the warranty period expired. Results for the fourth quarter of 2002 include a $638 million write-down due to an other-than-temporary decline in value below cost basis in the company’s holdings of Micron common stock acquired in connection with the sale of its memory business unit to Micron in 1998, and $17 million of net charges for severance and benefit costs, of which $13 million is associated with the reduction of 434 jobs, primarily in manufacturing operations, to align resources with market demand.</w:t>
      </w:r>
    </w:p>
    <w:p>
      <w:pPr>
        <w:spacing w:after="0" w:line="13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Diluted earnings per common share are based on average common and dilutive potential common shares outstanding (1,780.1 million shares and 1,731.6 million shares for the fourth quarters of 2003 and 2002). Consistent with other quarters in which a loss was incurred, the diluted earnings per share computation for the fourth quarter of 2002 excludes stock options because their effect would have been antidilutive.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Prices and Dividends</w:t>
      </w:r>
    </w:p>
    <w:p>
      <w:pPr>
        <w:spacing w:after="0" w:line="8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TI common stock is listed on the New York Stock Exchange and traded principally in that market. The table below shows the high and low prices of TI common stock as reported by Bloomberg L.P. and the dividends paid per common share for each quarter during the past two years.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Quarter</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rPr>
              <w:t>1st</w:t>
            </w:r>
          </w:p>
        </w:tc>
        <w:tc>
          <w:tcPr>
            <w:tcW w:w="340" w:type="dxa"/>
            <w:vAlign w:val="bottom"/>
          </w:tcPr>
          <w:p>
            <w:pPr>
              <w:spacing w:after="0"/>
              <w:rPr>
                <w:sz w:val="22"/>
                <w:szCs w:val="22"/>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2nd</w:t>
            </w:r>
          </w:p>
        </w:tc>
        <w:tc>
          <w:tcPr>
            <w:tcW w:w="340" w:type="dxa"/>
            <w:vAlign w:val="bottom"/>
          </w:tcPr>
          <w:p>
            <w:pPr>
              <w:spacing w:after="0"/>
              <w:rPr>
                <w:sz w:val="22"/>
                <w:szCs w:val="22"/>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3rd</w:t>
            </w:r>
          </w:p>
        </w:tc>
        <w:tc>
          <w:tcPr>
            <w:tcW w:w="520" w:type="dxa"/>
            <w:vAlign w:val="bottom"/>
          </w:tcPr>
          <w:p>
            <w:pPr>
              <w:jc w:val="right"/>
              <w:ind w:right="75"/>
              <w:spacing w:after="0"/>
              <w:rPr>
                <w:sz w:val="20"/>
                <w:szCs w:val="20"/>
                <w:color w:val="auto"/>
              </w:rPr>
            </w:pPr>
            <w:r>
              <w:rPr>
                <w:rFonts w:ascii="Arial" w:cs="Arial" w:eastAsia="Arial" w:hAnsi="Arial"/>
                <w:sz w:val="14"/>
                <w:szCs w:val="14"/>
                <w:b w:val="1"/>
                <w:bCs w:val="1"/>
                <w:color w:val="auto"/>
              </w:rPr>
              <w:t>4th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gridSpan w:val="2"/>
          </w:tcPr>
          <w:p>
            <w:pPr>
              <w:spacing w:after="0"/>
              <w:rPr>
                <w:sz w:val="8"/>
                <w:szCs w:val="8"/>
                <w:color w:val="auto"/>
              </w:rPr>
            </w:pPr>
          </w:p>
        </w:tc>
        <w:tc>
          <w:tcPr>
            <w:tcW w:w="35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prices:</w:t>
            </w:r>
          </w:p>
        </w:tc>
        <w:tc>
          <w:tcPr>
            <w:tcW w:w="3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High</w:t>
            </w:r>
          </w:p>
        </w:tc>
        <w:tc>
          <w:tcPr>
            <w:tcW w:w="4020" w:type="dxa"/>
            <w:vAlign w:val="bottom"/>
            <w:gridSpan w:val="2"/>
          </w:tcPr>
          <w:p>
            <w:pPr>
              <w:jc w:val="right"/>
              <w:spacing w:after="0"/>
              <w:rPr>
                <w:sz w:val="20"/>
                <w:szCs w:val="20"/>
                <w:color w:val="auto"/>
              </w:rPr>
            </w:pPr>
            <w:r>
              <w:rPr>
                <w:rFonts w:ascii="Arial" w:cs="Arial" w:eastAsia="Arial" w:hAnsi="Arial"/>
                <w:sz w:val="18"/>
                <w:szCs w:val="18"/>
                <w:b w:val="1"/>
                <w:bCs w:val="1"/>
                <w:color w:val="auto"/>
              </w:rPr>
              <w:t>$ 18.67</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$ 21.10</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$ 26.03</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$ 30.92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Low</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16.23</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17.62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23.25</w:t>
            </w:r>
          </w:p>
        </w:tc>
        <w:tc>
          <w:tcPr>
            <w:tcW w:w="0" w:type="dxa"/>
            <w:vAlign w:val="bottom"/>
          </w:tcPr>
          <w:p>
            <w:pPr>
              <w:spacing w:after="0"/>
              <w:rPr>
                <w:sz w:val="1"/>
                <w:szCs w:val="1"/>
                <w:color w:val="auto"/>
              </w:rPr>
            </w:pPr>
          </w:p>
        </w:tc>
      </w:tr>
      <w:tr>
        <w:trPr>
          <w:trHeight w:val="322"/>
        </w:trPr>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4020" w:type="dxa"/>
            <w:vAlign w:val="bottom"/>
          </w:tcPr>
          <w:p>
            <w:pPr>
              <w:ind w:left="20"/>
              <w:spacing w:after="0"/>
              <w:rPr>
                <w:sz w:val="20"/>
                <w:szCs w:val="20"/>
                <w:color w:val="auto"/>
              </w:rPr>
            </w:pPr>
            <w:r>
              <w:rPr>
                <w:rFonts w:ascii="Arial" w:cs="Arial" w:eastAsia="Arial" w:hAnsi="Arial"/>
                <w:sz w:val="18"/>
                <w:szCs w:val="18"/>
                <w:color w:val="auto"/>
              </w:rPr>
              <w:t>High</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$ 35.94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$ 34.86</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$ 27.25</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$ 21.45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322"/>
        </w:trPr>
        <w:tc>
          <w:tcPr>
            <w:tcW w:w="484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3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2003</w:t>
            </w:r>
          </w:p>
        </w:tc>
        <w:tc>
          <w:tcPr>
            <w:tcW w:w="40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.0213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.0213</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 .0213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.0213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2002</w:t>
            </w:r>
          </w:p>
        </w:tc>
        <w:tc>
          <w:tcPr>
            <w:tcW w:w="4020" w:type="dxa"/>
            <w:vAlign w:val="bottom"/>
          </w:tcPr>
          <w:p>
            <w:pPr>
              <w:spacing w:after="0"/>
              <w:rPr>
                <w:sz w:val="19"/>
                <w:szCs w:val="19"/>
                <w:color w:val="auto"/>
              </w:rPr>
            </w:pP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 .0213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.0213</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 .0213</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.0213</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auto"/>
        </w:rPr>
        <w:t xml:space="preserve">TEXAS INSTRUMENTS </w:t>
      </w:r>
      <w:r>
        <w:rPr>
          <w:rFonts w:ascii="Arial" w:cs="Arial" w:eastAsia="Arial" w:hAnsi="Arial"/>
          <w:sz w:val="14"/>
          <w:szCs w:val="14"/>
          <w:color w:val="auto"/>
        </w:rPr>
        <w:t>2003 ANNUAL REPORT</w:t>
      </w:r>
      <w:r>
        <w:rPr>
          <w:sz w:val="20"/>
          <w:szCs w:val="20"/>
          <w:color w:val="auto"/>
        </w:rPr>
        <w:tab/>
      </w:r>
      <w:r>
        <w:rPr>
          <w:rFonts w:ascii="Arial" w:cs="Arial" w:eastAsia="Arial" w:hAnsi="Arial"/>
          <w:sz w:val="12"/>
          <w:szCs w:val="12"/>
          <w:b w:val="1"/>
          <w:bCs w:val="1"/>
          <w:color w:val="auto"/>
        </w:rPr>
        <w:t>63</w:t>
      </w:r>
    </w:p>
    <w:p>
      <w:pPr>
        <w:sectPr>
          <w:pgSz w:w="11900" w:h="16838" w:orient="portrait"/>
          <w:cols w:equalWidth="0" w:num="1">
            <w:col w:w="11420"/>
          </w:cols>
          <w:pgMar w:left="240" w:top="428" w:right="239" w:bottom="1440" w:gutter="0" w:footer="0" w:header="0"/>
        </w:sectPr>
      </w:pPr>
    </w:p>
    <w:bookmarkStart w:id="84" w:name="page85"/>
    <w:bookmarkEnd w:id="84"/>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gridSpan w:val="4"/>
          </w:tcPr>
          <w:p>
            <w:pPr>
              <w:ind w:left="3280"/>
              <w:spacing w:after="0"/>
              <w:rPr>
                <w:sz w:val="20"/>
                <w:szCs w:val="20"/>
                <w:color w:val="auto"/>
              </w:rPr>
            </w:pPr>
            <w:r>
              <w:rPr>
                <w:rFonts w:ascii="Arial" w:cs="Arial" w:eastAsia="Arial" w:hAnsi="Arial"/>
                <w:sz w:val="18"/>
                <w:szCs w:val="18"/>
                <w:color w:val="auto"/>
                <w:w w:val="93"/>
              </w:rPr>
              <w:t>TEXAS INSTRUMENTS INCORPORATED AND SUBSIDIARIES</w:t>
            </w:r>
          </w:p>
        </w:tc>
      </w:tr>
      <w:tr>
        <w:trPr>
          <w:trHeight w:val="222"/>
        </w:trPr>
        <w:tc>
          <w:tcPr>
            <w:tcW w:w="8160" w:type="dxa"/>
            <w:vAlign w:val="bottom"/>
            <w:gridSpan w:val="4"/>
          </w:tcPr>
          <w:p>
            <w:pPr>
              <w:ind w:left="3880"/>
              <w:spacing w:after="0"/>
              <w:rPr>
                <w:sz w:val="20"/>
                <w:szCs w:val="20"/>
                <w:color w:val="auto"/>
              </w:rPr>
            </w:pPr>
            <w:r>
              <w:rPr>
                <w:rFonts w:ascii="Arial" w:cs="Arial" w:eastAsia="Arial" w:hAnsi="Arial"/>
                <w:sz w:val="18"/>
                <w:szCs w:val="18"/>
                <w:color w:val="auto"/>
              </w:rPr>
              <w:t>LIST OF SUBSIDIARIES OF THE REGISTRANT</w:t>
            </w:r>
          </w:p>
        </w:tc>
      </w:tr>
      <w:tr>
        <w:trPr>
          <w:trHeight w:val="365"/>
        </w:trPr>
        <w:tc>
          <w:tcPr>
            <w:tcW w:w="6060" w:type="dxa"/>
            <w:vAlign w:val="bottom"/>
            <w:gridSpan w:val="2"/>
          </w:tcPr>
          <w:p>
            <w:pPr>
              <w:spacing w:after="0"/>
              <w:rPr>
                <w:sz w:val="20"/>
                <w:szCs w:val="20"/>
                <w:color w:val="auto"/>
              </w:rPr>
            </w:pPr>
            <w:r>
              <w:rPr>
                <w:rFonts w:ascii="Arial" w:cs="Arial" w:eastAsia="Arial" w:hAnsi="Arial"/>
                <w:sz w:val="18"/>
                <w:szCs w:val="18"/>
                <w:color w:val="auto"/>
              </w:rPr>
              <w:t>The following are current subsidiaries of the Registrant.</w:t>
            </w: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2"/>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Subsidiary and Name Under Which Business is Done</w:t>
            </w: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Where Organized</w:t>
            </w:r>
          </w:p>
        </w:tc>
      </w:tr>
      <w:tr>
        <w:trPr>
          <w:trHeight w:val="95"/>
        </w:trPr>
        <w:tc>
          <w:tcPr>
            <w:tcW w:w="414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Auto Circuits, Inc.</w:t>
            </w:r>
          </w:p>
        </w:tc>
        <w:tc>
          <w:tcPr>
            <w:tcW w:w="2100" w:type="dxa"/>
            <w:vAlign w:val="bottom"/>
            <w:gridSpan w:val="2"/>
          </w:tcPr>
          <w:p>
            <w:pPr>
              <w:spacing w:after="0"/>
              <w:rPr>
                <w:sz w:val="20"/>
                <w:szCs w:val="20"/>
                <w:color w:val="auto"/>
              </w:rPr>
            </w:pPr>
            <w:r>
              <w:rPr>
                <w:rFonts w:ascii="Arial" w:cs="Arial" w:eastAsia="Arial" w:hAnsi="Arial"/>
                <w:sz w:val="18"/>
                <w:szCs w:val="18"/>
                <w:color w:val="auto"/>
              </w:rPr>
              <w:t>Massachusetts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Automotive Sensors &amp; Controls Dresden GmbH</w:t>
            </w:r>
          </w:p>
        </w:tc>
        <w:tc>
          <w:tcPr>
            <w:tcW w:w="21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Burr-Brown Europe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Butterfly Communications Inc.</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Condat A/S</w:t>
            </w:r>
          </w:p>
        </w:tc>
        <w:tc>
          <w:tcPr>
            <w:tcW w:w="210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Condat Edinburgh Ltd.</w:t>
            </w:r>
          </w:p>
        </w:tc>
        <w:tc>
          <w:tcPr>
            <w:tcW w:w="21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European Engineering and Technologies S.p.A.</w:t>
            </w:r>
          </w:p>
        </w:tc>
        <w:tc>
          <w:tcPr>
            <w:tcW w:w="210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ICOT International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Intelligent Instrumentation GmbH</w:t>
            </w:r>
          </w:p>
        </w:tc>
        <w:tc>
          <w:tcPr>
            <w:tcW w:w="21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Intelligent Instrumentation, Inc.</w:t>
            </w:r>
          </w:p>
        </w:tc>
        <w:tc>
          <w:tcPr>
            <w:tcW w:w="210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Intelligent Instrumentation S.A.</w:t>
            </w:r>
          </w:p>
        </w:tc>
        <w:tc>
          <w:tcPr>
            <w:tcW w:w="21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Intelligent Instrumentation S.R.L.</w:t>
            </w:r>
          </w:p>
        </w:tc>
        <w:tc>
          <w:tcPr>
            <w:tcW w:w="210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Instrumentos Eletronicos do Brasil Limitada</w:t>
            </w:r>
          </w:p>
        </w:tc>
        <w:tc>
          <w:tcPr>
            <w:tcW w:w="21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Automotive Sensors and Controls San Jose Inc.</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(Bahamas)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Belgium S.A.</w:t>
            </w:r>
          </w:p>
        </w:tc>
        <w:tc>
          <w:tcPr>
            <w:tcW w:w="21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Berlin AG</w:t>
            </w:r>
          </w:p>
        </w:tc>
        <w:tc>
          <w:tcPr>
            <w:tcW w:w="21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21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(China) Company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China Incorporated</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21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Denmark A/S</w:t>
            </w:r>
          </w:p>
        </w:tc>
        <w:tc>
          <w:tcPr>
            <w:tcW w:w="210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21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Espana, S.A.</w:t>
            </w:r>
          </w:p>
        </w:tc>
        <w:tc>
          <w:tcPr>
            <w:tcW w:w="210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Finance GmbH &amp; Co. KG</w:t>
            </w:r>
          </w:p>
        </w:tc>
        <w:tc>
          <w:tcPr>
            <w:tcW w:w="21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Foreign Sales Corporation</w:t>
            </w:r>
          </w:p>
        </w:tc>
        <w:tc>
          <w:tcPr>
            <w:tcW w:w="210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France S.A.</w:t>
            </w:r>
          </w:p>
        </w:tc>
        <w:tc>
          <w:tcPr>
            <w:tcW w:w="21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21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21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Hong Kong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Insurance (Bermuda)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International Capital Corporation</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International (Overseas)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International Trade Corporation</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(Ireland)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210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Israel Trading (2003) Ltd.</w:t>
            </w:r>
          </w:p>
        </w:tc>
        <w:tc>
          <w:tcPr>
            <w:tcW w:w="210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Italia S.p.A.</w:t>
            </w:r>
          </w:p>
        </w:tc>
        <w:tc>
          <w:tcPr>
            <w:tcW w:w="210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Japan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Korea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Korea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Malaysia Sdn. Bhd.</w:t>
            </w:r>
          </w:p>
        </w:tc>
        <w:tc>
          <w:tcPr>
            <w:tcW w:w="210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Oy</w:t>
            </w:r>
          </w:p>
        </w:tc>
        <w:tc>
          <w:tcPr>
            <w:tcW w:w="2100" w:type="dxa"/>
            <w:vAlign w:val="bottom"/>
            <w:gridSpan w:val="2"/>
          </w:tcPr>
          <w:p>
            <w:pPr>
              <w:spacing w:after="0"/>
              <w:rPr>
                <w:sz w:val="20"/>
                <w:szCs w:val="20"/>
                <w:color w:val="auto"/>
              </w:rPr>
            </w:pPr>
            <w:r>
              <w:rPr>
                <w:rFonts w:ascii="Arial" w:cs="Arial" w:eastAsia="Arial" w:hAnsi="Arial"/>
                <w:sz w:val="18"/>
                <w:szCs w:val="18"/>
                <w:color w:val="auto"/>
              </w:rPr>
              <w:t>Finland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Palo Alto Incorporated</w:t>
            </w:r>
          </w:p>
        </w:tc>
        <w:tc>
          <w:tcPr>
            <w:tcW w:w="210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(Philippines) Incorporated</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Richardson LLC</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Santa Rosa Incorporated</w:t>
            </w:r>
          </w:p>
        </w:tc>
        <w:tc>
          <w:tcPr>
            <w:tcW w:w="210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21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21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Singapore (Pte)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Sunnyvale Incorporated</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Supply Company</w:t>
            </w:r>
          </w:p>
        </w:tc>
        <w:tc>
          <w:tcPr>
            <w:tcW w:w="21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Taiwan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Trade &amp; Investment Company S.A.</w:t>
            </w:r>
          </w:p>
        </w:tc>
        <w:tc>
          <w:tcPr>
            <w:tcW w:w="210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Tucson Corporation</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TI Europe Limited</w:t>
            </w:r>
          </w:p>
        </w:tc>
        <w:tc>
          <w:tcPr>
            <w:tcW w:w="21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TI Information Engineering International Incorporated</w:t>
            </w:r>
          </w:p>
        </w:tc>
        <w:tc>
          <w:tcPr>
            <w:tcW w:w="2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TI Mexico Trade, S.A. de C.V.</w:t>
            </w:r>
          </w:p>
        </w:tc>
        <w:tc>
          <w:tcPr>
            <w:tcW w:w="21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TI (Philippines), Inc.</w:t>
            </w:r>
          </w:p>
        </w:tc>
        <w:tc>
          <w:tcPr>
            <w:tcW w:w="210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Unitrode Corporation</w:t>
            </w:r>
          </w:p>
        </w:tc>
        <w:tc>
          <w:tcPr>
            <w:tcW w:w="210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Unitrode Electronics (Singapore) Pte. Ltd.</w:t>
            </w:r>
          </w:p>
        </w:tc>
        <w:tc>
          <w:tcPr>
            <w:tcW w:w="2100" w:type="dxa"/>
            <w:vAlign w:val="bottom"/>
            <w:gridSpan w:val="2"/>
          </w:tcPr>
          <w:p>
            <w:pPr>
              <w:spacing w:after="0"/>
              <w:rPr>
                <w:sz w:val="20"/>
                <w:szCs w:val="20"/>
                <w:color w:val="auto"/>
              </w:rPr>
            </w:pPr>
            <w:r>
              <w:rPr>
                <w:rFonts w:ascii="Arial" w:cs="Arial" w:eastAsia="Arial" w:hAnsi="Arial"/>
                <w:sz w:val="18"/>
                <w:szCs w:val="18"/>
                <w:color w:val="auto"/>
              </w:rPr>
              <w:t>Singapore</w:t>
            </w:r>
          </w:p>
        </w:tc>
      </w:tr>
    </w:tbl>
    <w:p>
      <w:pPr>
        <w:sectPr>
          <w:pgSz w:w="11900" w:h="16868" w:orient="portrait"/>
          <w:cols w:equalWidth="0" w:num="1">
            <w:col w:w="11420"/>
          </w:cols>
          <w:pgMar w:left="240" w:top="280" w:right="239" w:bottom="0" w:gutter="0" w:footer="0" w:header="0"/>
        </w:sectPr>
      </w:pPr>
    </w:p>
    <w:bookmarkStart w:id="85" w:name="page86"/>
    <w:bookmarkEnd w:id="85"/>
    <w:p>
      <w:pPr>
        <w:spacing w:after="0"/>
        <w:tabs>
          <w:tab w:leader="none" w:pos="6040" w:val="left"/>
        </w:tabs>
        <w:rPr>
          <w:sz w:val="20"/>
          <w:szCs w:val="20"/>
          <w:color w:val="auto"/>
        </w:rPr>
      </w:pPr>
      <w:r>
        <w:rPr>
          <w:rFonts w:ascii="Arial" w:cs="Arial" w:eastAsia="Arial" w:hAnsi="Arial"/>
          <w:sz w:val="18"/>
          <w:szCs w:val="18"/>
          <w:color w:val="auto"/>
        </w:rPr>
        <w:t>Unitrode-Maine</w:t>
      </w:r>
      <w:r>
        <w:rPr>
          <w:sz w:val="20"/>
          <w:szCs w:val="20"/>
          <w:color w:val="auto"/>
        </w:rPr>
        <w:tab/>
      </w:r>
      <w:r>
        <w:rPr>
          <w:rFonts w:ascii="Arial" w:cs="Arial" w:eastAsia="Arial" w:hAnsi="Arial"/>
          <w:sz w:val="16"/>
          <w:szCs w:val="16"/>
          <w:color w:val="auto"/>
        </w:rPr>
        <w:t>Maine</w:t>
      </w:r>
    </w:p>
    <w:p>
      <w:pPr>
        <w:sectPr>
          <w:pgSz w:w="11900" w:h="16838" w:orient="portrait"/>
          <w:cols w:equalWidth="0" w:num="1">
            <w:col w:w="10219"/>
          </w:cols>
          <w:pgMar w:left="240" w:top="131"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CONSENT OF ERNST &amp; YOUNG LLP, INDEPENDENT AUDITORS</w:t>
      </w:r>
    </w:p>
    <w:p>
      <w:pPr>
        <w:spacing w:after="0" w:line="7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consent to the incorporation by reference in this Annual Report on Form 10-K of Texas Instruments Incorporated of our report dated January 26, 2004, included in the 2003 Annual Report to Stockholders of Texas Instruments Incorporated.</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audits also included the financial statement schedule of Texas Instruments Incorporated listed in Item 15(a).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9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also consent to the incorporation by reference in the following registration statements, and in the related prospectuses thereto, of our report dated January 26, 2004 with respect to the consolidated financial statements and schedule of Texas Instruments Incorporated, included in or incorporated by reference in this Annual Report on Form 10-K for the year ended December 31, 2003: Registration Statements (Forms S-8) No. 33-42172, No. 33-54615, No. 333-07127 (as amended), No. 333-41913, No. 333-41919, No. 333-31321 (as amended), No. 333-31323, No. 333-48389, No. 333-44662, No. 333-103574, No. 333-107759, No. 333-107760 and No. 333-107761 and Registration Statements (Forms S-3) No. 33-48840, No. 33-39628, No. 333-03571 (as amended), No. 333-93011, and No. 333-44572 (as amended), and Registration Statements (Forms S-4) No. 333-89433 (as amended), No. 333-89097, No. 333-87199, No. 333-80157 (as amended), and No. 333-41030 (as amended).</w:t>
      </w:r>
    </w:p>
    <w:p>
      <w:pPr>
        <w:spacing w:after="0" w:line="105"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2004</w:t>
      </w:r>
    </w:p>
    <w:p>
      <w:pPr>
        <w:sectPr>
          <w:pgSz w:w="11900" w:h="16838" w:orient="portrait"/>
          <w:cols w:equalWidth="0" w:num="1">
            <w:col w:w="11420"/>
          </w:cols>
          <w:pgMar w:left="240" w:top="2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Thomas J. Engibous, certify that:</w:t>
      </w:r>
    </w:p>
    <w:p>
      <w:pPr>
        <w:spacing w:after="0" w:line="7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460" w:right="820" w:firstLine="443"/>
        <w:spacing w:after="0" w:line="325" w:lineRule="auto"/>
        <w:tabs>
          <w:tab w:leader="none" w:pos="11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2004</w:t>
      </w:r>
    </w:p>
    <w:p>
      <w:pPr>
        <w:spacing w:after="0" w:line="374"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J. E</w:t>
      </w:r>
      <w:r>
        <w:rPr>
          <w:rFonts w:ascii="Arial" w:cs="Arial" w:eastAsia="Arial" w:hAnsi="Arial"/>
          <w:sz w:val="13"/>
          <w:szCs w:val="13"/>
          <w:color w:val="auto"/>
        </w:rPr>
        <w:t>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Thomas J. Engibous</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 President and</w:t>
      </w: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28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7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460" w:right="820" w:firstLine="443"/>
        <w:spacing w:after="0" w:line="325"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2004</w:t>
      </w:r>
    </w:p>
    <w:p>
      <w:pPr>
        <w:spacing w:after="0" w:line="374"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P. M</w:t>
      </w:r>
      <w:r>
        <w:rPr>
          <w:rFonts w:ascii="Arial" w:cs="Arial" w:eastAsia="Arial" w:hAnsi="Arial"/>
          <w:sz w:val="13"/>
          <w:szCs w:val="13"/>
          <w:color w:val="auto"/>
        </w:rPr>
        <w:t>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Kevin P. March</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left="6860"/>
        <w:spacing w:after="0"/>
        <w:rPr>
          <w:sz w:val="20"/>
          <w:szCs w:val="20"/>
          <w:color w:val="auto"/>
        </w:rPr>
      </w:pPr>
      <w:r>
        <w:rPr>
          <w:rFonts w:ascii="Arial" w:cs="Arial" w:eastAsia="Arial" w:hAnsi="Arial"/>
          <w:sz w:val="14"/>
          <w:szCs w:val="14"/>
          <w:b w:val="1"/>
          <w:bCs w:val="1"/>
          <w:color w:val="auto"/>
        </w:rPr>
        <w:t>and Chief Financial Officer</w:t>
      </w:r>
    </w:p>
    <w:p>
      <w:pPr>
        <w:sectPr>
          <w:pgSz w:w="11900" w:h="16838" w:orient="portrait"/>
          <w:cols w:equalWidth="0" w:num="1">
            <w:col w:w="11420"/>
          </w:cols>
          <w:pgMar w:left="240" w:top="28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Thomas J. Engibous,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President and Chief Executive Officer of Texas Instruments Incorporated (the “Company”), hereby certifies that, to his knowledge:</w:t>
      </w:r>
    </w:p>
    <w:p>
      <w:pPr>
        <w:spacing w:after="0" w:line="174" w:lineRule="exact"/>
        <w:rPr>
          <w:sz w:val="20"/>
          <w:szCs w:val="20"/>
          <w:color w:val="auto"/>
        </w:rPr>
      </w:pPr>
    </w:p>
    <w:p>
      <w:pPr>
        <w:ind w:right="100" w:firstLine="464"/>
        <w:spacing w:after="0" w:line="332" w:lineRule="auto"/>
        <w:tabs>
          <w:tab w:leader="none" w:pos="6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2003, as filed with the Securities and Exchange Commission on the date hereof (the “Report”) fully complies with the requirements of Section 13(a) or 15(d) of the Securities Exchange Act of 1934; and</w:t>
      </w:r>
    </w:p>
    <w:p>
      <w:pPr>
        <w:spacing w:after="0" w:line="71" w:lineRule="exact"/>
        <w:rPr>
          <w:rFonts w:ascii="Arial" w:cs="Arial" w:eastAsia="Arial" w:hAnsi="Arial"/>
          <w:sz w:val="16"/>
          <w:szCs w:val="16"/>
          <w:color w:val="auto"/>
        </w:rPr>
      </w:pPr>
    </w:p>
    <w:p>
      <w:pPr>
        <w:ind w:right="560" w:firstLine="464"/>
        <w:spacing w:after="0" w:line="440" w:lineRule="auto"/>
        <w:tabs>
          <w:tab w:leader="none" w:pos="7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27, 2004</w:t>
      </w:r>
    </w:p>
    <w:p>
      <w:pPr>
        <w:spacing w:after="0" w:line="186"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J. E</w:t>
      </w:r>
      <w:r>
        <w:rPr>
          <w:rFonts w:ascii="Arial" w:cs="Arial" w:eastAsia="Arial" w:hAnsi="Arial"/>
          <w:sz w:val="13"/>
          <w:szCs w:val="13"/>
          <w:color w:val="auto"/>
        </w:rPr>
        <w:t>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Thomas J. Engibous</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 President and Chief</w:t>
      </w:r>
    </w:p>
    <w:p>
      <w:pPr>
        <w:jc w:val="center"/>
        <w:ind w:left="6860"/>
        <w:spacing w:after="0"/>
        <w:rPr>
          <w:sz w:val="20"/>
          <w:szCs w:val="20"/>
          <w:color w:val="auto"/>
        </w:rPr>
      </w:pPr>
      <w:r>
        <w:rPr>
          <w:rFonts w:ascii="Arial" w:cs="Arial" w:eastAsia="Arial" w:hAnsi="Arial"/>
          <w:sz w:val="14"/>
          <w:szCs w:val="14"/>
          <w:b w:val="1"/>
          <w:bCs w:val="1"/>
          <w:color w:val="auto"/>
        </w:rPr>
        <w:t>Executive Officer</w:t>
      </w:r>
    </w:p>
    <w:p>
      <w:pPr>
        <w:sectPr>
          <w:pgSz w:w="11900" w:h="16838" w:orient="portrait"/>
          <w:cols w:equalWidth="0" w:num="1">
            <w:col w:w="11420"/>
          </w:cols>
          <w:pgMar w:left="240" w:top="2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72" w:lineRule="exact"/>
        <w:rPr>
          <w:sz w:val="20"/>
          <w:szCs w:val="20"/>
          <w:color w:val="auto"/>
        </w:rPr>
      </w:pPr>
    </w:p>
    <w:p>
      <w:pPr>
        <w:ind w:right="100" w:firstLine="464"/>
        <w:spacing w:after="0" w:line="332" w:lineRule="auto"/>
        <w:tabs>
          <w:tab w:leader="none" w:pos="6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2003, as filed with the Securities and Exchange Commission on the date hereof (the “Report”) fully complies with the requirements of Section 13(a) or 15(d) of the Securities Exchange Act of 1934; and</w:t>
      </w:r>
    </w:p>
    <w:p>
      <w:pPr>
        <w:spacing w:after="0" w:line="71" w:lineRule="exact"/>
        <w:rPr>
          <w:rFonts w:ascii="Arial" w:cs="Arial" w:eastAsia="Arial" w:hAnsi="Arial"/>
          <w:sz w:val="16"/>
          <w:szCs w:val="16"/>
          <w:color w:val="auto"/>
        </w:rPr>
      </w:pPr>
    </w:p>
    <w:p>
      <w:pPr>
        <w:ind w:right="560" w:firstLine="464"/>
        <w:spacing w:after="0" w:line="440" w:lineRule="auto"/>
        <w:tabs>
          <w:tab w:leader="none" w:pos="7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27, 2004</w:t>
      </w:r>
    </w:p>
    <w:p>
      <w:pPr>
        <w:spacing w:after="0" w:line="186"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P. M</w:t>
      </w:r>
      <w:r>
        <w:rPr>
          <w:rFonts w:ascii="Arial" w:cs="Arial" w:eastAsia="Arial" w:hAnsi="Arial"/>
          <w:sz w:val="13"/>
          <w:szCs w:val="13"/>
          <w:color w:val="auto"/>
        </w:rPr>
        <w:t>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Kevin P. March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Senior Vice President and Chief Financial Officer</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Roman"/>
      <w:start w:val="3"/>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5"/>
    </w:lvl>
  </w:abstractNum>
  <w:abstractNum w:abstractNumId="4">
    <w:nsid w:val="1BEFD79F"/>
    <w:multiLevelType w:val="hybridMultilevel"/>
    <w:lvl w:ilvl="0">
      <w:lvlJc w:val="left"/>
      <w:lvlText w:val="(%1)"/>
      <w:numFmt w:val="decimal"/>
      <w:start w:val="1"/>
    </w:lvl>
    <w:lvl w:ilvl="1">
      <w:lvlJc w:val="left"/>
      <w:lvlText w:val="•"/>
      <w:numFmt w:val="bullet"/>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1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endash "/>
      <w:numFmt w:val="bullet"/>
      <w:start w:val="1"/>
    </w:lvl>
  </w:abstractNum>
  <w:abstractNum w:abstractNumId="9">
    <w:nsid w:val="519B500D"/>
    <w:multiLevelType w:val="hybridMultilevel"/>
    <w:lvl w:ilvl="0">
      <w:lvlJc w:val="left"/>
      <w:lvlText w:val="\endash "/>
      <w:numFmt w:val="bullet"/>
      <w:start w:val="1"/>
    </w:lvl>
  </w:abstractNum>
  <w:abstractNum w:abstractNumId="10">
    <w:nsid w:val="431BD7B7"/>
    <w:multiLevelType w:val="hybridMultilevel"/>
    <w:lvl w:ilvl="0">
      <w:lvlJc w:val="left"/>
      <w:lvlText w:val="\endash "/>
      <w:numFmt w:val="bullet"/>
      <w:start w:val="1"/>
    </w:lvl>
  </w:abstractNum>
  <w:abstractNum w:abstractNumId="11">
    <w:nsid w:val="3F2DBA31"/>
    <w:multiLevelType w:val="hybridMultilevel"/>
    <w:lvl w:ilvl="0">
      <w:lvlJc w:val="left"/>
      <w:lvlText w:val="6"/>
      <w:numFmt w:val="bullet"/>
      <w:start w:val="1"/>
    </w:lvl>
  </w:abstractNum>
  <w:abstractNum w:abstractNumId="12">
    <w:nsid w:val="7C83E458"/>
    <w:multiLevelType w:val="hybridMultilevel"/>
    <w:lvl w:ilvl="0">
      <w:lvlJc w:val="left"/>
      <w:lvlText w:val="8"/>
      <w:numFmt w:val="bullet"/>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2019-12-13T07:50:08Z</dcterms:created>
  <dcterms:modified xsi:type="dcterms:W3CDTF">2019-12-13T07:50:08Z</dcterms:modified>
</cp:coreProperties>
</file>