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205740</wp:posOffset>
            </wp:positionH>
            <wp:positionV relativeFrom="page">
              <wp:posOffset>163195</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41" w:lineRule="exact"/>
        <w:rPr>
          <w:sz w:val="24"/>
          <w:szCs w:val="24"/>
          <w:color w:val="auto"/>
        </w:rPr>
      </w:pPr>
    </w:p>
    <w:p>
      <w:pPr>
        <w:jc w:val="center"/>
        <w:ind w:right="10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31"/>
          <w:szCs w:val="31"/>
          <w:b w:val="1"/>
          <w:bCs w:val="1"/>
          <w:color w:val="auto"/>
        </w:rPr>
        <w:t>SCHEDULE 14A</w:t>
      </w:r>
    </w:p>
    <w:p>
      <w:pPr>
        <w:spacing w:after="0" w:line="216"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0"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Securities Exchange Act of 1934</w:t>
      </w:r>
    </w:p>
    <w:p>
      <w:pPr>
        <w:jc w:val="center"/>
        <w:ind w:right="80"/>
        <w:spacing w:after="0"/>
        <w:tabs>
          <w:tab w:leader="none" w:pos="26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179705</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line="184" w:lineRule="exact"/>
        <w:tabs>
          <w:tab w:leader="none" w:pos="294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Filed by a Party other than the Registrant</w:t>
      </w:r>
    </w:p>
    <w:p>
      <w:pPr>
        <w:spacing w:after="0" w:line="251" w:lineRule="exact"/>
        <w:rPr>
          <w:sz w:val="24"/>
          <w:szCs w:val="24"/>
          <w:color w:val="auto"/>
        </w:rPr>
      </w:pPr>
    </w:p>
    <w:p>
      <w:pPr>
        <w:ind w:left="140"/>
        <w:spacing w:after="0"/>
        <w:rPr>
          <w:sz w:val="20"/>
          <w:szCs w:val="20"/>
          <w:color w:val="auto"/>
        </w:rPr>
      </w:pPr>
      <w:r>
        <w:rPr>
          <w:rFonts w:ascii="Arial" w:cs="Arial" w:eastAsia="Arial" w:hAnsi="Arial"/>
          <w:sz w:val="16"/>
          <w:szCs w:val="16"/>
          <w:color w:val="auto"/>
        </w:rPr>
        <w:t>Check the appropriate box:</w:t>
      </w:r>
    </w:p>
    <w:p>
      <w:pPr>
        <w:spacing w:after="0" w:line="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 w:lineRule="exact"/>
        <w:rPr>
          <w:rFonts w:ascii="MS PGothic" w:cs="MS PGothic" w:eastAsia="MS PGothic" w:hAnsi="MS PGothic"/>
          <w:sz w:val="16"/>
          <w:szCs w:val="16"/>
          <w:color w:val="auto"/>
        </w:rPr>
      </w:pPr>
    </w:p>
    <w:p>
      <w:pPr>
        <w:ind w:left="360" w:hanging="356"/>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7" w:lineRule="exact"/>
        <w:rPr>
          <w:rFonts w:ascii="MS PGothic" w:cs="MS PGothic" w:eastAsia="MS PGothic" w:hAnsi="MS PGothic"/>
          <w:sz w:val="16"/>
          <w:szCs w:val="16"/>
          <w:color w:val="auto"/>
        </w:rPr>
      </w:pPr>
    </w:p>
    <w:p>
      <w:pPr>
        <w:ind w:left="360" w:hanging="356"/>
        <w:spacing w:after="0" w:line="235" w:lineRule="auto"/>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7" w:lineRule="exact"/>
        <w:rPr>
          <w:sz w:val="24"/>
          <w:szCs w:val="24"/>
          <w:color w:val="auto"/>
        </w:rPr>
      </w:pPr>
    </w:p>
    <w:p>
      <w:pPr>
        <w:ind w:left="360" w:hanging="356"/>
        <w:spacing w:after="0"/>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61" w:lineRule="exact"/>
        <w:rPr>
          <w:sz w:val="24"/>
          <w:szCs w:val="24"/>
          <w:color w:val="auto"/>
        </w:rPr>
      </w:pPr>
    </w:p>
    <w:p>
      <w:pPr>
        <w:jc w:val="center"/>
        <w:ind w:right="100"/>
        <w:spacing w:after="0"/>
        <w:rPr>
          <w:sz w:val="20"/>
          <w:szCs w:val="20"/>
          <w:color w:val="auto"/>
        </w:rPr>
      </w:pPr>
      <w:r>
        <w:rPr>
          <w:rFonts w:ascii="Arial" w:cs="Arial" w:eastAsia="Arial" w:hAnsi="Arial"/>
          <w:sz w:val="38"/>
          <w:szCs w:val="38"/>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38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21"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6"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4"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0" w:lineRule="exact"/>
        <w:rPr>
          <w:sz w:val="24"/>
          <w:szCs w:val="24"/>
          <w:color w:val="auto"/>
        </w:rPr>
      </w:pPr>
    </w:p>
    <w:p>
      <w:pPr>
        <w:ind w:left="440" w:hanging="436"/>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0" w:lineRule="exact"/>
        <w:rPr>
          <w:rFonts w:ascii="MS PGothic" w:cs="MS PGothic" w:eastAsia="MS PGothic" w:hAnsi="MS PGothic"/>
          <w:sz w:val="16"/>
          <w:szCs w:val="16"/>
          <w:color w:val="auto"/>
        </w:rPr>
      </w:pPr>
    </w:p>
    <w:p>
      <w:pPr>
        <w:ind w:left="760"/>
        <w:spacing w:after="0"/>
        <w:rPr>
          <w:rFonts w:ascii="MS PGothic" w:cs="MS PGothic" w:eastAsia="MS PGothic" w:hAnsi="MS PGothic"/>
          <w:sz w:val="16"/>
          <w:szCs w:val="16"/>
          <w:color w:val="auto"/>
        </w:rPr>
      </w:pPr>
      <w:r>
        <w:rPr>
          <w:rFonts w:ascii="Arial" w:cs="Arial" w:eastAsia="Arial" w:hAnsi="Arial"/>
          <w:sz w:val="16"/>
          <w:szCs w:val="16"/>
          <w:color w:val="auto"/>
        </w:rPr>
        <w:t>(1)Title of each class of securities to which the transaction applies:</w:t>
      </w:r>
    </w:p>
    <w:p>
      <w:pPr>
        <w:spacing w:after="0" w:line="10" w:lineRule="exact"/>
        <w:rPr>
          <w:rFonts w:ascii="MS PGothic" w:cs="MS PGothic" w:eastAsia="MS PGothic" w:hAnsi="MS PGothic"/>
          <w:sz w:val="16"/>
          <w:szCs w:val="16"/>
          <w:color w:val="auto"/>
        </w:rPr>
      </w:pPr>
    </w:p>
    <w:p>
      <w:pPr>
        <w:ind w:left="760"/>
        <w:spacing w:after="0"/>
        <w:rPr>
          <w:rFonts w:ascii="MS PGothic" w:cs="MS PGothic" w:eastAsia="MS PGothic" w:hAnsi="MS PGothic"/>
          <w:sz w:val="16"/>
          <w:szCs w:val="16"/>
          <w:color w:val="auto"/>
        </w:rPr>
      </w:pPr>
      <w:r>
        <w:rPr>
          <w:rFonts w:ascii="Arial" w:cs="Arial" w:eastAsia="Arial" w:hAnsi="Arial"/>
          <w:sz w:val="16"/>
          <w:szCs w:val="16"/>
          <w:color w:val="auto"/>
        </w:rPr>
        <w:t>(2)Aggregate number of securities to which the transaction applies:</w:t>
      </w:r>
    </w:p>
    <w:p>
      <w:pPr>
        <w:spacing w:after="0" w:line="10" w:lineRule="exact"/>
        <w:rPr>
          <w:rFonts w:ascii="MS PGothic" w:cs="MS PGothic" w:eastAsia="MS PGothic" w:hAnsi="MS PGothic"/>
          <w:sz w:val="16"/>
          <w:szCs w:val="16"/>
          <w:color w:val="auto"/>
        </w:rPr>
      </w:pPr>
    </w:p>
    <w:p>
      <w:pPr>
        <w:ind w:left="1060" w:right="40" w:hanging="311"/>
        <w:spacing w:after="0" w:line="236" w:lineRule="auto"/>
        <w:rPr>
          <w:rFonts w:ascii="MS PGothic" w:cs="MS PGothic" w:eastAsia="MS PGothic" w:hAnsi="MS PGothic"/>
          <w:sz w:val="16"/>
          <w:szCs w:val="16"/>
          <w:color w:val="auto"/>
        </w:rPr>
      </w:pPr>
      <w:r>
        <w:rPr>
          <w:rFonts w:ascii="Arial" w:cs="Arial" w:eastAsia="Arial" w:hAnsi="Arial"/>
          <w:sz w:val="16"/>
          <w:szCs w:val="16"/>
          <w:color w:val="auto"/>
        </w:rPr>
        <w:t>(3)Per unit price or other underlying value of the transaction computed pursuant to Exchange Act Rule 0-11 (set forth the amount on which the filing fee is calculated and state how it was determined):</w:t>
      </w:r>
    </w:p>
    <w:p>
      <w:pPr>
        <w:spacing w:after="0" w:line="1" w:lineRule="exact"/>
        <w:rPr>
          <w:rFonts w:ascii="MS PGothic" w:cs="MS PGothic" w:eastAsia="MS PGothic" w:hAnsi="MS PGothic"/>
          <w:sz w:val="16"/>
          <w:szCs w:val="16"/>
          <w:color w:val="auto"/>
        </w:rPr>
      </w:pPr>
    </w:p>
    <w:p>
      <w:pPr>
        <w:ind w:left="760"/>
        <w:spacing w:after="0"/>
        <w:rPr>
          <w:rFonts w:ascii="MS PGothic" w:cs="MS PGothic" w:eastAsia="MS PGothic" w:hAnsi="MS PGothic"/>
          <w:sz w:val="16"/>
          <w:szCs w:val="16"/>
          <w:color w:val="auto"/>
        </w:rPr>
      </w:pPr>
      <w:r>
        <w:rPr>
          <w:rFonts w:ascii="Arial" w:cs="Arial" w:eastAsia="Arial" w:hAnsi="Arial"/>
          <w:sz w:val="16"/>
          <w:szCs w:val="16"/>
          <w:color w:val="auto"/>
        </w:rPr>
        <w:t>(4)Proposed maximum aggregate value of the transaction:</w:t>
      </w:r>
    </w:p>
    <w:p>
      <w:pPr>
        <w:spacing w:after="0" w:line="10" w:lineRule="exact"/>
        <w:rPr>
          <w:rFonts w:ascii="MS PGothic" w:cs="MS PGothic" w:eastAsia="MS PGothic" w:hAnsi="MS PGothic"/>
          <w:sz w:val="16"/>
          <w:szCs w:val="16"/>
          <w:color w:val="auto"/>
        </w:rPr>
      </w:pPr>
    </w:p>
    <w:p>
      <w:pPr>
        <w:ind w:left="760"/>
        <w:spacing w:after="0"/>
        <w:rPr>
          <w:rFonts w:ascii="MS PGothic" w:cs="MS PGothic" w:eastAsia="MS PGothic" w:hAnsi="MS PGothic"/>
          <w:sz w:val="16"/>
          <w:szCs w:val="16"/>
          <w:color w:val="auto"/>
        </w:rPr>
      </w:pPr>
      <w:r>
        <w:rPr>
          <w:rFonts w:ascii="Arial" w:cs="Arial" w:eastAsia="Arial" w:hAnsi="Arial"/>
          <w:sz w:val="16"/>
          <w:szCs w:val="16"/>
          <w:color w:val="auto"/>
        </w:rPr>
        <w:t>(5)Total fee paid:</w:t>
      </w:r>
    </w:p>
    <w:p>
      <w:pPr>
        <w:spacing w:after="0" w:line="10" w:lineRule="exact"/>
        <w:rPr>
          <w:rFonts w:ascii="MS PGothic" w:cs="MS PGothic" w:eastAsia="MS PGothic" w:hAnsi="MS PGothic"/>
          <w:sz w:val="16"/>
          <w:szCs w:val="16"/>
          <w:color w:val="auto"/>
        </w:rPr>
      </w:pPr>
    </w:p>
    <w:p>
      <w:pPr>
        <w:ind w:left="440" w:hanging="436"/>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0" w:lineRule="exact"/>
        <w:rPr>
          <w:rFonts w:ascii="MS PGothic" w:cs="MS PGothic" w:eastAsia="MS PGothic" w:hAnsi="MS PGothic"/>
          <w:sz w:val="16"/>
          <w:szCs w:val="16"/>
          <w:color w:val="auto"/>
        </w:rPr>
      </w:pPr>
    </w:p>
    <w:p>
      <w:pPr>
        <w:ind w:left="440" w:hanging="436"/>
        <w:spacing w:after="0" w:line="236" w:lineRule="auto"/>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760"/>
        <w:spacing w:after="0"/>
        <w:rPr>
          <w:rFonts w:ascii="MS PGothic" w:cs="MS PGothic" w:eastAsia="MS PGothic" w:hAnsi="MS PGothic"/>
          <w:sz w:val="16"/>
          <w:szCs w:val="16"/>
          <w:color w:val="auto"/>
        </w:rPr>
      </w:pPr>
      <w:r>
        <w:rPr>
          <w:rFonts w:ascii="Arial" w:cs="Arial" w:eastAsia="Arial" w:hAnsi="Arial"/>
          <w:sz w:val="16"/>
          <w:szCs w:val="16"/>
          <w:color w:val="auto"/>
        </w:rPr>
        <w:t>(1)Amount Previously Paid:</w:t>
      </w:r>
    </w:p>
    <w:p>
      <w:pPr>
        <w:spacing w:after="0" w:line="10" w:lineRule="exact"/>
        <w:rPr>
          <w:rFonts w:ascii="MS PGothic" w:cs="MS PGothic" w:eastAsia="MS PGothic" w:hAnsi="MS PGothic"/>
          <w:sz w:val="16"/>
          <w:szCs w:val="16"/>
          <w:color w:val="auto"/>
        </w:rPr>
      </w:pPr>
    </w:p>
    <w:p>
      <w:pPr>
        <w:ind w:left="760"/>
        <w:spacing w:after="0"/>
        <w:rPr>
          <w:rFonts w:ascii="MS PGothic" w:cs="MS PGothic" w:eastAsia="MS PGothic" w:hAnsi="MS PGothic"/>
          <w:sz w:val="16"/>
          <w:szCs w:val="16"/>
          <w:color w:val="auto"/>
        </w:rPr>
      </w:pPr>
      <w:r>
        <w:rPr>
          <w:rFonts w:ascii="Arial" w:cs="Arial" w:eastAsia="Arial" w:hAnsi="Arial"/>
          <w:sz w:val="16"/>
          <w:szCs w:val="16"/>
          <w:color w:val="auto"/>
        </w:rPr>
        <w:t>(2)Form, Schedule or Registration Statement No.:</w:t>
      </w:r>
    </w:p>
    <w:p>
      <w:pPr>
        <w:spacing w:after="0" w:line="10" w:lineRule="exact"/>
        <w:rPr>
          <w:rFonts w:ascii="MS PGothic" w:cs="MS PGothic" w:eastAsia="MS PGothic" w:hAnsi="MS PGothic"/>
          <w:sz w:val="16"/>
          <w:szCs w:val="16"/>
          <w:color w:val="auto"/>
        </w:rPr>
      </w:pPr>
    </w:p>
    <w:p>
      <w:pPr>
        <w:ind w:left="760"/>
        <w:spacing w:after="0"/>
        <w:rPr>
          <w:rFonts w:ascii="MS PGothic" w:cs="MS PGothic" w:eastAsia="MS PGothic" w:hAnsi="MS PGothic"/>
          <w:sz w:val="16"/>
          <w:szCs w:val="16"/>
          <w:color w:val="auto"/>
        </w:rPr>
      </w:pPr>
      <w:r>
        <w:rPr>
          <w:rFonts w:ascii="Arial" w:cs="Arial" w:eastAsia="Arial" w:hAnsi="Arial"/>
          <w:sz w:val="16"/>
          <w:szCs w:val="16"/>
          <w:color w:val="auto"/>
        </w:rPr>
        <w:t>(3)Filing party:</w:t>
      </w:r>
    </w:p>
    <w:p>
      <w:pPr>
        <w:spacing w:after="0" w:line="10" w:lineRule="exact"/>
        <w:rPr>
          <w:rFonts w:ascii="MS PGothic" w:cs="MS PGothic" w:eastAsia="MS PGothic" w:hAnsi="MS PGothic"/>
          <w:sz w:val="16"/>
          <w:szCs w:val="16"/>
          <w:color w:val="auto"/>
        </w:rPr>
      </w:pPr>
    </w:p>
    <w:p>
      <w:pPr>
        <w:ind w:left="760"/>
        <w:spacing w:after="0"/>
        <w:rPr>
          <w:rFonts w:ascii="MS PGothic" w:cs="MS PGothic" w:eastAsia="MS PGothic" w:hAnsi="MS PGothic"/>
          <w:sz w:val="16"/>
          <w:szCs w:val="16"/>
          <w:color w:val="auto"/>
        </w:rPr>
      </w:pPr>
      <w:r>
        <w:rPr>
          <w:rFonts w:ascii="Arial" w:cs="Arial" w:eastAsia="Arial" w:hAnsi="Arial"/>
          <w:sz w:val="16"/>
          <w:szCs w:val="16"/>
          <w:color w:val="auto"/>
        </w:rPr>
        <w:t>(4)Date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672465</wp:posOffset>
            </wp:positionV>
            <wp:extent cx="715391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340"/>
          </w:cols>
          <w:pgMar w:left="320" w:top="44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Texas Instruments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12500 TI Boulevard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Dallas, Texas 75243</w:t>
      </w:r>
    </w:p>
    <w:p>
      <w:pPr>
        <w:spacing w:after="0" w:line="201"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b w:val="1"/>
          <w:bCs w:val="1"/>
          <w:color w:val="auto"/>
        </w:rPr>
        <w:t>ADDITIONAL INFORMATION REGARDING THE 2020 ANNUAL MEETING OF STOCKHOLDERS TO BE HELD ON THURSDAY, APRIL 23, 2020</w:t>
      </w:r>
    </w:p>
    <w:p>
      <w:pPr>
        <w:spacing w:after="0" w:line="15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following Notice of Change of Location relates to the proxy statement (the “Proxy Statement”) of Texas Instruments Incorporated (the “Company”), dated March 10, 2020, furnished to stockholders of the Company in connection with the solicitation of proxies by the Board of Directors of the Company for use at the 2020 Annual Meeting of Stockholders (the “2020 Annual Meeting”) to be held on Thursday, April 23, 2020. This Supplement is being filed with the Securities and Exchange Commission and is being made available to stockholders on or about April 9,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NOTICE SHOULD BE READ IN CONJUNCTION WITH THE PROXY STATEMENT.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CHANGE OF LOCATION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ANNUAL MEETING OF STOCKHOLDERS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APRIL 23, 2020</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19" w:lineRule="exact"/>
        <w:rPr>
          <w:sz w:val="20"/>
          <w:szCs w:val="20"/>
          <w:color w:val="auto"/>
        </w:rPr>
      </w:pPr>
    </w:p>
    <w:p>
      <w:pPr>
        <w:jc w:val="both"/>
        <w:ind w:right="80"/>
        <w:spacing w:after="0" w:line="264" w:lineRule="auto"/>
        <w:rPr>
          <w:sz w:val="20"/>
          <w:szCs w:val="20"/>
          <w:color w:val="auto"/>
        </w:rPr>
      </w:pPr>
      <w:r>
        <w:rPr>
          <w:rFonts w:ascii="Arial" w:cs="Arial" w:eastAsia="Arial" w:hAnsi="Arial"/>
          <w:sz w:val="17"/>
          <w:szCs w:val="17"/>
          <w:color w:val="auto"/>
        </w:rPr>
        <w:t>Due to the escalating public health impact of the coronavirus situation (COVID-19) and to support the health and well-being of our employees and stockholders, NOTICE IS HEREBY GIVEN that the location of the 2020 Annual Meeting of Stockholders of Texas Instruments Incorporated has been changed. As previously announced, the 2020 Annual Meeting will be held on Thursday, April 23, 2020, at 8:30 a.m. (Central time). However, the 2020 Annual Meeting will now be held in a virtual meeting format only. You will not be able to attend the meeting in person.</w:t>
      </w:r>
    </w:p>
    <w:p>
      <w:pPr>
        <w:spacing w:after="0" w:line="17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described in the previously distributed proxy materials for TI’s 2020 Annual Meeting of Stockholders, you are entitled to participate in the meeting if you were a stockholder of record as of the close of business on February 24, 2020, the record date. To be admitted to the meeting</w:t>
      </w:r>
    </w:p>
    <w:p>
      <w:pPr>
        <w:spacing w:after="0" w:line="1" w:lineRule="exact"/>
        <w:rPr>
          <w:sz w:val="20"/>
          <w:szCs w:val="20"/>
          <w:color w:val="auto"/>
        </w:rPr>
      </w:pPr>
    </w:p>
    <w:p>
      <w:pPr>
        <w:jc w:val="both"/>
        <w:ind w:right="200"/>
        <w:spacing w:after="0" w:line="285"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u w:val="single" w:color="auto"/>
          <w:color w:val="auto"/>
        </w:rPr>
        <w:t>www.virtualshareholdermeeting.com/TXN2020</w:t>
      </w:r>
      <w:r>
        <w:rPr>
          <w:rFonts w:ascii="Arial" w:cs="Arial" w:eastAsia="Arial" w:hAnsi="Arial"/>
          <w:sz w:val="16"/>
          <w:szCs w:val="16"/>
          <w:color w:val="auto"/>
        </w:rPr>
        <w:t xml:space="preserve"> (the “2020 Annual Meeting Website”), you must enter the control number found on your proxy card, voting instruction form or notice you previously received. A list of stockholders entitled to vote at the meeting will be available during the meeting at the 2020 Annual Meeting Website. You may vote during the meeting by following the instructions available on the 2020 Annual Meeting Website.</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urge you to vote and submit your proxy in advance of the meeting by one of the methods described in the previously distributed proxy materials. The proxy card included with the previously distributed proxy materials will not be updated to reflect the change in location, and may continue to be used to vote your shares in connection with the 2020 Annual Meeting.</w:t>
      </w:r>
    </w:p>
    <w:p>
      <w:pPr>
        <w:spacing w:after="0" w:line="17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15240</wp:posOffset>
            </wp:positionV>
            <wp:extent cx="1984375" cy="568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4375" cy="56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Cynthia Hoff Trochu</w:t>
      </w:r>
    </w:p>
    <w:p>
      <w:pPr>
        <w:spacing w:after="0" w:line="2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Senior Vice President,</w:t>
      </w:r>
    </w:p>
    <w:p>
      <w:pPr>
        <w:spacing w:after="0" w:line="1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Secretary and</w:t>
      </w:r>
    </w:p>
    <w:p>
      <w:pPr>
        <w:spacing w:after="0" w:line="1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General Counsel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April 9,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2020-04-09T15:31:52Z</dcterms:created>
  <dcterms:modified xsi:type="dcterms:W3CDTF">2020-04-09T15:31:52Z</dcterms:modified>
</cp:coreProperties>
</file>